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1F" w:rsidRDefault="00DE0D6A" w:rsidP="00C44A1F">
      <w:pPr>
        <w:pStyle w:val="AERTitle2"/>
      </w:pPr>
      <w:bookmarkStart w:id="0" w:name="_Ref32261778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72.15pt;margin-top:-1in;width:611.85pt;height:850pt;z-index:-251658752">
            <v:imagedata r:id="rId8" o:title="AER-draft-brown"/>
          </v:shape>
        </w:pict>
      </w:r>
    </w:p>
    <w:p w:rsidR="00C44A1F" w:rsidRDefault="00C44A1F" w:rsidP="00C44A1F">
      <w:pPr>
        <w:pStyle w:val="AERTitle2"/>
      </w:pPr>
    </w:p>
    <w:p w:rsidR="00F65A35" w:rsidRDefault="00F65A35" w:rsidP="00F65A35">
      <w:pPr>
        <w:pStyle w:val="AERTitle1"/>
      </w:pPr>
      <w:r>
        <w:t>Access arrangement draft decision</w:t>
      </w:r>
    </w:p>
    <w:p w:rsidR="00F65A35" w:rsidRDefault="00F65A35" w:rsidP="00F65A35">
      <w:pPr>
        <w:pStyle w:val="AERTitle1"/>
      </w:pPr>
      <w:r w:rsidRPr="00035E73">
        <w:t>APA GasNet Australia (Operations) Pty Ltd</w:t>
      </w:r>
    </w:p>
    <w:p w:rsidR="00C44A1F" w:rsidRDefault="00F65A35" w:rsidP="00F65A35">
      <w:pPr>
        <w:pStyle w:val="AERTitle1"/>
      </w:pPr>
      <w:r>
        <w:t>20</w:t>
      </w:r>
      <w:r w:rsidR="00673B5B">
        <w:t>13</w:t>
      </w:r>
      <w:r>
        <w:t>–</w:t>
      </w:r>
      <w:r w:rsidRPr="00F6235D">
        <w:t>17</w:t>
      </w:r>
    </w:p>
    <w:p w:rsidR="007C1F9F" w:rsidRDefault="007C1F9F" w:rsidP="00F65A35">
      <w:pPr>
        <w:pStyle w:val="AERTitle1"/>
      </w:pPr>
    </w:p>
    <w:p w:rsidR="007C50EC" w:rsidRDefault="007C50EC" w:rsidP="00F65A35">
      <w:pPr>
        <w:pStyle w:val="AERTitle1"/>
      </w:pPr>
      <w:r>
        <w:t>Part 2</w:t>
      </w:r>
    </w:p>
    <w:p w:rsidR="007C1F9F" w:rsidRDefault="007C1F9F" w:rsidP="00F65A35">
      <w:pPr>
        <w:pStyle w:val="AERTitle1"/>
      </w:pPr>
      <w:r>
        <w:t>Attachments</w:t>
      </w:r>
    </w:p>
    <w:p w:rsidR="00C44A1F" w:rsidRDefault="00C44A1F" w:rsidP="00C44A1F">
      <w:pPr>
        <w:pStyle w:val="AERTitle1"/>
      </w:pPr>
    </w:p>
    <w:p w:rsidR="00C44A1F" w:rsidRDefault="00C44A1F" w:rsidP="00C44A1F">
      <w:pPr>
        <w:pStyle w:val="AERTitle1"/>
      </w:pPr>
    </w:p>
    <w:p w:rsidR="00C44A1F" w:rsidRPr="00F6235D" w:rsidRDefault="00C44A1F" w:rsidP="00C44A1F">
      <w:pPr>
        <w:pStyle w:val="AERTitle1"/>
      </w:pPr>
    </w:p>
    <w:p w:rsidR="00C44A1F" w:rsidRPr="00F6235D" w:rsidRDefault="002D4C3B" w:rsidP="00C44A1F">
      <w:pPr>
        <w:pStyle w:val="AERTitle2"/>
      </w:pPr>
      <w:r>
        <w:t xml:space="preserve">September </w:t>
      </w:r>
      <w:r w:rsidR="00C44A1F" w:rsidRPr="00F6235D">
        <w:t>201</w:t>
      </w:r>
      <w:r w:rsidR="00C44A1F">
        <w:t>2</w:t>
      </w:r>
    </w:p>
    <w:p w:rsidR="00C44A1F" w:rsidRPr="00F6235D" w:rsidRDefault="00C44A1F" w:rsidP="00C44A1F">
      <w:pPr>
        <w:pStyle w:val="AERbodytext"/>
      </w:pPr>
      <w:r w:rsidRPr="00F6235D">
        <w:t xml:space="preserve"> </w:t>
      </w:r>
    </w:p>
    <w:p w:rsidR="00C44A1F" w:rsidRPr="00F6235D" w:rsidRDefault="00C44A1F" w:rsidP="00C44A1F">
      <w:pPr>
        <w:pStyle w:val="TOC1"/>
      </w:pPr>
      <w:r>
        <w:br w:type="page"/>
      </w:r>
      <w:r w:rsidRPr="00F6235D">
        <w:lastRenderedPageBreak/>
        <w:t>© Commonwealth of Australia 201</w:t>
      </w:r>
      <w:r>
        <w:t>2</w:t>
      </w:r>
    </w:p>
    <w:p w:rsidR="00C44A1F" w:rsidRPr="00F6235D" w:rsidRDefault="00C44A1F" w:rsidP="00C44A1F">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C44A1F" w:rsidRPr="00F6235D" w:rsidRDefault="00C44A1F" w:rsidP="00C44A1F">
      <w:pPr>
        <w:pStyle w:val="AERbodytext"/>
      </w:pPr>
    </w:p>
    <w:p w:rsidR="00C44A1F" w:rsidRPr="00F6235D" w:rsidRDefault="00C44A1F" w:rsidP="00C44A1F">
      <w:pPr>
        <w:pStyle w:val="TOC1"/>
      </w:pPr>
      <w:r w:rsidRPr="00F6235D">
        <w:t xml:space="preserve"> </w:t>
      </w:r>
    </w:p>
    <w:p w:rsidR="00C44A1F" w:rsidRDefault="00C44A1F" w:rsidP="00600E6F">
      <w:pPr>
        <w:pStyle w:val="AERunnumberedheading"/>
        <w:sectPr w:rsidR="00C44A1F" w:rsidSect="004B574E">
          <w:headerReference w:type="even" r:id="rId9"/>
          <w:headerReference w:type="default" r:id="rId10"/>
          <w:footerReference w:type="even" r:id="rId11"/>
          <w:footerReference w:type="default" r:id="rId12"/>
          <w:headerReference w:type="first" r:id="rId13"/>
          <w:pgSz w:w="11906" w:h="16838" w:code="9"/>
          <w:pgMar w:top="1440" w:right="1440" w:bottom="1440" w:left="1440" w:header="709" w:footer="709" w:gutter="0"/>
          <w:pgNumType w:fmt="lowerRoman"/>
          <w:cols w:space="708"/>
          <w:docGrid w:linePitch="360"/>
        </w:sectPr>
      </w:pPr>
    </w:p>
    <w:p w:rsidR="001B4662" w:rsidRPr="00993138" w:rsidRDefault="001B4662" w:rsidP="001B4662">
      <w:pPr>
        <w:pStyle w:val="AERunnumberedheading"/>
      </w:pPr>
      <w:bookmarkStart w:id="1" w:name="_Toc323547423"/>
      <w:bookmarkStart w:id="2" w:name="_Toc334543746"/>
      <w:r w:rsidRPr="00993138">
        <w:lastRenderedPageBreak/>
        <w:t>Shortened forms</w:t>
      </w:r>
      <w:bookmarkEnd w:id="1"/>
      <w:bookmarkEnd w:id="2"/>
    </w:p>
    <w:tbl>
      <w:tblPr>
        <w:tblW w:w="0" w:type="auto"/>
        <w:tblBorders>
          <w:top w:val="single" w:sz="4" w:space="0" w:color="auto"/>
          <w:bottom w:val="single" w:sz="4" w:space="0" w:color="auto"/>
        </w:tblBorders>
        <w:tblLook w:val="01E0"/>
      </w:tblPr>
      <w:tblGrid>
        <w:gridCol w:w="3127"/>
        <w:gridCol w:w="5148"/>
      </w:tblGrid>
      <w:tr w:rsidR="001B4662" w:rsidRPr="004D1E03" w:rsidTr="00186172">
        <w:tc>
          <w:tcPr>
            <w:tcW w:w="312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B4662" w:rsidRPr="00DD021A" w:rsidRDefault="001B4662" w:rsidP="00186172">
            <w:pPr>
              <w:pStyle w:val="AERtabletextheading"/>
              <w:rPr>
                <w:bCs/>
              </w:rPr>
            </w:pPr>
            <w:r w:rsidRPr="00DD021A">
              <w:rPr>
                <w:bCs/>
              </w:rPr>
              <w:t>Shortened form</w:t>
            </w:r>
          </w:p>
        </w:tc>
        <w:tc>
          <w:tcPr>
            <w:tcW w:w="5148"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B4662" w:rsidRPr="00DD021A" w:rsidRDefault="001B4662" w:rsidP="0018730D">
            <w:pPr>
              <w:pStyle w:val="AERtabletextheading"/>
            </w:pPr>
            <w:r w:rsidRPr="00DD021A">
              <w:t>Full title</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 xml:space="preserve">2008-12 access arrangement </w:t>
            </w:r>
          </w:p>
        </w:tc>
        <w:tc>
          <w:tcPr>
            <w:tcW w:w="5148" w:type="dxa"/>
            <w:shd w:val="clear" w:color="auto" w:fill="auto"/>
            <w:noWrap/>
            <w:tcMar>
              <w:top w:w="0" w:type="dxa"/>
              <w:bottom w:w="0" w:type="dxa"/>
            </w:tcMar>
            <w:vAlign w:val="center"/>
          </w:tcPr>
          <w:p w:rsidR="001B4662" w:rsidRPr="003D773C" w:rsidRDefault="001B4662" w:rsidP="00186172">
            <w:pPr>
              <w:pStyle w:val="AERtabletext"/>
            </w:pPr>
            <w:r w:rsidRPr="00993138">
              <w:t xml:space="preserve">Access arrangement for </w:t>
            </w:r>
            <w:r w:rsidRPr="003D773C">
              <w:t>APA GasNet effective from 1 January 2008 to 31 December 2012 inclusive</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2008-12 access arrangement period</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1 January 2008 to 31 December 2012 inclusive</w:t>
            </w:r>
          </w:p>
        </w:tc>
      </w:tr>
      <w:tr w:rsidR="001B4662" w:rsidRPr="004D1E03" w:rsidTr="00186172">
        <w:tc>
          <w:tcPr>
            <w:tcW w:w="3127" w:type="dxa"/>
            <w:shd w:val="clear" w:color="auto" w:fill="auto"/>
            <w:noWrap/>
            <w:tcMar>
              <w:top w:w="0" w:type="dxa"/>
              <w:bottom w:w="0" w:type="dxa"/>
            </w:tcMar>
            <w:vAlign w:val="center"/>
          </w:tcPr>
          <w:p w:rsidR="001B4662" w:rsidRPr="003D773C" w:rsidRDefault="001B4662" w:rsidP="00186172">
            <w:pPr>
              <w:pStyle w:val="AERtabletext"/>
            </w:pPr>
            <w:r w:rsidRPr="00993138">
              <w:t>2013-</w:t>
            </w:r>
            <w:r w:rsidRPr="003D773C">
              <w:t>17 access arrangement period</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1 January 2013 to 31 December 2017</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2018-22 access arrangement</w:t>
            </w:r>
          </w:p>
        </w:tc>
        <w:tc>
          <w:tcPr>
            <w:tcW w:w="5148" w:type="dxa"/>
            <w:shd w:val="clear" w:color="auto" w:fill="F8B47C"/>
            <w:noWrap/>
            <w:tcMar>
              <w:top w:w="0" w:type="dxa"/>
              <w:bottom w:w="0" w:type="dxa"/>
            </w:tcMar>
            <w:vAlign w:val="center"/>
          </w:tcPr>
          <w:p w:rsidR="001B4662" w:rsidRPr="003D773C" w:rsidRDefault="001B4662" w:rsidP="00186172">
            <w:pPr>
              <w:pStyle w:val="AERtabletext"/>
            </w:pPr>
            <w:r w:rsidRPr="00993138">
              <w:t xml:space="preserve">Access arrangement for </w:t>
            </w:r>
            <w:r w:rsidRPr="003D773C">
              <w:t>APA GasNet effective from 1 January 2018 to 31 December 2022 inclusive</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ACCC</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Australian Competition and Consumer Commission</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access arrangement information</w:t>
            </w:r>
          </w:p>
        </w:tc>
        <w:tc>
          <w:tcPr>
            <w:tcW w:w="5148" w:type="dxa"/>
            <w:shd w:val="clear" w:color="auto" w:fill="F8B47C"/>
            <w:noWrap/>
            <w:tcMar>
              <w:top w:w="0" w:type="dxa"/>
              <w:bottom w:w="0" w:type="dxa"/>
            </w:tcMar>
            <w:vAlign w:val="center"/>
          </w:tcPr>
          <w:p w:rsidR="001B4662" w:rsidRPr="004553EB" w:rsidRDefault="001B4662" w:rsidP="00186172">
            <w:pPr>
              <w:pStyle w:val="AERtabletext"/>
            </w:pPr>
            <w:r w:rsidRPr="00585887">
              <w:t>APA GasNet Australia (Operations) Pty Ltd</w:t>
            </w:r>
            <w:r w:rsidRPr="004553EB">
              <w:t>, Access arrangement information, 31 March 2012</w:t>
            </w:r>
          </w:p>
        </w:tc>
      </w:tr>
      <w:tr w:rsidR="001B4662" w:rsidRPr="004D1E03" w:rsidTr="00186172">
        <w:tc>
          <w:tcPr>
            <w:tcW w:w="3127" w:type="dxa"/>
            <w:shd w:val="clear" w:color="auto" w:fill="auto"/>
            <w:noWrap/>
            <w:tcMar>
              <w:top w:w="0" w:type="dxa"/>
              <w:bottom w:w="0" w:type="dxa"/>
            </w:tcMar>
            <w:vAlign w:val="center"/>
          </w:tcPr>
          <w:p w:rsidR="001B4662" w:rsidRPr="004553EB" w:rsidRDefault="001B4662" w:rsidP="00186172">
            <w:pPr>
              <w:pStyle w:val="AERtabletext"/>
            </w:pPr>
            <w:r>
              <w:t xml:space="preserve">access arrangement </w:t>
            </w:r>
            <w:r w:rsidRPr="004553EB">
              <w:t>submission</w:t>
            </w:r>
          </w:p>
        </w:tc>
        <w:tc>
          <w:tcPr>
            <w:tcW w:w="5148" w:type="dxa"/>
            <w:shd w:val="clear" w:color="auto" w:fill="auto"/>
            <w:noWrap/>
            <w:tcMar>
              <w:top w:w="0" w:type="dxa"/>
              <w:bottom w:w="0" w:type="dxa"/>
            </w:tcMar>
            <w:vAlign w:val="center"/>
          </w:tcPr>
          <w:p w:rsidR="001B4662" w:rsidRPr="004553EB" w:rsidRDefault="001B4662" w:rsidP="00186172">
            <w:pPr>
              <w:pStyle w:val="AERtabletext"/>
            </w:pPr>
            <w:r w:rsidRPr="00585887">
              <w:t>APA GasNet Australia (Operations) Pty Ltd</w:t>
            </w:r>
            <w:r w:rsidRPr="004553EB">
              <w:t>, Access arrangement submission, 31 March 2012</w:t>
            </w:r>
          </w:p>
        </w:tc>
      </w:tr>
      <w:tr w:rsidR="001B4662" w:rsidRPr="004D1E03" w:rsidTr="00186172">
        <w:tc>
          <w:tcPr>
            <w:tcW w:w="3127" w:type="dxa"/>
            <w:shd w:val="clear" w:color="auto" w:fill="F8B47C"/>
            <w:noWrap/>
            <w:tcMar>
              <w:top w:w="0" w:type="dxa"/>
              <w:bottom w:w="0" w:type="dxa"/>
            </w:tcMar>
            <w:vAlign w:val="center"/>
          </w:tcPr>
          <w:p w:rsidR="001B4662" w:rsidRPr="004553EB" w:rsidRDefault="001B4662" w:rsidP="00186172">
            <w:pPr>
              <w:pStyle w:val="AERtabletext"/>
            </w:pPr>
            <w:r>
              <w:t>AEMO</w:t>
            </w:r>
          </w:p>
        </w:tc>
        <w:tc>
          <w:tcPr>
            <w:tcW w:w="5148" w:type="dxa"/>
            <w:shd w:val="clear" w:color="auto" w:fill="F8B47C"/>
            <w:noWrap/>
            <w:tcMar>
              <w:top w:w="0" w:type="dxa"/>
              <w:bottom w:w="0" w:type="dxa"/>
            </w:tcMar>
            <w:vAlign w:val="center"/>
          </w:tcPr>
          <w:p w:rsidR="001B4662" w:rsidRPr="004553EB" w:rsidRDefault="001B4662" w:rsidP="00186172">
            <w:pPr>
              <w:pStyle w:val="AERtabletext"/>
            </w:pPr>
            <w:r>
              <w:t>Australian Energy Market Operator</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AER</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Australian Energy Regulator</w:t>
            </w:r>
          </w:p>
        </w:tc>
      </w:tr>
      <w:tr w:rsidR="001B4662" w:rsidRPr="004D1E03" w:rsidTr="00186172">
        <w:tc>
          <w:tcPr>
            <w:tcW w:w="3127" w:type="dxa"/>
            <w:shd w:val="clear" w:color="auto" w:fill="F8B47C"/>
            <w:noWrap/>
            <w:tcMar>
              <w:top w:w="0" w:type="dxa"/>
              <w:bottom w:w="0" w:type="dxa"/>
            </w:tcMar>
            <w:vAlign w:val="center"/>
          </w:tcPr>
          <w:p w:rsidR="001B4662" w:rsidRPr="004553EB" w:rsidRDefault="001B4662" w:rsidP="00186172">
            <w:pPr>
              <w:pStyle w:val="AERtabletext"/>
            </w:pPr>
            <w:r>
              <w:t>AMDQ CC</w:t>
            </w:r>
          </w:p>
        </w:tc>
        <w:tc>
          <w:tcPr>
            <w:tcW w:w="5148" w:type="dxa"/>
            <w:shd w:val="clear" w:color="auto" w:fill="F8B47C"/>
            <w:noWrap/>
            <w:tcMar>
              <w:top w:w="0" w:type="dxa"/>
              <w:bottom w:w="0" w:type="dxa"/>
            </w:tcMar>
            <w:vAlign w:val="center"/>
          </w:tcPr>
          <w:p w:rsidR="001B4662" w:rsidRPr="004553EB" w:rsidRDefault="001B4662" w:rsidP="00186172">
            <w:pPr>
              <w:pStyle w:val="AERtabletext"/>
            </w:pPr>
            <w:r>
              <w:t>a</w:t>
            </w:r>
            <w:r w:rsidRPr="004553EB">
              <w:t>uthorised maximum daily quantity credit certificates</w:t>
            </w:r>
          </w:p>
        </w:tc>
      </w:tr>
      <w:tr w:rsidR="001B4662" w:rsidRPr="004D1E03" w:rsidTr="00186172">
        <w:tc>
          <w:tcPr>
            <w:tcW w:w="3127" w:type="dxa"/>
            <w:shd w:val="clear" w:color="auto" w:fill="auto"/>
            <w:noWrap/>
            <w:tcMar>
              <w:top w:w="0" w:type="dxa"/>
              <w:bottom w:w="0" w:type="dxa"/>
            </w:tcMar>
            <w:vAlign w:val="center"/>
          </w:tcPr>
          <w:p w:rsidR="001B4662" w:rsidRPr="004553EB" w:rsidRDefault="001B4662" w:rsidP="00186172">
            <w:pPr>
              <w:pStyle w:val="AERtabletext"/>
            </w:pPr>
            <w:r>
              <w:t>APA GasNet</w:t>
            </w:r>
          </w:p>
        </w:tc>
        <w:tc>
          <w:tcPr>
            <w:tcW w:w="5148" w:type="dxa"/>
            <w:shd w:val="clear" w:color="auto" w:fill="auto"/>
            <w:noWrap/>
            <w:tcMar>
              <w:top w:w="0" w:type="dxa"/>
              <w:bottom w:w="0" w:type="dxa"/>
            </w:tcMar>
            <w:vAlign w:val="center"/>
          </w:tcPr>
          <w:p w:rsidR="001B4662" w:rsidRPr="004553EB" w:rsidRDefault="001B4662" w:rsidP="00186172">
            <w:pPr>
              <w:pStyle w:val="AERtabletext"/>
            </w:pPr>
            <w:r>
              <w:t>APA GasNet Australia (Operations) Pty Ltd (</w:t>
            </w:r>
            <w:r w:rsidRPr="004553EB">
              <w:t>ACN 083 009 278)</w:t>
            </w:r>
          </w:p>
        </w:tc>
      </w:tr>
      <w:tr w:rsidR="001B4662" w:rsidRPr="004D1E03" w:rsidTr="00186172">
        <w:tc>
          <w:tcPr>
            <w:tcW w:w="3127" w:type="dxa"/>
            <w:shd w:val="clear" w:color="auto" w:fill="F8B47C"/>
            <w:noWrap/>
            <w:tcMar>
              <w:top w:w="0" w:type="dxa"/>
              <w:bottom w:w="0" w:type="dxa"/>
            </w:tcMar>
            <w:vAlign w:val="center"/>
          </w:tcPr>
          <w:p w:rsidR="001B4662" w:rsidRDefault="001B4662" w:rsidP="00186172">
            <w:pPr>
              <w:pStyle w:val="AERtabletext"/>
            </w:pPr>
            <w:r>
              <w:t>AWOTE</w:t>
            </w:r>
          </w:p>
        </w:tc>
        <w:tc>
          <w:tcPr>
            <w:tcW w:w="5148" w:type="dxa"/>
            <w:shd w:val="clear" w:color="auto" w:fill="F8B47C"/>
            <w:noWrap/>
            <w:tcMar>
              <w:top w:w="0" w:type="dxa"/>
              <w:bottom w:w="0" w:type="dxa"/>
            </w:tcMar>
            <w:vAlign w:val="center"/>
          </w:tcPr>
          <w:p w:rsidR="001B4662" w:rsidRDefault="001B4662" w:rsidP="00186172">
            <w:pPr>
              <w:pStyle w:val="AERtabletext"/>
            </w:pPr>
            <w:r>
              <w:t>average weekly ordinary time earnings</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capex</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capital expenditure</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CAPM</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 xml:space="preserve">capital asset pricing model </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Code</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National Third Party Access Code for Natural Gas Pipeline Systems</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CPI</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consumer price index</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DRP</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debt risk premium</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ESC</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Essential Services Commission (Victoria)</w:t>
            </w:r>
          </w:p>
        </w:tc>
      </w:tr>
      <w:tr w:rsidR="001B4662" w:rsidRPr="004D1E03" w:rsidTr="00186172">
        <w:tc>
          <w:tcPr>
            <w:tcW w:w="3127" w:type="dxa"/>
            <w:shd w:val="clear" w:color="auto" w:fill="auto"/>
            <w:noWrap/>
            <w:tcMar>
              <w:top w:w="0" w:type="dxa"/>
              <w:bottom w:w="0" w:type="dxa"/>
            </w:tcMar>
            <w:vAlign w:val="center"/>
          </w:tcPr>
          <w:p w:rsidR="001B4662" w:rsidRPr="004553EB" w:rsidRDefault="001B4662" w:rsidP="00186172">
            <w:pPr>
              <w:pStyle w:val="AERtabletext"/>
            </w:pPr>
            <w:r>
              <w:t>GFC</w:t>
            </w:r>
          </w:p>
        </w:tc>
        <w:tc>
          <w:tcPr>
            <w:tcW w:w="5148" w:type="dxa"/>
            <w:shd w:val="clear" w:color="auto" w:fill="auto"/>
            <w:noWrap/>
            <w:tcMar>
              <w:top w:w="0" w:type="dxa"/>
              <w:bottom w:w="0" w:type="dxa"/>
            </w:tcMar>
            <w:vAlign w:val="center"/>
          </w:tcPr>
          <w:p w:rsidR="001B4662" w:rsidRPr="004553EB" w:rsidRDefault="001B4662" w:rsidP="00186172">
            <w:pPr>
              <w:pStyle w:val="AERtabletext"/>
            </w:pPr>
            <w:r>
              <w:t>global financial crisis</w:t>
            </w:r>
          </w:p>
        </w:tc>
      </w:tr>
      <w:tr w:rsidR="001B4662" w:rsidRPr="004D1E03" w:rsidTr="00186172">
        <w:tc>
          <w:tcPr>
            <w:tcW w:w="3127" w:type="dxa"/>
            <w:shd w:val="clear" w:color="auto" w:fill="F8B47C"/>
            <w:noWrap/>
            <w:tcMar>
              <w:top w:w="0" w:type="dxa"/>
              <w:bottom w:w="0" w:type="dxa"/>
            </w:tcMar>
            <w:vAlign w:val="center"/>
          </w:tcPr>
          <w:p w:rsidR="001B4662" w:rsidRDefault="001B4662" w:rsidP="00186172">
            <w:pPr>
              <w:pStyle w:val="AERtabletext"/>
            </w:pPr>
            <w:r>
              <w:t>GPG</w:t>
            </w:r>
          </w:p>
        </w:tc>
        <w:tc>
          <w:tcPr>
            <w:tcW w:w="5148" w:type="dxa"/>
            <w:shd w:val="clear" w:color="auto" w:fill="F8B47C"/>
            <w:noWrap/>
            <w:tcMar>
              <w:top w:w="0" w:type="dxa"/>
              <w:bottom w:w="0" w:type="dxa"/>
            </w:tcMar>
            <w:vAlign w:val="center"/>
          </w:tcPr>
          <w:p w:rsidR="001B4662" w:rsidRDefault="001B4662" w:rsidP="00186172">
            <w:pPr>
              <w:pStyle w:val="AERtabletext"/>
            </w:pPr>
            <w:r>
              <w:t>gas powered generation</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MRP</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market risk premium</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NGL</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National Gas Law</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NGO</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National Gas Objective</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NGR</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National Gas Rules</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opex</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operating expenditure</w:t>
            </w:r>
          </w:p>
        </w:tc>
      </w:tr>
      <w:tr w:rsidR="001B4662" w:rsidRPr="004D1E03" w:rsidTr="00186172">
        <w:tc>
          <w:tcPr>
            <w:tcW w:w="3127" w:type="dxa"/>
            <w:shd w:val="clear" w:color="auto" w:fill="F8B47C"/>
            <w:noWrap/>
            <w:tcMar>
              <w:top w:w="0" w:type="dxa"/>
              <w:bottom w:w="0" w:type="dxa"/>
            </w:tcMar>
            <w:vAlign w:val="center"/>
          </w:tcPr>
          <w:p w:rsidR="001B4662" w:rsidRPr="004553EB" w:rsidRDefault="001B4662" w:rsidP="00186172">
            <w:pPr>
              <w:pStyle w:val="AERtabletext"/>
            </w:pPr>
            <w:r>
              <w:t>ORC</w:t>
            </w:r>
          </w:p>
        </w:tc>
        <w:tc>
          <w:tcPr>
            <w:tcW w:w="5148" w:type="dxa"/>
            <w:shd w:val="clear" w:color="auto" w:fill="F8B47C"/>
            <w:noWrap/>
            <w:tcMar>
              <w:top w:w="0" w:type="dxa"/>
              <w:bottom w:w="0" w:type="dxa"/>
            </w:tcMar>
            <w:vAlign w:val="center"/>
          </w:tcPr>
          <w:p w:rsidR="001B4662" w:rsidRPr="004553EB" w:rsidRDefault="001B4662" w:rsidP="00186172">
            <w:pPr>
              <w:pStyle w:val="AERtabletext"/>
            </w:pPr>
            <w:r>
              <w:t>optimised replacement cost</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PTRM</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post tax revenue model</w:t>
            </w:r>
          </w:p>
        </w:tc>
      </w:tr>
      <w:tr w:rsidR="001B4662" w:rsidRPr="004D1E03" w:rsidTr="00186172">
        <w:tc>
          <w:tcPr>
            <w:tcW w:w="3127" w:type="dxa"/>
            <w:shd w:val="clear" w:color="auto" w:fill="F8B47C"/>
            <w:noWrap/>
            <w:tcMar>
              <w:top w:w="0" w:type="dxa"/>
              <w:bottom w:w="0" w:type="dxa"/>
            </w:tcMar>
            <w:vAlign w:val="center"/>
          </w:tcPr>
          <w:p w:rsidR="001B4662" w:rsidRPr="00993138" w:rsidRDefault="001B4662" w:rsidP="00186172">
            <w:pPr>
              <w:pStyle w:val="AERtabletext"/>
            </w:pPr>
            <w:r w:rsidRPr="00993138">
              <w:t>RAB</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regulatory asset base</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lastRenderedPageBreak/>
              <w:t>RFM</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roll forward model</w:t>
            </w:r>
          </w:p>
        </w:tc>
      </w:tr>
      <w:tr w:rsidR="001B4662" w:rsidRPr="004D1E03" w:rsidTr="00186172">
        <w:tc>
          <w:tcPr>
            <w:tcW w:w="3127" w:type="dxa"/>
            <w:shd w:val="clear" w:color="auto" w:fill="F8B47C"/>
            <w:noWrap/>
            <w:tcMar>
              <w:top w:w="0" w:type="dxa"/>
              <w:bottom w:w="0" w:type="dxa"/>
            </w:tcMar>
            <w:vAlign w:val="center"/>
          </w:tcPr>
          <w:p w:rsidR="001B4662" w:rsidRPr="004553EB" w:rsidRDefault="001B4662" w:rsidP="00186172">
            <w:pPr>
              <w:pStyle w:val="AERtabletext"/>
            </w:pPr>
            <w:r>
              <w:t>RP</w:t>
            </w:r>
            <w:r w:rsidRPr="004553EB">
              <w:t>P</w:t>
            </w:r>
          </w:p>
        </w:tc>
        <w:tc>
          <w:tcPr>
            <w:tcW w:w="5148" w:type="dxa"/>
            <w:shd w:val="clear" w:color="auto" w:fill="F8B47C"/>
            <w:noWrap/>
            <w:tcMar>
              <w:top w:w="0" w:type="dxa"/>
              <w:bottom w:w="0" w:type="dxa"/>
            </w:tcMar>
            <w:vAlign w:val="center"/>
          </w:tcPr>
          <w:p w:rsidR="001B4662" w:rsidRPr="00993138" w:rsidRDefault="001B4662" w:rsidP="00186172">
            <w:pPr>
              <w:pStyle w:val="AERtabletext"/>
            </w:pPr>
            <w:r w:rsidRPr="00993138">
              <w:t>revenue pricing principles</w:t>
            </w:r>
          </w:p>
        </w:tc>
      </w:tr>
      <w:tr w:rsidR="001B4662" w:rsidRPr="004D1E03" w:rsidTr="00186172">
        <w:tc>
          <w:tcPr>
            <w:tcW w:w="3127" w:type="dxa"/>
            <w:shd w:val="clear" w:color="auto" w:fill="auto"/>
            <w:noWrap/>
            <w:tcMar>
              <w:top w:w="0" w:type="dxa"/>
              <w:bottom w:w="0" w:type="dxa"/>
            </w:tcMar>
            <w:vAlign w:val="center"/>
          </w:tcPr>
          <w:p w:rsidR="001B4662" w:rsidRDefault="001B4662" w:rsidP="00186172">
            <w:pPr>
              <w:pStyle w:val="AERtabletext"/>
            </w:pPr>
            <w:r>
              <w:t>SEAGas</w:t>
            </w:r>
          </w:p>
        </w:tc>
        <w:tc>
          <w:tcPr>
            <w:tcW w:w="5148" w:type="dxa"/>
            <w:shd w:val="clear" w:color="auto" w:fill="auto"/>
            <w:noWrap/>
            <w:tcMar>
              <w:top w:w="0" w:type="dxa"/>
              <w:bottom w:w="0" w:type="dxa"/>
            </w:tcMar>
            <w:vAlign w:val="center"/>
          </w:tcPr>
          <w:p w:rsidR="001B4662" w:rsidRPr="004553EB" w:rsidRDefault="001B4662" w:rsidP="00186172">
            <w:pPr>
              <w:pStyle w:val="AERtabletext"/>
            </w:pPr>
            <w:r>
              <w:t>South East Australia Gas</w:t>
            </w:r>
          </w:p>
        </w:tc>
      </w:tr>
      <w:tr w:rsidR="001B4662" w:rsidRPr="004D1E03" w:rsidTr="00186172">
        <w:tc>
          <w:tcPr>
            <w:tcW w:w="3127" w:type="dxa"/>
            <w:shd w:val="clear" w:color="auto" w:fill="F8B47C"/>
            <w:noWrap/>
            <w:tcMar>
              <w:top w:w="0" w:type="dxa"/>
              <w:bottom w:w="0" w:type="dxa"/>
            </w:tcMar>
            <w:vAlign w:val="center"/>
          </w:tcPr>
          <w:p w:rsidR="001B4662" w:rsidRDefault="001B4662" w:rsidP="00186172">
            <w:pPr>
              <w:pStyle w:val="AERtabletext"/>
            </w:pPr>
            <w:r>
              <w:t>VTS</w:t>
            </w:r>
          </w:p>
        </w:tc>
        <w:tc>
          <w:tcPr>
            <w:tcW w:w="5148" w:type="dxa"/>
            <w:shd w:val="clear" w:color="auto" w:fill="F8B47C"/>
            <w:noWrap/>
            <w:tcMar>
              <w:top w:w="0" w:type="dxa"/>
              <w:bottom w:w="0" w:type="dxa"/>
            </w:tcMar>
            <w:vAlign w:val="center"/>
          </w:tcPr>
          <w:p w:rsidR="001B4662" w:rsidRPr="004553EB" w:rsidRDefault="001B4662" w:rsidP="00186172">
            <w:pPr>
              <w:pStyle w:val="AERtabletext"/>
            </w:pPr>
            <w:r>
              <w:t>Victorian transmission system</w:t>
            </w:r>
          </w:p>
        </w:tc>
      </w:tr>
      <w:tr w:rsidR="001B4662" w:rsidRPr="004D1E03" w:rsidTr="00186172">
        <w:tc>
          <w:tcPr>
            <w:tcW w:w="3127" w:type="dxa"/>
            <w:shd w:val="clear" w:color="auto" w:fill="auto"/>
            <w:noWrap/>
            <w:tcMar>
              <w:top w:w="0" w:type="dxa"/>
              <w:bottom w:w="0" w:type="dxa"/>
            </w:tcMar>
            <w:vAlign w:val="center"/>
          </w:tcPr>
          <w:p w:rsidR="001B4662" w:rsidRPr="00993138" w:rsidRDefault="001B4662" w:rsidP="00186172">
            <w:pPr>
              <w:pStyle w:val="AERtabletext"/>
            </w:pPr>
            <w:r w:rsidRPr="00993138">
              <w:t>WACC</w:t>
            </w:r>
          </w:p>
        </w:tc>
        <w:tc>
          <w:tcPr>
            <w:tcW w:w="5148" w:type="dxa"/>
            <w:shd w:val="clear" w:color="auto" w:fill="auto"/>
            <w:noWrap/>
            <w:tcMar>
              <w:top w:w="0" w:type="dxa"/>
              <w:bottom w:w="0" w:type="dxa"/>
            </w:tcMar>
            <w:vAlign w:val="center"/>
          </w:tcPr>
          <w:p w:rsidR="001B4662" w:rsidRPr="00993138" w:rsidRDefault="001B4662" w:rsidP="00186172">
            <w:pPr>
              <w:pStyle w:val="AERtabletext"/>
            </w:pPr>
            <w:r w:rsidRPr="00993138">
              <w:t>weighted average cost of capital</w:t>
            </w:r>
          </w:p>
        </w:tc>
      </w:tr>
      <w:tr w:rsidR="001B4662" w:rsidRPr="004D1E03" w:rsidTr="00186172">
        <w:tc>
          <w:tcPr>
            <w:tcW w:w="3127" w:type="dxa"/>
            <w:shd w:val="clear" w:color="auto" w:fill="F8B47C"/>
            <w:noWrap/>
            <w:tcMar>
              <w:top w:w="0" w:type="dxa"/>
              <w:bottom w:w="0" w:type="dxa"/>
            </w:tcMar>
            <w:vAlign w:val="center"/>
          </w:tcPr>
          <w:p w:rsidR="001B4662" w:rsidRPr="004553EB" w:rsidRDefault="001B4662" w:rsidP="00186172">
            <w:pPr>
              <w:pStyle w:val="AERtabletext"/>
            </w:pPr>
            <w:r>
              <w:t>WORM</w:t>
            </w:r>
          </w:p>
        </w:tc>
        <w:tc>
          <w:tcPr>
            <w:tcW w:w="5148" w:type="dxa"/>
            <w:shd w:val="clear" w:color="auto" w:fill="F8B47C"/>
            <w:noWrap/>
            <w:tcMar>
              <w:top w:w="0" w:type="dxa"/>
              <w:bottom w:w="0" w:type="dxa"/>
            </w:tcMar>
            <w:vAlign w:val="center"/>
          </w:tcPr>
          <w:p w:rsidR="001B4662" w:rsidRPr="004553EB" w:rsidRDefault="001B4662" w:rsidP="00186172">
            <w:pPr>
              <w:pStyle w:val="AERtabletext"/>
            </w:pPr>
            <w:r>
              <w:t>western outer ring main</w:t>
            </w:r>
          </w:p>
        </w:tc>
      </w:tr>
    </w:tbl>
    <w:p w:rsidR="001B4662" w:rsidRPr="00993138" w:rsidRDefault="001B4662" w:rsidP="001B4662">
      <w:pPr>
        <w:rPr>
          <w:lang w:eastAsia="en-US"/>
        </w:rPr>
      </w:pPr>
    </w:p>
    <w:p w:rsidR="001B4662" w:rsidRPr="00993138" w:rsidRDefault="001B4662" w:rsidP="001B4662"/>
    <w:p w:rsidR="00C44A1F" w:rsidRDefault="00C44A1F" w:rsidP="00600E6F">
      <w:pPr>
        <w:pStyle w:val="AERunnumberedheading"/>
      </w:pPr>
      <w:bookmarkStart w:id="3" w:name="_Toc334543747"/>
      <w:r>
        <w:lastRenderedPageBreak/>
        <w:t>Contents</w:t>
      </w:r>
      <w:bookmarkEnd w:id="3"/>
      <w:r w:rsidRPr="00F6235D">
        <w:t xml:space="preserve"> </w:t>
      </w:r>
    </w:p>
    <w:p w:rsidR="007C1F9F" w:rsidRDefault="00DE0D6A">
      <w:pPr>
        <w:pStyle w:val="TOC1"/>
        <w:rPr>
          <w:rFonts w:asciiTheme="minorHAnsi" w:eastAsiaTheme="minorEastAsia" w:hAnsiTheme="minorHAnsi" w:cstheme="minorBidi"/>
          <w:b w:val="0"/>
          <w:noProof/>
          <w:sz w:val="22"/>
          <w:szCs w:val="22"/>
          <w:lang w:eastAsia="en-AU"/>
        </w:rPr>
      </w:pPr>
      <w:r w:rsidRPr="00DE0D6A">
        <w:fldChar w:fldCharType="begin"/>
      </w:r>
      <w:r w:rsidR="00C44A1F">
        <w:instrText xml:space="preserve"> TOC \h \z \t "AER heading 1,1,AER heading 2,2,AER unnumbered heading,1" </w:instrText>
      </w:r>
      <w:r w:rsidRPr="00DE0D6A">
        <w:fldChar w:fldCharType="separate"/>
      </w:r>
      <w:hyperlink w:anchor="_Toc334543746" w:history="1">
        <w:r w:rsidR="007C1F9F" w:rsidRPr="00A47E3B">
          <w:rPr>
            <w:rStyle w:val="Hyperlink"/>
            <w:noProof/>
          </w:rPr>
          <w:t>Shortened forms</w:t>
        </w:r>
        <w:r w:rsidR="007C1F9F">
          <w:rPr>
            <w:noProof/>
            <w:webHidden/>
          </w:rPr>
          <w:tab/>
        </w:r>
        <w:r>
          <w:rPr>
            <w:noProof/>
            <w:webHidden/>
          </w:rPr>
          <w:fldChar w:fldCharType="begin"/>
        </w:r>
        <w:r w:rsidR="007C1F9F">
          <w:rPr>
            <w:noProof/>
            <w:webHidden/>
          </w:rPr>
          <w:instrText xml:space="preserve"> PAGEREF _Toc334543746 \h </w:instrText>
        </w:r>
        <w:r>
          <w:rPr>
            <w:noProof/>
            <w:webHidden/>
          </w:rPr>
        </w:r>
        <w:r>
          <w:rPr>
            <w:noProof/>
            <w:webHidden/>
          </w:rPr>
          <w:fldChar w:fldCharType="separate"/>
        </w:r>
        <w:r w:rsidR="00AB287B">
          <w:rPr>
            <w:noProof/>
            <w:webHidden/>
          </w:rPr>
          <w:t>i</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47" w:history="1">
        <w:r w:rsidR="007C1F9F" w:rsidRPr="00A47E3B">
          <w:rPr>
            <w:rStyle w:val="Hyperlink"/>
            <w:noProof/>
          </w:rPr>
          <w:t>Contents</w:t>
        </w:r>
        <w:r w:rsidR="007C1F9F">
          <w:rPr>
            <w:noProof/>
            <w:webHidden/>
          </w:rPr>
          <w:tab/>
        </w:r>
        <w:r>
          <w:rPr>
            <w:noProof/>
            <w:webHidden/>
          </w:rPr>
          <w:fldChar w:fldCharType="begin"/>
        </w:r>
        <w:r w:rsidR="007C1F9F">
          <w:rPr>
            <w:noProof/>
            <w:webHidden/>
          </w:rPr>
          <w:instrText xml:space="preserve"> PAGEREF _Toc334543747 \h </w:instrText>
        </w:r>
        <w:r>
          <w:rPr>
            <w:noProof/>
            <w:webHidden/>
          </w:rPr>
        </w:r>
        <w:r>
          <w:rPr>
            <w:noProof/>
            <w:webHidden/>
          </w:rPr>
          <w:fldChar w:fldCharType="separate"/>
        </w:r>
        <w:r w:rsidR="00AB287B">
          <w:rPr>
            <w:noProof/>
            <w:webHidden/>
          </w:rPr>
          <w:t>iii</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48" w:history="1">
        <w:r w:rsidR="007C1F9F" w:rsidRPr="00A47E3B">
          <w:rPr>
            <w:rStyle w:val="Hyperlink"/>
            <w:noProof/>
          </w:rPr>
          <w:t>1</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Pipeline Services</w:t>
        </w:r>
        <w:r w:rsidR="007C1F9F">
          <w:rPr>
            <w:noProof/>
            <w:webHidden/>
          </w:rPr>
          <w:tab/>
        </w:r>
        <w:r>
          <w:rPr>
            <w:noProof/>
            <w:webHidden/>
          </w:rPr>
          <w:fldChar w:fldCharType="begin"/>
        </w:r>
        <w:r w:rsidR="007C1F9F">
          <w:rPr>
            <w:noProof/>
            <w:webHidden/>
          </w:rPr>
          <w:instrText xml:space="preserve"> PAGEREF _Toc334543748 \h </w:instrText>
        </w:r>
        <w:r>
          <w:rPr>
            <w:noProof/>
            <w:webHidden/>
          </w:rPr>
        </w:r>
        <w:r>
          <w:rPr>
            <w:noProof/>
            <w:webHidden/>
          </w:rPr>
          <w:fldChar w:fldCharType="separate"/>
        </w:r>
        <w:r w:rsidR="00AB287B">
          <w:rPr>
            <w:noProof/>
            <w:webHidden/>
          </w:rPr>
          <w:t>2</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54" w:history="1">
        <w:r w:rsidR="007C1F9F" w:rsidRPr="00A47E3B">
          <w:rPr>
            <w:rStyle w:val="Hyperlink"/>
            <w:noProof/>
          </w:rPr>
          <w:t>2</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Capital base</w:t>
        </w:r>
        <w:r w:rsidR="007C1F9F">
          <w:rPr>
            <w:noProof/>
            <w:webHidden/>
          </w:rPr>
          <w:tab/>
        </w:r>
        <w:r>
          <w:rPr>
            <w:noProof/>
            <w:webHidden/>
          </w:rPr>
          <w:fldChar w:fldCharType="begin"/>
        </w:r>
        <w:r w:rsidR="007C1F9F">
          <w:rPr>
            <w:noProof/>
            <w:webHidden/>
          </w:rPr>
          <w:instrText xml:space="preserve"> PAGEREF _Toc334543754 \h </w:instrText>
        </w:r>
        <w:r>
          <w:rPr>
            <w:noProof/>
            <w:webHidden/>
          </w:rPr>
        </w:r>
        <w:r>
          <w:rPr>
            <w:noProof/>
            <w:webHidden/>
          </w:rPr>
          <w:fldChar w:fldCharType="separate"/>
        </w:r>
        <w:r w:rsidR="00AB287B">
          <w:rPr>
            <w:noProof/>
            <w:webHidden/>
          </w:rPr>
          <w:t>11</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60" w:history="1">
        <w:r w:rsidR="007C1F9F" w:rsidRPr="00A47E3B">
          <w:rPr>
            <w:rStyle w:val="Hyperlink"/>
            <w:noProof/>
          </w:rPr>
          <w:t>3</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Capital expenditure</w:t>
        </w:r>
        <w:r w:rsidR="007C1F9F">
          <w:rPr>
            <w:noProof/>
            <w:webHidden/>
          </w:rPr>
          <w:tab/>
        </w:r>
        <w:r>
          <w:rPr>
            <w:noProof/>
            <w:webHidden/>
          </w:rPr>
          <w:fldChar w:fldCharType="begin"/>
        </w:r>
        <w:r w:rsidR="007C1F9F">
          <w:rPr>
            <w:noProof/>
            <w:webHidden/>
          </w:rPr>
          <w:instrText xml:space="preserve"> PAGEREF _Toc334543760 \h </w:instrText>
        </w:r>
        <w:r>
          <w:rPr>
            <w:noProof/>
            <w:webHidden/>
          </w:rPr>
        </w:r>
        <w:r>
          <w:rPr>
            <w:noProof/>
            <w:webHidden/>
          </w:rPr>
          <w:fldChar w:fldCharType="separate"/>
        </w:r>
        <w:r w:rsidR="00AB287B">
          <w:rPr>
            <w:noProof/>
            <w:webHidden/>
          </w:rPr>
          <w:t>24</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66" w:history="1">
        <w:r w:rsidR="007C1F9F" w:rsidRPr="00A47E3B">
          <w:rPr>
            <w:rStyle w:val="Hyperlink"/>
            <w:noProof/>
          </w:rPr>
          <w:t>4</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Rate of return</w:t>
        </w:r>
        <w:r w:rsidR="007C1F9F">
          <w:rPr>
            <w:noProof/>
            <w:webHidden/>
          </w:rPr>
          <w:tab/>
        </w:r>
        <w:r>
          <w:rPr>
            <w:noProof/>
            <w:webHidden/>
          </w:rPr>
          <w:fldChar w:fldCharType="begin"/>
        </w:r>
        <w:r w:rsidR="007C1F9F">
          <w:rPr>
            <w:noProof/>
            <w:webHidden/>
          </w:rPr>
          <w:instrText xml:space="preserve"> PAGEREF _Toc334543766 \h </w:instrText>
        </w:r>
        <w:r>
          <w:rPr>
            <w:noProof/>
            <w:webHidden/>
          </w:rPr>
        </w:r>
        <w:r>
          <w:rPr>
            <w:noProof/>
            <w:webHidden/>
          </w:rPr>
          <w:fldChar w:fldCharType="separate"/>
        </w:r>
        <w:r w:rsidR="00AB287B">
          <w:rPr>
            <w:noProof/>
            <w:webHidden/>
          </w:rPr>
          <w:t>63</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71" w:history="1">
        <w:r w:rsidR="007C1F9F" w:rsidRPr="00A47E3B">
          <w:rPr>
            <w:rStyle w:val="Hyperlink"/>
            <w:noProof/>
          </w:rPr>
          <w:t>5</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Depreciation</w:t>
        </w:r>
        <w:r w:rsidR="007C1F9F">
          <w:rPr>
            <w:noProof/>
            <w:webHidden/>
          </w:rPr>
          <w:tab/>
        </w:r>
        <w:r>
          <w:rPr>
            <w:noProof/>
            <w:webHidden/>
          </w:rPr>
          <w:fldChar w:fldCharType="begin"/>
        </w:r>
        <w:r w:rsidR="007C1F9F">
          <w:rPr>
            <w:noProof/>
            <w:webHidden/>
          </w:rPr>
          <w:instrText xml:space="preserve"> PAGEREF _Toc334543771 \h </w:instrText>
        </w:r>
        <w:r>
          <w:rPr>
            <w:noProof/>
            <w:webHidden/>
          </w:rPr>
        </w:r>
        <w:r>
          <w:rPr>
            <w:noProof/>
            <w:webHidden/>
          </w:rPr>
          <w:fldChar w:fldCharType="separate"/>
        </w:r>
        <w:r w:rsidR="00AB287B">
          <w:rPr>
            <w:noProof/>
            <w:webHidden/>
          </w:rPr>
          <w:t>109</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77" w:history="1">
        <w:r w:rsidR="007C1F9F" w:rsidRPr="00A47E3B">
          <w:rPr>
            <w:rStyle w:val="Hyperlink"/>
            <w:noProof/>
          </w:rPr>
          <w:t>6</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Operating expenditure</w:t>
        </w:r>
        <w:r w:rsidR="007C1F9F">
          <w:rPr>
            <w:noProof/>
            <w:webHidden/>
          </w:rPr>
          <w:tab/>
        </w:r>
        <w:r>
          <w:rPr>
            <w:noProof/>
            <w:webHidden/>
          </w:rPr>
          <w:fldChar w:fldCharType="begin"/>
        </w:r>
        <w:r w:rsidR="007C1F9F">
          <w:rPr>
            <w:noProof/>
            <w:webHidden/>
          </w:rPr>
          <w:instrText xml:space="preserve"> PAGEREF _Toc334543777 \h </w:instrText>
        </w:r>
        <w:r>
          <w:rPr>
            <w:noProof/>
            <w:webHidden/>
          </w:rPr>
        </w:r>
        <w:r>
          <w:rPr>
            <w:noProof/>
            <w:webHidden/>
          </w:rPr>
          <w:fldChar w:fldCharType="separate"/>
        </w:r>
        <w:r w:rsidR="00AB287B">
          <w:rPr>
            <w:noProof/>
            <w:webHidden/>
          </w:rPr>
          <w:t>121</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84" w:history="1">
        <w:r w:rsidR="007C1F9F" w:rsidRPr="00A47E3B">
          <w:rPr>
            <w:rStyle w:val="Hyperlink"/>
            <w:noProof/>
          </w:rPr>
          <w:t>7</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Incentive mechanisms</w:t>
        </w:r>
        <w:r w:rsidR="007C1F9F">
          <w:rPr>
            <w:noProof/>
            <w:webHidden/>
          </w:rPr>
          <w:tab/>
        </w:r>
        <w:r>
          <w:rPr>
            <w:noProof/>
            <w:webHidden/>
          </w:rPr>
          <w:fldChar w:fldCharType="begin"/>
        </w:r>
        <w:r w:rsidR="007C1F9F">
          <w:rPr>
            <w:noProof/>
            <w:webHidden/>
          </w:rPr>
          <w:instrText xml:space="preserve"> PAGEREF _Toc334543784 \h </w:instrText>
        </w:r>
        <w:r>
          <w:rPr>
            <w:noProof/>
            <w:webHidden/>
          </w:rPr>
        </w:r>
        <w:r>
          <w:rPr>
            <w:noProof/>
            <w:webHidden/>
          </w:rPr>
          <w:fldChar w:fldCharType="separate"/>
        </w:r>
        <w:r w:rsidR="00AB287B">
          <w:rPr>
            <w:noProof/>
            <w:webHidden/>
          </w:rPr>
          <w:t>148</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90" w:history="1">
        <w:r w:rsidR="007C1F9F" w:rsidRPr="00A47E3B">
          <w:rPr>
            <w:rStyle w:val="Hyperlink"/>
            <w:noProof/>
          </w:rPr>
          <w:t>8</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Corporate income tax</w:t>
        </w:r>
        <w:r w:rsidR="007C1F9F">
          <w:rPr>
            <w:noProof/>
            <w:webHidden/>
          </w:rPr>
          <w:tab/>
        </w:r>
        <w:r>
          <w:rPr>
            <w:noProof/>
            <w:webHidden/>
          </w:rPr>
          <w:fldChar w:fldCharType="begin"/>
        </w:r>
        <w:r w:rsidR="007C1F9F">
          <w:rPr>
            <w:noProof/>
            <w:webHidden/>
          </w:rPr>
          <w:instrText xml:space="preserve"> PAGEREF _Toc334543790 \h </w:instrText>
        </w:r>
        <w:r>
          <w:rPr>
            <w:noProof/>
            <w:webHidden/>
          </w:rPr>
        </w:r>
        <w:r>
          <w:rPr>
            <w:noProof/>
            <w:webHidden/>
          </w:rPr>
          <w:fldChar w:fldCharType="separate"/>
        </w:r>
        <w:r w:rsidR="00AB287B">
          <w:rPr>
            <w:noProof/>
            <w:webHidden/>
          </w:rPr>
          <w:t>157</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796" w:history="1">
        <w:r w:rsidR="007C1F9F" w:rsidRPr="00A47E3B">
          <w:rPr>
            <w:rStyle w:val="Hyperlink"/>
            <w:noProof/>
          </w:rPr>
          <w:t>9</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Capacity utilisation forecasts</w:t>
        </w:r>
        <w:r w:rsidR="007C1F9F">
          <w:rPr>
            <w:noProof/>
            <w:webHidden/>
          </w:rPr>
          <w:tab/>
        </w:r>
        <w:r>
          <w:rPr>
            <w:noProof/>
            <w:webHidden/>
          </w:rPr>
          <w:fldChar w:fldCharType="begin"/>
        </w:r>
        <w:r w:rsidR="007C1F9F">
          <w:rPr>
            <w:noProof/>
            <w:webHidden/>
          </w:rPr>
          <w:instrText xml:space="preserve"> PAGEREF _Toc334543796 \h </w:instrText>
        </w:r>
        <w:r>
          <w:rPr>
            <w:noProof/>
            <w:webHidden/>
          </w:rPr>
        </w:r>
        <w:r>
          <w:rPr>
            <w:noProof/>
            <w:webHidden/>
          </w:rPr>
          <w:fldChar w:fldCharType="separate"/>
        </w:r>
        <w:r w:rsidR="00AB287B">
          <w:rPr>
            <w:noProof/>
            <w:webHidden/>
          </w:rPr>
          <w:t>163</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802" w:history="1">
        <w:r w:rsidR="007C1F9F" w:rsidRPr="00A47E3B">
          <w:rPr>
            <w:rStyle w:val="Hyperlink"/>
            <w:noProof/>
          </w:rPr>
          <w:t>10</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Tariff setting</w:t>
        </w:r>
        <w:r w:rsidR="007C1F9F">
          <w:rPr>
            <w:noProof/>
            <w:webHidden/>
          </w:rPr>
          <w:tab/>
        </w:r>
        <w:r>
          <w:rPr>
            <w:noProof/>
            <w:webHidden/>
          </w:rPr>
          <w:fldChar w:fldCharType="begin"/>
        </w:r>
        <w:r w:rsidR="007C1F9F">
          <w:rPr>
            <w:noProof/>
            <w:webHidden/>
          </w:rPr>
          <w:instrText xml:space="preserve"> PAGEREF _Toc334543802 \h </w:instrText>
        </w:r>
        <w:r>
          <w:rPr>
            <w:noProof/>
            <w:webHidden/>
          </w:rPr>
        </w:r>
        <w:r>
          <w:rPr>
            <w:noProof/>
            <w:webHidden/>
          </w:rPr>
          <w:fldChar w:fldCharType="separate"/>
        </w:r>
        <w:r w:rsidR="00AB287B">
          <w:rPr>
            <w:noProof/>
            <w:webHidden/>
          </w:rPr>
          <w:t>178</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808" w:history="1">
        <w:r w:rsidR="007C1F9F" w:rsidRPr="00A47E3B">
          <w:rPr>
            <w:rStyle w:val="Hyperlink"/>
            <w:noProof/>
          </w:rPr>
          <w:t>11</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Tariff variation mechanism</w:t>
        </w:r>
        <w:r w:rsidR="007C1F9F">
          <w:rPr>
            <w:noProof/>
            <w:webHidden/>
          </w:rPr>
          <w:tab/>
        </w:r>
        <w:r>
          <w:rPr>
            <w:noProof/>
            <w:webHidden/>
          </w:rPr>
          <w:fldChar w:fldCharType="begin"/>
        </w:r>
        <w:r w:rsidR="007C1F9F">
          <w:rPr>
            <w:noProof/>
            <w:webHidden/>
          </w:rPr>
          <w:instrText xml:space="preserve"> PAGEREF _Toc334543808 \h </w:instrText>
        </w:r>
        <w:r>
          <w:rPr>
            <w:noProof/>
            <w:webHidden/>
          </w:rPr>
        </w:r>
        <w:r>
          <w:rPr>
            <w:noProof/>
            <w:webHidden/>
          </w:rPr>
          <w:fldChar w:fldCharType="separate"/>
        </w:r>
        <w:r w:rsidR="00AB287B">
          <w:rPr>
            <w:noProof/>
            <w:webHidden/>
          </w:rPr>
          <w:t>201</w:t>
        </w:r>
        <w:r>
          <w:rPr>
            <w:noProof/>
            <w:webHidden/>
          </w:rPr>
          <w:fldChar w:fldCharType="end"/>
        </w:r>
      </w:hyperlink>
    </w:p>
    <w:p w:rsidR="007C1F9F" w:rsidRDefault="00DE0D6A">
      <w:pPr>
        <w:pStyle w:val="TOC1"/>
        <w:rPr>
          <w:rFonts w:asciiTheme="minorHAnsi" w:eastAsiaTheme="minorEastAsia" w:hAnsiTheme="minorHAnsi" w:cstheme="minorBidi"/>
          <w:b w:val="0"/>
          <w:noProof/>
          <w:sz w:val="22"/>
          <w:szCs w:val="22"/>
          <w:lang w:eastAsia="en-AU"/>
        </w:rPr>
      </w:pPr>
      <w:hyperlink w:anchor="_Toc334543814" w:history="1">
        <w:r w:rsidR="007C1F9F" w:rsidRPr="00A47E3B">
          <w:rPr>
            <w:rStyle w:val="Hyperlink"/>
            <w:noProof/>
          </w:rPr>
          <w:t>12</w:t>
        </w:r>
        <w:r w:rsidR="007C1F9F">
          <w:rPr>
            <w:rFonts w:asciiTheme="minorHAnsi" w:eastAsiaTheme="minorEastAsia" w:hAnsiTheme="minorHAnsi" w:cstheme="minorBidi"/>
            <w:b w:val="0"/>
            <w:noProof/>
            <w:sz w:val="22"/>
            <w:szCs w:val="22"/>
            <w:lang w:eastAsia="en-AU"/>
          </w:rPr>
          <w:tab/>
        </w:r>
        <w:r w:rsidR="007C1F9F" w:rsidRPr="00A47E3B">
          <w:rPr>
            <w:rStyle w:val="Hyperlink"/>
            <w:noProof/>
          </w:rPr>
          <w:t>Non-tariff components</w:t>
        </w:r>
        <w:r w:rsidR="007C1F9F">
          <w:rPr>
            <w:noProof/>
            <w:webHidden/>
          </w:rPr>
          <w:tab/>
        </w:r>
        <w:r>
          <w:rPr>
            <w:noProof/>
            <w:webHidden/>
          </w:rPr>
          <w:fldChar w:fldCharType="begin"/>
        </w:r>
        <w:r w:rsidR="007C1F9F">
          <w:rPr>
            <w:noProof/>
            <w:webHidden/>
          </w:rPr>
          <w:instrText xml:space="preserve"> PAGEREF _Toc334543814 \h </w:instrText>
        </w:r>
        <w:r>
          <w:rPr>
            <w:noProof/>
            <w:webHidden/>
          </w:rPr>
        </w:r>
        <w:r>
          <w:rPr>
            <w:noProof/>
            <w:webHidden/>
          </w:rPr>
          <w:fldChar w:fldCharType="separate"/>
        </w:r>
        <w:r w:rsidR="00AB287B">
          <w:rPr>
            <w:noProof/>
            <w:webHidden/>
          </w:rPr>
          <w:t>224</w:t>
        </w:r>
        <w:r>
          <w:rPr>
            <w:noProof/>
            <w:webHidden/>
          </w:rPr>
          <w:fldChar w:fldCharType="end"/>
        </w:r>
      </w:hyperlink>
    </w:p>
    <w:p w:rsidR="00C44A1F" w:rsidRDefault="00DE0D6A" w:rsidP="00C44A1F">
      <w:pPr>
        <w:sectPr w:rsidR="00C44A1F" w:rsidSect="00C44A1F">
          <w:headerReference w:type="even" r:id="rId14"/>
          <w:headerReference w:type="default" r:id="rId15"/>
          <w:footerReference w:type="even" r:id="rId16"/>
          <w:footerReference w:type="default" r:id="rId17"/>
          <w:headerReference w:type="first" r:id="rId18"/>
          <w:pgSz w:w="11906" w:h="16838" w:code="9"/>
          <w:pgMar w:top="1440" w:right="1440" w:bottom="1440" w:left="1440" w:header="709" w:footer="709" w:gutter="0"/>
          <w:pgNumType w:fmt="lowerRoman" w:start="1"/>
          <w:cols w:space="708"/>
          <w:docGrid w:linePitch="360"/>
        </w:sectPr>
      </w:pPr>
      <w:r>
        <w:fldChar w:fldCharType="end"/>
      </w:r>
    </w:p>
    <w:p w:rsidR="00C44A1F" w:rsidRPr="00C44A1F" w:rsidRDefault="00C44A1F" w:rsidP="00C44A1F">
      <w:pPr>
        <w:pStyle w:val="AERbodytext"/>
        <w:rPr>
          <w:lang w:eastAsia="en-AU"/>
        </w:rPr>
      </w:pPr>
    </w:p>
    <w:p w:rsidR="00C44A1F" w:rsidRDefault="00C44A1F" w:rsidP="00600E6F">
      <w:pPr>
        <w:pStyle w:val="AERheading1"/>
        <w:sectPr w:rsidR="00C44A1F" w:rsidSect="00C44A1F">
          <w:footerReference w:type="default" r:id="rId19"/>
          <w:type w:val="continuous"/>
          <w:pgSz w:w="11906" w:h="16838" w:code="9"/>
          <w:pgMar w:top="1440" w:right="1440" w:bottom="1440" w:left="1440" w:header="709" w:footer="709" w:gutter="0"/>
          <w:pgNumType w:start="1"/>
          <w:cols w:space="708"/>
          <w:docGrid w:linePitch="360"/>
        </w:sectPr>
      </w:pPr>
    </w:p>
    <w:p w:rsidR="007C1F9F" w:rsidRDefault="007C1F9F" w:rsidP="007C1F9F">
      <w:pPr>
        <w:pStyle w:val="AERheading1"/>
        <w:numPr>
          <w:ilvl w:val="0"/>
          <w:numId w:val="7"/>
        </w:numPr>
        <w:tabs>
          <w:tab w:val="clear" w:pos="-357"/>
          <w:tab w:val="left" w:pos="0"/>
        </w:tabs>
        <w:ind w:left="-354" w:hanging="360"/>
      </w:pPr>
      <w:bookmarkStart w:id="4" w:name="_Toc334543748"/>
      <w:bookmarkEnd w:id="0"/>
      <w:r>
        <w:lastRenderedPageBreak/>
        <w:t>Pipeline Services</w:t>
      </w:r>
      <w:bookmarkEnd w:id="4"/>
    </w:p>
    <w:p w:rsidR="007C1F9F" w:rsidRPr="00D66225" w:rsidRDefault="007C1F9F" w:rsidP="007C1F9F">
      <w:pPr>
        <w:pStyle w:val="AERbodytext"/>
        <w:rPr>
          <w:rFonts w:eastAsia="Calibri"/>
        </w:rPr>
      </w:pPr>
      <w:r w:rsidRPr="00D66225">
        <w:rPr>
          <w:rFonts w:eastAsia="Calibri"/>
        </w:rPr>
        <w:t xml:space="preserve">This attachment considers APA GasNet's proposed pipeline services to be provided by its Victorian gas transmission network, including the tariffed transmission service and authorised maximum daily quantity credit certificates (AMDQ CC). </w:t>
      </w:r>
    </w:p>
    <w:p w:rsidR="007C1F9F" w:rsidRPr="00D66225" w:rsidRDefault="007C1F9F" w:rsidP="007C1F9F">
      <w:pPr>
        <w:pStyle w:val="AERbodytext"/>
        <w:rPr>
          <w:rFonts w:eastAsia="Calibri"/>
        </w:rPr>
      </w:pPr>
      <w:r w:rsidRPr="00D66225">
        <w:rPr>
          <w:rFonts w:eastAsia="Calibri"/>
        </w:rPr>
        <w:t>The NGR includes a number of requirements with respect to identifying the pipeline which the access arrangement relates to</w:t>
      </w:r>
      <w:r w:rsidRPr="00D66225">
        <w:rPr>
          <w:rStyle w:val="FootnoteReference"/>
          <w:rFonts w:eastAsia="Calibri"/>
        </w:rPr>
        <w:footnoteReference w:id="1"/>
      </w:r>
      <w:r w:rsidRPr="00D66225">
        <w:rPr>
          <w:rFonts w:eastAsia="Calibri"/>
        </w:rPr>
        <w:t xml:space="preserve"> and the services which APA GasNet proposes to offer to provide by means of that pipeline.</w:t>
      </w:r>
      <w:r w:rsidRPr="00D66225">
        <w:rPr>
          <w:rStyle w:val="FootnoteReference"/>
          <w:rFonts w:eastAsia="Calibri"/>
        </w:rPr>
        <w:footnoteReference w:id="2"/>
      </w:r>
    </w:p>
    <w:p w:rsidR="007C1F9F" w:rsidRPr="005D518A" w:rsidRDefault="007C1F9F" w:rsidP="007C1F9F">
      <w:pPr>
        <w:pStyle w:val="AERbodytext"/>
      </w:pPr>
      <w:r>
        <w:t>AMDQ CC</w:t>
      </w:r>
      <w:r w:rsidRPr="005D518A">
        <w:t xml:space="preserve"> provide preferential rights to users who purchase these certificates for specified amounts of pipeline capacity when the transmission system becomes constrained. The holders of AMDQ CC receive:</w:t>
      </w:r>
    </w:p>
    <w:p w:rsidR="007C1F9F" w:rsidRDefault="007C1F9F" w:rsidP="007C1F9F">
      <w:pPr>
        <w:pStyle w:val="AERbulletlistfirststyle"/>
      </w:pPr>
      <w:r>
        <w:t>priority in terms of avoiding curtailment in the event of load shedding on the VTS</w:t>
      </w:r>
    </w:p>
    <w:p w:rsidR="007C1F9F" w:rsidRDefault="007C1F9F" w:rsidP="007C1F9F">
      <w:pPr>
        <w:pStyle w:val="AERbulletlistfirststyle"/>
      </w:pPr>
      <w:r>
        <w:t xml:space="preserve">congestion payment benefits in the event of congestion on the VTS </w:t>
      </w:r>
    </w:p>
    <w:p w:rsidR="007C1F9F" w:rsidRDefault="007C1F9F" w:rsidP="007C1F9F">
      <w:pPr>
        <w:pStyle w:val="AERbulletlistfirststyle"/>
      </w:pPr>
      <w:r>
        <w:t>priority in the event of a tied injection and withdrawal bid in the Victoria Declared Wholesale Gas Market.</w:t>
      </w:r>
    </w:p>
    <w:p w:rsidR="007C1F9F" w:rsidRPr="005D518A" w:rsidRDefault="007C1F9F" w:rsidP="007C1F9F">
      <w:pPr>
        <w:pStyle w:val="AERbodytext"/>
      </w:pPr>
      <w:r w:rsidRPr="005D518A">
        <w:t>AMDQ CC are specific to a certain injection point and are sold to users by APA GasNet through a tender process. Under this process, users can buy a fixed term certificate related to a particular injection zone which can then be assigned to a specific demand site or the reference hub. AMDQ CC are trad</w:t>
      </w:r>
      <w:r>
        <w:t>e</w:t>
      </w:r>
      <w:r w:rsidRPr="005D518A">
        <w:t>able between participants.</w:t>
      </w:r>
    </w:p>
    <w:p w:rsidR="007C1F9F" w:rsidRPr="00D66225" w:rsidRDefault="007C1F9F" w:rsidP="007C1F9F">
      <w:pPr>
        <w:pStyle w:val="AERbodytext"/>
        <w:rPr>
          <w:rFonts w:eastAsia="Calibri"/>
        </w:rPr>
      </w:pPr>
      <w:r w:rsidRPr="005D518A">
        <w:t xml:space="preserve">In the 2008–12 access arrangement period </w:t>
      </w:r>
      <w:r>
        <w:t>t</w:t>
      </w:r>
      <w:r w:rsidRPr="005D518A">
        <w:t xml:space="preserve">he holder of the </w:t>
      </w:r>
      <w:r>
        <w:t>AMDQ CC was</w:t>
      </w:r>
      <w:r w:rsidRPr="005D518A">
        <w:t xml:space="preserve"> charged at the contracted price of the AMDQ CC for the contracted volume even if their actual gas flow is less than the contracted volume. Any gas volume exceeding the contracted AMDQ CC amount </w:t>
      </w:r>
      <w:r>
        <w:t>was</w:t>
      </w:r>
      <w:r w:rsidRPr="005D518A">
        <w:t xml:space="preserve"> charged at the reference tariff price. </w:t>
      </w:r>
      <w:r>
        <w:t>The revenue from AMDQ CC is not regulated in the 2008–12</w:t>
      </w:r>
      <w:r w:rsidRPr="005D518A">
        <w:t xml:space="preserve"> </w:t>
      </w:r>
      <w:r>
        <w:t>access arrangement period.</w:t>
      </w:r>
    </w:p>
    <w:p w:rsidR="007C1F9F" w:rsidRPr="00D66225" w:rsidRDefault="007C1F9F" w:rsidP="007C1F9F">
      <w:pPr>
        <w:pStyle w:val="AERheading2"/>
        <w:numPr>
          <w:ilvl w:val="1"/>
          <w:numId w:val="7"/>
        </w:numPr>
        <w:tabs>
          <w:tab w:val="clear" w:pos="4317"/>
          <w:tab w:val="num" w:pos="0"/>
        </w:tabs>
        <w:ind w:left="0" w:hanging="720"/>
        <w:rPr>
          <w:rFonts w:eastAsia="Calibri"/>
        </w:rPr>
      </w:pPr>
      <w:bookmarkStart w:id="5" w:name="_Toc334543749"/>
      <w:r w:rsidRPr="00D66225">
        <w:rPr>
          <w:rFonts w:eastAsia="Calibri"/>
        </w:rPr>
        <w:t>AER's draft decision</w:t>
      </w:r>
      <w:bookmarkEnd w:id="5"/>
    </w:p>
    <w:p w:rsidR="007C1F9F" w:rsidRPr="00CC2D3B" w:rsidRDefault="007C1F9F" w:rsidP="007C1F9F">
      <w:pPr>
        <w:pStyle w:val="AERbodytext"/>
      </w:pPr>
      <w:r w:rsidRPr="00CC2D3B">
        <w:t xml:space="preserve">The AER requires APA GasNet to amend section 2 </w:t>
      </w:r>
      <w:r>
        <w:t xml:space="preserve">and Schedule B </w:t>
      </w:r>
      <w:r w:rsidRPr="00CC2D3B">
        <w:t>of the proposed ac</w:t>
      </w:r>
      <w:r>
        <w:t>cess arrangement to reflect the classification of</w:t>
      </w:r>
      <w:r w:rsidRPr="00CC2D3B">
        <w:t xml:space="preserve"> AMDQ CC as a pipeline service. </w:t>
      </w:r>
      <w:r>
        <w:t xml:space="preserve">The AER also requires amendments to the </w:t>
      </w:r>
      <w:r w:rsidRPr="00CC2D3B">
        <w:t xml:space="preserve">reference tariff and tariff variation mechanism sections of the proposed access arrangement. In particular, the </w:t>
      </w:r>
      <w:r>
        <w:t>amendment will</w:t>
      </w:r>
      <w:r w:rsidRPr="00CC2D3B">
        <w:t xml:space="preserve"> require APA GasNet to </w:t>
      </w:r>
      <w:r>
        <w:t>discontinue</w:t>
      </w:r>
      <w:r w:rsidRPr="00CC2D3B">
        <w:t xml:space="preserve"> the voluntary rebate of </w:t>
      </w:r>
      <w:r>
        <w:t xml:space="preserve">the </w:t>
      </w:r>
      <w:r w:rsidRPr="00CC2D3B">
        <w:t xml:space="preserve">volume effect from AMDQ CC revenue by </w:t>
      </w:r>
      <w:r>
        <w:t>reporting</w:t>
      </w:r>
      <w:r w:rsidRPr="00CC2D3B">
        <w:t xml:space="preserve"> c</w:t>
      </w:r>
      <w:r>
        <w:t xml:space="preserve">ontracted AMDQ CC volumes under the </w:t>
      </w:r>
      <w:r w:rsidRPr="00CC2D3B">
        <w:t xml:space="preserve">reference </w:t>
      </w:r>
      <w:r>
        <w:t>haulage services using the same regulated assets</w:t>
      </w:r>
      <w:r w:rsidRPr="00CC2D3B">
        <w:t>. The detailed discussions of these ame</w:t>
      </w:r>
      <w:r>
        <w:t>ndments are set out in attachment 10 - tariff setting</w:t>
      </w:r>
      <w:r w:rsidRPr="00CC2D3B">
        <w:t xml:space="preserve"> </w:t>
      </w:r>
      <w:r>
        <w:t>and attachment 11</w:t>
      </w:r>
      <w:r w:rsidRPr="00CC2D3B">
        <w:t xml:space="preserve"> </w:t>
      </w:r>
      <w:r>
        <w:t xml:space="preserve">- tariff variation mechanism </w:t>
      </w:r>
      <w:r w:rsidRPr="00CC2D3B">
        <w:t xml:space="preserve">of this draft decision. </w:t>
      </w:r>
    </w:p>
    <w:p w:rsidR="007C1F9F" w:rsidRPr="00D66225" w:rsidRDefault="007C1F9F" w:rsidP="007C1F9F">
      <w:pPr>
        <w:pStyle w:val="AERbodytext"/>
        <w:rPr>
          <w:rFonts w:eastAsia="Calibri"/>
        </w:rPr>
      </w:pPr>
      <w:r>
        <w:t xml:space="preserve">As noted in section </w:t>
      </w:r>
      <w:fldSimple w:instr=" REF _Ref332958017 \r \h  \* MERGEFORMAT ">
        <w:r>
          <w:t>1.3</w:t>
        </w:r>
      </w:fldSimple>
      <w:r>
        <w:t xml:space="preserve"> below, t</w:t>
      </w:r>
      <w:r w:rsidRPr="00C47968">
        <w:t xml:space="preserve">he AEMC's final decision </w:t>
      </w:r>
      <w:r>
        <w:t>on the definition of reference and rebateable services is</w:t>
      </w:r>
      <w:r w:rsidRPr="00C47968">
        <w:t xml:space="preserve"> relevant to the regulation of AMDQ CC. </w:t>
      </w:r>
      <w:r>
        <w:t>The AEMC's final decision</w:t>
      </w:r>
      <w:r w:rsidRPr="00C47968">
        <w:t xml:space="preserve"> will </w:t>
      </w:r>
      <w:r w:rsidRPr="00C47968">
        <w:lastRenderedPageBreak/>
        <w:t xml:space="preserve">be </w:t>
      </w:r>
      <w:r>
        <w:t>applied</w:t>
      </w:r>
      <w:r w:rsidRPr="00C47968">
        <w:t xml:space="preserve"> by the AER </w:t>
      </w:r>
      <w:r>
        <w:t xml:space="preserve">in its final decision. </w:t>
      </w:r>
      <w:r w:rsidRPr="00C47968">
        <w:t xml:space="preserve">APA GasNet should address the </w:t>
      </w:r>
      <w:r>
        <w:t xml:space="preserve">AEMC's </w:t>
      </w:r>
      <w:r w:rsidRPr="00C47968">
        <w:t xml:space="preserve">rule change in its revised proposal.  </w:t>
      </w:r>
    </w:p>
    <w:p w:rsidR="007C1F9F" w:rsidRPr="00D66225" w:rsidRDefault="007C1F9F" w:rsidP="007C1F9F">
      <w:pPr>
        <w:pStyle w:val="AERheading2"/>
        <w:numPr>
          <w:ilvl w:val="1"/>
          <w:numId w:val="7"/>
        </w:numPr>
        <w:tabs>
          <w:tab w:val="clear" w:pos="4317"/>
          <w:tab w:val="num" w:pos="0"/>
        </w:tabs>
        <w:ind w:left="0" w:hanging="720"/>
        <w:rPr>
          <w:rFonts w:eastAsia="Calibri"/>
        </w:rPr>
      </w:pPr>
      <w:bookmarkStart w:id="6" w:name="_Toc334543750"/>
      <w:r w:rsidRPr="00D66225">
        <w:rPr>
          <w:rFonts w:eastAsia="Calibri"/>
        </w:rPr>
        <w:t>APA GasNet's proposal</w:t>
      </w:r>
      <w:bookmarkEnd w:id="6"/>
    </w:p>
    <w:p w:rsidR="007C1F9F" w:rsidRPr="00D66225" w:rsidRDefault="007C1F9F" w:rsidP="007C1F9F">
      <w:pPr>
        <w:pStyle w:val="AERbodytext"/>
        <w:rPr>
          <w:rFonts w:eastAsia="Calibri"/>
        </w:rPr>
      </w:pPr>
      <w:r w:rsidRPr="00D66225">
        <w:rPr>
          <w:rFonts w:eastAsia="Calibri"/>
        </w:rPr>
        <w:t>APA GasNet’s access arrangement proposal describes the type and nature of pipeline services to be provided by its Victorian gas transmission network. This includes those services APA GasNet considers are likely to be sought by a significant part of the market (reference services) and non-reference services. APA GasNet's access arrangement proposal sets out a single service that is offered under the access arrangement proposal.</w:t>
      </w:r>
      <w:r w:rsidRPr="00D66225">
        <w:rPr>
          <w:rStyle w:val="FootnoteReference"/>
          <w:rFonts w:eastAsia="Calibri"/>
        </w:rPr>
        <w:footnoteReference w:id="3"/>
      </w:r>
    </w:p>
    <w:p w:rsidR="007C1F9F" w:rsidRDefault="007C1F9F" w:rsidP="007C1F9F">
      <w:pPr>
        <w:pStyle w:val="AERbodytext"/>
      </w:pPr>
      <w:r w:rsidRPr="000A0743">
        <w:t>APA GasNet proposed to classify AMDQ CC services as an unregulated service and proposed to allocate AMDQ CC on the basis of a fixed price auction.</w:t>
      </w:r>
      <w:r w:rsidRPr="00235A16">
        <w:rPr>
          <w:rStyle w:val="FootnoteReference"/>
        </w:rPr>
        <w:footnoteReference w:id="4"/>
      </w:r>
      <w:r w:rsidRPr="000A0743">
        <w:t xml:space="preserve"> </w:t>
      </w:r>
    </w:p>
    <w:p w:rsidR="007C1F9F" w:rsidRPr="00D66225" w:rsidRDefault="007C1F9F" w:rsidP="007C1F9F">
      <w:pPr>
        <w:pStyle w:val="AERbodytext"/>
        <w:rPr>
          <w:rFonts w:eastAsia="Calibri"/>
        </w:rPr>
      </w:pPr>
      <w:r w:rsidRPr="00D66225">
        <w:rPr>
          <w:rFonts w:eastAsia="Calibri"/>
        </w:rPr>
        <w:t xml:space="preserve">APA GasNet submitted that the costs for providing the AMDQ CC service are low compared to the value that market participants place on those certificates. </w:t>
      </w:r>
      <w:r w:rsidRPr="000A0743">
        <w:t>APA GasNet proposed to voluntarily rebate a proportion of the revenue from issuance of AMDQ CC back to users by including the contracted volume (the volume effect) into the price control model.</w:t>
      </w:r>
      <w:r w:rsidRPr="00235A16">
        <w:rPr>
          <w:rStyle w:val="FootnoteReference"/>
        </w:rPr>
        <w:footnoteReference w:id="5"/>
      </w:r>
      <w:r w:rsidRPr="000A0743">
        <w:t xml:space="preserve"> However, APA GasNet did not propose any amendment to the access arrangement to make this process compulsory.  </w:t>
      </w:r>
    </w:p>
    <w:p w:rsidR="007C1F9F" w:rsidRPr="00D66225" w:rsidRDefault="007C1F9F" w:rsidP="007C1F9F">
      <w:pPr>
        <w:pStyle w:val="AERbodytext"/>
        <w:rPr>
          <w:rFonts w:eastAsia="Calibri"/>
        </w:rPr>
      </w:pPr>
      <w:r w:rsidRPr="00D66225">
        <w:rPr>
          <w:rFonts w:eastAsia="Calibri"/>
        </w:rPr>
        <w:t>APA GasNet submitted that the AMDQ transportation rights are intended to provide a level of security to pipeline users for access to pipeline capacity and the creation and allocation of AMDQ CC provide important (if imperfect) signalling for capacity in the VTS. They have been created to support the Victorian market as it operates on a market-carriage model where capacity is not allocated through contract as it is for other pipelines in Australia.</w:t>
      </w:r>
      <w:r w:rsidRPr="00D66225">
        <w:rPr>
          <w:rStyle w:val="FootnoteReference"/>
          <w:rFonts w:eastAsia="Calibri"/>
        </w:rPr>
        <w:footnoteReference w:id="6"/>
      </w:r>
    </w:p>
    <w:p w:rsidR="007C1F9F" w:rsidRPr="00D66225" w:rsidRDefault="007C1F9F" w:rsidP="007C1F9F">
      <w:pPr>
        <w:pStyle w:val="AERheading2"/>
        <w:numPr>
          <w:ilvl w:val="1"/>
          <w:numId w:val="7"/>
        </w:numPr>
        <w:tabs>
          <w:tab w:val="clear" w:pos="4317"/>
          <w:tab w:val="num" w:pos="0"/>
        </w:tabs>
        <w:ind w:left="0" w:hanging="720"/>
        <w:rPr>
          <w:rFonts w:eastAsia="Calibri"/>
        </w:rPr>
      </w:pPr>
      <w:bookmarkStart w:id="7" w:name="_Ref332958017"/>
      <w:bookmarkStart w:id="8" w:name="_Toc334543751"/>
      <w:r w:rsidRPr="00D66225">
        <w:rPr>
          <w:rFonts w:eastAsia="Calibri"/>
        </w:rPr>
        <w:t>Assessment approach</w:t>
      </w:r>
      <w:bookmarkEnd w:id="7"/>
      <w:bookmarkEnd w:id="8"/>
    </w:p>
    <w:p w:rsidR="007C1F9F" w:rsidRDefault="007C1F9F" w:rsidP="007C1F9F">
      <w:pPr>
        <w:pStyle w:val="AERbodytext"/>
      </w:pPr>
      <w:r>
        <w:t>In its access arrangement proposal APA GasNet is required to specify the reference services.</w:t>
      </w:r>
      <w:r>
        <w:rPr>
          <w:rStyle w:val="FootnoteReference"/>
        </w:rPr>
        <w:footnoteReference w:id="7"/>
      </w:r>
      <w:r>
        <w:t xml:space="preserve"> A reference service is a pipeline service that is likely to be sought by a significant part of the market.</w:t>
      </w:r>
      <w:r>
        <w:rPr>
          <w:rStyle w:val="FootnoteReference"/>
        </w:rPr>
        <w:footnoteReference w:id="8"/>
      </w:r>
      <w:r>
        <w:t xml:space="preserve"> A pipeline service is a service provided by means of a pipeline, including a haulage service and a service facilitating the interconnection of pipelines, and a service ancillary to one of these services.</w:t>
      </w:r>
      <w:r>
        <w:rPr>
          <w:rStyle w:val="FootnoteReference"/>
        </w:rPr>
        <w:footnoteReference w:id="9"/>
      </w:r>
      <w:r>
        <w:t xml:space="preserve"> A reference service must also be consistent with the NGO.</w:t>
      </w:r>
      <w:r>
        <w:rPr>
          <w:rStyle w:val="FootnoteReference"/>
        </w:rPr>
        <w:footnoteReference w:id="10"/>
      </w:r>
    </w:p>
    <w:p w:rsidR="007C1F9F" w:rsidRPr="00D66225" w:rsidRDefault="007C1F9F" w:rsidP="007C1F9F">
      <w:pPr>
        <w:pStyle w:val="AERbodytext"/>
        <w:rPr>
          <w:rFonts w:eastAsia="Calibri"/>
        </w:rPr>
      </w:pPr>
      <w:r w:rsidRPr="00D66225">
        <w:rPr>
          <w:rFonts w:eastAsia="Calibri"/>
        </w:rPr>
        <w:t>The AER's approach to assessing these requirements involves first identifying the covered pipeline that will be regulated through the access arrangement. This involves identifying:</w:t>
      </w:r>
    </w:p>
    <w:p w:rsidR="007C1F9F" w:rsidRPr="00D66225" w:rsidRDefault="007C1F9F" w:rsidP="007C1F9F">
      <w:pPr>
        <w:pStyle w:val="AERbulletlistfirststyle"/>
        <w:rPr>
          <w:rFonts w:eastAsia="Calibri"/>
        </w:rPr>
      </w:pPr>
      <w:r w:rsidRPr="00D66225">
        <w:rPr>
          <w:rFonts w:eastAsia="Calibri"/>
        </w:rPr>
        <w:t>the covered pipeline under the earlier access arrangement</w:t>
      </w:r>
    </w:p>
    <w:p w:rsidR="007C1F9F" w:rsidRPr="00D66225" w:rsidRDefault="007C1F9F" w:rsidP="007C1F9F">
      <w:pPr>
        <w:pStyle w:val="AERbulletlistfirststyle"/>
        <w:rPr>
          <w:rFonts w:eastAsia="Calibri"/>
        </w:rPr>
      </w:pPr>
      <w:r w:rsidRPr="00D66225">
        <w:rPr>
          <w:rFonts w:eastAsia="Calibri"/>
        </w:rPr>
        <w:lastRenderedPageBreak/>
        <w:t>any extensions or expansions that were completed during the earlier access arrangement and which are taken to be 'covered' under that access arrangement's extension and expansion requirements.</w:t>
      </w:r>
    </w:p>
    <w:p w:rsidR="007C1F9F" w:rsidRPr="00D66225" w:rsidRDefault="007C1F9F" w:rsidP="007C1F9F">
      <w:pPr>
        <w:pStyle w:val="AERbodytext"/>
        <w:rPr>
          <w:rFonts w:eastAsia="Calibri"/>
        </w:rPr>
      </w:pPr>
      <w:r w:rsidRPr="00D66225">
        <w:rPr>
          <w:rFonts w:eastAsia="Calibri"/>
        </w:rPr>
        <w:t>After identifying the covered pipeline the next step is to describe the pipeline services and reference service that will be regulated through the access arrangement. It is then possible to:</w:t>
      </w:r>
    </w:p>
    <w:p w:rsidR="007C1F9F" w:rsidRPr="00D66225" w:rsidRDefault="007C1F9F" w:rsidP="007C1F9F">
      <w:pPr>
        <w:pStyle w:val="AERbulletlistfirststyle"/>
        <w:rPr>
          <w:rFonts w:eastAsia="Calibri"/>
        </w:rPr>
      </w:pPr>
      <w:r w:rsidRPr="00D66225">
        <w:rPr>
          <w:rFonts w:eastAsia="Calibri"/>
        </w:rPr>
        <w:t>calculate the reference tariff</w:t>
      </w:r>
    </w:p>
    <w:p w:rsidR="007C1F9F" w:rsidRPr="00D66225" w:rsidRDefault="007C1F9F" w:rsidP="007C1F9F">
      <w:pPr>
        <w:pStyle w:val="AERbulletlistfirststyle"/>
        <w:rPr>
          <w:rFonts w:eastAsia="Calibri"/>
        </w:rPr>
      </w:pPr>
      <w:r w:rsidRPr="00D66225">
        <w:rPr>
          <w:rFonts w:eastAsia="Calibri"/>
        </w:rPr>
        <w:t>determine the other non-tariff terms and conditions which will form part of the access arrangement.</w:t>
      </w:r>
      <w:r w:rsidRPr="00D66225">
        <w:rPr>
          <w:rStyle w:val="FootnoteReference"/>
          <w:rFonts w:eastAsia="Calibri"/>
        </w:rPr>
        <w:footnoteReference w:id="11"/>
      </w:r>
    </w:p>
    <w:p w:rsidR="007C1F9F" w:rsidRPr="00D66225" w:rsidRDefault="007C1F9F" w:rsidP="007C1F9F">
      <w:pPr>
        <w:pStyle w:val="AERbodytext"/>
        <w:rPr>
          <w:rStyle w:val="AERbody"/>
          <w:rFonts w:eastAsia="Calibri"/>
        </w:rPr>
      </w:pPr>
      <w:r w:rsidRPr="00853B29">
        <w:rPr>
          <w:rStyle w:val="AERbody"/>
        </w:rPr>
        <w:t>In assessing the classification of AMDQ CC, the AER has considered the definition of a pipeline service as provided for in section 2 of the NGL and the definition of a reference service as provided for in r. 101 of the NGR. Rule 101 provides that a pipeline service that is likely to be sought by a significant part of the market is a reference service.</w:t>
      </w:r>
    </w:p>
    <w:p w:rsidR="007C1F9F" w:rsidRPr="00D66225" w:rsidRDefault="007C1F9F" w:rsidP="007C1F9F">
      <w:pPr>
        <w:pStyle w:val="AERbodytext"/>
        <w:rPr>
          <w:rStyle w:val="AERbody"/>
          <w:rFonts w:eastAsia="Calibri"/>
        </w:rPr>
      </w:pPr>
      <w:r w:rsidRPr="00853B29">
        <w:rPr>
          <w:rStyle w:val="AERbody"/>
        </w:rPr>
        <w:t>The AER's draft decision is based on the current definitions of a reference service and also of a rebateable service. These definitions are currently the subject of a proposed rule change.</w:t>
      </w:r>
      <w:r w:rsidRPr="00D66225">
        <w:rPr>
          <w:rStyle w:val="FootnoteReference"/>
        </w:rPr>
        <w:footnoteReference w:id="12"/>
      </w:r>
      <w:r w:rsidRPr="00853B29">
        <w:rPr>
          <w:rStyle w:val="AERbody"/>
        </w:rPr>
        <w:t xml:space="preserve"> The AEMC has advised that a final rule determination will be made on 1 November 2012. The AER will give effect to that rule change in the event that it takes effect prior to the final decision.</w:t>
      </w:r>
    </w:p>
    <w:p w:rsidR="007C1F9F" w:rsidRPr="00853B29" w:rsidRDefault="007C1F9F" w:rsidP="007C1F9F">
      <w:pPr>
        <w:pStyle w:val="AERbodytext"/>
        <w:rPr>
          <w:rStyle w:val="AERbody"/>
        </w:rPr>
      </w:pPr>
      <w:r w:rsidRPr="00853B29">
        <w:rPr>
          <w:rStyle w:val="AERbody"/>
        </w:rPr>
        <w:t>Rule 48 of the NGR requires that an access arrangement must specify the reference services and specify for each reference service, the reference tariff and the other terms and conditions on which the reference service will be provided. Rules 101, 93 and 95 require the AER to have regard to the current and expected future demand, and the allocation of costs when setting a reference tariff for a reference service. When exercising its discretion to approve a reference tariff the AER must take into account the revenue and pricing principles. Under r.</w:t>
      </w:r>
      <w:r w:rsidRPr="00853B29">
        <w:rPr>
          <w:rStyle w:val="AERbody"/>
          <w:rFonts w:hint="eastAsia"/>
        </w:rPr>
        <w:t> </w:t>
      </w:r>
      <w:r w:rsidRPr="00853B29">
        <w:rPr>
          <w:rStyle w:val="AERbody"/>
        </w:rPr>
        <w:t>100 of the NGR, the provisions of an access arrangement, including a reference tariff, must be consistent with the NGO.</w:t>
      </w:r>
    </w:p>
    <w:p w:rsidR="007C1F9F" w:rsidRDefault="007C1F9F" w:rsidP="007C1F9F">
      <w:pPr>
        <w:pStyle w:val="AERbodytext"/>
      </w:pPr>
      <w:r>
        <w:t>The AER has also considered two submissions</w:t>
      </w:r>
      <w:r w:rsidRPr="00CD7DE6">
        <w:t xml:space="preserve"> </w:t>
      </w:r>
      <w:r>
        <w:t>in relation to AMDQ CC from TRUenergy and Australian Power and Gas.</w:t>
      </w:r>
      <w:r w:rsidRPr="00CD7DE6">
        <w:t xml:space="preserve"> </w:t>
      </w:r>
    </w:p>
    <w:p w:rsidR="007C1F9F" w:rsidRDefault="007C1F9F" w:rsidP="007C1F9F">
      <w:pPr>
        <w:pStyle w:val="AERheading2"/>
        <w:numPr>
          <w:ilvl w:val="1"/>
          <w:numId w:val="7"/>
        </w:numPr>
        <w:tabs>
          <w:tab w:val="clear" w:pos="4317"/>
          <w:tab w:val="num" w:pos="0"/>
        </w:tabs>
        <w:ind w:left="0" w:hanging="720"/>
      </w:pPr>
      <w:bookmarkStart w:id="9" w:name="_Toc334543752"/>
      <w:r>
        <w:t>Reasons for Decision</w:t>
      </w:r>
      <w:bookmarkEnd w:id="9"/>
    </w:p>
    <w:p w:rsidR="007C1F9F" w:rsidRDefault="007C1F9F" w:rsidP="007C1F9F">
      <w:pPr>
        <w:pStyle w:val="AERheading3"/>
        <w:numPr>
          <w:ilvl w:val="2"/>
          <w:numId w:val="7"/>
        </w:numPr>
        <w:tabs>
          <w:tab w:val="clear" w:pos="-357"/>
          <w:tab w:val="num" w:pos="0"/>
        </w:tabs>
        <w:ind w:left="0" w:hanging="714"/>
      </w:pPr>
      <w:r>
        <w:t>Identification of the pipeline</w:t>
      </w:r>
    </w:p>
    <w:p w:rsidR="007C1F9F" w:rsidRPr="00853B29" w:rsidRDefault="007C1F9F" w:rsidP="007C1F9F">
      <w:pPr>
        <w:pStyle w:val="AERbodytext"/>
        <w:rPr>
          <w:rStyle w:val="AERbody"/>
        </w:rPr>
      </w:pPr>
      <w:r w:rsidRPr="00853B29">
        <w:rPr>
          <w:rStyle w:val="AERbody"/>
        </w:rPr>
        <w:t>The AER considers that APA GasNet has identified the pipeline to which its access arrangement relates and has included a reference to a website at which a description of the pipeline can be viewed.</w:t>
      </w:r>
    </w:p>
    <w:p w:rsidR="007C1F9F" w:rsidRPr="00D66225" w:rsidRDefault="007C1F9F" w:rsidP="007C1F9F">
      <w:pPr>
        <w:pStyle w:val="AERbodytext"/>
        <w:rPr>
          <w:rFonts w:eastAsia="Calibri"/>
        </w:rPr>
      </w:pPr>
      <w:r w:rsidRPr="00D66225">
        <w:rPr>
          <w:rStyle w:val="AERbody"/>
          <w:rFonts w:eastAsia="Calibri"/>
        </w:rPr>
        <w:t>The AER assessed whether APA GasNet appropriately identified the pipeline to which the access arrangement relates.</w:t>
      </w:r>
      <w:r w:rsidRPr="00D66225">
        <w:rPr>
          <w:rStyle w:val="FootnoteReference"/>
          <w:rFonts w:eastAsia="Calibri"/>
        </w:rPr>
        <w:footnoteReference w:id="13"/>
      </w:r>
      <w:r w:rsidRPr="00D66225">
        <w:rPr>
          <w:rStyle w:val="AERbody"/>
          <w:rFonts w:eastAsia="Calibri"/>
        </w:rPr>
        <w:t xml:space="preserve"> APA GasNet identified the pipeline in clause 1.3 of the access arrangement proposal.</w:t>
      </w:r>
      <w:r w:rsidRPr="00D66225">
        <w:rPr>
          <w:rFonts w:eastAsia="Calibri"/>
        </w:rPr>
        <w:t xml:space="preserve"> The AER considers that clause 1.3 sufficiently identifies the geographical area covered by APA GasNet's gas transmission network. </w:t>
      </w:r>
    </w:p>
    <w:p w:rsidR="007C1F9F" w:rsidRPr="00D66225" w:rsidRDefault="007C1F9F" w:rsidP="007C1F9F">
      <w:pPr>
        <w:pStyle w:val="AERbodytext"/>
        <w:rPr>
          <w:rFonts w:eastAsia="Calibri"/>
        </w:rPr>
      </w:pPr>
      <w:r w:rsidRPr="00D66225">
        <w:rPr>
          <w:rFonts w:eastAsia="Calibri"/>
        </w:rPr>
        <w:t>Clause 1 also references a website at which a map of APA GasNet's Victorian gas transmission network can be found. The reference is to a link to a specific page on APA GasNet's website at which the map can be found, rather than a general link to APA GasNet's website home page. The AER considers that this constitutes a reference to APA GasNet's website and, accordingly, APA GasNet has met its obligations under r. 48(1)(a) of the NGR.</w:t>
      </w:r>
    </w:p>
    <w:p w:rsidR="007C1F9F" w:rsidRDefault="007C1F9F" w:rsidP="007C1F9F">
      <w:pPr>
        <w:pStyle w:val="AERheading3"/>
        <w:numPr>
          <w:ilvl w:val="2"/>
          <w:numId w:val="7"/>
        </w:numPr>
        <w:tabs>
          <w:tab w:val="clear" w:pos="-357"/>
          <w:tab w:val="num" w:pos="0"/>
        </w:tabs>
        <w:ind w:left="0" w:hanging="714"/>
      </w:pPr>
      <w:r>
        <w:t>Description of the pipeline services</w:t>
      </w:r>
    </w:p>
    <w:p w:rsidR="007C1F9F" w:rsidRDefault="007C1F9F" w:rsidP="007C1F9F">
      <w:pPr>
        <w:pStyle w:val="AERbodytext"/>
      </w:pPr>
      <w:r>
        <w:t>The AER considers that APA GasNet has described the pipeline services that it proposes to offer. However, the AER considers that APA GasNet has not described all pipeline services that are likely to be sought by a significant part of the market.</w:t>
      </w:r>
    </w:p>
    <w:p w:rsidR="007C1F9F" w:rsidRDefault="007C1F9F" w:rsidP="007C1F9F">
      <w:pPr>
        <w:pStyle w:val="AERbodytext"/>
      </w:pPr>
      <w:r>
        <w:t xml:space="preserve">APA GasNet has described the pipeline services being offered as a reference service in clause 2.2 of its access arrangement proposal. The AER considers that the proposed pipeline services should be amended to include the AMDQ CC service. The AER's reason for amendment is set out in section </w:t>
      </w:r>
      <w:r w:rsidR="00DE0D6A">
        <w:fldChar w:fldCharType="begin"/>
      </w:r>
      <w:r>
        <w:instrText xml:space="preserve"> REF _Ref332959743 \r \h </w:instrText>
      </w:r>
      <w:r w:rsidR="00DE0D6A">
        <w:fldChar w:fldCharType="separate"/>
      </w:r>
      <w:r>
        <w:t>1.4.5</w:t>
      </w:r>
      <w:r w:rsidR="00DE0D6A">
        <w:fldChar w:fldCharType="end"/>
      </w:r>
      <w:r>
        <w:t xml:space="preserve"> below.</w:t>
      </w:r>
      <w:r>
        <w:rPr>
          <w:rStyle w:val="FootnoteReference"/>
        </w:rPr>
        <w:footnoteReference w:id="14"/>
      </w:r>
    </w:p>
    <w:p w:rsidR="007C1F9F" w:rsidRDefault="007C1F9F" w:rsidP="007C1F9F">
      <w:pPr>
        <w:pStyle w:val="AERheading3"/>
        <w:numPr>
          <w:ilvl w:val="2"/>
          <w:numId w:val="7"/>
        </w:numPr>
        <w:tabs>
          <w:tab w:val="clear" w:pos="-357"/>
          <w:tab w:val="num" w:pos="0"/>
        </w:tabs>
        <w:ind w:left="0" w:hanging="714"/>
      </w:pPr>
      <w:r>
        <w:t>Specification of the reference service</w:t>
      </w:r>
    </w:p>
    <w:p w:rsidR="007C1F9F" w:rsidRDefault="007C1F9F" w:rsidP="007C1F9F">
      <w:pPr>
        <w:pStyle w:val="AERbodytext"/>
      </w:pPr>
      <w:r>
        <w:t>In clause 2 of its access arrangement proposal, APA GasNet explains that the NGR establish its Victorian gas transmission network as a market carriage network. As a market carriage network, APA GasNet's Victorian gas transmission network is made available in its entirety to the Australian Energy Market Operator (AEMO) via a Service Envelope Agreement under which AEMO then operates it in accordance with the NGR.</w:t>
      </w:r>
      <w:r>
        <w:rPr>
          <w:rStyle w:val="FootnoteReference"/>
        </w:rPr>
        <w:footnoteReference w:id="15"/>
      </w:r>
    </w:p>
    <w:p w:rsidR="007C1F9F" w:rsidRDefault="007C1F9F" w:rsidP="007C1F9F">
      <w:pPr>
        <w:pStyle w:val="AERbodytext"/>
      </w:pPr>
      <w:r>
        <w:t>APA GasNet provides a single reference service, which comprises the Tariffed Transmission Service.</w:t>
      </w:r>
      <w:r>
        <w:rPr>
          <w:rStyle w:val="FootnoteReference"/>
        </w:rPr>
        <w:footnoteReference w:id="16"/>
      </w:r>
      <w:r>
        <w:t xml:space="preserve"> Tariffed Transmission Service is defined in Schedule B to APA GasNet's access arrangement proposal. It is defined as making available APA GasNet's Victorian gas transmission network on the same terms as those set out in the Service Envelope Agreement and entering into agreements with Shippers in accordance with r. 327 of the NGR.</w:t>
      </w:r>
      <w:r>
        <w:rPr>
          <w:rStyle w:val="FootnoteReference"/>
        </w:rPr>
        <w:footnoteReference w:id="17"/>
      </w:r>
    </w:p>
    <w:p w:rsidR="007C1F9F" w:rsidRDefault="007C1F9F" w:rsidP="007C1F9F">
      <w:pPr>
        <w:pStyle w:val="AERbodytext"/>
      </w:pPr>
      <w:r>
        <w:t>Service Envelope Agreement is defined as the agreement of that name entered into between AEMO and APA GasNet (NSW) and Service Provider on 2 November 2006, as amended from time to time.</w:t>
      </w:r>
      <w:r>
        <w:rPr>
          <w:rStyle w:val="FootnoteReference"/>
        </w:rPr>
        <w:footnoteReference w:id="18"/>
      </w:r>
      <w:r>
        <w:t xml:space="preserve">  Service Provider means APA GasNet Australia (Operations) Pty Ltd.</w:t>
      </w:r>
      <w:r>
        <w:rPr>
          <w:rStyle w:val="FootnoteReference"/>
        </w:rPr>
        <w:footnoteReference w:id="19"/>
      </w:r>
      <w:r>
        <w:t xml:space="preserve"> </w:t>
      </w:r>
    </w:p>
    <w:p w:rsidR="007C1F9F" w:rsidRDefault="007C1F9F" w:rsidP="007C1F9F">
      <w:pPr>
        <w:pStyle w:val="AERbodytext"/>
      </w:pPr>
      <w:r>
        <w:t>Rule 327 of the NGR provides that e</w:t>
      </w:r>
      <w:r w:rsidRPr="00231D11">
        <w:t>ach Market Participant must ensure it has in place a valid agreement (a use of system agreement) with the declared transmission system service provider</w:t>
      </w:r>
      <w:r>
        <w:t xml:space="preserve"> (APA GasNet),</w:t>
      </w:r>
      <w:r w:rsidRPr="00231D11">
        <w:t xml:space="preserve"> </w:t>
      </w:r>
      <w:r>
        <w:t>which</w:t>
      </w:r>
      <w:r w:rsidRPr="00231D11">
        <w:t xml:space="preserve"> provides for the payment of transmission charges to the declared transmission system service provider.</w:t>
      </w:r>
    </w:p>
    <w:p w:rsidR="007C1F9F" w:rsidRDefault="007C1F9F" w:rsidP="007C1F9F">
      <w:pPr>
        <w:pStyle w:val="AERbodytext"/>
      </w:pPr>
      <w:r>
        <w:t>Accordingly, APA GasNet proposes to provide a reference service whereby it makes the Victorian gas transmission network available on the terms set out in the Service Envelope Agreement dated 2 November 2006, as amended from time to time.</w:t>
      </w:r>
    </w:p>
    <w:p w:rsidR="007C1F9F" w:rsidRDefault="007C1F9F" w:rsidP="007C1F9F">
      <w:pPr>
        <w:pStyle w:val="AERheading5"/>
      </w:pPr>
      <w:r>
        <w:t>Tariffed Transmission Reference Service</w:t>
      </w:r>
    </w:p>
    <w:p w:rsidR="007C1F9F" w:rsidRDefault="007C1F9F" w:rsidP="007C1F9F">
      <w:pPr>
        <w:pStyle w:val="AERbodytext"/>
      </w:pPr>
      <w:r>
        <w:t>The AER considers that APA GasNet's proposed Reference Service is likely to be sought by a significant part of the market. The circumstances of its network mean that it cannot provide any other services. The AER received submissions in support of this proposed reference service.</w:t>
      </w:r>
      <w:r>
        <w:rPr>
          <w:rStyle w:val="FootnoteReference"/>
        </w:rPr>
        <w:footnoteReference w:id="20"/>
      </w:r>
      <w:r>
        <w:t xml:space="preserve">  </w:t>
      </w:r>
    </w:p>
    <w:p w:rsidR="007C1F9F" w:rsidRDefault="007C1F9F" w:rsidP="007C1F9F">
      <w:pPr>
        <w:pStyle w:val="AERbodytext"/>
      </w:pPr>
      <w:r>
        <w:t>The AER notes that APA GasNet's proposed Reference Service is substantially the same service as provided in its current access arrangement. The only changes reflect the changed regulatory framework.</w:t>
      </w:r>
      <w:r>
        <w:rPr>
          <w:rStyle w:val="FootnoteReference"/>
        </w:rPr>
        <w:footnoteReference w:id="21"/>
      </w:r>
    </w:p>
    <w:p w:rsidR="007C1F9F" w:rsidRDefault="007C1F9F" w:rsidP="007C1F9F">
      <w:pPr>
        <w:pStyle w:val="AERbodytext"/>
      </w:pPr>
      <w:r>
        <w:t xml:space="preserve">The AER considers that the nature of APA GasNet's network as a market carriage network, where the network is operated by AEMO, places a limitation on the services that APA GasNet can offer. In particular, APA GasNet does not provide the services of allowing injection, haulage and delivery of gas, as these services are provided by the network operator, AEMO. </w:t>
      </w:r>
    </w:p>
    <w:p w:rsidR="007C1F9F" w:rsidRDefault="007C1F9F" w:rsidP="007C1F9F">
      <w:pPr>
        <w:pStyle w:val="AERbodytext"/>
      </w:pPr>
      <w:r>
        <w:t>The AER considers that the service that APA GasNet provides to users is making the network available. By making the network available to users, APA GasNet is providing a service which then enables users to obtain injection, haulage and delivery services from AEMO. The AER considers that there is merit in making the network available to AEMO and users on the same terms. This will avoid inconsistency and ensure alignment in what is already a complex tripartite relationship. Accordingly, the AER considers that it is appropriate to limit the service to being provided on the same terms as are set out in the Service Envelope Agreement.</w:t>
      </w:r>
    </w:p>
    <w:p w:rsidR="007C1F9F" w:rsidRDefault="007C1F9F" w:rsidP="007C1F9F">
      <w:pPr>
        <w:pStyle w:val="AERbodytext"/>
      </w:pPr>
      <w:r>
        <w:t>TRUenergy made submissions that the proposal to offer a single reference service through the Tariff Transmission Service is consistent with the NGR.</w:t>
      </w:r>
      <w:r>
        <w:rPr>
          <w:rStyle w:val="FootnoteReference"/>
        </w:rPr>
        <w:footnoteReference w:id="22"/>
      </w:r>
      <w:r>
        <w:t xml:space="preserve"> This submission supports the AER's decision.</w:t>
      </w:r>
    </w:p>
    <w:p w:rsidR="007C1F9F" w:rsidRDefault="007C1F9F" w:rsidP="007C1F9F">
      <w:pPr>
        <w:pStyle w:val="AERheading3"/>
        <w:numPr>
          <w:ilvl w:val="2"/>
          <w:numId w:val="7"/>
        </w:numPr>
        <w:tabs>
          <w:tab w:val="clear" w:pos="-357"/>
          <w:tab w:val="num" w:pos="0"/>
        </w:tabs>
        <w:ind w:left="0" w:hanging="714"/>
      </w:pPr>
      <w:r w:rsidRPr="00FA55EF">
        <w:t>Over recovery of revenue from AMDQ CC</w:t>
      </w:r>
    </w:p>
    <w:p w:rsidR="007C1F9F" w:rsidRDefault="007C1F9F" w:rsidP="007C1F9F">
      <w:pPr>
        <w:pStyle w:val="AERbodytext"/>
      </w:pPr>
      <w:r w:rsidRPr="001F2302">
        <w:t xml:space="preserve">The AMDQ CC has been allocated by APA GasNet since </w:t>
      </w:r>
      <w:r>
        <w:t xml:space="preserve">introduced in </w:t>
      </w:r>
      <w:r w:rsidRPr="001F2302">
        <w:t xml:space="preserve">2002. The AMDQ CC service is </w:t>
      </w:r>
      <w:r>
        <w:t xml:space="preserve">currently </w:t>
      </w:r>
      <w:r w:rsidRPr="001F2302">
        <w:t>provided by regulated assets that also provide the regulated haulage service. The efficient costs of these assets are fully recovered from the relevant reference tariffs. Therefore, under the proposed classification of AMDQ CC, APA GasNet is able to receive two steams of revenue from these regulated assets including revenue from:</w:t>
      </w:r>
    </w:p>
    <w:p w:rsidR="007C1F9F" w:rsidRDefault="007C1F9F" w:rsidP="007C1F9F">
      <w:pPr>
        <w:pStyle w:val="AERbulletlistfirststyle"/>
      </w:pPr>
      <w:r w:rsidRPr="001F2302">
        <w:t>the pay-as-you-go reference tariff which is charged on the basis of the volume of gas flowed to fully recover the costs of providing the regulated reference service</w:t>
      </w:r>
    </w:p>
    <w:p w:rsidR="007C1F9F" w:rsidRPr="001F2302" w:rsidRDefault="007C1F9F" w:rsidP="007C1F9F">
      <w:pPr>
        <w:pStyle w:val="AERbulletlistfirststyle"/>
      </w:pPr>
      <w:r w:rsidRPr="001F2302">
        <w:t xml:space="preserve">issuing and administering unregulated AMDQ CC contracts to users based on the capacity of the relevant parts of the VTS.   </w:t>
      </w:r>
    </w:p>
    <w:p w:rsidR="007C1F9F" w:rsidRDefault="007C1F9F" w:rsidP="007C1F9F">
      <w:pPr>
        <w:pStyle w:val="AERbodytext"/>
        <w:rPr>
          <w:rStyle w:val="AERbody"/>
        </w:rPr>
      </w:pPr>
      <w:r w:rsidRPr="001F2302">
        <w:rPr>
          <w:rStyle w:val="AERbody"/>
        </w:rPr>
        <w:t xml:space="preserve">The holder of the certificate will be charged the tendered price of the AMDQ CC for the contracted volume on a take-or-pay basis even if their actual gas flow is less than the contracted volume. If gas flow is less than the contracted volume non AMDQ CC holders can flow gas and take up any unused capacity. Any </w:t>
      </w:r>
      <w:r>
        <w:rPr>
          <w:rStyle w:val="AERbody"/>
        </w:rPr>
        <w:t xml:space="preserve">actual </w:t>
      </w:r>
      <w:r w:rsidRPr="001F2302">
        <w:rPr>
          <w:rStyle w:val="AERbody"/>
        </w:rPr>
        <w:t xml:space="preserve">gas </w:t>
      </w:r>
      <w:r>
        <w:rPr>
          <w:rStyle w:val="AERbody"/>
        </w:rPr>
        <w:t>flow</w:t>
      </w:r>
      <w:r w:rsidRPr="001F2302">
        <w:rPr>
          <w:rStyle w:val="AERbody"/>
        </w:rPr>
        <w:t xml:space="preserve"> taken by the AMDQ CC holder exceeding the contracted amount will be charged at the reference tariff price. </w:t>
      </w:r>
    </w:p>
    <w:p w:rsidR="007C1F9F" w:rsidRDefault="007C1F9F" w:rsidP="007C1F9F">
      <w:pPr>
        <w:pStyle w:val="AERbodytext"/>
        <w:rPr>
          <w:rStyle w:val="AERbody"/>
        </w:rPr>
      </w:pPr>
      <w:r w:rsidRPr="001F2302">
        <w:rPr>
          <w:rStyle w:val="AERbody"/>
        </w:rPr>
        <w:t>Since the revenue collected from AMDQ CC service is unregulated, this allows APA GasNet to recover more than its efficient pipeline costs through:</w:t>
      </w:r>
    </w:p>
    <w:p w:rsidR="007C1F9F" w:rsidRPr="001F2302" w:rsidRDefault="007C1F9F" w:rsidP="007C1F9F">
      <w:pPr>
        <w:pStyle w:val="AERbulletlistfirststyle"/>
      </w:pPr>
      <w:r w:rsidRPr="001F2302">
        <w:t>the price differential between the price of the AMDQ CC and the reference tariff (the price effect)</w:t>
      </w:r>
    </w:p>
    <w:p w:rsidR="007C1F9F" w:rsidRPr="001F2302" w:rsidRDefault="007C1F9F" w:rsidP="007C1F9F">
      <w:pPr>
        <w:pStyle w:val="AERbulletlistfirststyle"/>
      </w:pPr>
      <w:r>
        <w:t>t</w:t>
      </w:r>
      <w:r w:rsidRPr="001F2302">
        <w:t xml:space="preserve">he volume differences between the contracted AMDQ volumes and actual physical gas volumes (the volume effect). </w:t>
      </w:r>
    </w:p>
    <w:p w:rsidR="007C1F9F" w:rsidRPr="00F7360E" w:rsidRDefault="007C1F9F" w:rsidP="007C1F9F">
      <w:pPr>
        <w:pStyle w:val="AERbodytext"/>
      </w:pPr>
      <w:r>
        <w:t>The AER considers that the retention of this additional revenue from the sale of AMDQ CC amounts to the recovery of more than the efficient costs of providing the regulated service.</w:t>
      </w:r>
    </w:p>
    <w:p w:rsidR="007C1F9F" w:rsidRDefault="007C1F9F" w:rsidP="007C1F9F">
      <w:pPr>
        <w:pStyle w:val="AERbodytext"/>
      </w:pPr>
      <w:r>
        <w:t>The AMDQ CC revenue is unregulated in</w:t>
      </w:r>
      <w:r w:rsidRPr="00A63751">
        <w:t xml:space="preserve"> the </w:t>
      </w:r>
      <w:r>
        <w:t xml:space="preserve">2008–12 </w:t>
      </w:r>
      <w:r w:rsidRPr="00A63751">
        <w:t>access arrangement</w:t>
      </w:r>
      <w:r>
        <w:t xml:space="preserve">. Despite this, </w:t>
      </w:r>
      <w:r w:rsidRPr="00A63751">
        <w:t xml:space="preserve">APA GasNet has been </w:t>
      </w:r>
      <w:r>
        <w:t xml:space="preserve">voluntarily </w:t>
      </w:r>
      <w:r w:rsidRPr="00A63751">
        <w:t xml:space="preserve">rebating </w:t>
      </w:r>
      <w:r>
        <w:t>a proportion of the AMDQ CC revenue</w:t>
      </w:r>
      <w:r w:rsidRPr="00A63751">
        <w:t xml:space="preserve"> to users by </w:t>
      </w:r>
      <w:r>
        <w:t xml:space="preserve">passing back the additional revenue earned where contracted volumes exceeded actual volumes </w:t>
      </w:r>
      <w:r w:rsidRPr="00A63751">
        <w:t>(</w:t>
      </w:r>
      <w:r>
        <w:t xml:space="preserve">i.e. </w:t>
      </w:r>
      <w:r w:rsidRPr="00A63751">
        <w:t>the volume effect).</w:t>
      </w:r>
      <w:r>
        <w:t xml:space="preserve"> APA GasNet proposed to retain this process in the 2013–17 access arrangement period.</w:t>
      </w:r>
    </w:p>
    <w:p w:rsidR="007C1F9F" w:rsidRDefault="007C1F9F" w:rsidP="007C1F9F">
      <w:pPr>
        <w:pStyle w:val="AERbodytext"/>
      </w:pPr>
      <w:r>
        <w:t xml:space="preserve">The AER does not consider the current practice of voluntarily rebating AMDQ CC is consistent with the access arrangement. The AMDQ CC is neither a reference service nor a rebateable service under the 2008–12 access arrangement. Therefore the inclusion of AMDQ CC contracted volume in the price control model is not consistent with schedule 4 of the 2008–2012 access arrangement.  </w:t>
      </w:r>
    </w:p>
    <w:p w:rsidR="007C1F9F" w:rsidRDefault="007C1F9F" w:rsidP="007C1F9F">
      <w:pPr>
        <w:pStyle w:val="AERbodytext"/>
      </w:pPr>
      <w:r>
        <w:t xml:space="preserve">APA GasNet </w:t>
      </w:r>
      <w:r w:rsidRPr="001F19FE">
        <w:t>has re-tendered the majority of its AMDQ CC in 2011 for a period of five years, commencing on 1 January 2013 (i.e</w:t>
      </w:r>
      <w:r>
        <w:t>. the same period as the 2013–</w:t>
      </w:r>
      <w:r w:rsidRPr="001F19FE">
        <w:t xml:space="preserve">17 access arrangement period). The tendered price is higher than the corresponding reference tariff proposed by </w:t>
      </w:r>
      <w:r>
        <w:t>APA </w:t>
      </w:r>
      <w:r w:rsidRPr="001F19FE">
        <w:t>GasNet for 2013.</w:t>
      </w:r>
      <w:r w:rsidRPr="001F19FE">
        <w:rPr>
          <w:rStyle w:val="FootnoteReference"/>
        </w:rPr>
        <w:footnoteReference w:id="23"/>
      </w:r>
      <w:r>
        <w:t xml:space="preserve"> The</w:t>
      </w:r>
      <w:r w:rsidRPr="006C2F09">
        <w:t xml:space="preserve"> total revenue generated from the tender process </w:t>
      </w:r>
      <w:r>
        <w:t>is approximately $27.5 million (</w:t>
      </w:r>
      <w:r w:rsidR="00553441">
        <w:t>$</w:t>
      </w:r>
      <w:r>
        <w:t>2013). Consequently, the price effect from AMDQ CC revenue is more substantial over the 2013–17 access arrangement period than for the 2008</w:t>
      </w:r>
      <w:r w:rsidRPr="001F19FE">
        <w:t>–</w:t>
      </w:r>
      <w:r w:rsidR="006A64A5">
        <w:t>12 access arrangement</w:t>
      </w:r>
      <w:r>
        <w:t xml:space="preserve"> period.</w:t>
      </w:r>
    </w:p>
    <w:p w:rsidR="007C1F9F" w:rsidRDefault="007C1F9F" w:rsidP="007C1F9F">
      <w:pPr>
        <w:pStyle w:val="AERheading3"/>
        <w:numPr>
          <w:ilvl w:val="2"/>
          <w:numId w:val="7"/>
        </w:numPr>
        <w:tabs>
          <w:tab w:val="clear" w:pos="-357"/>
          <w:tab w:val="num" w:pos="0"/>
        </w:tabs>
        <w:ind w:left="0" w:hanging="714"/>
      </w:pPr>
      <w:bookmarkStart w:id="10" w:name="_Ref332959743"/>
      <w:r w:rsidRPr="00FA55EF">
        <w:t>Classification of AMDQ CC</w:t>
      </w:r>
      <w:bookmarkEnd w:id="10"/>
      <w:r w:rsidRPr="00FA55EF">
        <w:t xml:space="preserve"> </w:t>
      </w:r>
    </w:p>
    <w:p w:rsidR="007C1F9F" w:rsidRPr="002F632A" w:rsidRDefault="007C1F9F" w:rsidP="007C1F9F">
      <w:pPr>
        <w:pStyle w:val="AERbodytext"/>
      </w:pPr>
      <w:r>
        <w:t xml:space="preserve">The </w:t>
      </w:r>
      <w:r w:rsidRPr="002F632A">
        <w:t>NG</w:t>
      </w:r>
      <w:r>
        <w:t>L</w:t>
      </w:r>
      <w:r w:rsidRPr="002F632A">
        <w:t xml:space="preserve"> defines a pipeline service as follows:</w:t>
      </w:r>
      <w:r>
        <w:rPr>
          <w:rStyle w:val="FootnoteReference"/>
        </w:rPr>
        <w:footnoteReference w:id="24"/>
      </w:r>
    </w:p>
    <w:p w:rsidR="007C1F9F" w:rsidRDefault="007C1F9F" w:rsidP="007C1F9F">
      <w:pPr>
        <w:pStyle w:val="AERbodytext"/>
        <w:rPr>
          <w:rStyle w:val="AERtextbolditalics"/>
        </w:rPr>
      </w:pPr>
      <w:r w:rsidRPr="005B4FE1">
        <w:rPr>
          <w:rStyle w:val="AERtextbolditalics"/>
        </w:rPr>
        <w:t xml:space="preserve">Pipeline service </w:t>
      </w:r>
      <w:r w:rsidRPr="00695C4B">
        <w:rPr>
          <w:rStyle w:val="AERbody"/>
        </w:rPr>
        <w:t>means</w:t>
      </w:r>
      <w:r>
        <w:rPr>
          <w:rStyle w:val="AERbody"/>
        </w:rPr>
        <w:t>-</w:t>
      </w:r>
    </w:p>
    <w:p w:rsidR="007C1F9F" w:rsidRPr="002F632A" w:rsidRDefault="007C1F9F" w:rsidP="007C1F9F">
      <w:pPr>
        <w:pStyle w:val="AERnumberedlistsecondstyle"/>
        <w:rPr>
          <w:rStyle w:val="AERbody"/>
        </w:rPr>
      </w:pPr>
      <w:r w:rsidRPr="002F632A">
        <w:rPr>
          <w:rStyle w:val="AERbody"/>
        </w:rPr>
        <w:t>a service provided by means of a pipeline, including</w:t>
      </w:r>
    </w:p>
    <w:p w:rsidR="007C1F9F" w:rsidRPr="002F632A" w:rsidRDefault="007C1F9F" w:rsidP="007C1F9F">
      <w:pPr>
        <w:pStyle w:val="AERnumberedlistthirdstyle"/>
        <w:rPr>
          <w:rStyle w:val="AERbody"/>
        </w:rPr>
      </w:pPr>
      <w:r w:rsidRPr="002F632A">
        <w:rPr>
          <w:rStyle w:val="AERbody"/>
        </w:rPr>
        <w:t xml:space="preserve">a haulage service (such as firm haulage, interruptible haulage, spot haulage and backhaul); and </w:t>
      </w:r>
    </w:p>
    <w:p w:rsidR="007C1F9F" w:rsidRPr="002F632A" w:rsidRDefault="007C1F9F" w:rsidP="007C1F9F">
      <w:pPr>
        <w:pStyle w:val="AERnumberedlistthirdstyle"/>
        <w:rPr>
          <w:rStyle w:val="AERbody"/>
        </w:rPr>
      </w:pPr>
      <w:r w:rsidRPr="002F632A">
        <w:rPr>
          <w:rStyle w:val="AERbody"/>
        </w:rPr>
        <w:t xml:space="preserve">a service providing for, or facilitating, the interconnection of pipelines; and </w:t>
      </w:r>
    </w:p>
    <w:p w:rsidR="007C1F9F" w:rsidRPr="002F632A" w:rsidRDefault="007C1F9F" w:rsidP="007C1F9F">
      <w:pPr>
        <w:pStyle w:val="AERnumberedlistsecondstyle"/>
        <w:rPr>
          <w:rStyle w:val="AERbody"/>
        </w:rPr>
      </w:pPr>
      <w:r w:rsidRPr="002F632A">
        <w:rPr>
          <w:rStyle w:val="AERbody"/>
        </w:rPr>
        <w:t xml:space="preserve">a service ancillary to the provision of a service referred to in paragraph (a), </w:t>
      </w:r>
    </w:p>
    <w:p w:rsidR="007C1F9F" w:rsidRDefault="007C1F9F" w:rsidP="007C1F9F">
      <w:pPr>
        <w:pStyle w:val="AERbodytext"/>
        <w:rPr>
          <w:rStyle w:val="AERbody"/>
        </w:rPr>
      </w:pPr>
      <w:r w:rsidRPr="002F632A">
        <w:rPr>
          <w:rStyle w:val="AERbody"/>
        </w:rPr>
        <w:t>but does not include the production, sale or purchase of natural gas or processable gas</w:t>
      </w:r>
      <w:r>
        <w:rPr>
          <w:rStyle w:val="AERbody"/>
        </w:rPr>
        <w:t>.</w:t>
      </w:r>
    </w:p>
    <w:p w:rsidR="007C1F9F" w:rsidRDefault="007C1F9F" w:rsidP="007C1F9F">
      <w:pPr>
        <w:pStyle w:val="AERbodytext"/>
      </w:pPr>
      <w:r>
        <w:t xml:space="preserve">Under the above definition, the AER considers that </w:t>
      </w:r>
      <w:r w:rsidRPr="002F632A">
        <w:t xml:space="preserve">AMDQ </w:t>
      </w:r>
      <w:r>
        <w:t>CC should be classified as a pipeline service</w:t>
      </w:r>
      <w:r w:rsidRPr="002F632A">
        <w:t>. Th</w:t>
      </w:r>
      <w:r>
        <w:t>is is because</w:t>
      </w:r>
      <w:r w:rsidRPr="002F632A">
        <w:t xml:space="preserve"> AMDQ </w:t>
      </w:r>
      <w:r>
        <w:t xml:space="preserve">CC </w:t>
      </w:r>
      <w:r w:rsidRPr="002F632A">
        <w:t xml:space="preserve">is a service provided by APA GasNet </w:t>
      </w:r>
      <w:r>
        <w:t xml:space="preserve">by means of a pipeline and, in the alternative, a service ancillary to the haulage transmission service. </w:t>
      </w:r>
    </w:p>
    <w:p w:rsidR="007C1F9F" w:rsidRDefault="007C1F9F" w:rsidP="007C1F9F">
      <w:pPr>
        <w:pStyle w:val="AERbodytext"/>
      </w:pPr>
      <w:r>
        <w:t xml:space="preserve">APA GasNet submits that AMDQ CC is </w:t>
      </w:r>
      <w:r w:rsidRPr="003147F4">
        <w:t>not related to the delivery of a physical service</w:t>
      </w:r>
      <w:r>
        <w:t xml:space="preserve"> (</w:t>
      </w:r>
      <w:r w:rsidRPr="003147F4">
        <w:t>such as haulage or pipeline interconnection services</w:t>
      </w:r>
      <w:r>
        <w:t>)</w:t>
      </w:r>
      <w:r w:rsidRPr="003147F4">
        <w:t xml:space="preserve">. </w:t>
      </w:r>
      <w:r>
        <w:t xml:space="preserve">For this reason, it considers </w:t>
      </w:r>
      <w:r w:rsidRPr="003147F4">
        <w:t>that AMDQ CC is not a pipeline service and should be unregulated.</w:t>
      </w:r>
      <w:r>
        <w:rPr>
          <w:rStyle w:val="FootnoteReference"/>
        </w:rPr>
        <w:footnoteReference w:id="25"/>
      </w:r>
      <w:r>
        <w:t xml:space="preserve"> This position is consistent with the position taken by APA GasNet during the review of the 2008–12 access arrangement by the ACCC in 2007 and 2008.</w:t>
      </w:r>
      <w:r>
        <w:rPr>
          <w:rStyle w:val="FootnoteReference"/>
        </w:rPr>
        <w:footnoteReference w:id="26"/>
      </w:r>
      <w:r>
        <w:t xml:space="preserve"> The ACCC at that time considered that the AMDQ CC was a pipeline service under the provisions of the Gas Code for the reasons set out in its draft decision.</w:t>
      </w:r>
      <w:r>
        <w:rPr>
          <w:rStyle w:val="FootnoteReference"/>
        </w:rPr>
        <w:footnoteReference w:id="27"/>
      </w:r>
      <w:r>
        <w:t xml:space="preserve"> The provisions in the Gas Code are largely reflected in the definition of a pipeline service under the NGL.</w:t>
      </w:r>
      <w:r>
        <w:rPr>
          <w:rStyle w:val="FootnoteReference"/>
        </w:rPr>
        <w:footnoteReference w:id="28"/>
      </w:r>
      <w:r>
        <w:t xml:space="preserve"> The AER considers that the ACCC's reasoning is consistent with its own conclusions as set out above, and as such AMDQ CC is a pipeline service. </w:t>
      </w:r>
    </w:p>
    <w:p w:rsidR="007C1F9F" w:rsidRDefault="007C1F9F" w:rsidP="007C1F9F">
      <w:pPr>
        <w:pStyle w:val="AERbodytext"/>
        <w:rPr>
          <w:rStyle w:val="AERbody"/>
        </w:rPr>
      </w:pPr>
      <w:r>
        <w:t xml:space="preserve">The AER has further considered whether AMDQ CC as a pipeline service is a reference service. Australian Power Gas submitted that it is a reference service or alternatively a rebateable service. Relevant to this assessment is information provided by </w:t>
      </w:r>
      <w:r w:rsidRPr="002F632A">
        <w:t xml:space="preserve">APA GasNet </w:t>
      </w:r>
      <w:r>
        <w:t xml:space="preserve">that it </w:t>
      </w:r>
      <w:r w:rsidRPr="002F632A">
        <w:t>has re-tendered the majority of its AMDQ CC in 2011 for a period of five years, commencing on 1 January 2013.</w:t>
      </w:r>
      <w:r>
        <w:rPr>
          <w:rStyle w:val="FootnoteReference"/>
        </w:rPr>
        <w:footnoteReference w:id="29"/>
      </w:r>
      <w:r w:rsidRPr="002F632A">
        <w:t xml:space="preserve"> On this basis, </w:t>
      </w:r>
      <w:r>
        <w:t>the AER considers</w:t>
      </w:r>
      <w:r w:rsidRPr="002F632A">
        <w:t xml:space="preserve"> that the AMDQ CC service is likely to be sought by a significant part of the market</w:t>
      </w:r>
      <w:r>
        <w:t>, at least for</w:t>
      </w:r>
      <w:r w:rsidRPr="002F632A">
        <w:t xml:space="preserve"> the 2013–17 access arrangement period</w:t>
      </w:r>
      <w:r>
        <w:t xml:space="preserve"> and as such, AMDQ CC is a reference service under r. 101.</w:t>
      </w:r>
      <w:r>
        <w:rPr>
          <w:rStyle w:val="FootnoteReference"/>
        </w:rPr>
        <w:footnoteReference w:id="30"/>
      </w:r>
      <w:r>
        <w:t xml:space="preserve">  </w:t>
      </w:r>
    </w:p>
    <w:p w:rsidR="007C1F9F" w:rsidRPr="00CC2D3B" w:rsidRDefault="007C1F9F" w:rsidP="007C1F9F">
      <w:pPr>
        <w:pStyle w:val="AERbodytext"/>
        <w:rPr>
          <w:rStyle w:val="AERbody"/>
        </w:rPr>
      </w:pPr>
      <w:r w:rsidRPr="00CC2D3B">
        <w:rPr>
          <w:rStyle w:val="AERbody"/>
        </w:rPr>
        <w:t>Australia</w:t>
      </w:r>
      <w:r>
        <w:rPr>
          <w:rStyle w:val="AERbody"/>
        </w:rPr>
        <w:t>n</w:t>
      </w:r>
      <w:r w:rsidRPr="00CC2D3B">
        <w:rPr>
          <w:rStyle w:val="AERbody"/>
        </w:rPr>
        <w:t xml:space="preserve"> Power and Gas</w:t>
      </w:r>
      <w:r>
        <w:rPr>
          <w:rStyle w:val="AERbody"/>
        </w:rPr>
        <w:t xml:space="preserve"> submitted that AMDQ CC should be classified as a rebateable service</w:t>
      </w:r>
      <w:r w:rsidRPr="00CC2D3B">
        <w:rPr>
          <w:rStyle w:val="AERbody"/>
        </w:rPr>
        <w:t xml:space="preserve">. </w:t>
      </w:r>
      <w:r>
        <w:rPr>
          <w:rStyle w:val="AERbody"/>
        </w:rPr>
        <w:t>If classified as a rebateable service</w:t>
      </w:r>
      <w:r w:rsidRPr="00CC2D3B">
        <w:rPr>
          <w:rStyle w:val="AERbody"/>
        </w:rPr>
        <w:t>, the price for AMDQ CC could be determined by a tender process</w:t>
      </w:r>
      <w:r>
        <w:rPr>
          <w:rStyle w:val="AERbody"/>
        </w:rPr>
        <w:t xml:space="preserve"> and the</w:t>
      </w:r>
      <w:r w:rsidRPr="00CC2D3B">
        <w:rPr>
          <w:rStyle w:val="AERbody"/>
        </w:rPr>
        <w:t xml:space="preserve"> revenue generated by the AMDQ CC (e</w:t>
      </w:r>
      <w:r>
        <w:rPr>
          <w:rStyle w:val="AERbody"/>
        </w:rPr>
        <w:t>.</w:t>
      </w:r>
      <w:r w:rsidRPr="00CC2D3B">
        <w:rPr>
          <w:rStyle w:val="AERbody"/>
        </w:rPr>
        <w:t xml:space="preserve">g. based on the receipts of the tender process) would be rebated partially to users who pay for the cost of the relevant pipeline assets through the annual tariff variation process. An appropriate portion of the revenue would be retained by APA GasNet to cover the costs </w:t>
      </w:r>
      <w:r>
        <w:rPr>
          <w:rStyle w:val="AERbody"/>
        </w:rPr>
        <w:t>of</w:t>
      </w:r>
      <w:r w:rsidRPr="00CC2D3B">
        <w:rPr>
          <w:rStyle w:val="AERbody"/>
        </w:rPr>
        <w:t xml:space="preserve"> providing the service and to maintain its incentive to offer AMDQ CC.</w:t>
      </w:r>
      <w:r>
        <w:rPr>
          <w:rStyle w:val="AERbody"/>
        </w:rPr>
        <w:t xml:space="preserve"> </w:t>
      </w:r>
    </w:p>
    <w:p w:rsidR="007C1F9F" w:rsidRPr="00CC2D3B" w:rsidRDefault="007C1F9F" w:rsidP="007C1F9F">
      <w:pPr>
        <w:pStyle w:val="AERbodytext"/>
        <w:rPr>
          <w:rStyle w:val="AERbody"/>
        </w:rPr>
      </w:pPr>
      <w:r w:rsidRPr="00B408AB">
        <w:t xml:space="preserve">The AER </w:t>
      </w:r>
      <w:r>
        <w:t xml:space="preserve">accepts that </w:t>
      </w:r>
      <w:r w:rsidRPr="00B408AB">
        <w:t xml:space="preserve">the pricing of AMDQ CC through a </w:t>
      </w:r>
      <w:r>
        <w:t>tender</w:t>
      </w:r>
      <w:r w:rsidRPr="00B408AB">
        <w:t xml:space="preserve"> process is </w:t>
      </w:r>
      <w:r>
        <w:t>efficient. This</w:t>
      </w:r>
      <w:r w:rsidRPr="00B408AB">
        <w:t xml:space="preserve"> provides an investment signal in term</w:t>
      </w:r>
      <w:r>
        <w:t>s</w:t>
      </w:r>
      <w:r w:rsidRPr="00B408AB">
        <w:t xml:space="preserve"> of the cost of network capacity constraints.</w:t>
      </w:r>
      <w:r>
        <w:t xml:space="preserve"> </w:t>
      </w:r>
      <w:r w:rsidRPr="00CC2D3B">
        <w:rPr>
          <w:rStyle w:val="AERbody"/>
        </w:rPr>
        <w:t xml:space="preserve">However, </w:t>
      </w:r>
      <w:r>
        <w:rPr>
          <w:rStyle w:val="AERbody"/>
        </w:rPr>
        <w:t>a pipeline service can only be a rebateable service if, amongst other factors, it is not a reference service and if the market for the service is substantially different from the market for any reference service.</w:t>
      </w:r>
      <w:r>
        <w:rPr>
          <w:rStyle w:val="FootnoteReference"/>
        </w:rPr>
        <w:footnoteReference w:id="31"/>
      </w:r>
      <w:r>
        <w:rPr>
          <w:rStyle w:val="AERbody"/>
        </w:rPr>
        <w:t xml:space="preserve"> G</w:t>
      </w:r>
      <w:r w:rsidRPr="00CC2D3B">
        <w:rPr>
          <w:rStyle w:val="AERbody"/>
        </w:rPr>
        <w:t xml:space="preserve">iven that the AMDQ CC is </w:t>
      </w:r>
      <w:r>
        <w:rPr>
          <w:rStyle w:val="AERbody"/>
        </w:rPr>
        <w:t xml:space="preserve">a reference service because it is likely to be sought by a significant part of the market, and as it is </w:t>
      </w:r>
      <w:r w:rsidRPr="00CC2D3B">
        <w:rPr>
          <w:rStyle w:val="AERbody"/>
        </w:rPr>
        <w:t xml:space="preserve">offered in the same market as the haulage reference service, </w:t>
      </w:r>
      <w:r>
        <w:rPr>
          <w:rStyle w:val="AERbody"/>
        </w:rPr>
        <w:t>the AER cannot classify AMDQ CC as a rebateable service.</w:t>
      </w:r>
      <w:r w:rsidRPr="00CC2D3B">
        <w:rPr>
          <w:rStyle w:val="AERbody"/>
        </w:rPr>
        <w:t xml:space="preserve"> </w:t>
      </w:r>
    </w:p>
    <w:p w:rsidR="007C1F9F" w:rsidRDefault="007C1F9F" w:rsidP="007C1F9F">
      <w:pPr>
        <w:pStyle w:val="AERheading3"/>
        <w:numPr>
          <w:ilvl w:val="2"/>
          <w:numId w:val="7"/>
        </w:numPr>
        <w:tabs>
          <w:tab w:val="clear" w:pos="-357"/>
          <w:tab w:val="num" w:pos="0"/>
        </w:tabs>
        <w:ind w:left="0" w:hanging="714"/>
      </w:pPr>
      <w:r w:rsidRPr="00FA55EF">
        <w:t xml:space="preserve">Setting a reference tariff for AMDQ CC </w:t>
      </w:r>
    </w:p>
    <w:p w:rsidR="007C1F9F" w:rsidRDefault="007C1F9F" w:rsidP="007C1F9F">
      <w:pPr>
        <w:pStyle w:val="AERbodytext"/>
      </w:pPr>
      <w:r>
        <w:t xml:space="preserve">To derive the reference tariffs for AMDQ CC, it is necessary to allocate the costs of the pipeline assets which provide both the tariffed reference service and the AMDQ CC service between these two services. </w:t>
      </w:r>
    </w:p>
    <w:p w:rsidR="007C1F9F" w:rsidRPr="0018296D" w:rsidRDefault="007C1F9F" w:rsidP="007C1F9F">
      <w:pPr>
        <w:pStyle w:val="AERbodytext"/>
      </w:pPr>
      <w:r>
        <w:t xml:space="preserve">Rule 93 of the NGR requires that </w:t>
      </w:r>
      <w:r w:rsidRPr="002F632A">
        <w:t>the costs directly attributable to reference services are to be allocated to those services</w:t>
      </w:r>
      <w:r>
        <w:t>, and r. 95 requires that a</w:t>
      </w:r>
      <w:r w:rsidRPr="0018296D">
        <w:t xml:space="preserve"> tariff for a reference service </w:t>
      </w:r>
      <w:r>
        <w:t xml:space="preserve">must be designed </w:t>
      </w:r>
      <w:r w:rsidRPr="0018296D">
        <w:t>to generate from the provision of each reference service the portion of total revenue referable to that reference service</w:t>
      </w:r>
      <w:r>
        <w:t>.</w:t>
      </w:r>
      <w:r w:rsidRPr="0018296D">
        <w:t xml:space="preserve"> </w:t>
      </w:r>
    </w:p>
    <w:p w:rsidR="007C1F9F" w:rsidRDefault="007C1F9F" w:rsidP="007C1F9F">
      <w:pPr>
        <w:pStyle w:val="AERbodytext"/>
      </w:pPr>
      <w:r>
        <w:t>Since the same regulated assets are used to provide both haulage and AMDQ CC services, the cost for pipeline assets could be allocated to both services. A common allocation approach is to separate the pipeline asset costs based on the avoidable cost for each service. However, the avoidable cost for haulage and AMDQ CC services is likely to be zero given that the provision of any one of these services requires the same regulated assets. For example, the cost that can be avoided by not providing the AMDQ CC service is very low because without AMDQ CC, users are still required to pay for the full cost of the pipeline assets that provide the haulage service. Given the difficulty of allocating the cost of shared regulated assets across the haulage and AMDQ CC service, it is likely that any reference tariffs derived on this basis are likely to result in an inefficient mix of tariffs for both services.</w:t>
      </w:r>
      <w:r w:rsidRPr="00235F87">
        <w:t xml:space="preserve"> </w:t>
      </w:r>
    </w:p>
    <w:p w:rsidR="007C1F9F" w:rsidRDefault="007C1F9F" w:rsidP="007C1F9F">
      <w:pPr>
        <w:pStyle w:val="AERbodytext"/>
      </w:pPr>
      <w:r>
        <w:t xml:space="preserve">Alternatively, as the AER considers that the AMDQ CC is also </w:t>
      </w:r>
      <w:r w:rsidRPr="00235F87">
        <w:t xml:space="preserve">a service ancillary to the provision of </w:t>
      </w:r>
      <w:r>
        <w:t xml:space="preserve">the haulage service by the means of the pipeline, the </w:t>
      </w:r>
      <w:r w:rsidRPr="00235F87">
        <w:t xml:space="preserve">haulage service </w:t>
      </w:r>
      <w:r>
        <w:t xml:space="preserve">can be allocated the full </w:t>
      </w:r>
      <w:r w:rsidRPr="002F632A">
        <w:t xml:space="preserve">cost </w:t>
      </w:r>
      <w:r>
        <w:t xml:space="preserve">of the </w:t>
      </w:r>
      <w:r w:rsidRPr="002F632A">
        <w:t>pipeline assets</w:t>
      </w:r>
      <w:r w:rsidRPr="00235F87">
        <w:t xml:space="preserve">. </w:t>
      </w:r>
      <w:r>
        <w:t xml:space="preserve">The costs for the provision of the AMDQ CC service can be derived based on the incremental </w:t>
      </w:r>
      <w:r w:rsidRPr="00235F87">
        <w:t>costs</w:t>
      </w:r>
      <w:r>
        <w:t>, that is, the costs</w:t>
      </w:r>
      <w:r w:rsidRPr="00235F87">
        <w:t xml:space="preserve"> associated with the tender process and any follow up administrative costs</w:t>
      </w:r>
      <w:r>
        <w:t>.</w:t>
      </w:r>
      <w:r w:rsidRPr="00235F87">
        <w:t xml:space="preserve"> </w:t>
      </w:r>
      <w:r>
        <w:t>Under this approach,</w:t>
      </w:r>
      <w:r w:rsidRPr="00E84938">
        <w:t xml:space="preserve"> </w:t>
      </w:r>
      <w:r>
        <w:t xml:space="preserve">the </w:t>
      </w:r>
      <w:r w:rsidRPr="002F632A">
        <w:t>reference tariff</w:t>
      </w:r>
      <w:r>
        <w:t xml:space="preserve"> for the haulage service will reflect the full cost of the pipeline assets used to provide the haulage service, while the reference tariff for AMDQ CC will reflect the additional cost users need to pay to obtain the preferential rights to access the haulage service under the contracted terms and conditions. </w:t>
      </w:r>
      <w:r w:rsidRPr="00504CE0">
        <w:t>Using the current contracted AMDQ CC volumes and an estimate of the administrative costs</w:t>
      </w:r>
      <w:r>
        <w:t>, the AER has calculated an initial reference tariff for AMDQ CC of $0.0025 per GJ (</w:t>
      </w:r>
      <w:r w:rsidR="002D7BA9">
        <w:t>$</w:t>
      </w:r>
      <w:r>
        <w:t>2013).</w:t>
      </w:r>
      <w:r>
        <w:rPr>
          <w:rStyle w:val="FootnoteReference"/>
        </w:rPr>
        <w:footnoteReference w:id="32"/>
      </w:r>
      <w:r>
        <w:t xml:space="preserve"> </w:t>
      </w:r>
    </w:p>
    <w:p w:rsidR="007C1F9F" w:rsidRDefault="007C1F9F" w:rsidP="007C1F9F">
      <w:pPr>
        <w:pStyle w:val="AERbodytext"/>
      </w:pPr>
      <w:r>
        <w:t xml:space="preserve">The AER acknowledges that the AMDQ CC reference tariff derived on this basis is significantly lower </w:t>
      </w:r>
      <w:r w:rsidRPr="0018296D">
        <w:t xml:space="preserve">than the </w:t>
      </w:r>
      <w:r w:rsidRPr="00D66225">
        <w:rPr>
          <w:rFonts w:eastAsia="Calibri"/>
        </w:rPr>
        <w:t>value market participants place on those certificates</w:t>
      </w:r>
      <w:r w:rsidRPr="0018296D">
        <w:t xml:space="preserve"> as reflected by the tendered price.</w:t>
      </w:r>
      <w:r>
        <w:t xml:space="preserve"> </w:t>
      </w:r>
      <w:r w:rsidRPr="00235F87">
        <w:t xml:space="preserve">This </w:t>
      </w:r>
      <w:r>
        <w:t xml:space="preserve">may reduce the effectiveness of the AMDQ CC as an </w:t>
      </w:r>
      <w:r w:rsidRPr="00235F87">
        <w:rPr>
          <w:rStyle w:val="AERbody"/>
        </w:rPr>
        <w:t xml:space="preserve">investment signal in terms of costs and congestion on the pipeline. </w:t>
      </w:r>
      <w:r>
        <w:rPr>
          <w:rStyle w:val="AERbody"/>
        </w:rPr>
        <w:t xml:space="preserve">However, </w:t>
      </w:r>
      <w:r w:rsidRPr="00272240">
        <w:t>the AE</w:t>
      </w:r>
      <w:r>
        <w:t>R considers this approach best</w:t>
      </w:r>
      <w:r w:rsidRPr="00272240">
        <w:t xml:space="preserve"> meets the revenue and pricing principle</w:t>
      </w:r>
      <w:r>
        <w:t>s</w:t>
      </w:r>
      <w:r w:rsidRPr="00272240">
        <w:t xml:space="preserve"> </w:t>
      </w:r>
      <w:r>
        <w:t xml:space="preserve">by </w:t>
      </w:r>
      <w:r w:rsidRPr="00272240">
        <w:t>maintain</w:t>
      </w:r>
      <w:r>
        <w:t>ing</w:t>
      </w:r>
      <w:r w:rsidRPr="00272240">
        <w:t xml:space="preserve"> the cost reflectivity of the reference haulage tariff.</w:t>
      </w:r>
      <w:r>
        <w:t xml:space="preserve"> </w:t>
      </w:r>
    </w:p>
    <w:p w:rsidR="007C1F9F" w:rsidRDefault="007C1F9F" w:rsidP="007C1F9F">
      <w:pPr>
        <w:pStyle w:val="AERbodytext"/>
      </w:pPr>
      <w:r>
        <w:t>The AER has considered TRUenergy's submission but considers that it is not possible to adjust the price control formula in Schedule D of the access arrangement to make it compulsory for APA GasNet in the 2013</w:t>
      </w:r>
      <w:r w:rsidRPr="00126898">
        <w:rPr>
          <w:rStyle w:val="AERbody"/>
        </w:rPr>
        <w:t>–</w:t>
      </w:r>
      <w:r>
        <w:t>17 access arrangement period to include actual volumes from AMDQ CC every year. This is because AMDQ CC is a separate service from the haulage service.</w:t>
      </w:r>
    </w:p>
    <w:p w:rsidR="007C1F9F" w:rsidRDefault="007C1F9F" w:rsidP="007C1F9F">
      <w:pPr>
        <w:pStyle w:val="AERbodytext"/>
      </w:pPr>
      <w:r>
        <w:t xml:space="preserve">The AER acknowledges that AMDQ CC </w:t>
      </w:r>
      <w:r w:rsidRPr="00126898">
        <w:rPr>
          <w:rStyle w:val="AERbody"/>
        </w:rPr>
        <w:t>contract</w:t>
      </w:r>
      <w:r>
        <w:rPr>
          <w:rStyle w:val="AERbody"/>
        </w:rPr>
        <w:t>s</w:t>
      </w:r>
      <w:r w:rsidRPr="00126898">
        <w:rPr>
          <w:rStyle w:val="AERbody"/>
        </w:rPr>
        <w:t xml:space="preserve"> </w:t>
      </w:r>
      <w:r>
        <w:rPr>
          <w:rStyle w:val="AERbody"/>
        </w:rPr>
        <w:t xml:space="preserve">are currently in place and that as a result </w:t>
      </w:r>
      <w:r w:rsidRPr="00102B58">
        <w:rPr>
          <w:rStyle w:val="AERbody"/>
        </w:rPr>
        <w:t>AMDQ CC</w:t>
      </w:r>
      <w:r>
        <w:rPr>
          <w:rStyle w:val="AERbody"/>
        </w:rPr>
        <w:t xml:space="preserve"> reference tariffs associated with the existing pipeline capacity will have no effect in the 2013–17 access arrangement period. This will reduce</w:t>
      </w:r>
      <w:r w:rsidRPr="00126898">
        <w:rPr>
          <w:rStyle w:val="AERbody"/>
        </w:rPr>
        <w:t xml:space="preserve"> the effectiveness of the reference tariff </w:t>
      </w:r>
      <w:r>
        <w:rPr>
          <w:rStyle w:val="AERbody"/>
        </w:rPr>
        <w:t>in</w:t>
      </w:r>
      <w:r w:rsidRPr="00126898">
        <w:rPr>
          <w:rStyle w:val="AERbody"/>
        </w:rPr>
        <w:t xml:space="preserve"> addressing the over recovery of revenue, at least for the 2013–17 access arrangement period.</w:t>
      </w:r>
    </w:p>
    <w:p w:rsidR="007C1F9F" w:rsidRPr="00B62209" w:rsidRDefault="007C1F9F" w:rsidP="007C1F9F">
      <w:pPr>
        <w:pStyle w:val="AERheading2"/>
        <w:numPr>
          <w:ilvl w:val="1"/>
          <w:numId w:val="7"/>
        </w:numPr>
        <w:tabs>
          <w:tab w:val="clear" w:pos="4317"/>
          <w:tab w:val="num" w:pos="0"/>
        </w:tabs>
        <w:ind w:left="0" w:hanging="720"/>
      </w:pPr>
      <w:bookmarkStart w:id="11" w:name="_Toc334543753"/>
      <w:r>
        <w:t>Revisions</w:t>
      </w:r>
      <w:bookmarkEnd w:id="11"/>
    </w:p>
    <w:p w:rsidR="007C1F9F" w:rsidRPr="00E727B9" w:rsidRDefault="007C1F9F" w:rsidP="007C1F9F">
      <w:pPr>
        <w:pStyle w:val="AERbodytext"/>
      </w:pPr>
      <w:r w:rsidRPr="00E727B9">
        <w:t>The AER requires the following revisions to make the access arrangement proposal acceptable:</w:t>
      </w:r>
    </w:p>
    <w:p w:rsidR="007C1F9F" w:rsidRPr="00987797" w:rsidRDefault="007C1F9F" w:rsidP="007C1F9F">
      <w:pPr>
        <w:pStyle w:val="AERrevisionbox"/>
        <w:rPr>
          <w:rStyle w:val="AERtextbold"/>
        </w:rPr>
      </w:pPr>
      <w:r>
        <w:rPr>
          <w:rStyle w:val="AERtextbold"/>
        </w:rPr>
        <w:t>Revision</w:t>
      </w:r>
      <w:r w:rsidRPr="00987797">
        <w:rPr>
          <w:rStyle w:val="AERtextbold"/>
        </w:rPr>
        <w:t xml:space="preserve"> 1.1 </w:t>
      </w:r>
    </w:p>
    <w:p w:rsidR="007C1F9F" w:rsidRDefault="007C1F9F" w:rsidP="007C1F9F">
      <w:pPr>
        <w:pStyle w:val="AERrevisionbox"/>
      </w:pPr>
      <w:r>
        <w:t xml:space="preserve">Remove section 2.2 from the access arrangement and replace with the following: </w:t>
      </w:r>
    </w:p>
    <w:p w:rsidR="007C1F9F" w:rsidRDefault="007C1F9F" w:rsidP="007C1F9F">
      <w:pPr>
        <w:pStyle w:val="AERrevisionbox"/>
      </w:pPr>
      <w:r>
        <w:t>The Service Provider will provide two pipeline services under this Access Arrangement:</w:t>
      </w:r>
    </w:p>
    <w:p w:rsidR="007C1F9F" w:rsidRDefault="007C1F9F" w:rsidP="007C1F9F">
      <w:pPr>
        <w:pStyle w:val="AERrevisionbox"/>
      </w:pPr>
      <w:r>
        <w:t>(1) the Reference Service comprising the Tariffed Transmission Service; and</w:t>
      </w:r>
    </w:p>
    <w:p w:rsidR="007C1F9F" w:rsidRDefault="007C1F9F" w:rsidP="007C1F9F">
      <w:pPr>
        <w:pStyle w:val="AERrevisionbox"/>
      </w:pPr>
      <w:r>
        <w:t xml:space="preserve">(2) the AMDQ CC service. </w:t>
      </w:r>
      <w:r w:rsidRPr="00E727B9">
        <w:t xml:space="preserve"> </w:t>
      </w:r>
    </w:p>
    <w:p w:rsidR="007C1F9F" w:rsidRPr="00987797" w:rsidRDefault="007C1F9F" w:rsidP="007C1F9F">
      <w:pPr>
        <w:pStyle w:val="AERrevisionbox"/>
        <w:rPr>
          <w:rStyle w:val="AERtextbold"/>
        </w:rPr>
      </w:pPr>
      <w:r>
        <w:rPr>
          <w:rStyle w:val="AERtextbold"/>
        </w:rPr>
        <w:t>Revision</w:t>
      </w:r>
      <w:r w:rsidRPr="00987797">
        <w:rPr>
          <w:rStyle w:val="AERtextbold"/>
        </w:rPr>
        <w:t xml:space="preserve"> 1.2</w:t>
      </w:r>
    </w:p>
    <w:p w:rsidR="007C1F9F" w:rsidRDefault="007C1F9F" w:rsidP="007C1F9F">
      <w:pPr>
        <w:pStyle w:val="AERrevisionbox"/>
      </w:pPr>
      <w:r>
        <w:t>Insert the following definition to Schedule B of the proposed access arrangement:</w:t>
      </w:r>
    </w:p>
    <w:p w:rsidR="007C1F9F" w:rsidRDefault="007C1F9F" w:rsidP="007C1F9F">
      <w:pPr>
        <w:pStyle w:val="AERrevisionbox"/>
      </w:pPr>
      <w:r>
        <w:t xml:space="preserve">Authorised maximum daily quantity credit certificate (AMDQ CC) has the meaning given to it in the NGR.  </w:t>
      </w:r>
    </w:p>
    <w:p w:rsidR="007C1F9F" w:rsidRDefault="007C1F9F" w:rsidP="007C1F9F">
      <w:pPr>
        <w:pStyle w:val="AERheading1"/>
        <w:numPr>
          <w:ilvl w:val="0"/>
          <w:numId w:val="7"/>
        </w:numPr>
        <w:tabs>
          <w:tab w:val="clear" w:pos="-357"/>
          <w:tab w:val="left" w:pos="0"/>
        </w:tabs>
        <w:ind w:left="-354" w:hanging="360"/>
      </w:pPr>
      <w:bookmarkStart w:id="12" w:name="_Toc334543754"/>
      <w:r>
        <w:t>Capital base</w:t>
      </w:r>
      <w:bookmarkEnd w:id="12"/>
    </w:p>
    <w:p w:rsidR="007C1F9F" w:rsidRDefault="007C1F9F" w:rsidP="007C1F9F">
      <w:pPr>
        <w:pStyle w:val="AERbodytext"/>
      </w:pPr>
      <w:r>
        <w:t xml:space="preserve">The capital base roll forward accounts for the value of APA GasNet's regulated assets over the access arrangement period. The opening capital base value for a regulatory year is rolled forward by indexing it for inflation, adding any conforming capex, and subtracting depreciation and other possible factors (for example, disposals or customer contributions). 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7C1F9F" w:rsidRDefault="007C1F9F" w:rsidP="007C1F9F">
      <w:pPr>
        <w:pStyle w:val="AERbodytext"/>
      </w:pPr>
      <w:r w:rsidRPr="00B61433">
        <w:t xml:space="preserve">The AER is required to make a decision on </w:t>
      </w:r>
      <w:r>
        <w:t>APA GasNet's</w:t>
      </w:r>
      <w:r w:rsidRPr="00B61433">
        <w:t xml:space="preserve"> opening</w:t>
      </w:r>
      <w:r>
        <w:t xml:space="preserve"> capital base as at 1 January 2013 for the 2013–17 access arrangement period. The AER is also required to make a decision</w:t>
      </w:r>
      <w:r w:rsidRPr="00B61433">
        <w:t xml:space="preserve"> </w:t>
      </w:r>
      <w:r>
        <w:t>on APA GasNet's projected capital base for</w:t>
      </w:r>
      <w:r w:rsidRPr="00B61433">
        <w:t xml:space="preserve"> the </w:t>
      </w:r>
      <w:r>
        <w:t>2013–17 access arrangement period.</w:t>
      </w:r>
      <w:r w:rsidRPr="00B61433">
        <w:t xml:space="preserve"> </w:t>
      </w:r>
      <w:r>
        <w:t>This attachment presents the AER's draft decision on these matters.</w:t>
      </w:r>
    </w:p>
    <w:p w:rsidR="007C1F9F" w:rsidRPr="00357DA6" w:rsidRDefault="007C1F9F" w:rsidP="007C1F9F">
      <w:pPr>
        <w:pStyle w:val="AERheading2"/>
        <w:numPr>
          <w:ilvl w:val="1"/>
          <w:numId w:val="7"/>
        </w:numPr>
        <w:tabs>
          <w:tab w:val="clear" w:pos="4317"/>
          <w:tab w:val="num" w:pos="0"/>
        </w:tabs>
        <w:ind w:left="0" w:hanging="720"/>
      </w:pPr>
      <w:bookmarkStart w:id="13" w:name="_Toc334543755"/>
      <w:r w:rsidRPr="004C06CB">
        <w:t>Draft de</w:t>
      </w:r>
      <w:r>
        <w:t>cision</w:t>
      </w:r>
      <w:bookmarkEnd w:id="13"/>
    </w:p>
    <w:p w:rsidR="007C1F9F" w:rsidRPr="007E3923" w:rsidRDefault="007C1F9F" w:rsidP="007C1F9F">
      <w:pPr>
        <w:pStyle w:val="AERbodytext"/>
        <w:rPr>
          <w:rFonts w:eastAsia="Calibri"/>
        </w:rPr>
      </w:pPr>
      <w:r w:rsidRPr="007E3923">
        <w:rPr>
          <w:rFonts w:eastAsia="Calibri"/>
        </w:rPr>
        <w:t>The AER does not approve APA GasNet's proposed opening capital base of $620.6 million ($nominal) as at 1 January 2013 because it considers that some of APA GasNet's inputs into the capital base roll forward model (RFM) do not comply with the NGR.</w:t>
      </w:r>
      <w:r w:rsidRPr="007E3923">
        <w:rPr>
          <w:rStyle w:val="FootnoteReference"/>
          <w:rFonts w:eastAsia="Calibri"/>
        </w:rPr>
        <w:footnoteReference w:id="33"/>
      </w:r>
      <w:r w:rsidRPr="007E3923">
        <w:rPr>
          <w:rFonts w:eastAsia="Calibri"/>
        </w:rPr>
        <w:t xml:space="preserve"> These include:</w:t>
      </w:r>
    </w:p>
    <w:p w:rsidR="007C1F9F" w:rsidRPr="007E3923" w:rsidRDefault="007C1F9F" w:rsidP="007C1F9F">
      <w:pPr>
        <w:pStyle w:val="AERbulletlistfirststyle"/>
        <w:rPr>
          <w:rFonts w:eastAsia="Calibri"/>
        </w:rPr>
      </w:pPr>
      <w:r w:rsidRPr="007E3923">
        <w:rPr>
          <w:rFonts w:eastAsia="Calibri"/>
        </w:rPr>
        <w:t>APA GasNet's proposed inflation input for 2007</w:t>
      </w:r>
    </w:p>
    <w:p w:rsidR="007C1F9F" w:rsidRPr="007E3923" w:rsidRDefault="007C1F9F" w:rsidP="007C1F9F">
      <w:pPr>
        <w:pStyle w:val="AERbulletlistfirststyle"/>
        <w:rPr>
          <w:rFonts w:eastAsia="Calibri"/>
        </w:rPr>
      </w:pPr>
      <w:r>
        <w:t>APA GasNet's proposal not adjusting the capital base for the accumulated return on capital associated with the difference between actual and forecast capex for 2007.</w:t>
      </w:r>
    </w:p>
    <w:p w:rsidR="007C1F9F" w:rsidRPr="007E3923" w:rsidRDefault="007C1F9F" w:rsidP="007C1F9F">
      <w:pPr>
        <w:pStyle w:val="AERbodytext"/>
        <w:rPr>
          <w:rFonts w:eastAsia="Calibri"/>
        </w:rPr>
      </w:pPr>
      <w:r w:rsidRPr="007E3923">
        <w:rPr>
          <w:rFonts w:eastAsia="Calibri"/>
        </w:rPr>
        <w:t xml:space="preserve">After adjusting these inputs, the AER has determined an opening capital base of $612.1 million ($nominal) as at 1 January 2013, which is approximately $8.5 million less than that proposed by APA GasNet. </w:t>
      </w:r>
      <w:r w:rsidR="00DE0D6A" w:rsidRPr="007E3923">
        <w:rPr>
          <w:rFonts w:eastAsia="Calibri"/>
        </w:rPr>
        <w:fldChar w:fldCharType="begin"/>
      </w:r>
      <w:r w:rsidRPr="007E3923">
        <w:rPr>
          <w:rFonts w:eastAsia="Calibri"/>
        </w:rPr>
        <w:instrText xml:space="preserve"> REF _Ref332957823 \r \h </w:instrText>
      </w:r>
      <w:r w:rsidR="00DE0D6A" w:rsidRPr="007E3923">
        <w:rPr>
          <w:rFonts w:eastAsia="Calibri"/>
        </w:rPr>
      </w:r>
      <w:r w:rsidR="00DE0D6A" w:rsidRPr="007E3923">
        <w:rPr>
          <w:rFonts w:eastAsia="Calibri"/>
        </w:rPr>
        <w:fldChar w:fldCharType="separate"/>
      </w:r>
      <w:r>
        <w:rPr>
          <w:rFonts w:eastAsia="Calibri"/>
        </w:rPr>
        <w:t>Table 2.1</w:t>
      </w:r>
      <w:r w:rsidR="00DE0D6A" w:rsidRPr="007E3923">
        <w:rPr>
          <w:rFonts w:eastAsia="Calibri"/>
        </w:rPr>
        <w:fldChar w:fldCharType="end"/>
      </w:r>
      <w:r w:rsidRPr="007E3923">
        <w:rPr>
          <w:rFonts w:eastAsia="Calibri"/>
        </w:rPr>
        <w:t xml:space="preserve"> summarises the AER's draft decision on the roll forward of APA GasNet's capital base during the 2008–12 access arrangement period. </w:t>
      </w:r>
    </w:p>
    <w:p w:rsidR="007C1F9F" w:rsidRPr="00357DA6" w:rsidRDefault="007C1F9F" w:rsidP="007C1F9F">
      <w:pPr>
        <w:pStyle w:val="AERbodytext"/>
      </w:pPr>
      <w:r w:rsidRPr="00357DA6">
        <w:t xml:space="preserve">The AER approves some aspects of </w:t>
      </w:r>
      <w:r>
        <w:t>APA GasNet</w:t>
      </w:r>
      <w:r w:rsidRPr="00357DA6">
        <w:t xml:space="preserve">'s proposal to determine the opening capital base </w:t>
      </w:r>
      <w:r>
        <w:t xml:space="preserve">as </w:t>
      </w:r>
      <w:r w:rsidRPr="00357DA6">
        <w:t>at 1 January 2013</w:t>
      </w:r>
      <w:r>
        <w:t>. These</w:t>
      </w:r>
      <w:r w:rsidRPr="00357DA6">
        <w:t xml:space="preserve"> includ</w:t>
      </w:r>
      <w:r>
        <w:t>e</w:t>
      </w:r>
      <w:r w:rsidRPr="00357DA6">
        <w:t>:</w:t>
      </w:r>
    </w:p>
    <w:p w:rsidR="007C1F9F" w:rsidRPr="00357DA6" w:rsidRDefault="007C1F9F" w:rsidP="007C1F9F">
      <w:pPr>
        <w:pStyle w:val="AERbulletlistfirststyle"/>
      </w:pPr>
      <w:r w:rsidRPr="00357DA6">
        <w:t xml:space="preserve">the opening </w:t>
      </w:r>
      <w:r>
        <w:t>capital</w:t>
      </w:r>
      <w:r w:rsidRPr="00357DA6">
        <w:t xml:space="preserve"> base at 1 January 2007</w:t>
      </w:r>
      <w:r>
        <w:t>,</w:t>
      </w:r>
      <w:r w:rsidRPr="00357DA6">
        <w:t xml:space="preserve"> which is consistent with the value</w:t>
      </w:r>
      <w:r>
        <w:t xml:space="preserve"> adopted</w:t>
      </w:r>
      <w:r w:rsidRPr="00357DA6">
        <w:t xml:space="preserve"> in the </w:t>
      </w:r>
      <w:r>
        <w:t>ACCC's</w:t>
      </w:r>
      <w:r w:rsidRPr="00357DA6">
        <w:t xml:space="preserve"> final decision for the </w:t>
      </w:r>
      <w:r>
        <w:t>2008–12</w:t>
      </w:r>
      <w:r w:rsidRPr="00357DA6">
        <w:t xml:space="preserve"> </w:t>
      </w:r>
      <w:r>
        <w:t>gas access arrangement review</w:t>
      </w:r>
    </w:p>
    <w:p w:rsidR="007C1F9F" w:rsidRPr="00357DA6" w:rsidRDefault="007C1F9F" w:rsidP="007C1F9F">
      <w:pPr>
        <w:pStyle w:val="AERbulletlistfirststyle"/>
      </w:pPr>
      <w:r w:rsidRPr="00357DA6">
        <w:t xml:space="preserve">the use of forecast depreciation as set by the </w:t>
      </w:r>
      <w:r>
        <w:t>ACCC</w:t>
      </w:r>
      <w:r w:rsidRPr="00357DA6">
        <w:t>.</w:t>
      </w:r>
    </w:p>
    <w:p w:rsidR="007C1F9F" w:rsidRPr="007A272E" w:rsidRDefault="007C1F9F" w:rsidP="007C1F9F">
      <w:pPr>
        <w:pStyle w:val="AERtabletitle"/>
      </w:pPr>
      <w:bookmarkStart w:id="14" w:name="_Ref332728137"/>
      <w:r>
        <w:br w:type="page"/>
      </w:r>
      <w:bookmarkStart w:id="15" w:name="_Ref332957823"/>
      <w:r w:rsidRPr="00A17022">
        <w:t>AER</w:t>
      </w:r>
      <w:r>
        <w:t>'s</w:t>
      </w:r>
      <w:r w:rsidRPr="00A17022">
        <w:t xml:space="preserve"> draft de</w:t>
      </w:r>
      <w:r w:rsidRPr="007A272E">
        <w:t xml:space="preserve">cision on </w:t>
      </w:r>
      <w:r>
        <w:t>APA GasNet's</w:t>
      </w:r>
      <w:r w:rsidRPr="007A272E">
        <w:t xml:space="preserve"> capital base roll forward for the 2008–12</w:t>
      </w:r>
      <w:r w:rsidRPr="007E3923">
        <w:rPr>
          <w:rFonts w:eastAsia="Calibri"/>
        </w:rPr>
        <w:t xml:space="preserve"> access arrangement period</w:t>
      </w:r>
      <w:r w:rsidRPr="007A272E">
        <w:t xml:space="preserve"> ($million, </w:t>
      </w:r>
      <w:r>
        <w:t>nominal</w:t>
      </w:r>
      <w:r w:rsidRPr="007A272E">
        <w:t>)</w:t>
      </w:r>
      <w:bookmarkEnd w:id="14"/>
      <w:bookmarkEnd w:id="15"/>
      <w:r w:rsidRPr="007A272E">
        <w:tab/>
      </w:r>
    </w:p>
    <w:tbl>
      <w:tblPr>
        <w:tblW w:w="8613" w:type="dxa"/>
        <w:tblBorders>
          <w:top w:val="single" w:sz="4" w:space="0" w:color="auto"/>
          <w:bottom w:val="single" w:sz="4" w:space="0" w:color="auto"/>
        </w:tblBorders>
        <w:tblLook w:val="04E0"/>
      </w:tblPr>
      <w:tblGrid>
        <w:gridCol w:w="1888"/>
        <w:gridCol w:w="1339"/>
        <w:gridCol w:w="1417"/>
        <w:gridCol w:w="1276"/>
        <w:gridCol w:w="1418"/>
        <w:gridCol w:w="1275"/>
      </w:tblGrid>
      <w:tr w:rsidR="007C1F9F" w:rsidRPr="00A82C0C" w:rsidTr="00186172">
        <w:trPr>
          <w:trHeight w:val="300"/>
        </w:trPr>
        <w:tc>
          <w:tcPr>
            <w:tcW w:w="1888"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rPr>
                <w:rFonts w:eastAsia="Calibri"/>
              </w:rPr>
            </w:pPr>
          </w:p>
        </w:tc>
        <w:tc>
          <w:tcPr>
            <w:tcW w:w="133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2008</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2009</w:t>
            </w: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2010</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2011</w:t>
            </w:r>
          </w:p>
        </w:tc>
        <w:tc>
          <w:tcPr>
            <w:tcW w:w="12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Style w:val="AERsuperscript"/>
                <w:rFonts w:eastAsia="Calibri"/>
              </w:rPr>
            </w:pPr>
            <w:r w:rsidRPr="007E3923">
              <w:rPr>
                <w:rFonts w:eastAsia="Calibri"/>
              </w:rPr>
              <w:t>2012</w:t>
            </w:r>
            <w:r w:rsidRPr="007E3923">
              <w:rPr>
                <w:rStyle w:val="AERsuperscript"/>
                <w:rFonts w:eastAsia="Calibri"/>
              </w:rPr>
              <w:t>a</w:t>
            </w:r>
          </w:p>
        </w:tc>
      </w:tr>
      <w:tr w:rsidR="007C1F9F" w:rsidRPr="00A82C0C" w:rsidTr="00186172">
        <w:trPr>
          <w:trHeight w:val="638"/>
        </w:trPr>
        <w:tc>
          <w:tcPr>
            <w:tcW w:w="1888"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Opening capital base</w:t>
            </w:r>
          </w:p>
        </w:tc>
        <w:tc>
          <w:tcPr>
            <w:tcW w:w="1339" w:type="dxa"/>
            <w:shd w:val="clear" w:color="auto" w:fill="auto"/>
            <w:noWrap/>
            <w:tcMar>
              <w:top w:w="0" w:type="dxa"/>
              <w:bottom w:w="0" w:type="dxa"/>
            </w:tcMar>
            <w:vAlign w:val="center"/>
          </w:tcPr>
          <w:p w:rsidR="007C1F9F" w:rsidRPr="003F393A" w:rsidRDefault="007C1F9F" w:rsidP="00186172">
            <w:pPr>
              <w:pStyle w:val="AERtabletext-numbers"/>
            </w:pPr>
            <w:r w:rsidRPr="003F393A">
              <w:t>559.6</w:t>
            </w:r>
          </w:p>
        </w:tc>
        <w:tc>
          <w:tcPr>
            <w:tcW w:w="1417" w:type="dxa"/>
            <w:shd w:val="clear" w:color="auto" w:fill="auto"/>
            <w:noWrap/>
            <w:tcMar>
              <w:top w:w="0" w:type="dxa"/>
              <w:bottom w:w="0" w:type="dxa"/>
            </w:tcMar>
            <w:vAlign w:val="center"/>
          </w:tcPr>
          <w:p w:rsidR="007C1F9F" w:rsidRPr="003F393A" w:rsidRDefault="007C1F9F" w:rsidP="00186172">
            <w:pPr>
              <w:pStyle w:val="AERtabletext-numbers"/>
            </w:pPr>
            <w:r w:rsidRPr="003F393A">
              <w:t>591.1</w:t>
            </w:r>
          </w:p>
        </w:tc>
        <w:tc>
          <w:tcPr>
            <w:tcW w:w="1276" w:type="dxa"/>
            <w:shd w:val="clear" w:color="auto" w:fill="auto"/>
            <w:noWrap/>
            <w:tcMar>
              <w:top w:w="0" w:type="dxa"/>
              <w:bottom w:w="0" w:type="dxa"/>
            </w:tcMar>
            <w:vAlign w:val="center"/>
          </w:tcPr>
          <w:p w:rsidR="007C1F9F" w:rsidRPr="003F393A" w:rsidRDefault="007C1F9F" w:rsidP="00186172">
            <w:pPr>
              <w:pStyle w:val="AERtabletext-numbers"/>
            </w:pPr>
            <w:r w:rsidRPr="003F393A">
              <w:t>583.2</w:t>
            </w:r>
          </w:p>
        </w:tc>
        <w:tc>
          <w:tcPr>
            <w:tcW w:w="1418" w:type="dxa"/>
            <w:shd w:val="clear" w:color="auto" w:fill="auto"/>
            <w:noWrap/>
            <w:tcMar>
              <w:top w:w="0" w:type="dxa"/>
              <w:bottom w:w="0" w:type="dxa"/>
            </w:tcMar>
            <w:vAlign w:val="center"/>
          </w:tcPr>
          <w:p w:rsidR="007C1F9F" w:rsidRPr="003F393A" w:rsidRDefault="007C1F9F" w:rsidP="00186172">
            <w:pPr>
              <w:pStyle w:val="AERtabletext-numbers"/>
            </w:pPr>
            <w:r w:rsidRPr="003F393A">
              <w:t>575.9</w:t>
            </w:r>
          </w:p>
        </w:tc>
        <w:tc>
          <w:tcPr>
            <w:tcW w:w="1275" w:type="dxa"/>
            <w:shd w:val="clear" w:color="auto" w:fill="auto"/>
            <w:noWrap/>
            <w:tcMar>
              <w:top w:w="0" w:type="dxa"/>
              <w:bottom w:w="0" w:type="dxa"/>
            </w:tcMar>
            <w:vAlign w:val="center"/>
          </w:tcPr>
          <w:p w:rsidR="007C1F9F" w:rsidRPr="003F393A" w:rsidRDefault="007C1F9F" w:rsidP="00186172">
            <w:pPr>
              <w:pStyle w:val="AERtabletext-numbers"/>
            </w:pPr>
            <w:r w:rsidRPr="003F393A">
              <w:t>613.0</w:t>
            </w:r>
          </w:p>
        </w:tc>
      </w:tr>
      <w:tr w:rsidR="007C1F9F" w:rsidRPr="00A82C0C" w:rsidTr="00186172">
        <w:trPr>
          <w:trHeight w:val="425"/>
        </w:trPr>
        <w:tc>
          <w:tcPr>
            <w:tcW w:w="1888" w:type="dxa"/>
            <w:shd w:val="clear" w:color="auto" w:fill="F8B47C"/>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Net capex</w:t>
            </w:r>
          </w:p>
        </w:tc>
        <w:tc>
          <w:tcPr>
            <w:tcW w:w="1339" w:type="dxa"/>
            <w:shd w:val="clear" w:color="auto" w:fill="F8B47C"/>
            <w:noWrap/>
            <w:tcMar>
              <w:top w:w="0" w:type="dxa"/>
              <w:bottom w:w="0" w:type="dxa"/>
            </w:tcMar>
            <w:vAlign w:val="center"/>
          </w:tcPr>
          <w:p w:rsidR="007C1F9F" w:rsidRPr="003F393A" w:rsidRDefault="007C1F9F" w:rsidP="00186172">
            <w:pPr>
              <w:pStyle w:val="AERtabletext-numbers"/>
            </w:pPr>
            <w:r w:rsidRPr="003F393A">
              <w:t>37.8</w:t>
            </w:r>
          </w:p>
        </w:tc>
        <w:tc>
          <w:tcPr>
            <w:tcW w:w="1417" w:type="dxa"/>
            <w:shd w:val="clear" w:color="auto" w:fill="F8B47C"/>
            <w:noWrap/>
            <w:tcMar>
              <w:top w:w="0" w:type="dxa"/>
              <w:bottom w:w="0" w:type="dxa"/>
            </w:tcMar>
            <w:vAlign w:val="center"/>
          </w:tcPr>
          <w:p w:rsidR="007C1F9F" w:rsidRPr="003F393A" w:rsidRDefault="007C1F9F" w:rsidP="00186172">
            <w:pPr>
              <w:pStyle w:val="AERtabletext-numbers"/>
            </w:pPr>
            <w:r w:rsidRPr="003F393A">
              <w:t>10.2</w:t>
            </w:r>
          </w:p>
        </w:tc>
        <w:tc>
          <w:tcPr>
            <w:tcW w:w="1276" w:type="dxa"/>
            <w:shd w:val="clear" w:color="auto" w:fill="F8B47C"/>
            <w:noWrap/>
            <w:tcMar>
              <w:top w:w="0" w:type="dxa"/>
              <w:bottom w:w="0" w:type="dxa"/>
            </w:tcMar>
            <w:vAlign w:val="center"/>
          </w:tcPr>
          <w:p w:rsidR="007C1F9F" w:rsidRPr="003F393A" w:rsidRDefault="007C1F9F" w:rsidP="00186172">
            <w:pPr>
              <w:pStyle w:val="AERtabletext-numbers"/>
            </w:pPr>
            <w:r w:rsidRPr="003F393A">
              <w:t>10.6</w:t>
            </w:r>
          </w:p>
        </w:tc>
        <w:tc>
          <w:tcPr>
            <w:tcW w:w="1418" w:type="dxa"/>
            <w:shd w:val="clear" w:color="auto" w:fill="F8B47C"/>
            <w:noWrap/>
            <w:tcMar>
              <w:top w:w="0" w:type="dxa"/>
              <w:bottom w:w="0" w:type="dxa"/>
            </w:tcMar>
            <w:vAlign w:val="center"/>
          </w:tcPr>
          <w:p w:rsidR="007C1F9F" w:rsidRPr="003F393A" w:rsidRDefault="007C1F9F" w:rsidP="00186172">
            <w:pPr>
              <w:pStyle w:val="AERtabletext-numbers"/>
            </w:pPr>
            <w:r w:rsidRPr="003F393A">
              <w:t>53.6</w:t>
            </w:r>
          </w:p>
        </w:tc>
        <w:tc>
          <w:tcPr>
            <w:tcW w:w="1275" w:type="dxa"/>
            <w:shd w:val="clear" w:color="auto" w:fill="F8B47C"/>
            <w:noWrap/>
            <w:tcMar>
              <w:top w:w="0" w:type="dxa"/>
              <w:bottom w:w="0" w:type="dxa"/>
            </w:tcMar>
            <w:vAlign w:val="center"/>
          </w:tcPr>
          <w:p w:rsidR="007C1F9F" w:rsidRPr="00160119" w:rsidRDefault="007C1F9F" w:rsidP="00186172">
            <w:pPr>
              <w:pStyle w:val="AERtabletext-numbers"/>
              <w:rPr>
                <w:rStyle w:val="AERsuperscript"/>
              </w:rPr>
            </w:pPr>
            <w:r w:rsidRPr="003F393A">
              <w:t>52.5</w:t>
            </w:r>
            <w:r>
              <w:rPr>
                <w:rStyle w:val="AERsuperscript"/>
              </w:rPr>
              <w:t>a</w:t>
            </w:r>
          </w:p>
        </w:tc>
      </w:tr>
      <w:tr w:rsidR="007C1F9F" w:rsidRPr="00A82C0C" w:rsidTr="00186172">
        <w:trPr>
          <w:trHeight w:val="638"/>
        </w:trPr>
        <w:tc>
          <w:tcPr>
            <w:tcW w:w="1888"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Less: depreciation</w:t>
            </w:r>
          </w:p>
        </w:tc>
        <w:tc>
          <w:tcPr>
            <w:tcW w:w="1339" w:type="dxa"/>
            <w:shd w:val="clear" w:color="auto" w:fill="auto"/>
            <w:noWrap/>
            <w:tcMar>
              <w:top w:w="0" w:type="dxa"/>
              <w:bottom w:w="0" w:type="dxa"/>
            </w:tcMar>
            <w:vAlign w:val="center"/>
          </w:tcPr>
          <w:p w:rsidR="007C1F9F" w:rsidRPr="00DC727E" w:rsidRDefault="007C1F9F" w:rsidP="00186172">
            <w:pPr>
              <w:pStyle w:val="AERtabletext-numbers"/>
            </w:pPr>
            <w:r w:rsidRPr="00DC727E">
              <w:t xml:space="preserve">27.0 </w:t>
            </w:r>
          </w:p>
        </w:tc>
        <w:tc>
          <w:tcPr>
            <w:tcW w:w="1417" w:type="dxa"/>
            <w:shd w:val="clear" w:color="auto" w:fill="auto"/>
            <w:noWrap/>
            <w:tcMar>
              <w:top w:w="0" w:type="dxa"/>
              <w:bottom w:w="0" w:type="dxa"/>
            </w:tcMar>
            <w:vAlign w:val="center"/>
          </w:tcPr>
          <w:p w:rsidR="007C1F9F" w:rsidRPr="00DC727E" w:rsidRDefault="007C1F9F" w:rsidP="00186172">
            <w:pPr>
              <w:pStyle w:val="AERtabletext-numbers"/>
            </w:pPr>
            <w:r w:rsidRPr="00DC727E">
              <w:t xml:space="preserve">30.7 </w:t>
            </w:r>
          </w:p>
        </w:tc>
        <w:tc>
          <w:tcPr>
            <w:tcW w:w="1276" w:type="dxa"/>
            <w:shd w:val="clear" w:color="auto" w:fill="auto"/>
            <w:noWrap/>
            <w:tcMar>
              <w:top w:w="0" w:type="dxa"/>
              <w:bottom w:w="0" w:type="dxa"/>
            </w:tcMar>
            <w:vAlign w:val="center"/>
          </w:tcPr>
          <w:p w:rsidR="007C1F9F" w:rsidRPr="00DC727E" w:rsidRDefault="007C1F9F" w:rsidP="00186172">
            <w:pPr>
              <w:pStyle w:val="AERtabletext-numbers"/>
            </w:pPr>
            <w:r w:rsidRPr="00DC727E">
              <w:t xml:space="preserve">33.4 </w:t>
            </w:r>
          </w:p>
        </w:tc>
        <w:tc>
          <w:tcPr>
            <w:tcW w:w="1418" w:type="dxa"/>
            <w:shd w:val="clear" w:color="auto" w:fill="auto"/>
            <w:noWrap/>
            <w:tcMar>
              <w:top w:w="0" w:type="dxa"/>
              <w:bottom w:w="0" w:type="dxa"/>
            </w:tcMar>
            <w:vAlign w:val="center"/>
          </w:tcPr>
          <w:p w:rsidR="007C1F9F" w:rsidRPr="00DC727E" w:rsidRDefault="007C1F9F" w:rsidP="00186172">
            <w:pPr>
              <w:pStyle w:val="AERtabletext-numbers"/>
            </w:pPr>
            <w:r w:rsidRPr="00DC727E">
              <w:t xml:space="preserve">34.3 </w:t>
            </w:r>
          </w:p>
        </w:tc>
        <w:tc>
          <w:tcPr>
            <w:tcW w:w="1275" w:type="dxa"/>
            <w:shd w:val="clear" w:color="auto" w:fill="auto"/>
            <w:noWrap/>
            <w:tcMar>
              <w:top w:w="0" w:type="dxa"/>
              <w:bottom w:w="0" w:type="dxa"/>
            </w:tcMar>
            <w:vAlign w:val="center"/>
          </w:tcPr>
          <w:p w:rsidR="007C1F9F" w:rsidRPr="00DC727E" w:rsidRDefault="007C1F9F" w:rsidP="00186172">
            <w:pPr>
              <w:pStyle w:val="AERtabletext-numbers"/>
            </w:pPr>
            <w:r w:rsidRPr="00DC727E">
              <w:t xml:space="preserve">35.5 </w:t>
            </w:r>
          </w:p>
        </w:tc>
      </w:tr>
      <w:tr w:rsidR="007C1F9F" w:rsidRPr="00A82C0C" w:rsidTr="00186172">
        <w:trPr>
          <w:trHeight w:val="638"/>
        </w:trPr>
        <w:tc>
          <w:tcPr>
            <w:tcW w:w="1888" w:type="dxa"/>
            <w:shd w:val="clear" w:color="auto" w:fill="F8B47C"/>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Indexation</w:t>
            </w:r>
          </w:p>
        </w:tc>
        <w:tc>
          <w:tcPr>
            <w:tcW w:w="1339" w:type="dxa"/>
            <w:shd w:val="clear" w:color="auto" w:fill="F8B47C"/>
            <w:noWrap/>
            <w:tcMar>
              <w:top w:w="0" w:type="dxa"/>
              <w:bottom w:w="0" w:type="dxa"/>
            </w:tcMar>
            <w:vAlign w:val="center"/>
          </w:tcPr>
          <w:p w:rsidR="007C1F9F" w:rsidRPr="00DC727E" w:rsidRDefault="007C1F9F" w:rsidP="00186172">
            <w:pPr>
              <w:pStyle w:val="AERtabletext-numbers"/>
            </w:pPr>
            <w:r w:rsidRPr="00DC727E">
              <w:t xml:space="preserve">20.6 </w:t>
            </w:r>
          </w:p>
        </w:tc>
        <w:tc>
          <w:tcPr>
            <w:tcW w:w="1417" w:type="dxa"/>
            <w:shd w:val="clear" w:color="auto" w:fill="F8B47C"/>
            <w:noWrap/>
            <w:tcMar>
              <w:top w:w="0" w:type="dxa"/>
              <w:bottom w:w="0" w:type="dxa"/>
            </w:tcMar>
            <w:vAlign w:val="center"/>
          </w:tcPr>
          <w:p w:rsidR="007C1F9F" w:rsidRPr="00DC727E" w:rsidRDefault="007C1F9F" w:rsidP="00186172">
            <w:pPr>
              <w:pStyle w:val="AERtabletext-numbers"/>
            </w:pPr>
            <w:r w:rsidRPr="00DC727E">
              <w:t xml:space="preserve">12.5 </w:t>
            </w:r>
          </w:p>
        </w:tc>
        <w:tc>
          <w:tcPr>
            <w:tcW w:w="1276" w:type="dxa"/>
            <w:shd w:val="clear" w:color="auto" w:fill="F8B47C"/>
            <w:noWrap/>
            <w:tcMar>
              <w:top w:w="0" w:type="dxa"/>
              <w:bottom w:w="0" w:type="dxa"/>
            </w:tcMar>
            <w:vAlign w:val="center"/>
          </w:tcPr>
          <w:p w:rsidR="007C1F9F" w:rsidRPr="00DC727E" w:rsidRDefault="007C1F9F" w:rsidP="00186172">
            <w:pPr>
              <w:pStyle w:val="AERtabletext-numbers"/>
            </w:pPr>
            <w:r w:rsidRPr="00DC727E">
              <w:t xml:space="preserve">15.5 </w:t>
            </w:r>
          </w:p>
        </w:tc>
        <w:tc>
          <w:tcPr>
            <w:tcW w:w="1418" w:type="dxa"/>
            <w:shd w:val="clear" w:color="auto" w:fill="F8B47C"/>
            <w:noWrap/>
            <w:tcMar>
              <w:top w:w="0" w:type="dxa"/>
              <w:bottom w:w="0" w:type="dxa"/>
            </w:tcMar>
            <w:vAlign w:val="center"/>
          </w:tcPr>
          <w:p w:rsidR="007C1F9F" w:rsidRPr="00DC727E" w:rsidRDefault="007C1F9F" w:rsidP="00186172">
            <w:pPr>
              <w:pStyle w:val="AERtabletext-numbers"/>
            </w:pPr>
            <w:r w:rsidRPr="00DC727E">
              <w:t xml:space="preserve">17.9 </w:t>
            </w:r>
          </w:p>
        </w:tc>
        <w:tc>
          <w:tcPr>
            <w:tcW w:w="1275" w:type="dxa"/>
            <w:shd w:val="clear" w:color="auto" w:fill="F8B47C"/>
            <w:noWrap/>
            <w:tcMar>
              <w:top w:w="0" w:type="dxa"/>
              <w:bottom w:w="0" w:type="dxa"/>
            </w:tcMar>
            <w:vAlign w:val="center"/>
          </w:tcPr>
          <w:p w:rsidR="007C1F9F" w:rsidRPr="00DC727E" w:rsidRDefault="007C1F9F" w:rsidP="00186172">
            <w:pPr>
              <w:pStyle w:val="AERtabletext-numbers"/>
            </w:pPr>
            <w:r w:rsidRPr="00DC727E">
              <w:t xml:space="preserve">15.3 </w:t>
            </w:r>
          </w:p>
        </w:tc>
      </w:tr>
      <w:tr w:rsidR="007C1F9F" w:rsidRPr="00A82C0C" w:rsidTr="00186172">
        <w:trPr>
          <w:trHeight w:val="650"/>
        </w:trPr>
        <w:tc>
          <w:tcPr>
            <w:tcW w:w="1888"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Closing capital base</w:t>
            </w:r>
          </w:p>
        </w:tc>
        <w:tc>
          <w:tcPr>
            <w:tcW w:w="1339"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3F393A">
              <w:t>591.1</w:t>
            </w:r>
          </w:p>
        </w:tc>
        <w:tc>
          <w:tcPr>
            <w:tcW w:w="1417" w:type="dxa"/>
            <w:shd w:val="clear" w:color="auto" w:fill="auto"/>
            <w:noWrap/>
            <w:tcMar>
              <w:top w:w="0" w:type="dxa"/>
              <w:bottom w:w="0" w:type="dxa"/>
            </w:tcMar>
            <w:vAlign w:val="center"/>
          </w:tcPr>
          <w:p w:rsidR="007C1F9F" w:rsidRPr="003F393A" w:rsidRDefault="007C1F9F" w:rsidP="00186172">
            <w:pPr>
              <w:pStyle w:val="AERtabletext-numbers"/>
            </w:pPr>
            <w:r w:rsidRPr="003F393A">
              <w:t>583.2</w:t>
            </w:r>
          </w:p>
        </w:tc>
        <w:tc>
          <w:tcPr>
            <w:tcW w:w="1276" w:type="dxa"/>
            <w:shd w:val="clear" w:color="auto" w:fill="auto"/>
            <w:noWrap/>
            <w:tcMar>
              <w:top w:w="0" w:type="dxa"/>
              <w:bottom w:w="0" w:type="dxa"/>
            </w:tcMar>
            <w:vAlign w:val="center"/>
          </w:tcPr>
          <w:p w:rsidR="007C1F9F" w:rsidRPr="003F393A" w:rsidRDefault="007C1F9F" w:rsidP="00186172">
            <w:pPr>
              <w:pStyle w:val="AERtabletext-numbers"/>
            </w:pPr>
            <w:r w:rsidRPr="003F393A">
              <w:t>575.9</w:t>
            </w:r>
          </w:p>
        </w:tc>
        <w:tc>
          <w:tcPr>
            <w:tcW w:w="1418" w:type="dxa"/>
            <w:shd w:val="clear" w:color="auto" w:fill="auto"/>
            <w:noWrap/>
            <w:tcMar>
              <w:top w:w="0" w:type="dxa"/>
              <w:bottom w:w="0" w:type="dxa"/>
            </w:tcMar>
            <w:vAlign w:val="center"/>
          </w:tcPr>
          <w:p w:rsidR="007C1F9F" w:rsidRPr="003F393A" w:rsidRDefault="007C1F9F" w:rsidP="00186172">
            <w:pPr>
              <w:pStyle w:val="AERtabletext-numbers"/>
            </w:pPr>
            <w:r w:rsidRPr="003F393A">
              <w:t>613.0</w:t>
            </w:r>
          </w:p>
        </w:tc>
        <w:tc>
          <w:tcPr>
            <w:tcW w:w="1275" w:type="dxa"/>
            <w:shd w:val="clear" w:color="auto" w:fill="auto"/>
            <w:noWrap/>
            <w:tcMar>
              <w:top w:w="0" w:type="dxa"/>
              <w:bottom w:w="0" w:type="dxa"/>
            </w:tcMar>
            <w:vAlign w:val="center"/>
          </w:tcPr>
          <w:p w:rsidR="007C1F9F" w:rsidRPr="003F393A" w:rsidRDefault="007C1F9F" w:rsidP="00186172">
            <w:pPr>
              <w:pStyle w:val="AERtabletext-numbers"/>
            </w:pPr>
            <w:r w:rsidRPr="003F393A">
              <w:t>645.3</w:t>
            </w:r>
          </w:p>
        </w:tc>
      </w:tr>
      <w:tr w:rsidR="007C1F9F" w:rsidRPr="00A82C0C" w:rsidTr="00186172">
        <w:trPr>
          <w:trHeight w:val="650"/>
        </w:trPr>
        <w:tc>
          <w:tcPr>
            <w:tcW w:w="1888" w:type="dxa"/>
            <w:shd w:val="clear" w:color="auto" w:fill="F8B47C"/>
            <w:noWrap/>
            <w:tcMar>
              <w:top w:w="0" w:type="dxa"/>
              <w:bottom w:w="0" w:type="dxa"/>
            </w:tcMar>
            <w:vAlign w:val="center"/>
          </w:tcPr>
          <w:p w:rsidR="007C1F9F" w:rsidRPr="007E3923" w:rsidRDefault="007C1F9F" w:rsidP="00186172">
            <w:pPr>
              <w:pStyle w:val="AERtabletext"/>
              <w:rPr>
                <w:rFonts w:eastAsia="Calibri"/>
              </w:rPr>
            </w:pPr>
            <w:r>
              <w:t>Less: d</w:t>
            </w:r>
            <w:r w:rsidRPr="00DC727E">
              <w:t xml:space="preserve">ifference between </w:t>
            </w:r>
            <w:r>
              <w:t xml:space="preserve">2007 </w:t>
            </w:r>
            <w:r w:rsidRPr="00DC727E">
              <w:t>forecast and actual capex</w:t>
            </w:r>
          </w:p>
        </w:tc>
        <w:tc>
          <w:tcPr>
            <w:tcW w:w="1339" w:type="dxa"/>
            <w:shd w:val="clear" w:color="auto" w:fill="F8B47C"/>
            <w:noWrap/>
            <w:tcMar>
              <w:top w:w="0" w:type="dxa"/>
              <w:bottom w:w="0" w:type="dxa"/>
            </w:tcMar>
            <w:vAlign w:val="center"/>
          </w:tcPr>
          <w:p w:rsidR="007C1F9F" w:rsidRPr="003F393A" w:rsidRDefault="007C1F9F" w:rsidP="00186172">
            <w:pPr>
              <w:pStyle w:val="AERtabletext-numbers"/>
            </w:pPr>
          </w:p>
        </w:tc>
        <w:tc>
          <w:tcPr>
            <w:tcW w:w="1417" w:type="dxa"/>
            <w:shd w:val="clear" w:color="auto" w:fill="F8B47C"/>
            <w:noWrap/>
            <w:tcMar>
              <w:top w:w="0" w:type="dxa"/>
              <w:bottom w:w="0" w:type="dxa"/>
            </w:tcMar>
            <w:vAlign w:val="center"/>
          </w:tcPr>
          <w:p w:rsidR="007C1F9F" w:rsidRPr="003F393A" w:rsidRDefault="007C1F9F" w:rsidP="00186172">
            <w:pPr>
              <w:pStyle w:val="AERtabletext-numbers"/>
            </w:pPr>
          </w:p>
        </w:tc>
        <w:tc>
          <w:tcPr>
            <w:tcW w:w="1276" w:type="dxa"/>
            <w:shd w:val="clear" w:color="auto" w:fill="F8B47C"/>
            <w:noWrap/>
            <w:tcMar>
              <w:top w:w="0" w:type="dxa"/>
              <w:bottom w:w="0" w:type="dxa"/>
            </w:tcMar>
            <w:vAlign w:val="center"/>
          </w:tcPr>
          <w:p w:rsidR="007C1F9F" w:rsidRPr="003F393A" w:rsidRDefault="007C1F9F" w:rsidP="00186172">
            <w:pPr>
              <w:pStyle w:val="AERtabletext-numbers"/>
            </w:pPr>
          </w:p>
        </w:tc>
        <w:tc>
          <w:tcPr>
            <w:tcW w:w="1418" w:type="dxa"/>
            <w:shd w:val="clear" w:color="auto" w:fill="F8B47C"/>
            <w:noWrap/>
            <w:tcMar>
              <w:top w:w="0" w:type="dxa"/>
              <w:bottom w:w="0" w:type="dxa"/>
            </w:tcMar>
            <w:vAlign w:val="center"/>
          </w:tcPr>
          <w:p w:rsidR="007C1F9F" w:rsidRPr="003F393A" w:rsidRDefault="007C1F9F" w:rsidP="00186172">
            <w:pPr>
              <w:pStyle w:val="AERtabletext-numbers"/>
            </w:pPr>
          </w:p>
        </w:tc>
        <w:tc>
          <w:tcPr>
            <w:tcW w:w="1275" w:type="dxa"/>
            <w:shd w:val="clear" w:color="auto" w:fill="F8B47C"/>
            <w:noWrap/>
            <w:tcMar>
              <w:top w:w="0" w:type="dxa"/>
              <w:bottom w:w="0" w:type="dxa"/>
            </w:tcMar>
            <w:vAlign w:val="center"/>
          </w:tcPr>
          <w:p w:rsidR="007C1F9F" w:rsidRPr="003F393A" w:rsidRDefault="007C1F9F" w:rsidP="00186172">
            <w:pPr>
              <w:pStyle w:val="AERtabletext-numbers"/>
            </w:pPr>
            <w:r>
              <w:t>20.0</w:t>
            </w:r>
          </w:p>
        </w:tc>
      </w:tr>
      <w:tr w:rsidR="007C1F9F" w:rsidRPr="00A82C0C" w:rsidTr="00186172">
        <w:trPr>
          <w:trHeight w:val="650"/>
        </w:trPr>
        <w:tc>
          <w:tcPr>
            <w:tcW w:w="1888"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Less: return on difference for 2007 capex</w:t>
            </w:r>
          </w:p>
        </w:tc>
        <w:tc>
          <w:tcPr>
            <w:tcW w:w="1339" w:type="dxa"/>
            <w:shd w:val="clear" w:color="auto" w:fill="auto"/>
            <w:noWrap/>
            <w:tcMar>
              <w:top w:w="0" w:type="dxa"/>
              <w:bottom w:w="0" w:type="dxa"/>
            </w:tcMar>
            <w:vAlign w:val="center"/>
          </w:tcPr>
          <w:p w:rsidR="007C1F9F" w:rsidRPr="003F393A" w:rsidRDefault="007C1F9F" w:rsidP="00186172">
            <w:pPr>
              <w:pStyle w:val="AERtabletext-numbers"/>
            </w:pPr>
          </w:p>
        </w:tc>
        <w:tc>
          <w:tcPr>
            <w:tcW w:w="1417" w:type="dxa"/>
            <w:shd w:val="clear" w:color="auto" w:fill="auto"/>
            <w:noWrap/>
            <w:tcMar>
              <w:top w:w="0" w:type="dxa"/>
              <w:bottom w:w="0" w:type="dxa"/>
            </w:tcMar>
            <w:vAlign w:val="center"/>
          </w:tcPr>
          <w:p w:rsidR="007C1F9F" w:rsidRPr="003F393A" w:rsidRDefault="007C1F9F" w:rsidP="00186172">
            <w:pPr>
              <w:pStyle w:val="AERtabletext-numbers"/>
            </w:pPr>
          </w:p>
        </w:tc>
        <w:tc>
          <w:tcPr>
            <w:tcW w:w="1276" w:type="dxa"/>
            <w:shd w:val="clear" w:color="auto" w:fill="auto"/>
            <w:noWrap/>
            <w:tcMar>
              <w:top w:w="0" w:type="dxa"/>
              <w:bottom w:w="0" w:type="dxa"/>
            </w:tcMar>
            <w:vAlign w:val="center"/>
          </w:tcPr>
          <w:p w:rsidR="007C1F9F" w:rsidRPr="003F393A" w:rsidRDefault="007C1F9F" w:rsidP="00186172">
            <w:pPr>
              <w:pStyle w:val="AERtabletext-numbers"/>
            </w:pPr>
          </w:p>
        </w:tc>
        <w:tc>
          <w:tcPr>
            <w:tcW w:w="1418" w:type="dxa"/>
            <w:shd w:val="clear" w:color="auto" w:fill="auto"/>
            <w:noWrap/>
            <w:tcMar>
              <w:top w:w="0" w:type="dxa"/>
              <w:bottom w:w="0" w:type="dxa"/>
            </w:tcMar>
            <w:vAlign w:val="center"/>
          </w:tcPr>
          <w:p w:rsidR="007C1F9F" w:rsidRPr="003F393A" w:rsidRDefault="007C1F9F" w:rsidP="00186172">
            <w:pPr>
              <w:pStyle w:val="AERtabletext-numbers"/>
            </w:pPr>
          </w:p>
        </w:tc>
        <w:tc>
          <w:tcPr>
            <w:tcW w:w="1275" w:type="dxa"/>
            <w:shd w:val="clear" w:color="auto" w:fill="auto"/>
            <w:noWrap/>
            <w:tcMar>
              <w:top w:w="0" w:type="dxa"/>
              <w:bottom w:w="0" w:type="dxa"/>
            </w:tcMar>
            <w:vAlign w:val="center"/>
          </w:tcPr>
          <w:p w:rsidR="007C1F9F" w:rsidRPr="003F393A" w:rsidRDefault="007C1F9F" w:rsidP="00186172">
            <w:pPr>
              <w:pStyle w:val="AERtabletext-numbers"/>
            </w:pPr>
            <w:r>
              <w:t>13.2</w:t>
            </w:r>
          </w:p>
        </w:tc>
      </w:tr>
      <w:tr w:rsidR="007C1F9F" w:rsidRPr="00A82C0C" w:rsidTr="00186172">
        <w:trPr>
          <w:trHeight w:val="650"/>
        </w:trPr>
        <w:tc>
          <w:tcPr>
            <w:tcW w:w="1888" w:type="dxa"/>
            <w:shd w:val="clear" w:color="auto" w:fill="F8B47C"/>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Opening capital base at 1 January 2013</w:t>
            </w:r>
          </w:p>
        </w:tc>
        <w:tc>
          <w:tcPr>
            <w:tcW w:w="1339" w:type="dxa"/>
            <w:shd w:val="clear" w:color="auto" w:fill="F8B47C"/>
            <w:noWrap/>
            <w:tcMar>
              <w:top w:w="0" w:type="dxa"/>
              <w:bottom w:w="0" w:type="dxa"/>
            </w:tcMar>
            <w:vAlign w:val="center"/>
          </w:tcPr>
          <w:p w:rsidR="007C1F9F" w:rsidRPr="003F393A" w:rsidRDefault="007C1F9F" w:rsidP="00186172">
            <w:pPr>
              <w:pStyle w:val="AERtabletext-numbers"/>
            </w:pPr>
          </w:p>
        </w:tc>
        <w:tc>
          <w:tcPr>
            <w:tcW w:w="1417" w:type="dxa"/>
            <w:shd w:val="clear" w:color="auto" w:fill="F8B47C"/>
            <w:noWrap/>
            <w:tcMar>
              <w:top w:w="0" w:type="dxa"/>
              <w:bottom w:w="0" w:type="dxa"/>
            </w:tcMar>
            <w:vAlign w:val="center"/>
          </w:tcPr>
          <w:p w:rsidR="007C1F9F" w:rsidRPr="003F393A" w:rsidRDefault="007C1F9F" w:rsidP="00186172">
            <w:pPr>
              <w:pStyle w:val="AERtabletext-numbers"/>
            </w:pPr>
          </w:p>
        </w:tc>
        <w:tc>
          <w:tcPr>
            <w:tcW w:w="1276" w:type="dxa"/>
            <w:shd w:val="clear" w:color="auto" w:fill="F8B47C"/>
            <w:noWrap/>
            <w:tcMar>
              <w:top w:w="0" w:type="dxa"/>
              <w:bottom w:w="0" w:type="dxa"/>
            </w:tcMar>
            <w:vAlign w:val="center"/>
          </w:tcPr>
          <w:p w:rsidR="007C1F9F" w:rsidRPr="003F393A" w:rsidRDefault="007C1F9F" w:rsidP="00186172">
            <w:pPr>
              <w:pStyle w:val="AERtabletext-numbers"/>
            </w:pPr>
          </w:p>
        </w:tc>
        <w:tc>
          <w:tcPr>
            <w:tcW w:w="1418" w:type="dxa"/>
            <w:shd w:val="clear" w:color="auto" w:fill="F8B47C"/>
            <w:noWrap/>
            <w:tcMar>
              <w:top w:w="0" w:type="dxa"/>
              <w:bottom w:w="0" w:type="dxa"/>
            </w:tcMar>
            <w:vAlign w:val="center"/>
          </w:tcPr>
          <w:p w:rsidR="007C1F9F" w:rsidRPr="003F393A" w:rsidRDefault="007C1F9F" w:rsidP="00186172">
            <w:pPr>
              <w:pStyle w:val="AERtabletext-numbers"/>
            </w:pPr>
          </w:p>
        </w:tc>
        <w:tc>
          <w:tcPr>
            <w:tcW w:w="1275" w:type="dxa"/>
            <w:shd w:val="clear" w:color="auto" w:fill="F8B47C"/>
            <w:noWrap/>
            <w:tcMar>
              <w:top w:w="0" w:type="dxa"/>
              <w:bottom w:w="0" w:type="dxa"/>
            </w:tcMar>
            <w:vAlign w:val="center"/>
          </w:tcPr>
          <w:p w:rsidR="007C1F9F" w:rsidRPr="003F393A" w:rsidRDefault="007C1F9F" w:rsidP="00186172">
            <w:pPr>
              <w:pStyle w:val="AERtabletext-numbers"/>
            </w:pPr>
            <w:r>
              <w:t>612.1</w:t>
            </w:r>
          </w:p>
        </w:tc>
      </w:tr>
    </w:tbl>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AER analysis.</w:t>
      </w:r>
    </w:p>
    <w:p w:rsidR="007C1F9F" w:rsidRPr="007E3923" w:rsidRDefault="007C1F9F" w:rsidP="007C1F9F">
      <w:pPr>
        <w:pStyle w:val="AERtablesource"/>
        <w:rPr>
          <w:rFonts w:eastAsia="Calibri"/>
        </w:rPr>
      </w:pPr>
      <w:r w:rsidRPr="007E3923">
        <w:rPr>
          <w:rFonts w:eastAsia="Calibri"/>
        </w:rPr>
        <w:t>Note:</w:t>
      </w:r>
      <w:r w:rsidRPr="007E3923">
        <w:rPr>
          <w:rFonts w:eastAsia="Calibri"/>
        </w:rPr>
        <w:tab/>
        <w:t>Totals may not add due to rounding.</w:t>
      </w:r>
    </w:p>
    <w:p w:rsidR="007C1F9F" w:rsidRPr="007E3923" w:rsidRDefault="007C1F9F" w:rsidP="007C1F9F">
      <w:pPr>
        <w:pStyle w:val="AERtablesource"/>
        <w:rPr>
          <w:rFonts w:eastAsia="Calibri"/>
        </w:rPr>
      </w:pPr>
      <w:r w:rsidRPr="007E3923">
        <w:rPr>
          <w:rFonts w:eastAsia="Calibri"/>
        </w:rPr>
        <w:t>(a)</w:t>
      </w:r>
      <w:r w:rsidRPr="007E3923">
        <w:rPr>
          <w:rFonts w:eastAsia="Calibri"/>
        </w:rPr>
        <w:tab/>
        <w:t>Based on forecast capex.</w:t>
      </w:r>
    </w:p>
    <w:p w:rsidR="007C1F9F" w:rsidRPr="007E3923" w:rsidRDefault="007C1F9F" w:rsidP="007C1F9F">
      <w:pPr>
        <w:rPr>
          <w:rFonts w:eastAsia="Calibri"/>
        </w:rPr>
      </w:pPr>
      <w:r w:rsidRPr="007E3923">
        <w:rPr>
          <w:rFonts w:eastAsia="Calibri"/>
        </w:rPr>
        <w:t xml:space="preserve">Based on the approved opening capital base and the AER's draft decisions on forecast capex, depreciation, and inflation, the AER has determined a projected closing capital base of $722.7 million ($nominal) as at 31 December 2017. </w:t>
      </w:r>
      <w:r w:rsidR="00DE0D6A" w:rsidRPr="007E3923">
        <w:rPr>
          <w:rFonts w:eastAsia="Calibri"/>
        </w:rPr>
        <w:fldChar w:fldCharType="begin"/>
      </w:r>
      <w:r w:rsidRPr="007E3923">
        <w:rPr>
          <w:rFonts w:eastAsia="Calibri"/>
        </w:rPr>
        <w:instrText xml:space="preserve"> REF _Ref328757042 \r \h </w:instrText>
      </w:r>
      <w:r w:rsidR="00DE0D6A" w:rsidRPr="007E3923">
        <w:rPr>
          <w:rFonts w:eastAsia="Calibri"/>
        </w:rPr>
      </w:r>
      <w:r w:rsidR="00DE0D6A" w:rsidRPr="007E3923">
        <w:rPr>
          <w:rFonts w:eastAsia="Calibri"/>
        </w:rPr>
        <w:fldChar w:fldCharType="separate"/>
      </w:r>
      <w:r>
        <w:rPr>
          <w:rFonts w:eastAsia="Calibri"/>
        </w:rPr>
        <w:t>Table 2.2</w:t>
      </w:r>
      <w:r w:rsidR="00DE0D6A" w:rsidRPr="007E3923">
        <w:rPr>
          <w:rFonts w:eastAsia="Calibri"/>
        </w:rPr>
        <w:fldChar w:fldCharType="end"/>
      </w:r>
      <w:r w:rsidRPr="007E3923">
        <w:rPr>
          <w:rFonts w:eastAsia="Calibri"/>
        </w:rPr>
        <w:t xml:space="preserve"> sets out the projected roll forward of the capital bases over the 2013–17 access arrangement period using the 'partially as incurred' approach.</w:t>
      </w:r>
    </w:p>
    <w:p w:rsidR="007C1F9F" w:rsidRPr="007E3923" w:rsidRDefault="007C1F9F" w:rsidP="007C1F9F">
      <w:pPr>
        <w:pStyle w:val="AERtabletitle"/>
        <w:rPr>
          <w:rFonts w:eastAsia="Calibri"/>
        </w:rPr>
      </w:pPr>
      <w:bookmarkStart w:id="16" w:name="_Ref328757042"/>
      <w:r w:rsidRPr="007E3923">
        <w:rPr>
          <w:rFonts w:eastAsia="Calibri"/>
        </w:rPr>
        <w:t>AER's draft decision on projected (partially as incurred) capital base roll forward for the 2013–17 access arrangement period ($million, nominal)</w:t>
      </w:r>
      <w:bookmarkEnd w:id="16"/>
    </w:p>
    <w:tbl>
      <w:tblPr>
        <w:tblW w:w="8613" w:type="dxa"/>
        <w:tblBorders>
          <w:top w:val="single" w:sz="4" w:space="0" w:color="auto"/>
          <w:bottom w:val="single" w:sz="4" w:space="0" w:color="auto"/>
        </w:tblBorders>
        <w:tblLook w:val="0020"/>
      </w:tblPr>
      <w:tblGrid>
        <w:gridCol w:w="2131"/>
        <w:gridCol w:w="1096"/>
        <w:gridCol w:w="1417"/>
        <w:gridCol w:w="1276"/>
        <w:gridCol w:w="1418"/>
        <w:gridCol w:w="1275"/>
      </w:tblGrid>
      <w:tr w:rsidR="007C1F9F" w:rsidRPr="00430204" w:rsidTr="00186172">
        <w:trPr>
          <w:trHeight w:val="293"/>
        </w:trPr>
        <w:tc>
          <w:tcPr>
            <w:tcW w:w="213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p>
        </w:tc>
        <w:tc>
          <w:tcPr>
            <w:tcW w:w="109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2013</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2014</w:t>
            </w: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2015</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2016</w:t>
            </w:r>
          </w:p>
        </w:tc>
        <w:tc>
          <w:tcPr>
            <w:tcW w:w="12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2017</w:t>
            </w:r>
          </w:p>
        </w:tc>
      </w:tr>
      <w:tr w:rsidR="007C1F9F" w:rsidRPr="00430204" w:rsidTr="00186172">
        <w:trPr>
          <w:trHeight w:val="663"/>
        </w:trPr>
        <w:tc>
          <w:tcPr>
            <w:tcW w:w="2131"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Opening capital base</w:t>
            </w:r>
          </w:p>
        </w:tc>
        <w:tc>
          <w:tcPr>
            <w:tcW w:w="109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612.</w:t>
            </w:r>
            <w:r>
              <w:t>1</w:t>
            </w:r>
            <w:r w:rsidRPr="008E639F">
              <w:t xml:space="preserve"> </w:t>
            </w:r>
          </w:p>
        </w:tc>
        <w:tc>
          <w:tcPr>
            <w:tcW w:w="1417"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631.8 </w:t>
            </w:r>
          </w:p>
        </w:tc>
        <w:tc>
          <w:tcPr>
            <w:tcW w:w="127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706.1 </w:t>
            </w:r>
          </w:p>
        </w:tc>
        <w:tc>
          <w:tcPr>
            <w:tcW w:w="1418"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719.9 </w:t>
            </w:r>
          </w:p>
        </w:tc>
        <w:tc>
          <w:tcPr>
            <w:tcW w:w="1275"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721.5 </w:t>
            </w:r>
          </w:p>
        </w:tc>
      </w:tr>
      <w:tr w:rsidR="007C1F9F" w:rsidRPr="00430204" w:rsidTr="00186172">
        <w:trPr>
          <w:trHeight w:val="434"/>
        </w:trPr>
        <w:tc>
          <w:tcPr>
            <w:tcW w:w="2131" w:type="dxa"/>
            <w:shd w:val="clear" w:color="auto" w:fill="F8B47C"/>
            <w:noWrap/>
            <w:tcMar>
              <w:top w:w="0" w:type="dxa"/>
              <w:bottom w:w="0" w:type="dxa"/>
            </w:tcMar>
            <w:vAlign w:val="center"/>
          </w:tcPr>
          <w:p w:rsidR="007C1F9F" w:rsidRPr="007E3923" w:rsidRDefault="007C1F9F" w:rsidP="00186172">
            <w:pPr>
              <w:pStyle w:val="AERtabletext"/>
              <w:rPr>
                <w:rStyle w:val="AERsuperscript"/>
                <w:rFonts w:eastAsia="Calibri"/>
              </w:rPr>
            </w:pPr>
            <w:r w:rsidRPr="007E3923">
              <w:rPr>
                <w:rFonts w:eastAsia="Calibri"/>
              </w:rPr>
              <w:t>Net capex</w:t>
            </w:r>
            <w:r w:rsidRPr="007E3923">
              <w:rPr>
                <w:rStyle w:val="AERsuperscript"/>
                <w:rFonts w:eastAsia="Calibri"/>
              </w:rPr>
              <w:t>a</w:t>
            </w:r>
          </w:p>
        </w:tc>
        <w:tc>
          <w:tcPr>
            <w:tcW w:w="1096"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29.0 </w:t>
            </w:r>
          </w:p>
        </w:tc>
        <w:tc>
          <w:tcPr>
            <w:tcW w:w="1417"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84.5 </w:t>
            </w:r>
          </w:p>
        </w:tc>
        <w:tc>
          <w:tcPr>
            <w:tcW w:w="1276"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25.7 </w:t>
            </w:r>
          </w:p>
        </w:tc>
        <w:tc>
          <w:tcPr>
            <w:tcW w:w="1418"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14.8 </w:t>
            </w:r>
          </w:p>
        </w:tc>
        <w:tc>
          <w:tcPr>
            <w:tcW w:w="1275"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12.9 </w:t>
            </w:r>
          </w:p>
        </w:tc>
      </w:tr>
      <w:tr w:rsidR="007C1F9F" w:rsidRPr="00430204" w:rsidTr="00186172">
        <w:trPr>
          <w:trHeight w:val="651"/>
        </w:trPr>
        <w:tc>
          <w:tcPr>
            <w:tcW w:w="2131" w:type="dxa"/>
            <w:shd w:val="clear" w:color="auto" w:fill="auto"/>
            <w:noWrap/>
            <w:tcMar>
              <w:top w:w="0" w:type="dxa"/>
              <w:bottom w:w="0" w:type="dxa"/>
            </w:tcMar>
            <w:vAlign w:val="center"/>
          </w:tcPr>
          <w:p w:rsidR="007C1F9F" w:rsidRPr="007E3923" w:rsidRDefault="007C1F9F" w:rsidP="00186172">
            <w:pPr>
              <w:pStyle w:val="AERtabletext"/>
              <w:rPr>
                <w:rStyle w:val="AERsuperscript"/>
                <w:rFonts w:eastAsia="Calibri"/>
              </w:rPr>
            </w:pPr>
            <w:r w:rsidRPr="007E3923">
              <w:rPr>
                <w:rFonts w:eastAsia="Calibri"/>
              </w:rPr>
              <w:t>Less: depreciation</w:t>
            </w:r>
            <w:r w:rsidRPr="007E3923">
              <w:rPr>
                <w:rStyle w:val="AERsuperscript"/>
                <w:rFonts w:eastAsia="Calibri"/>
              </w:rPr>
              <w:t>b</w:t>
            </w:r>
          </w:p>
        </w:tc>
        <w:tc>
          <w:tcPr>
            <w:tcW w:w="109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24.6 </w:t>
            </w:r>
          </w:p>
        </w:tc>
        <w:tc>
          <w:tcPr>
            <w:tcW w:w="1417"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26.0 </w:t>
            </w:r>
          </w:p>
        </w:tc>
        <w:tc>
          <w:tcPr>
            <w:tcW w:w="127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29.5 </w:t>
            </w:r>
          </w:p>
        </w:tc>
        <w:tc>
          <w:tcPr>
            <w:tcW w:w="1418"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31.2 </w:t>
            </w:r>
          </w:p>
        </w:tc>
        <w:tc>
          <w:tcPr>
            <w:tcW w:w="1275"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29.8 </w:t>
            </w:r>
          </w:p>
        </w:tc>
      </w:tr>
      <w:tr w:rsidR="007C1F9F" w:rsidRPr="00430204" w:rsidTr="00186172">
        <w:trPr>
          <w:trHeight w:val="651"/>
        </w:trPr>
        <w:tc>
          <w:tcPr>
            <w:tcW w:w="2131" w:type="dxa"/>
            <w:shd w:val="clear" w:color="auto" w:fill="F8B47C"/>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Indexation</w:t>
            </w:r>
          </w:p>
        </w:tc>
        <w:tc>
          <w:tcPr>
            <w:tcW w:w="1096"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15.3 </w:t>
            </w:r>
          </w:p>
        </w:tc>
        <w:tc>
          <w:tcPr>
            <w:tcW w:w="1417"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15.8 </w:t>
            </w:r>
          </w:p>
        </w:tc>
        <w:tc>
          <w:tcPr>
            <w:tcW w:w="1276"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17.7 </w:t>
            </w:r>
          </w:p>
        </w:tc>
        <w:tc>
          <w:tcPr>
            <w:tcW w:w="1418"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18.0 </w:t>
            </w:r>
          </w:p>
        </w:tc>
        <w:tc>
          <w:tcPr>
            <w:tcW w:w="1275"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8E639F">
              <w:t xml:space="preserve"> 18.0 </w:t>
            </w:r>
          </w:p>
        </w:tc>
      </w:tr>
      <w:tr w:rsidR="007C1F9F" w:rsidRPr="00430204" w:rsidTr="00186172">
        <w:trPr>
          <w:trHeight w:val="663"/>
        </w:trPr>
        <w:tc>
          <w:tcPr>
            <w:tcW w:w="2131"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Closing capital base</w:t>
            </w:r>
          </w:p>
        </w:tc>
        <w:tc>
          <w:tcPr>
            <w:tcW w:w="109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631.8 </w:t>
            </w:r>
          </w:p>
        </w:tc>
        <w:tc>
          <w:tcPr>
            <w:tcW w:w="1417"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706.1 </w:t>
            </w:r>
          </w:p>
        </w:tc>
        <w:tc>
          <w:tcPr>
            <w:tcW w:w="127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719.9 </w:t>
            </w:r>
          </w:p>
        </w:tc>
        <w:tc>
          <w:tcPr>
            <w:tcW w:w="1418"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721.5 </w:t>
            </w:r>
          </w:p>
        </w:tc>
        <w:tc>
          <w:tcPr>
            <w:tcW w:w="1275"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8E639F">
              <w:t xml:space="preserve"> 722.7 </w:t>
            </w:r>
          </w:p>
        </w:tc>
      </w:tr>
    </w:tbl>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AER analysis.</w:t>
      </w:r>
    </w:p>
    <w:p w:rsidR="007C1F9F" w:rsidRPr="007E3923" w:rsidRDefault="007C1F9F" w:rsidP="007C1F9F">
      <w:pPr>
        <w:pStyle w:val="AERtablesource"/>
        <w:rPr>
          <w:rFonts w:eastAsia="Calibri"/>
        </w:rPr>
      </w:pPr>
      <w:r w:rsidRPr="007E3923">
        <w:rPr>
          <w:rFonts w:eastAsia="Calibri"/>
        </w:rPr>
        <w:t>(a)</w:t>
      </w:r>
      <w:r w:rsidRPr="007E3923">
        <w:rPr>
          <w:rFonts w:eastAsia="Calibri"/>
        </w:rPr>
        <w:tab/>
        <w:t>Based on as incurred capex.</w:t>
      </w:r>
    </w:p>
    <w:p w:rsidR="007C1F9F" w:rsidRPr="007E3923" w:rsidRDefault="007C1F9F" w:rsidP="007C1F9F">
      <w:pPr>
        <w:pStyle w:val="AERtablesource"/>
        <w:rPr>
          <w:rFonts w:eastAsia="Calibri"/>
        </w:rPr>
      </w:pPr>
      <w:r w:rsidRPr="007E3923">
        <w:rPr>
          <w:rFonts w:eastAsia="Calibri"/>
        </w:rPr>
        <w:t>(b)</w:t>
      </w:r>
      <w:r w:rsidRPr="007E3923">
        <w:rPr>
          <w:rFonts w:eastAsia="Calibri"/>
        </w:rPr>
        <w:tab/>
        <w:t>Based on as commissioned capex.</w:t>
      </w:r>
    </w:p>
    <w:p w:rsidR="007C1F9F" w:rsidRPr="00456020" w:rsidRDefault="007C1F9F" w:rsidP="007C1F9F">
      <w:pPr>
        <w:pStyle w:val="AERheading2"/>
        <w:numPr>
          <w:ilvl w:val="1"/>
          <w:numId w:val="7"/>
        </w:numPr>
        <w:tabs>
          <w:tab w:val="clear" w:pos="4317"/>
          <w:tab w:val="num" w:pos="0"/>
        </w:tabs>
        <w:ind w:left="0" w:hanging="720"/>
      </w:pPr>
      <w:bookmarkStart w:id="17" w:name="_Toc334543756"/>
      <w:r>
        <w:t>APA GasNet</w:t>
      </w:r>
      <w:r w:rsidRPr="004C06CB">
        <w:t>'s proposal</w:t>
      </w:r>
      <w:bookmarkEnd w:id="17"/>
    </w:p>
    <w:p w:rsidR="007C1F9F" w:rsidRPr="007E3923" w:rsidRDefault="007C1F9F" w:rsidP="007C1F9F">
      <w:pPr>
        <w:pStyle w:val="AERbodytext"/>
        <w:rPr>
          <w:rFonts w:eastAsia="Calibri"/>
        </w:rPr>
      </w:pPr>
      <w:r w:rsidRPr="007E3923">
        <w:rPr>
          <w:rFonts w:eastAsia="Calibri"/>
        </w:rPr>
        <w:t>APA GasNet proposed adopting an opening capital base as at 1 January 2008 of $538.1 million ($nominal).</w:t>
      </w:r>
      <w:r w:rsidRPr="007E3923">
        <w:rPr>
          <w:rStyle w:val="FootnoteReference"/>
          <w:rFonts w:eastAsia="Calibri"/>
        </w:rPr>
        <w:footnoteReference w:id="34"/>
      </w:r>
      <w:r w:rsidRPr="007E3923">
        <w:rPr>
          <w:rFonts w:eastAsia="Calibri"/>
        </w:rPr>
        <w:t xml:space="preserve"> This included a reduction of $21.5 million ($nominal) from the opening capital base at 1 January 2008 approved in the previous access arrangement review. This reduction is due to the difference between the ACCC's approved capex for 2007 and actual capex for 2007. </w:t>
      </w:r>
    </w:p>
    <w:p w:rsidR="007C1F9F" w:rsidRPr="007E3923" w:rsidRDefault="007C1F9F" w:rsidP="007C1F9F">
      <w:pPr>
        <w:pStyle w:val="AERbodytext"/>
        <w:rPr>
          <w:rFonts w:eastAsia="Calibri"/>
        </w:rPr>
      </w:pPr>
      <w:r w:rsidRPr="007E3923">
        <w:rPr>
          <w:rFonts w:eastAsia="Calibri"/>
        </w:rPr>
        <w:t>APA GasNet also proposed to roll forward its capital base during the 2013–17 access arrangement period using the partially as incurred approach for recognising capex.</w:t>
      </w:r>
      <w:r w:rsidRPr="007E3923">
        <w:rPr>
          <w:rStyle w:val="FootnoteReference"/>
          <w:rFonts w:eastAsia="Calibri"/>
        </w:rPr>
        <w:footnoteReference w:id="35"/>
      </w:r>
      <w:r w:rsidRPr="007E3923">
        <w:rPr>
          <w:rFonts w:eastAsia="Calibri"/>
        </w:rPr>
        <w:t xml:space="preserve"> Under this approach, capex is recognised in the capital base in the year in which it is incurred. APA GasNet previously included capex to its capital base using an as commissioned approach for recognising capex. </w:t>
      </w:r>
      <w:r w:rsidRPr="009D3E81">
        <w:t xml:space="preserve">Under this approach, capex </w:t>
      </w:r>
      <w:r>
        <w:t>is</w:t>
      </w:r>
      <w:r w:rsidRPr="009D3E81">
        <w:t xml:space="preserve"> recognised in the capital base when the project it related to was commissioned and began providing reference services</w:t>
      </w:r>
      <w:r>
        <w:t>.</w:t>
      </w:r>
      <w:r w:rsidRPr="007E3923">
        <w:rPr>
          <w:rFonts w:eastAsia="Calibri"/>
        </w:rPr>
        <w:t xml:space="preserve"> APA GasNet's proposed roll forward of the capital base during the 2008–12 access arrangement period is therefore based on the as commissioned approach.</w:t>
      </w:r>
    </w:p>
    <w:p w:rsidR="007C1F9F" w:rsidRPr="007E3923" w:rsidRDefault="007C1F9F" w:rsidP="007C1F9F">
      <w:pPr>
        <w:rPr>
          <w:rFonts w:eastAsia="Calibri"/>
        </w:rPr>
      </w:pPr>
      <w:r w:rsidRPr="007E3923">
        <w:rPr>
          <w:rFonts w:eastAsia="Calibri"/>
        </w:rPr>
        <w:t>Based on the opening capital base as at 1 January 2008 and the roll forward of the capital base in the 2008–12 access arrangement period, APA GasNet proposed an opening capital base of $620.6 million ($nominal) as at 1 January 2013.</w:t>
      </w:r>
      <w:r>
        <w:rPr>
          <w:rStyle w:val="FootnoteReference"/>
        </w:rPr>
        <w:footnoteReference w:id="36"/>
      </w:r>
      <w:r w:rsidRPr="007E3923">
        <w:rPr>
          <w:rFonts w:eastAsia="Calibri"/>
        </w:rPr>
        <w:t xml:space="preserve"> This is shown in </w:t>
      </w:r>
      <w:r w:rsidR="00DE0D6A" w:rsidRPr="007E3923">
        <w:rPr>
          <w:rFonts w:eastAsia="Calibri"/>
        </w:rPr>
        <w:fldChar w:fldCharType="begin"/>
      </w:r>
      <w:r w:rsidRPr="007E3923">
        <w:rPr>
          <w:rFonts w:eastAsia="Calibri"/>
        </w:rPr>
        <w:instrText xml:space="preserve"> REF _Ref330897276 \r \h </w:instrText>
      </w:r>
      <w:r w:rsidR="00DE0D6A" w:rsidRPr="007E3923">
        <w:rPr>
          <w:rFonts w:eastAsia="Calibri"/>
        </w:rPr>
      </w:r>
      <w:r w:rsidR="00DE0D6A" w:rsidRPr="007E3923">
        <w:rPr>
          <w:rFonts w:eastAsia="Calibri"/>
        </w:rPr>
        <w:fldChar w:fldCharType="separate"/>
      </w:r>
      <w:r>
        <w:rPr>
          <w:rFonts w:eastAsia="Calibri"/>
        </w:rPr>
        <w:t>Table 2.3</w:t>
      </w:r>
      <w:r w:rsidR="00DE0D6A" w:rsidRPr="007E3923">
        <w:rPr>
          <w:rFonts w:eastAsia="Calibri"/>
        </w:rPr>
        <w:fldChar w:fldCharType="end"/>
      </w:r>
      <w:r w:rsidRPr="007E3923">
        <w:rPr>
          <w:rFonts w:eastAsia="Calibri"/>
        </w:rPr>
        <w:t>.</w:t>
      </w:r>
    </w:p>
    <w:p w:rsidR="007C1F9F" w:rsidRPr="000D1DCA" w:rsidRDefault="007C1F9F" w:rsidP="007C1F9F">
      <w:pPr>
        <w:pStyle w:val="AERtabletitle"/>
      </w:pPr>
      <w:bookmarkStart w:id="18" w:name="_Ref330897276"/>
      <w:r>
        <w:t>APA GasNet's proposed capital base roll forward during the 2008</w:t>
      </w:r>
      <w:r w:rsidRPr="00A03229">
        <w:t>–</w:t>
      </w:r>
      <w:r>
        <w:t>12 access arrangement period</w:t>
      </w:r>
      <w:r w:rsidRPr="000D1DCA">
        <w:t xml:space="preserve"> ($million, nominal)</w:t>
      </w:r>
      <w:bookmarkEnd w:id="18"/>
      <w:r w:rsidRPr="000D1DCA">
        <w:tab/>
      </w:r>
    </w:p>
    <w:tbl>
      <w:tblPr>
        <w:tblW w:w="0" w:type="auto"/>
        <w:tblBorders>
          <w:top w:val="single" w:sz="4" w:space="0" w:color="auto"/>
          <w:bottom w:val="single" w:sz="4" w:space="0" w:color="auto"/>
        </w:tblBorders>
        <w:tblLayout w:type="fixed"/>
        <w:tblLook w:val="04A0"/>
      </w:tblPr>
      <w:tblGrid>
        <w:gridCol w:w="3227"/>
        <w:gridCol w:w="706"/>
        <w:gridCol w:w="1080"/>
        <w:gridCol w:w="1080"/>
        <w:gridCol w:w="1080"/>
        <w:gridCol w:w="1218"/>
      </w:tblGrid>
      <w:tr w:rsidR="007C1F9F" w:rsidRPr="006708A5" w:rsidTr="00186172">
        <w:tc>
          <w:tcPr>
            <w:tcW w:w="322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14A22" w:rsidRDefault="007C1F9F" w:rsidP="00186172">
            <w:pPr>
              <w:pStyle w:val="AERtabletextheadingright"/>
            </w:pPr>
          </w:p>
        </w:tc>
        <w:tc>
          <w:tcPr>
            <w:tcW w:w="7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14A22" w:rsidRDefault="007C1F9F" w:rsidP="00186172">
            <w:pPr>
              <w:pStyle w:val="AERtabletextheadingright"/>
            </w:pPr>
            <w:r w:rsidRPr="00714A22">
              <w:t>2008</w:t>
            </w:r>
          </w:p>
        </w:tc>
        <w:tc>
          <w:tcPr>
            <w:tcW w:w="108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14A22" w:rsidRDefault="007C1F9F" w:rsidP="00186172">
            <w:pPr>
              <w:pStyle w:val="AERtabletextheadingright"/>
            </w:pPr>
            <w:r w:rsidRPr="00714A22">
              <w:t>2009</w:t>
            </w:r>
          </w:p>
        </w:tc>
        <w:tc>
          <w:tcPr>
            <w:tcW w:w="108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14A22" w:rsidRDefault="007C1F9F" w:rsidP="00186172">
            <w:pPr>
              <w:pStyle w:val="AERtabletextheadingright"/>
            </w:pPr>
            <w:r w:rsidRPr="00714A22">
              <w:t>2010</w:t>
            </w:r>
          </w:p>
        </w:tc>
        <w:tc>
          <w:tcPr>
            <w:tcW w:w="108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14A22" w:rsidRDefault="007C1F9F" w:rsidP="00186172">
            <w:pPr>
              <w:pStyle w:val="AERtabletextheadingright"/>
            </w:pPr>
            <w:r w:rsidRPr="00714A22">
              <w:t>2011</w:t>
            </w:r>
          </w:p>
        </w:tc>
        <w:tc>
          <w:tcPr>
            <w:tcW w:w="1218"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14A22" w:rsidRDefault="007C1F9F" w:rsidP="00186172">
            <w:pPr>
              <w:pStyle w:val="AERtabletextheadingright"/>
            </w:pPr>
            <w:r w:rsidRPr="00714A22">
              <w:t>2012</w:t>
            </w:r>
          </w:p>
        </w:tc>
      </w:tr>
      <w:tr w:rsidR="007C1F9F" w:rsidRPr="006708A5" w:rsidTr="00186172">
        <w:tc>
          <w:tcPr>
            <w:tcW w:w="3227" w:type="dxa"/>
            <w:shd w:val="clear" w:color="auto" w:fill="auto"/>
            <w:noWrap/>
            <w:tcMar>
              <w:top w:w="0" w:type="dxa"/>
              <w:bottom w:w="0" w:type="dxa"/>
            </w:tcMar>
            <w:vAlign w:val="center"/>
          </w:tcPr>
          <w:p w:rsidR="007C1F9F" w:rsidRPr="00A03229" w:rsidRDefault="007C1F9F" w:rsidP="00186172">
            <w:r w:rsidRPr="00A03229">
              <w:t>Opening capital base</w:t>
            </w:r>
          </w:p>
        </w:tc>
        <w:tc>
          <w:tcPr>
            <w:tcW w:w="706" w:type="dxa"/>
            <w:shd w:val="clear" w:color="auto" w:fill="auto"/>
            <w:noWrap/>
            <w:tcMar>
              <w:top w:w="0" w:type="dxa"/>
              <w:bottom w:w="0" w:type="dxa"/>
            </w:tcMar>
            <w:vAlign w:val="center"/>
          </w:tcPr>
          <w:p w:rsidR="007C1F9F" w:rsidRPr="00714A22" w:rsidRDefault="007C1F9F" w:rsidP="00186172">
            <w:pPr>
              <w:pStyle w:val="AERtabletext-numbers"/>
            </w:pPr>
            <w:r w:rsidRPr="00714A22">
              <w:t>538.1</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568.8</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560.4</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552.6</w:t>
            </w:r>
          </w:p>
        </w:tc>
        <w:tc>
          <w:tcPr>
            <w:tcW w:w="1218" w:type="dxa"/>
            <w:shd w:val="clear" w:color="auto" w:fill="auto"/>
            <w:noWrap/>
            <w:tcMar>
              <w:top w:w="0" w:type="dxa"/>
              <w:bottom w:w="0" w:type="dxa"/>
            </w:tcMar>
            <w:vAlign w:val="center"/>
          </w:tcPr>
          <w:p w:rsidR="007C1F9F" w:rsidRPr="00714A22" w:rsidRDefault="007C1F9F" w:rsidP="00186172">
            <w:pPr>
              <w:pStyle w:val="AERtabletext-numbers"/>
            </w:pPr>
            <w:r w:rsidRPr="00714A22">
              <w:t>588.9</w:t>
            </w:r>
          </w:p>
        </w:tc>
      </w:tr>
      <w:tr w:rsidR="007C1F9F" w:rsidRPr="006708A5" w:rsidTr="00186172">
        <w:tc>
          <w:tcPr>
            <w:tcW w:w="3227" w:type="dxa"/>
            <w:shd w:val="clear" w:color="auto" w:fill="F8B47C"/>
            <w:noWrap/>
            <w:tcMar>
              <w:top w:w="0" w:type="dxa"/>
              <w:bottom w:w="0" w:type="dxa"/>
            </w:tcMar>
            <w:vAlign w:val="center"/>
          </w:tcPr>
          <w:p w:rsidR="007C1F9F" w:rsidRPr="00BA5D5B" w:rsidRDefault="007C1F9F" w:rsidP="00186172">
            <w:pPr>
              <w:pStyle w:val="AERtabletext"/>
            </w:pPr>
            <w:r>
              <w:t>Net</w:t>
            </w:r>
            <w:r w:rsidRPr="00BA5D5B">
              <w:t xml:space="preserve"> capex</w:t>
            </w:r>
          </w:p>
        </w:tc>
        <w:tc>
          <w:tcPr>
            <w:tcW w:w="706" w:type="dxa"/>
            <w:shd w:val="clear" w:color="auto" w:fill="F8B47C"/>
            <w:noWrap/>
            <w:tcMar>
              <w:top w:w="0" w:type="dxa"/>
              <w:bottom w:w="0" w:type="dxa"/>
            </w:tcMar>
            <w:vAlign w:val="center"/>
          </w:tcPr>
          <w:p w:rsidR="007C1F9F" w:rsidRPr="00714A22" w:rsidRDefault="007C1F9F" w:rsidP="00186172">
            <w:pPr>
              <w:pStyle w:val="AERtabletext-numbers"/>
            </w:pPr>
            <w:r w:rsidRPr="00714A22">
              <w:t>37.8</w:t>
            </w:r>
          </w:p>
        </w:tc>
        <w:tc>
          <w:tcPr>
            <w:tcW w:w="1080" w:type="dxa"/>
            <w:shd w:val="clear" w:color="auto" w:fill="F8B47C"/>
            <w:noWrap/>
            <w:tcMar>
              <w:top w:w="0" w:type="dxa"/>
              <w:bottom w:w="0" w:type="dxa"/>
            </w:tcMar>
            <w:vAlign w:val="center"/>
          </w:tcPr>
          <w:p w:rsidR="007C1F9F" w:rsidRPr="00714A22" w:rsidRDefault="007C1F9F" w:rsidP="00186172">
            <w:pPr>
              <w:pStyle w:val="AERtabletext-numbers"/>
            </w:pPr>
            <w:r w:rsidRPr="00714A22">
              <w:t>10.2</w:t>
            </w:r>
          </w:p>
        </w:tc>
        <w:tc>
          <w:tcPr>
            <w:tcW w:w="1080" w:type="dxa"/>
            <w:shd w:val="clear" w:color="auto" w:fill="F8B47C"/>
            <w:noWrap/>
            <w:tcMar>
              <w:top w:w="0" w:type="dxa"/>
              <w:bottom w:w="0" w:type="dxa"/>
            </w:tcMar>
            <w:vAlign w:val="center"/>
          </w:tcPr>
          <w:p w:rsidR="007C1F9F" w:rsidRPr="00714A22" w:rsidRDefault="007C1F9F" w:rsidP="00186172">
            <w:pPr>
              <w:pStyle w:val="AERtabletext-numbers"/>
            </w:pPr>
            <w:r w:rsidRPr="00714A22">
              <w:t>10.7</w:t>
            </w:r>
          </w:p>
        </w:tc>
        <w:tc>
          <w:tcPr>
            <w:tcW w:w="1080" w:type="dxa"/>
            <w:shd w:val="clear" w:color="auto" w:fill="F8B47C"/>
            <w:noWrap/>
            <w:tcMar>
              <w:top w:w="0" w:type="dxa"/>
              <w:bottom w:w="0" w:type="dxa"/>
            </w:tcMar>
            <w:vAlign w:val="center"/>
          </w:tcPr>
          <w:p w:rsidR="007C1F9F" w:rsidRPr="00714A22" w:rsidRDefault="007C1F9F" w:rsidP="00186172">
            <w:pPr>
              <w:pStyle w:val="AERtabletext-numbers"/>
            </w:pPr>
            <w:r w:rsidRPr="00714A22">
              <w:t>53.6</w:t>
            </w:r>
          </w:p>
        </w:tc>
        <w:tc>
          <w:tcPr>
            <w:tcW w:w="1218" w:type="dxa"/>
            <w:shd w:val="clear" w:color="auto" w:fill="F8B47C"/>
            <w:noWrap/>
            <w:tcMar>
              <w:top w:w="0" w:type="dxa"/>
              <w:bottom w:w="0" w:type="dxa"/>
            </w:tcMar>
            <w:vAlign w:val="center"/>
          </w:tcPr>
          <w:p w:rsidR="007C1F9F" w:rsidRPr="00714A22" w:rsidRDefault="007C1F9F" w:rsidP="00186172">
            <w:pPr>
              <w:pStyle w:val="AERtabletext-numbers"/>
            </w:pPr>
            <w:r w:rsidRPr="00714A22">
              <w:t>52.5</w:t>
            </w:r>
          </w:p>
        </w:tc>
      </w:tr>
      <w:tr w:rsidR="007C1F9F" w:rsidRPr="006708A5" w:rsidTr="00186172">
        <w:tc>
          <w:tcPr>
            <w:tcW w:w="3227" w:type="dxa"/>
            <w:shd w:val="clear" w:color="auto" w:fill="auto"/>
            <w:noWrap/>
            <w:tcMar>
              <w:top w:w="0" w:type="dxa"/>
              <w:bottom w:w="0" w:type="dxa"/>
            </w:tcMar>
            <w:vAlign w:val="center"/>
          </w:tcPr>
          <w:p w:rsidR="007C1F9F" w:rsidRPr="00BA5D5B" w:rsidRDefault="007C1F9F" w:rsidP="00186172">
            <w:pPr>
              <w:pStyle w:val="AERtabletext"/>
            </w:pPr>
            <w:r w:rsidRPr="00BA5D5B">
              <w:t>Less</w:t>
            </w:r>
            <w:r>
              <w:t>:</w:t>
            </w:r>
            <w:r w:rsidRPr="00BA5D5B">
              <w:t xml:space="preserve"> depreciation</w:t>
            </w:r>
          </w:p>
        </w:tc>
        <w:tc>
          <w:tcPr>
            <w:tcW w:w="706" w:type="dxa"/>
            <w:shd w:val="clear" w:color="auto" w:fill="auto"/>
            <w:noWrap/>
            <w:tcMar>
              <w:top w:w="0" w:type="dxa"/>
              <w:bottom w:w="0" w:type="dxa"/>
            </w:tcMar>
            <w:vAlign w:val="center"/>
          </w:tcPr>
          <w:p w:rsidR="007C1F9F" w:rsidRPr="00714A22" w:rsidRDefault="007C1F9F" w:rsidP="00186172">
            <w:pPr>
              <w:pStyle w:val="AERtabletext-numbers"/>
            </w:pPr>
            <w:r w:rsidRPr="00714A22">
              <w:t>27.0</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30.7</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33.4</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34.3</w:t>
            </w:r>
          </w:p>
        </w:tc>
        <w:tc>
          <w:tcPr>
            <w:tcW w:w="1218" w:type="dxa"/>
            <w:shd w:val="clear" w:color="auto" w:fill="auto"/>
            <w:noWrap/>
            <w:tcMar>
              <w:top w:w="0" w:type="dxa"/>
              <w:bottom w:w="0" w:type="dxa"/>
            </w:tcMar>
            <w:vAlign w:val="center"/>
          </w:tcPr>
          <w:p w:rsidR="007C1F9F" w:rsidRPr="00714A22" w:rsidRDefault="007C1F9F" w:rsidP="00186172">
            <w:pPr>
              <w:pStyle w:val="AERtabletext-numbers"/>
            </w:pPr>
            <w:r w:rsidRPr="00714A22">
              <w:t>35.5</w:t>
            </w:r>
          </w:p>
        </w:tc>
      </w:tr>
      <w:tr w:rsidR="007C1F9F" w:rsidRPr="006708A5" w:rsidTr="00186172">
        <w:tc>
          <w:tcPr>
            <w:tcW w:w="3227" w:type="dxa"/>
            <w:shd w:val="clear" w:color="auto" w:fill="F8B47C"/>
            <w:noWrap/>
            <w:tcMar>
              <w:top w:w="0" w:type="dxa"/>
              <w:bottom w:w="0" w:type="dxa"/>
            </w:tcMar>
            <w:vAlign w:val="center"/>
          </w:tcPr>
          <w:p w:rsidR="007C1F9F" w:rsidRPr="00BA5D5B" w:rsidRDefault="007C1F9F" w:rsidP="00186172">
            <w:pPr>
              <w:pStyle w:val="AERtabletext"/>
            </w:pPr>
            <w:r>
              <w:t>I</w:t>
            </w:r>
            <w:r w:rsidRPr="00BA5D5B">
              <w:t>ndexation</w:t>
            </w:r>
          </w:p>
        </w:tc>
        <w:tc>
          <w:tcPr>
            <w:tcW w:w="706" w:type="dxa"/>
            <w:shd w:val="clear" w:color="auto" w:fill="F8B47C"/>
            <w:noWrap/>
            <w:tcMar>
              <w:top w:w="0" w:type="dxa"/>
              <w:bottom w:w="0" w:type="dxa"/>
            </w:tcMar>
            <w:vAlign w:val="center"/>
          </w:tcPr>
          <w:p w:rsidR="007C1F9F" w:rsidRPr="00714A22" w:rsidRDefault="007C1F9F" w:rsidP="00186172">
            <w:pPr>
              <w:pStyle w:val="AERtabletext-numbers"/>
            </w:pPr>
            <w:r w:rsidRPr="00714A22">
              <w:t>19.8</w:t>
            </w:r>
          </w:p>
        </w:tc>
        <w:tc>
          <w:tcPr>
            <w:tcW w:w="1080" w:type="dxa"/>
            <w:shd w:val="clear" w:color="auto" w:fill="F8B47C"/>
            <w:noWrap/>
            <w:tcMar>
              <w:top w:w="0" w:type="dxa"/>
              <w:bottom w:w="0" w:type="dxa"/>
            </w:tcMar>
            <w:vAlign w:val="center"/>
          </w:tcPr>
          <w:p w:rsidR="007C1F9F" w:rsidRPr="00714A22" w:rsidRDefault="007C1F9F" w:rsidP="00186172">
            <w:pPr>
              <w:pStyle w:val="AERtabletext-numbers"/>
            </w:pPr>
            <w:r w:rsidRPr="00714A22">
              <w:t>12.0</w:t>
            </w:r>
          </w:p>
        </w:tc>
        <w:tc>
          <w:tcPr>
            <w:tcW w:w="1080" w:type="dxa"/>
            <w:shd w:val="clear" w:color="auto" w:fill="F8B47C"/>
            <w:noWrap/>
            <w:tcMar>
              <w:top w:w="0" w:type="dxa"/>
              <w:bottom w:w="0" w:type="dxa"/>
            </w:tcMar>
            <w:vAlign w:val="center"/>
          </w:tcPr>
          <w:p w:rsidR="007C1F9F" w:rsidRPr="00714A22" w:rsidRDefault="007C1F9F" w:rsidP="00186172">
            <w:pPr>
              <w:pStyle w:val="AERtabletext-numbers"/>
            </w:pPr>
            <w:r w:rsidRPr="00714A22">
              <w:t>14.9</w:t>
            </w:r>
          </w:p>
        </w:tc>
        <w:tc>
          <w:tcPr>
            <w:tcW w:w="1080" w:type="dxa"/>
            <w:shd w:val="clear" w:color="auto" w:fill="F8B47C"/>
            <w:noWrap/>
            <w:tcMar>
              <w:top w:w="0" w:type="dxa"/>
              <w:bottom w:w="0" w:type="dxa"/>
            </w:tcMar>
            <w:vAlign w:val="center"/>
          </w:tcPr>
          <w:p w:rsidR="007C1F9F" w:rsidRPr="00714A22" w:rsidRDefault="007C1F9F" w:rsidP="00186172">
            <w:pPr>
              <w:pStyle w:val="AERtabletext-numbers"/>
            </w:pPr>
            <w:r w:rsidRPr="00714A22">
              <w:t>17.1</w:t>
            </w:r>
          </w:p>
        </w:tc>
        <w:tc>
          <w:tcPr>
            <w:tcW w:w="1218" w:type="dxa"/>
            <w:shd w:val="clear" w:color="auto" w:fill="F8B47C"/>
            <w:noWrap/>
            <w:tcMar>
              <w:top w:w="0" w:type="dxa"/>
              <w:bottom w:w="0" w:type="dxa"/>
            </w:tcMar>
            <w:vAlign w:val="center"/>
          </w:tcPr>
          <w:p w:rsidR="007C1F9F" w:rsidRPr="00714A22" w:rsidRDefault="007C1F9F" w:rsidP="00186172">
            <w:pPr>
              <w:pStyle w:val="AERtabletext-numbers"/>
            </w:pPr>
            <w:r w:rsidRPr="00714A22">
              <w:t>14.7</w:t>
            </w:r>
          </w:p>
        </w:tc>
      </w:tr>
      <w:tr w:rsidR="007C1F9F" w:rsidRPr="006708A5" w:rsidTr="00186172">
        <w:tc>
          <w:tcPr>
            <w:tcW w:w="3227" w:type="dxa"/>
            <w:shd w:val="clear" w:color="auto" w:fill="auto"/>
            <w:noWrap/>
            <w:tcMar>
              <w:top w:w="0" w:type="dxa"/>
              <w:bottom w:w="0" w:type="dxa"/>
            </w:tcMar>
            <w:vAlign w:val="center"/>
          </w:tcPr>
          <w:p w:rsidR="007C1F9F" w:rsidRPr="00A03229" w:rsidRDefault="007C1F9F" w:rsidP="00186172">
            <w:r w:rsidRPr="00A03229">
              <w:t>Closing capital base</w:t>
            </w:r>
          </w:p>
        </w:tc>
        <w:tc>
          <w:tcPr>
            <w:tcW w:w="706" w:type="dxa"/>
            <w:shd w:val="clear" w:color="auto" w:fill="auto"/>
            <w:noWrap/>
            <w:tcMar>
              <w:top w:w="0" w:type="dxa"/>
              <w:bottom w:w="0" w:type="dxa"/>
            </w:tcMar>
            <w:vAlign w:val="center"/>
          </w:tcPr>
          <w:p w:rsidR="007C1F9F" w:rsidRPr="00714A22" w:rsidRDefault="007C1F9F" w:rsidP="00186172">
            <w:pPr>
              <w:pStyle w:val="AERtabletext-numbers"/>
            </w:pPr>
            <w:r w:rsidRPr="00714A22">
              <w:t>568.8</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560.4</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552.6</w:t>
            </w:r>
          </w:p>
        </w:tc>
        <w:tc>
          <w:tcPr>
            <w:tcW w:w="1080" w:type="dxa"/>
            <w:shd w:val="clear" w:color="auto" w:fill="auto"/>
            <w:noWrap/>
            <w:tcMar>
              <w:top w:w="0" w:type="dxa"/>
              <w:bottom w:w="0" w:type="dxa"/>
            </w:tcMar>
            <w:vAlign w:val="center"/>
          </w:tcPr>
          <w:p w:rsidR="007C1F9F" w:rsidRPr="00714A22" w:rsidRDefault="007C1F9F" w:rsidP="00186172">
            <w:pPr>
              <w:pStyle w:val="AERtabletext-numbers"/>
            </w:pPr>
            <w:r w:rsidRPr="00714A22">
              <w:t>588.9</w:t>
            </w:r>
          </w:p>
        </w:tc>
        <w:tc>
          <w:tcPr>
            <w:tcW w:w="1218" w:type="dxa"/>
            <w:shd w:val="clear" w:color="auto" w:fill="auto"/>
            <w:noWrap/>
            <w:tcMar>
              <w:top w:w="0" w:type="dxa"/>
              <w:bottom w:w="0" w:type="dxa"/>
            </w:tcMar>
            <w:vAlign w:val="center"/>
          </w:tcPr>
          <w:p w:rsidR="007C1F9F" w:rsidRPr="00714A22" w:rsidRDefault="007C1F9F" w:rsidP="00186172">
            <w:pPr>
              <w:pStyle w:val="AERtabletext-numbers"/>
            </w:pPr>
            <w:r w:rsidRPr="00714A22">
              <w:t>620.6</w:t>
            </w:r>
          </w:p>
        </w:tc>
      </w:tr>
    </w:tbl>
    <w:p w:rsidR="007C1F9F" w:rsidRDefault="007C1F9F" w:rsidP="007C1F9F">
      <w:pPr>
        <w:pStyle w:val="AERtablesource"/>
      </w:pPr>
      <w:r w:rsidRPr="006708A5">
        <w:t>Source:</w:t>
      </w:r>
      <w:r w:rsidRPr="006708A5">
        <w:tab/>
      </w:r>
      <w:r>
        <w:t>APA GasNet,</w:t>
      </w:r>
      <w:r w:rsidRPr="006708A5">
        <w:t xml:space="preserve"> </w:t>
      </w:r>
      <w:r w:rsidRPr="008D75A9">
        <w:rPr>
          <w:rStyle w:val="AERtextitalic"/>
        </w:rPr>
        <w:t>Access arrangement proposal</w:t>
      </w:r>
      <w:r w:rsidRPr="000D1DCA">
        <w:t>,</w:t>
      </w:r>
      <w:r w:rsidRPr="006708A5">
        <w:t xml:space="preserve"> </w:t>
      </w:r>
      <w:r>
        <w:t>March</w:t>
      </w:r>
      <w:r w:rsidRPr="006708A5">
        <w:t xml:space="preserve"> 201</w:t>
      </w:r>
      <w:r>
        <w:t>2</w:t>
      </w:r>
      <w:r w:rsidRPr="006708A5">
        <w:t>, p.</w:t>
      </w:r>
      <w:r>
        <w:t> 125</w:t>
      </w:r>
      <w:r w:rsidRPr="006708A5">
        <w:t>.</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Capital expenditure in the 2008–12 access arrangement period</w:t>
      </w:r>
    </w:p>
    <w:p w:rsidR="007C1F9F" w:rsidRPr="007E3923" w:rsidRDefault="007C1F9F" w:rsidP="007C1F9F">
      <w:pPr>
        <w:rPr>
          <w:rFonts w:eastAsia="Calibri"/>
        </w:rPr>
      </w:pPr>
      <w:r w:rsidRPr="007E3923">
        <w:rPr>
          <w:rFonts w:eastAsia="Calibri"/>
        </w:rPr>
        <w:t xml:space="preserve">APA GasNet indicated it has commissioned capex of $164.8 million ($nominal) in the </w:t>
      </w:r>
      <w:r w:rsidRPr="007E3923">
        <w:rPr>
          <w:rFonts w:eastAsia="Calibri"/>
        </w:rPr>
        <w:br/>
        <w:t>2008–12 access arrangement period.</w:t>
      </w:r>
      <w:r w:rsidRPr="007E3923">
        <w:rPr>
          <w:rStyle w:val="FootnoteReference"/>
          <w:rFonts w:eastAsia="Calibri"/>
        </w:rPr>
        <w:footnoteReference w:id="37"/>
      </w:r>
      <w:r w:rsidRPr="007E3923">
        <w:rPr>
          <w:rFonts w:eastAsia="Calibri"/>
        </w:rPr>
        <w:t xml:space="preserve"> This amount included actual capex from 2007–10, an estimate of 2011 capex, and APA GasNet's forecast of capex for 2012.</w:t>
      </w:r>
    </w:p>
    <w:p w:rsidR="007C1F9F" w:rsidRPr="007E3923" w:rsidRDefault="007C1F9F" w:rsidP="007C1F9F">
      <w:pPr>
        <w:rPr>
          <w:rFonts w:eastAsia="Calibri"/>
        </w:rPr>
      </w:pPr>
    </w:p>
    <w:p w:rsidR="007C1F9F" w:rsidRPr="007E3923" w:rsidRDefault="007C1F9F" w:rsidP="007C1F9F">
      <w:pPr>
        <w:rPr>
          <w:rFonts w:eastAsia="Calibri"/>
        </w:rPr>
      </w:pPr>
      <w:r w:rsidRPr="007E3923">
        <w:rPr>
          <w:rFonts w:eastAsia="Calibri"/>
        </w:rPr>
        <w:t xml:space="preserve">APA GasNet proposed that this amount conforms to the NGR requirements and should be included in the opening capital base for the access arrangement period as set out in </w:t>
      </w:r>
      <w:r w:rsidR="00DE0D6A" w:rsidRPr="007E3923">
        <w:rPr>
          <w:rFonts w:eastAsia="Calibri"/>
        </w:rPr>
        <w:fldChar w:fldCharType="begin"/>
      </w:r>
      <w:r w:rsidRPr="007E3923">
        <w:rPr>
          <w:rFonts w:eastAsia="Calibri"/>
        </w:rPr>
        <w:instrText xml:space="preserve"> REF _Ref329097774 \r \h </w:instrText>
      </w:r>
      <w:r w:rsidR="00DE0D6A" w:rsidRPr="007E3923">
        <w:rPr>
          <w:rFonts w:eastAsia="Calibri"/>
        </w:rPr>
      </w:r>
      <w:r w:rsidR="00DE0D6A" w:rsidRPr="007E3923">
        <w:rPr>
          <w:rFonts w:eastAsia="Calibri"/>
        </w:rPr>
        <w:fldChar w:fldCharType="separate"/>
      </w:r>
      <w:r>
        <w:rPr>
          <w:rFonts w:eastAsia="Calibri"/>
        </w:rPr>
        <w:t>Table 2.4</w:t>
      </w:r>
      <w:r w:rsidR="00DE0D6A" w:rsidRPr="007E3923">
        <w:rPr>
          <w:rFonts w:eastAsia="Calibri"/>
        </w:rPr>
        <w:fldChar w:fldCharType="end"/>
      </w:r>
      <w:r w:rsidRPr="007E3923">
        <w:rPr>
          <w:rFonts w:eastAsia="Calibri"/>
        </w:rPr>
        <w:t>. The capex proposed under each category driver is discussed in more detail in attachment 3.</w:t>
      </w:r>
    </w:p>
    <w:p w:rsidR="007C1F9F" w:rsidRPr="007E3923" w:rsidRDefault="007C1F9F" w:rsidP="007C1F9F">
      <w:pPr>
        <w:pStyle w:val="AERtabletitle"/>
        <w:rPr>
          <w:rFonts w:eastAsia="Calibri"/>
        </w:rPr>
      </w:pPr>
      <w:bookmarkStart w:id="19" w:name="_Ref329097774"/>
      <w:r w:rsidRPr="007E3923">
        <w:rPr>
          <w:rFonts w:eastAsia="Calibri"/>
        </w:rPr>
        <w:t>APA GasNet's proposed conforming capital expenditure for the 2008–12 access arrangement period ($million, nominal)</w:t>
      </w:r>
      <w:bookmarkEnd w:id="19"/>
    </w:p>
    <w:tbl>
      <w:tblPr>
        <w:tblW w:w="0" w:type="auto"/>
        <w:tblBorders>
          <w:top w:val="single" w:sz="4" w:space="0" w:color="auto"/>
          <w:bottom w:val="single" w:sz="4" w:space="0" w:color="auto"/>
        </w:tblBorders>
        <w:tblLook w:val="04A0"/>
      </w:tblPr>
      <w:tblGrid>
        <w:gridCol w:w="2143"/>
        <w:gridCol w:w="1063"/>
        <w:gridCol w:w="1064"/>
        <w:gridCol w:w="1064"/>
        <w:gridCol w:w="1064"/>
        <w:gridCol w:w="1065"/>
        <w:gridCol w:w="1065"/>
      </w:tblGrid>
      <w:tr w:rsidR="007C1F9F" w:rsidRPr="00CB41DF" w:rsidTr="00186172">
        <w:tc>
          <w:tcPr>
            <w:tcW w:w="214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rPr>
                <w:rFonts w:eastAsia="Calibri"/>
              </w:rPr>
            </w:pPr>
          </w:p>
        </w:tc>
        <w:tc>
          <w:tcPr>
            <w:tcW w:w="106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2008</w:t>
            </w:r>
          </w:p>
        </w:tc>
        <w:tc>
          <w:tcPr>
            <w:tcW w:w="106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2009</w:t>
            </w:r>
          </w:p>
        </w:tc>
        <w:tc>
          <w:tcPr>
            <w:tcW w:w="106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2010</w:t>
            </w:r>
          </w:p>
        </w:tc>
        <w:tc>
          <w:tcPr>
            <w:tcW w:w="106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2011</w:t>
            </w:r>
          </w:p>
        </w:tc>
        <w:tc>
          <w:tcPr>
            <w:tcW w:w="106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2012</w:t>
            </w:r>
          </w:p>
        </w:tc>
        <w:tc>
          <w:tcPr>
            <w:tcW w:w="106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Total</w:t>
            </w:r>
          </w:p>
        </w:tc>
      </w:tr>
      <w:tr w:rsidR="007C1F9F" w:rsidRPr="00CB41DF" w:rsidTr="00186172">
        <w:tc>
          <w:tcPr>
            <w:tcW w:w="2143" w:type="dxa"/>
            <w:shd w:val="clear" w:color="auto" w:fill="auto"/>
            <w:noWrap/>
            <w:tcMar>
              <w:top w:w="0" w:type="dxa"/>
              <w:bottom w:w="0" w:type="dxa"/>
            </w:tcMar>
            <w:vAlign w:val="center"/>
          </w:tcPr>
          <w:p w:rsidR="007C1F9F" w:rsidRPr="00714A22" w:rsidRDefault="007C1F9F" w:rsidP="00186172">
            <w:pPr>
              <w:pStyle w:val="AERtabletext"/>
            </w:pPr>
            <w:r w:rsidRPr="00714A22">
              <w:t>Pipelines</w:t>
            </w:r>
          </w:p>
        </w:tc>
        <w:tc>
          <w:tcPr>
            <w:tcW w:w="1063"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18.7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2.6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1.5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5.8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17.5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46.1 </w:t>
            </w:r>
          </w:p>
        </w:tc>
      </w:tr>
      <w:tr w:rsidR="007C1F9F" w:rsidRPr="00CB41DF" w:rsidTr="00186172">
        <w:tc>
          <w:tcPr>
            <w:tcW w:w="2143" w:type="dxa"/>
            <w:shd w:val="clear" w:color="auto" w:fill="F8B47C"/>
            <w:noWrap/>
            <w:tcMar>
              <w:top w:w="0" w:type="dxa"/>
              <w:bottom w:w="0" w:type="dxa"/>
            </w:tcMar>
            <w:vAlign w:val="center"/>
          </w:tcPr>
          <w:p w:rsidR="007C1F9F" w:rsidRPr="00714A22" w:rsidRDefault="007C1F9F" w:rsidP="00186172">
            <w:pPr>
              <w:pStyle w:val="AERtabletext"/>
            </w:pPr>
            <w:r w:rsidRPr="00714A22">
              <w:t>Compressors</w:t>
            </w:r>
          </w:p>
        </w:tc>
        <w:tc>
          <w:tcPr>
            <w:tcW w:w="1063"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3.9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2.8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4.0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39.7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28.3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78.6 </w:t>
            </w:r>
          </w:p>
        </w:tc>
      </w:tr>
      <w:tr w:rsidR="007C1F9F" w:rsidRPr="00CB41DF" w:rsidTr="00186172">
        <w:tc>
          <w:tcPr>
            <w:tcW w:w="2143" w:type="dxa"/>
            <w:shd w:val="clear" w:color="auto" w:fill="auto"/>
            <w:noWrap/>
            <w:tcMar>
              <w:top w:w="0" w:type="dxa"/>
              <w:bottom w:w="0" w:type="dxa"/>
            </w:tcMar>
            <w:vAlign w:val="center"/>
          </w:tcPr>
          <w:p w:rsidR="007C1F9F" w:rsidRPr="00714A22" w:rsidRDefault="007C1F9F" w:rsidP="00186172">
            <w:pPr>
              <w:pStyle w:val="AERtabletext"/>
            </w:pPr>
            <w:r w:rsidRPr="00714A22">
              <w:t xml:space="preserve">City </w:t>
            </w:r>
            <w:r>
              <w:t>g</w:t>
            </w:r>
            <w:r w:rsidRPr="00714A22">
              <w:t xml:space="preserve">ates &amp; </w:t>
            </w:r>
            <w:r>
              <w:t>f</w:t>
            </w:r>
            <w:r w:rsidRPr="00714A22">
              <w:t xml:space="preserve">ield </w:t>
            </w:r>
            <w:r>
              <w:t>r</w:t>
            </w:r>
            <w:r w:rsidRPr="00714A22">
              <w:t>egulators</w:t>
            </w:r>
          </w:p>
        </w:tc>
        <w:tc>
          <w:tcPr>
            <w:tcW w:w="1063"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14.0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3.9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w:t>
            </w:r>
            <w:r w:rsidRPr="00A03229">
              <w:t>–</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4.2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1.8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23.9 </w:t>
            </w:r>
          </w:p>
        </w:tc>
      </w:tr>
      <w:tr w:rsidR="007C1F9F" w:rsidRPr="00CB41DF" w:rsidTr="00186172">
        <w:tc>
          <w:tcPr>
            <w:tcW w:w="2143" w:type="dxa"/>
            <w:shd w:val="clear" w:color="auto" w:fill="F8B47C"/>
            <w:noWrap/>
            <w:tcMar>
              <w:top w:w="0" w:type="dxa"/>
              <w:bottom w:w="0" w:type="dxa"/>
            </w:tcMar>
            <w:vAlign w:val="center"/>
          </w:tcPr>
          <w:p w:rsidR="007C1F9F" w:rsidRPr="00714A22" w:rsidRDefault="007C1F9F" w:rsidP="00186172">
            <w:pPr>
              <w:pStyle w:val="AERtabletext"/>
            </w:pPr>
            <w:r w:rsidRPr="00714A22">
              <w:t xml:space="preserve">Odourant </w:t>
            </w:r>
            <w:r>
              <w:t>p</w:t>
            </w:r>
            <w:r w:rsidRPr="00714A22">
              <w:t>lants</w:t>
            </w:r>
          </w:p>
        </w:tc>
        <w:tc>
          <w:tcPr>
            <w:tcW w:w="1063"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w:t>
            </w:r>
            <w:r w:rsidRPr="00A03229">
              <w:t>–</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w:t>
            </w:r>
            <w:r w:rsidRPr="00A03229">
              <w:t>–</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t>–</w:t>
            </w:r>
            <w:r w:rsidRPr="00714A22">
              <w:t xml:space="preserve">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0.1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0.2 </w:t>
            </w:r>
          </w:p>
        </w:tc>
      </w:tr>
      <w:tr w:rsidR="007C1F9F" w:rsidRPr="00CB41DF" w:rsidTr="00186172">
        <w:tc>
          <w:tcPr>
            <w:tcW w:w="2143" w:type="dxa"/>
            <w:shd w:val="clear" w:color="auto" w:fill="auto"/>
            <w:noWrap/>
            <w:tcMar>
              <w:top w:w="0" w:type="dxa"/>
              <w:bottom w:w="0" w:type="dxa"/>
            </w:tcMar>
            <w:vAlign w:val="center"/>
          </w:tcPr>
          <w:p w:rsidR="007C1F9F" w:rsidRPr="00714A22" w:rsidRDefault="007C1F9F" w:rsidP="00186172">
            <w:pPr>
              <w:pStyle w:val="AERtabletext"/>
            </w:pPr>
            <w:r w:rsidRPr="00714A22">
              <w:t xml:space="preserve">Gas </w:t>
            </w:r>
            <w:r>
              <w:t>q</w:t>
            </w:r>
            <w:r w:rsidRPr="00714A22">
              <w:t>uality</w:t>
            </w:r>
          </w:p>
        </w:tc>
        <w:tc>
          <w:tcPr>
            <w:tcW w:w="1063"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r>
      <w:tr w:rsidR="007C1F9F" w:rsidRPr="00CB41DF" w:rsidTr="00186172">
        <w:tc>
          <w:tcPr>
            <w:tcW w:w="2143" w:type="dxa"/>
            <w:shd w:val="clear" w:color="auto" w:fill="F8B47C"/>
            <w:noWrap/>
            <w:tcMar>
              <w:top w:w="0" w:type="dxa"/>
              <w:bottom w:w="0" w:type="dxa"/>
            </w:tcMar>
            <w:vAlign w:val="center"/>
          </w:tcPr>
          <w:p w:rsidR="007C1F9F" w:rsidRPr="00714A22" w:rsidRDefault="007C1F9F" w:rsidP="00186172">
            <w:pPr>
              <w:pStyle w:val="AERtabletext"/>
            </w:pPr>
            <w:r w:rsidRPr="00714A22">
              <w:t>Other</w:t>
            </w:r>
          </w:p>
        </w:tc>
        <w:tc>
          <w:tcPr>
            <w:tcW w:w="1063"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0.5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0.5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5.1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1.6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4.6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12.2 </w:t>
            </w:r>
          </w:p>
        </w:tc>
      </w:tr>
      <w:tr w:rsidR="007C1F9F" w:rsidRPr="00CB41DF" w:rsidTr="00186172">
        <w:tc>
          <w:tcPr>
            <w:tcW w:w="2143" w:type="dxa"/>
            <w:shd w:val="clear" w:color="auto" w:fill="auto"/>
            <w:noWrap/>
            <w:tcMar>
              <w:top w:w="0" w:type="dxa"/>
              <w:bottom w:w="0" w:type="dxa"/>
            </w:tcMar>
            <w:vAlign w:val="center"/>
          </w:tcPr>
          <w:p w:rsidR="007C1F9F" w:rsidRPr="00714A22" w:rsidRDefault="007C1F9F" w:rsidP="00186172">
            <w:pPr>
              <w:pStyle w:val="AERtabletext"/>
            </w:pPr>
            <w:r w:rsidRPr="00714A22">
              <w:t xml:space="preserve">General </w:t>
            </w:r>
            <w:r>
              <w:t>b</w:t>
            </w:r>
            <w:r w:rsidRPr="00714A22">
              <w:t>uilding</w:t>
            </w:r>
          </w:p>
        </w:tc>
        <w:tc>
          <w:tcPr>
            <w:tcW w:w="1063"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0.8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0.4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0.2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0.9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0.2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2.6 </w:t>
            </w:r>
          </w:p>
        </w:tc>
      </w:tr>
      <w:tr w:rsidR="007C1F9F" w:rsidRPr="00CB41DF" w:rsidTr="00186172">
        <w:tc>
          <w:tcPr>
            <w:tcW w:w="2143" w:type="dxa"/>
            <w:shd w:val="clear" w:color="auto" w:fill="F8B47C"/>
            <w:noWrap/>
            <w:tcMar>
              <w:top w:w="0" w:type="dxa"/>
              <w:bottom w:w="0" w:type="dxa"/>
            </w:tcMar>
            <w:vAlign w:val="center"/>
          </w:tcPr>
          <w:p w:rsidR="007C1F9F" w:rsidRPr="00714A22" w:rsidRDefault="007C1F9F" w:rsidP="00186172">
            <w:pPr>
              <w:pStyle w:val="AERtabletext"/>
            </w:pPr>
            <w:r w:rsidRPr="00714A22">
              <w:t xml:space="preserve">General </w:t>
            </w:r>
            <w:r>
              <w:t>l</w:t>
            </w:r>
            <w:r w:rsidRPr="00714A22">
              <w:t>and</w:t>
            </w:r>
          </w:p>
        </w:tc>
        <w:tc>
          <w:tcPr>
            <w:tcW w:w="1063"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4"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1.2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w:t>
            </w:r>
            <w:r>
              <w:t>–</w:t>
            </w:r>
            <w:r w:rsidRPr="00714A22">
              <w:t xml:space="preserve">  </w:t>
            </w:r>
          </w:p>
        </w:tc>
        <w:tc>
          <w:tcPr>
            <w:tcW w:w="1065" w:type="dxa"/>
            <w:shd w:val="clear" w:color="auto" w:fill="F8B47C"/>
            <w:noWrap/>
            <w:tcMar>
              <w:top w:w="0" w:type="dxa"/>
              <w:bottom w:w="0" w:type="dxa"/>
            </w:tcMar>
            <w:vAlign w:val="center"/>
          </w:tcPr>
          <w:p w:rsidR="007C1F9F" w:rsidRPr="00714A22" w:rsidRDefault="007C1F9F" w:rsidP="00186172">
            <w:pPr>
              <w:pStyle w:val="AERtabletext-numbers"/>
            </w:pPr>
            <w:r w:rsidRPr="00714A22">
              <w:t xml:space="preserve"> 1.2 </w:t>
            </w:r>
          </w:p>
        </w:tc>
      </w:tr>
      <w:tr w:rsidR="007C1F9F" w:rsidRPr="00CB41DF" w:rsidTr="00186172">
        <w:tc>
          <w:tcPr>
            <w:tcW w:w="2143" w:type="dxa"/>
            <w:shd w:val="clear" w:color="auto" w:fill="auto"/>
            <w:noWrap/>
            <w:tcMar>
              <w:top w:w="0" w:type="dxa"/>
              <w:bottom w:w="0" w:type="dxa"/>
            </w:tcMar>
            <w:vAlign w:val="center"/>
          </w:tcPr>
          <w:p w:rsidR="007C1F9F" w:rsidRPr="00714A22" w:rsidRDefault="007C1F9F" w:rsidP="00186172">
            <w:pPr>
              <w:pStyle w:val="AERtabletext"/>
            </w:pPr>
            <w:r w:rsidRPr="00714A22">
              <w:t>Total</w:t>
            </w:r>
          </w:p>
        </w:tc>
        <w:tc>
          <w:tcPr>
            <w:tcW w:w="1063"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37.8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10.2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10.7 </w:t>
            </w:r>
          </w:p>
        </w:tc>
        <w:tc>
          <w:tcPr>
            <w:tcW w:w="1064"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53.6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52.5 </w:t>
            </w:r>
          </w:p>
        </w:tc>
        <w:tc>
          <w:tcPr>
            <w:tcW w:w="1065" w:type="dxa"/>
            <w:shd w:val="clear" w:color="auto" w:fill="auto"/>
            <w:noWrap/>
            <w:tcMar>
              <w:top w:w="0" w:type="dxa"/>
              <w:bottom w:w="0" w:type="dxa"/>
            </w:tcMar>
            <w:vAlign w:val="center"/>
          </w:tcPr>
          <w:p w:rsidR="007C1F9F" w:rsidRPr="00714A22" w:rsidRDefault="007C1F9F" w:rsidP="00186172">
            <w:pPr>
              <w:pStyle w:val="AERtabletext-numbers"/>
            </w:pPr>
            <w:r w:rsidRPr="00714A22">
              <w:t xml:space="preserve"> 164.8 </w:t>
            </w:r>
          </w:p>
        </w:tc>
      </w:tr>
    </w:tbl>
    <w:p w:rsidR="007C1F9F" w:rsidRDefault="007C1F9F" w:rsidP="007C1F9F">
      <w:pPr>
        <w:pStyle w:val="AERtablesource"/>
      </w:pPr>
      <w:r w:rsidRPr="007E3923">
        <w:rPr>
          <w:rFonts w:eastAsia="Calibri"/>
        </w:rPr>
        <w:t xml:space="preserve">Source: </w:t>
      </w:r>
      <w:r w:rsidRPr="007E3923">
        <w:rPr>
          <w:rFonts w:eastAsia="Calibri"/>
        </w:rPr>
        <w:tab/>
      </w:r>
      <w:r>
        <w:t xml:space="preserve">APA GasNet, </w:t>
      </w:r>
      <w:r>
        <w:rPr>
          <w:rStyle w:val="AERtextitalic"/>
        </w:rPr>
        <w:t>Roll forward model</w:t>
      </w:r>
      <w:r>
        <w:t>, March 2012.</w:t>
      </w:r>
    </w:p>
    <w:p w:rsidR="007C1F9F" w:rsidRDefault="007C1F9F" w:rsidP="007C1F9F">
      <w:pPr>
        <w:pStyle w:val="AERtablesource"/>
      </w:pPr>
      <w:r>
        <w:t>Note:</w:t>
      </w:r>
      <w:r>
        <w:tab/>
        <w:t>APA GasNet's proposed RFM also included asset classes for Non reg - LNG, Non reg - LNG - Land, Non reg - Connection services. The AER has not included these asset classes in its draft decision because there are no residual values or capex allocated to them during the 2008–12 access arrangement period. Further, APA GasNet has not included these asset classes in its projected capital base roll forward.</w:t>
      </w:r>
    </w:p>
    <w:p w:rsidR="007C1F9F" w:rsidRPr="00B67B17" w:rsidRDefault="007C1F9F" w:rsidP="007C1F9F">
      <w:pPr>
        <w:pStyle w:val="AERtablesource"/>
      </w:pPr>
      <w:r>
        <w:t xml:space="preserve">Note: </w:t>
      </w:r>
      <w:r>
        <w:tab/>
        <w:t>Total values may not add due to rounding.</w:t>
      </w:r>
    </w:p>
    <w:p w:rsidR="007C1F9F" w:rsidRPr="004E3D17" w:rsidRDefault="007C1F9F" w:rsidP="007C1F9F">
      <w:pPr>
        <w:pStyle w:val="AERbodytext"/>
      </w:pPr>
      <w:r>
        <w:t>APA GasNet identified two items regarding uninterruptible power supply units which were incorrectly approved and classified as 30 year assets in the 2008–12 access arrangement period. APA GasNet submitted that approximately $87,500 ($nominal) of capital base write-offs (disposals) occurred in 2010. APA GasNet further submitted that it considered the disposals to be minor and immaterial and therefore did not include any disposals in the roll forward of the capital base during the 2008–12 access arrangement period.</w:t>
      </w:r>
      <w:r>
        <w:rPr>
          <w:rStyle w:val="FootnoteReference"/>
        </w:rPr>
        <w:footnoteReference w:id="38"/>
      </w:r>
      <w:r>
        <w:t xml:space="preserve"> </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Adjustment to the capital base for inflation in the 2008–12 access arrangement period</w:t>
      </w:r>
    </w:p>
    <w:p w:rsidR="007C1F9F" w:rsidRPr="007E3923" w:rsidRDefault="007C1F9F" w:rsidP="007C1F9F">
      <w:pPr>
        <w:pStyle w:val="AERbodytext"/>
        <w:rPr>
          <w:rFonts w:eastAsia="Calibri"/>
        </w:rPr>
      </w:pPr>
      <w:r w:rsidRPr="007E3923">
        <w:rPr>
          <w:rFonts w:eastAsia="Calibri"/>
        </w:rPr>
        <w:t>APA GasNet proposed to roll forward its capital base using actual outturn inflation, consistent with the ACCC's 2008 access arrangement review.</w:t>
      </w:r>
      <w:r w:rsidRPr="007E3923">
        <w:rPr>
          <w:rStyle w:val="FootnoteReference"/>
          <w:rFonts w:eastAsia="Calibri"/>
        </w:rPr>
        <w:footnoteReference w:id="39"/>
      </w:r>
      <w:r w:rsidRPr="007E3923">
        <w:rPr>
          <w:rFonts w:eastAsia="Calibri"/>
        </w:rPr>
        <w:t xml:space="preserve"> </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Depreciation in the 2008–12 access arrangement period</w:t>
      </w:r>
    </w:p>
    <w:p w:rsidR="007C1F9F" w:rsidRPr="007E3923" w:rsidRDefault="007C1F9F" w:rsidP="007C1F9F">
      <w:pPr>
        <w:pStyle w:val="AERbodytext"/>
        <w:rPr>
          <w:rFonts w:eastAsia="Calibri"/>
        </w:rPr>
      </w:pPr>
      <w:r w:rsidRPr="007E3923">
        <w:rPr>
          <w:rFonts w:eastAsia="Calibri"/>
        </w:rPr>
        <w:t xml:space="preserve">APA GasNet proposed to depreciate its capital base roll forward for the 2008–12 access arrangement using forecast straight-line depreciation, as approved by the ACCC in its </w:t>
      </w:r>
      <w:r w:rsidRPr="007E3923">
        <w:rPr>
          <w:rFonts w:eastAsia="Calibri"/>
        </w:rPr>
        <w:br/>
        <w:t>2008–12 gas access arrangement review.</w:t>
      </w:r>
      <w:r w:rsidRPr="007E3923">
        <w:rPr>
          <w:rStyle w:val="FootnoteReference"/>
          <w:rFonts w:eastAsia="Calibri"/>
        </w:rPr>
        <w:footnoteReference w:id="40"/>
      </w:r>
      <w:r w:rsidRPr="007E3923">
        <w:rPr>
          <w:rFonts w:eastAsia="Calibri"/>
        </w:rPr>
        <w:t xml:space="preserve"> </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 xml:space="preserve">Projected capital base over the </w:t>
      </w:r>
      <w:r w:rsidRPr="00593591">
        <w:t xml:space="preserve">2013–17 </w:t>
      </w:r>
      <w:r w:rsidRPr="007E3923">
        <w:rPr>
          <w:rFonts w:eastAsia="Calibri"/>
        </w:rPr>
        <w:t>access arrangement period</w:t>
      </w:r>
    </w:p>
    <w:p w:rsidR="007C1F9F" w:rsidRPr="007E3923" w:rsidRDefault="007C1F9F" w:rsidP="007C1F9F">
      <w:pPr>
        <w:pStyle w:val="AERbodytext"/>
        <w:rPr>
          <w:rFonts w:eastAsia="Calibri"/>
        </w:rPr>
      </w:pPr>
      <w:r w:rsidRPr="007E3923">
        <w:rPr>
          <w:rFonts w:eastAsia="Calibri"/>
        </w:rPr>
        <w:t>APA GasNet proposed a projected closing capital base as at 31 December 2017 of $857.1 million ($nominal).</w:t>
      </w:r>
      <w:r w:rsidRPr="007E3923">
        <w:rPr>
          <w:rStyle w:val="FootnoteReference"/>
          <w:rFonts w:eastAsia="Calibri"/>
        </w:rPr>
        <w:footnoteReference w:id="41"/>
      </w:r>
      <w:r w:rsidRPr="007E3923">
        <w:rPr>
          <w:rFonts w:eastAsia="Calibri"/>
        </w:rPr>
        <w:t xml:space="preserve"> The projected roll forward of the capital base during the 2013–17 access arrangement period is shown in </w:t>
      </w:r>
      <w:fldSimple w:instr=" REF _Ref329098245 \r \h  \* MERGEFORMAT ">
        <w:r>
          <w:rPr>
            <w:rFonts w:eastAsia="Calibri"/>
          </w:rPr>
          <w:t>Table 2.5</w:t>
        </w:r>
      </w:fldSimple>
      <w:r w:rsidRPr="007E3923">
        <w:rPr>
          <w:rFonts w:eastAsia="Calibri"/>
        </w:rPr>
        <w:t>. APA GasNet has included in its capital base projection:</w:t>
      </w:r>
    </w:p>
    <w:p w:rsidR="007C1F9F" w:rsidRPr="007E3923" w:rsidRDefault="007C1F9F" w:rsidP="007C1F9F">
      <w:pPr>
        <w:pStyle w:val="AERbulletlistfirststyle"/>
        <w:rPr>
          <w:rFonts w:eastAsia="Calibri"/>
        </w:rPr>
      </w:pPr>
      <w:r w:rsidRPr="007E3923">
        <w:rPr>
          <w:rFonts w:eastAsia="Calibri"/>
        </w:rPr>
        <w:t>No inflation indexation of the capital base, which is discussed in more detail in attachment 5. APA GasNet proposed instead to apply a nominal WACC to an unindexed capital base to determine the return on capital allowance. Consequently, its proposal does not adjust the forecast depreciation allowance to be net of the capital base inflation indexation.</w:t>
      </w:r>
      <w:r w:rsidRPr="007E3923">
        <w:rPr>
          <w:rStyle w:val="FootnoteReference"/>
          <w:rFonts w:eastAsia="Calibri"/>
        </w:rPr>
        <w:footnoteReference w:id="42"/>
      </w:r>
    </w:p>
    <w:p w:rsidR="007C1F9F" w:rsidRPr="007E3923" w:rsidRDefault="007C1F9F" w:rsidP="007C1F9F">
      <w:pPr>
        <w:pStyle w:val="AERbulletlistfirststyle"/>
        <w:rPr>
          <w:rFonts w:eastAsia="Calibri"/>
        </w:rPr>
      </w:pPr>
      <w:r w:rsidRPr="007E3923">
        <w:rPr>
          <w:rFonts w:eastAsia="Calibri"/>
        </w:rPr>
        <w:t>Forecast straight-line depreciation,</w:t>
      </w:r>
      <w:r w:rsidRPr="007E3923">
        <w:rPr>
          <w:rStyle w:val="FootnoteReference"/>
          <w:rFonts w:eastAsia="Calibri"/>
        </w:rPr>
        <w:footnoteReference w:id="43"/>
      </w:r>
      <w:r w:rsidRPr="007E3923">
        <w:rPr>
          <w:rFonts w:eastAsia="Calibri"/>
        </w:rPr>
        <w:t xml:space="preserve"> which is discussed in more detail in attachment 5. </w:t>
      </w:r>
    </w:p>
    <w:p w:rsidR="007C1F9F" w:rsidRPr="007E3923" w:rsidRDefault="007C1F9F" w:rsidP="007C1F9F">
      <w:pPr>
        <w:pStyle w:val="AERtabletitle"/>
        <w:rPr>
          <w:rFonts w:eastAsia="Calibri"/>
        </w:rPr>
      </w:pPr>
      <w:bookmarkStart w:id="20" w:name="_Ref329098245"/>
      <w:r w:rsidRPr="007E3923">
        <w:rPr>
          <w:rFonts w:eastAsia="Calibri"/>
        </w:rPr>
        <w:t>APA GasNet's proposed projected capital base roll forward during the 2013–17 access arrangement period ($million, nominal)</w:t>
      </w:r>
      <w:bookmarkEnd w:id="20"/>
    </w:p>
    <w:tbl>
      <w:tblPr>
        <w:tblW w:w="8613" w:type="dxa"/>
        <w:tblBorders>
          <w:top w:val="single" w:sz="4" w:space="0" w:color="auto"/>
          <w:bottom w:val="single" w:sz="4" w:space="0" w:color="auto"/>
        </w:tblBorders>
        <w:tblLook w:val="0020"/>
      </w:tblPr>
      <w:tblGrid>
        <w:gridCol w:w="1809"/>
        <w:gridCol w:w="1276"/>
        <w:gridCol w:w="1418"/>
        <w:gridCol w:w="1417"/>
        <w:gridCol w:w="1418"/>
        <w:gridCol w:w="1275"/>
      </w:tblGrid>
      <w:tr w:rsidR="007C1F9F" w:rsidRPr="008348CB" w:rsidTr="00186172">
        <w:trPr>
          <w:trHeight w:val="293"/>
        </w:trPr>
        <w:tc>
          <w:tcPr>
            <w:tcW w:w="180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rPr>
                <w:rFonts w:eastAsia="Calibri"/>
              </w:rPr>
            </w:pP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2013</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2014</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2015</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2016</w:t>
            </w:r>
          </w:p>
        </w:tc>
        <w:tc>
          <w:tcPr>
            <w:tcW w:w="12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rPr>
                <w:rFonts w:eastAsia="Calibri"/>
              </w:rPr>
            </w:pPr>
            <w:r w:rsidRPr="007E3923">
              <w:rPr>
                <w:rFonts w:eastAsia="Calibri"/>
              </w:rPr>
              <w:t>2017</w:t>
            </w:r>
          </w:p>
        </w:tc>
      </w:tr>
      <w:tr w:rsidR="007C1F9F" w:rsidRPr="008348CB" w:rsidTr="00186172">
        <w:trPr>
          <w:trHeight w:val="663"/>
        </w:trPr>
        <w:tc>
          <w:tcPr>
            <w:tcW w:w="1809"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Opening capital base</w:t>
            </w:r>
          </w:p>
        </w:tc>
        <w:tc>
          <w:tcPr>
            <w:tcW w:w="127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620.6</w:t>
            </w:r>
          </w:p>
        </w:tc>
        <w:tc>
          <w:tcPr>
            <w:tcW w:w="1418"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648.3</w:t>
            </w:r>
          </w:p>
        </w:tc>
        <w:tc>
          <w:tcPr>
            <w:tcW w:w="1417"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903.2</w:t>
            </w:r>
          </w:p>
        </w:tc>
        <w:tc>
          <w:tcPr>
            <w:tcW w:w="1418"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896.5</w:t>
            </w:r>
          </w:p>
        </w:tc>
        <w:tc>
          <w:tcPr>
            <w:tcW w:w="1275"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876.7</w:t>
            </w:r>
          </w:p>
        </w:tc>
      </w:tr>
      <w:tr w:rsidR="007C1F9F" w:rsidRPr="008348CB" w:rsidTr="00186172">
        <w:trPr>
          <w:trHeight w:val="434"/>
        </w:trPr>
        <w:tc>
          <w:tcPr>
            <w:tcW w:w="1809" w:type="dxa"/>
            <w:shd w:val="clear" w:color="auto" w:fill="F8B47C"/>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Net capex</w:t>
            </w:r>
          </w:p>
        </w:tc>
        <w:tc>
          <w:tcPr>
            <w:tcW w:w="1276"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54.4</w:t>
            </w:r>
          </w:p>
        </w:tc>
        <w:tc>
          <w:tcPr>
            <w:tcW w:w="1418"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282.2</w:t>
            </w:r>
          </w:p>
        </w:tc>
        <w:tc>
          <w:tcPr>
            <w:tcW w:w="1417"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27.8</w:t>
            </w:r>
          </w:p>
        </w:tc>
        <w:tc>
          <w:tcPr>
            <w:tcW w:w="1418"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15.7</w:t>
            </w:r>
          </w:p>
        </w:tc>
        <w:tc>
          <w:tcPr>
            <w:tcW w:w="1275"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14.0</w:t>
            </w:r>
          </w:p>
        </w:tc>
      </w:tr>
      <w:tr w:rsidR="007C1F9F" w:rsidRPr="008348CB" w:rsidTr="00186172">
        <w:trPr>
          <w:trHeight w:val="651"/>
        </w:trPr>
        <w:tc>
          <w:tcPr>
            <w:tcW w:w="1809"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Less: depreciation</w:t>
            </w:r>
          </w:p>
        </w:tc>
        <w:tc>
          <w:tcPr>
            <w:tcW w:w="1276"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26.7</w:t>
            </w:r>
          </w:p>
        </w:tc>
        <w:tc>
          <w:tcPr>
            <w:tcW w:w="1418"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27.3</w:t>
            </w:r>
          </w:p>
        </w:tc>
        <w:tc>
          <w:tcPr>
            <w:tcW w:w="1417"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34.5</w:t>
            </w:r>
          </w:p>
        </w:tc>
        <w:tc>
          <w:tcPr>
            <w:tcW w:w="1418"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35.5</w:t>
            </w:r>
          </w:p>
        </w:tc>
        <w:tc>
          <w:tcPr>
            <w:tcW w:w="1275" w:type="dxa"/>
            <w:shd w:val="clear" w:color="auto" w:fill="auto"/>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33.5</w:t>
            </w:r>
          </w:p>
        </w:tc>
      </w:tr>
      <w:tr w:rsidR="007C1F9F" w:rsidRPr="008348CB" w:rsidTr="00186172">
        <w:trPr>
          <w:trHeight w:val="663"/>
        </w:trPr>
        <w:tc>
          <w:tcPr>
            <w:tcW w:w="1809" w:type="dxa"/>
            <w:shd w:val="clear" w:color="auto" w:fill="F8B47C"/>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Closing capital base</w:t>
            </w:r>
          </w:p>
        </w:tc>
        <w:tc>
          <w:tcPr>
            <w:tcW w:w="1276"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648.3</w:t>
            </w:r>
          </w:p>
        </w:tc>
        <w:tc>
          <w:tcPr>
            <w:tcW w:w="1418"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903.2</w:t>
            </w:r>
          </w:p>
        </w:tc>
        <w:tc>
          <w:tcPr>
            <w:tcW w:w="1417"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896.5</w:t>
            </w:r>
          </w:p>
        </w:tc>
        <w:tc>
          <w:tcPr>
            <w:tcW w:w="1418"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876.7</w:t>
            </w:r>
          </w:p>
        </w:tc>
        <w:tc>
          <w:tcPr>
            <w:tcW w:w="1275" w:type="dxa"/>
            <w:shd w:val="clear" w:color="auto" w:fill="F8B47C"/>
            <w:noWrap/>
            <w:tcMar>
              <w:top w:w="0" w:type="dxa"/>
              <w:bottom w:w="0" w:type="dxa"/>
            </w:tcMar>
            <w:vAlign w:val="center"/>
          </w:tcPr>
          <w:p w:rsidR="007C1F9F" w:rsidRPr="007E3923" w:rsidRDefault="007C1F9F" w:rsidP="00186172">
            <w:pPr>
              <w:pStyle w:val="AERtabletext-numbers"/>
              <w:rPr>
                <w:rFonts w:eastAsia="Calibri"/>
              </w:rPr>
            </w:pPr>
            <w:r w:rsidRPr="007E3923">
              <w:rPr>
                <w:rFonts w:eastAsia="Calibri"/>
              </w:rPr>
              <w:t>857.1</w:t>
            </w:r>
          </w:p>
        </w:tc>
      </w:tr>
    </w:tbl>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r>
      <w:r>
        <w:t xml:space="preserve">APA GasNet, </w:t>
      </w:r>
      <w:r w:rsidRPr="006D5605">
        <w:rPr>
          <w:rStyle w:val="AERtextitalic"/>
        </w:rPr>
        <w:t>Access arrangement information</w:t>
      </w:r>
      <w:r>
        <w:t>, March 2012, p. 12.</w:t>
      </w:r>
    </w:p>
    <w:p w:rsidR="007C1F9F" w:rsidRDefault="007C1F9F" w:rsidP="007C1F9F">
      <w:pPr>
        <w:pStyle w:val="AERheading2"/>
        <w:numPr>
          <w:ilvl w:val="1"/>
          <w:numId w:val="7"/>
        </w:numPr>
        <w:tabs>
          <w:tab w:val="clear" w:pos="4317"/>
          <w:tab w:val="num" w:pos="0"/>
        </w:tabs>
        <w:ind w:left="0" w:hanging="720"/>
      </w:pPr>
      <w:bookmarkStart w:id="21" w:name="_Toc334543757"/>
      <w:r w:rsidRPr="004C06CB">
        <w:t>Assessment approach</w:t>
      </w:r>
      <w:bookmarkEnd w:id="21"/>
    </w:p>
    <w:p w:rsidR="007C1F9F" w:rsidRPr="007E3923" w:rsidRDefault="007C1F9F" w:rsidP="007C1F9F">
      <w:pPr>
        <w:pStyle w:val="AERbodytext"/>
        <w:rPr>
          <w:rFonts w:eastAsia="Calibri"/>
        </w:rPr>
      </w:pPr>
      <w:r w:rsidRPr="007E3923">
        <w:rPr>
          <w:rFonts w:eastAsia="Calibri"/>
        </w:rPr>
        <w:t>The AER is required to consider the transitional provisions of the NGR in relation to the assessment of APA GasNet's proposal. This is because APA GasNet's access arrangement for the 2008–12 access arrangement period was ongoing when the new access regime came into force.</w:t>
      </w:r>
      <w:r w:rsidRPr="007E3923">
        <w:rPr>
          <w:rStyle w:val="FootnoteReference"/>
          <w:rFonts w:eastAsia="Calibri"/>
        </w:rPr>
        <w:footnoteReference w:id="44"/>
      </w:r>
      <w:r w:rsidRPr="007E3923">
        <w:rPr>
          <w:rFonts w:eastAsia="Calibri"/>
        </w:rPr>
        <w:t xml:space="preserve"> Rule 79 of the NGR provides that actual or forecast capex (new facilities investment) approved by a Relevant Regulator under section 8.21 of the National Gas Code is taken to be a decision by the AER that the capex conforms with the new capex criteria.</w:t>
      </w:r>
      <w:r w:rsidRPr="007E3923">
        <w:rPr>
          <w:rStyle w:val="FootnoteReference"/>
          <w:rFonts w:eastAsia="Calibri"/>
        </w:rPr>
        <w:footnoteReference w:id="45"/>
      </w:r>
    </w:p>
    <w:p w:rsidR="007C1F9F" w:rsidRPr="007E3923" w:rsidRDefault="007C1F9F" w:rsidP="007C1F9F">
      <w:pPr>
        <w:pStyle w:val="AERbodytext"/>
        <w:rPr>
          <w:rFonts w:eastAsia="Calibri"/>
        </w:rPr>
      </w:pPr>
      <w:r w:rsidRPr="007E3923">
        <w:rPr>
          <w:rFonts w:eastAsia="Calibri"/>
        </w:rPr>
        <w:t>The AER's approach to assessing APA GasNet's projected capital base is consistent with that in previous gas decisions reviewed under the NGR.</w:t>
      </w:r>
      <w:r w:rsidRPr="007E3923">
        <w:rPr>
          <w:rStyle w:val="FootnoteReference"/>
          <w:rFonts w:eastAsia="Calibri"/>
        </w:rPr>
        <w:footnoteReference w:id="46"/>
      </w:r>
      <w:r w:rsidRPr="007E3923">
        <w:rPr>
          <w:rFonts w:eastAsia="Calibri"/>
        </w:rPr>
        <w:t xml:space="preserve"> In accordance with rr. 77(2) and 78 of the NGR, the AER applied three steps to calculate the projected capital base:</w:t>
      </w:r>
    </w:p>
    <w:p w:rsidR="007C1F9F" w:rsidRPr="007E3923" w:rsidRDefault="007C1F9F" w:rsidP="007C1F9F">
      <w:pPr>
        <w:pStyle w:val="AERbulletlistfirststyle"/>
        <w:rPr>
          <w:rFonts w:eastAsia="Calibri"/>
        </w:rPr>
      </w:pPr>
      <w:r w:rsidRPr="007E3923">
        <w:rPr>
          <w:rFonts w:eastAsia="Calibri"/>
        </w:rPr>
        <w:t xml:space="preserve">First, the AER confirms the value of the opening capital base for the first year of the 2008–12 access arrangement period (in this case, 1 January 2008). This requires making an adjustment to account for any difference between actual and estimated capex in the final year of the previous access arrangement period (in this case, 2007). This adjustment is also subject to any changes made in the AER's assessment of conforming capex for that year. </w:t>
      </w:r>
    </w:p>
    <w:p w:rsidR="007C1F9F" w:rsidRPr="007E3923" w:rsidRDefault="007C1F9F" w:rsidP="007C1F9F">
      <w:pPr>
        <w:pStyle w:val="AERbulletlistfirststyle"/>
        <w:rPr>
          <w:rFonts w:eastAsia="Calibri"/>
        </w:rPr>
      </w:pPr>
      <w:r w:rsidRPr="007E3923">
        <w:rPr>
          <w:rFonts w:eastAsia="Calibri"/>
        </w:rPr>
        <w:t>Second, the opening capital base as at 1 January 2008 is rolled forward to determine the closing capital base as at 31 December 2012. This closing capital base is also used as the value of the opening capital base for the access arrangement period as at 1 January 2013. This involves:</w:t>
      </w:r>
      <w:r w:rsidRPr="007E3923">
        <w:rPr>
          <w:rStyle w:val="FootnoteReference"/>
          <w:rFonts w:eastAsia="Calibri"/>
        </w:rPr>
        <w:footnoteReference w:id="47"/>
      </w:r>
    </w:p>
    <w:p w:rsidR="007C1F9F" w:rsidRPr="007E3923" w:rsidRDefault="007C1F9F" w:rsidP="007C1F9F">
      <w:pPr>
        <w:pStyle w:val="AERbulletlistsecondstyle"/>
        <w:rPr>
          <w:rFonts w:eastAsia="Calibri"/>
        </w:rPr>
      </w:pPr>
      <w:r w:rsidRPr="007E3923">
        <w:rPr>
          <w:rFonts w:eastAsia="Calibri"/>
        </w:rPr>
        <w:t>adding conforming actual capex for each year—this requires assessing the capex and ensuring it is consistent with the provisions of the 2008–12  access arrangement and historical regulatory accounts</w:t>
      </w:r>
    </w:p>
    <w:p w:rsidR="007C1F9F" w:rsidRPr="007E3923" w:rsidRDefault="007C1F9F" w:rsidP="007C1F9F">
      <w:pPr>
        <w:pStyle w:val="AERbulletlistsecondstyle"/>
        <w:rPr>
          <w:rFonts w:eastAsia="Calibri"/>
        </w:rPr>
      </w:pPr>
      <w:r w:rsidRPr="007E3923">
        <w:rPr>
          <w:rFonts w:eastAsia="Calibri"/>
        </w:rPr>
        <w:t>removing forecast straight-line depreciation for each year based on the approach approved for the 2008–12 access arrangement</w:t>
      </w:r>
    </w:p>
    <w:p w:rsidR="007C1F9F" w:rsidRPr="007E3923" w:rsidRDefault="007C1F9F" w:rsidP="007C1F9F">
      <w:pPr>
        <w:pStyle w:val="AERbulletlistsecondstyle"/>
        <w:rPr>
          <w:rFonts w:eastAsia="Calibri"/>
        </w:rPr>
      </w:pPr>
      <w:r w:rsidRPr="007E3923">
        <w:rPr>
          <w:rFonts w:eastAsia="Calibri"/>
        </w:rPr>
        <w:t>removing any capital contributions during the 2008–12 access arrangement period</w:t>
      </w:r>
    </w:p>
    <w:p w:rsidR="007C1F9F" w:rsidRPr="007E3923" w:rsidRDefault="007C1F9F" w:rsidP="007C1F9F">
      <w:pPr>
        <w:pStyle w:val="AERbulletlistsecondstyle"/>
        <w:rPr>
          <w:rFonts w:eastAsia="Calibri"/>
        </w:rPr>
      </w:pPr>
      <w:r w:rsidRPr="007E3923">
        <w:rPr>
          <w:rFonts w:eastAsia="Calibri"/>
        </w:rPr>
        <w:t xml:space="preserve">adding any speculative capex or redundant assets that were reused during the </w:t>
      </w:r>
      <w:r w:rsidRPr="007E3923">
        <w:rPr>
          <w:rFonts w:eastAsia="Calibri"/>
        </w:rPr>
        <w:br/>
        <w:t>2008–12 access arrangement period</w:t>
      </w:r>
    </w:p>
    <w:p w:rsidR="007C1F9F" w:rsidRPr="007E3923" w:rsidRDefault="007C1F9F" w:rsidP="007C1F9F">
      <w:pPr>
        <w:pStyle w:val="AERbulletlistsecondstyle"/>
        <w:rPr>
          <w:rFonts w:eastAsia="Calibri"/>
        </w:rPr>
      </w:pPr>
      <w:r w:rsidRPr="007E3923">
        <w:rPr>
          <w:rFonts w:eastAsia="Calibri"/>
        </w:rPr>
        <w:t>removing any redundant assets and disposals during the 2008–12 access arrangement period</w:t>
      </w:r>
    </w:p>
    <w:p w:rsidR="007C1F9F" w:rsidRPr="007E3923" w:rsidRDefault="007C1F9F" w:rsidP="007C1F9F">
      <w:pPr>
        <w:pStyle w:val="AERbulletlistsecondstyle"/>
        <w:rPr>
          <w:rFonts w:eastAsia="Calibri"/>
        </w:rPr>
      </w:pPr>
      <w:r w:rsidRPr="007E3923">
        <w:rPr>
          <w:rFonts w:eastAsia="Calibri"/>
        </w:rPr>
        <w:t>indexing the roll forward each year for actual inflation.</w:t>
      </w:r>
    </w:p>
    <w:p w:rsidR="007C1F9F" w:rsidRPr="007E3923" w:rsidRDefault="007C1F9F" w:rsidP="007C1F9F">
      <w:pPr>
        <w:pStyle w:val="AERbulletlistfirststyle"/>
        <w:rPr>
          <w:rFonts w:eastAsia="Calibri"/>
        </w:rPr>
      </w:pPr>
      <w:r w:rsidRPr="007E3923">
        <w:rPr>
          <w:rFonts w:eastAsia="Calibri"/>
        </w:rPr>
        <w:t>Third, the capital base is projected over the 2013–17 access arrangement period by rolling forward the opening capital base as at 1 January 2013 to 31 December 2017. This involves taking the opening capital base:</w:t>
      </w:r>
      <w:r w:rsidRPr="007E3923">
        <w:rPr>
          <w:rStyle w:val="FootnoteReference"/>
          <w:rFonts w:eastAsia="Calibri"/>
        </w:rPr>
        <w:footnoteReference w:id="48"/>
      </w:r>
    </w:p>
    <w:p w:rsidR="007C1F9F" w:rsidRPr="007E3923" w:rsidRDefault="007C1F9F" w:rsidP="007C1F9F">
      <w:pPr>
        <w:pStyle w:val="AERbulletlistsecondstyle"/>
        <w:rPr>
          <w:rFonts w:eastAsia="Calibri"/>
        </w:rPr>
      </w:pPr>
      <w:r w:rsidRPr="007E3923">
        <w:rPr>
          <w:rFonts w:eastAsia="Calibri"/>
        </w:rPr>
        <w:t>adding forecast conforming capex for each year</w:t>
      </w:r>
    </w:p>
    <w:p w:rsidR="007C1F9F" w:rsidRPr="007E3923" w:rsidRDefault="007C1F9F" w:rsidP="007C1F9F">
      <w:pPr>
        <w:pStyle w:val="AERbulletlistsecondstyle"/>
        <w:rPr>
          <w:rFonts w:eastAsia="Calibri"/>
        </w:rPr>
      </w:pPr>
      <w:r w:rsidRPr="007E3923">
        <w:rPr>
          <w:rFonts w:eastAsia="Calibri"/>
        </w:rPr>
        <w:t>removing forecast depreciation for each year</w:t>
      </w:r>
    </w:p>
    <w:p w:rsidR="007C1F9F" w:rsidRPr="007E3923" w:rsidRDefault="007C1F9F" w:rsidP="007C1F9F">
      <w:pPr>
        <w:pStyle w:val="AERbulletlistsecondstyle"/>
        <w:rPr>
          <w:rFonts w:eastAsia="Calibri"/>
        </w:rPr>
      </w:pPr>
      <w:r w:rsidRPr="007E3923">
        <w:rPr>
          <w:rFonts w:eastAsia="Calibri"/>
        </w:rPr>
        <w:t>removing the forecast value of assets to be disposed of during the 2013–17 access arrangement period</w:t>
      </w:r>
    </w:p>
    <w:p w:rsidR="007C1F9F" w:rsidRPr="007E3923" w:rsidRDefault="007C1F9F" w:rsidP="007C1F9F">
      <w:pPr>
        <w:pStyle w:val="AERbulletlistsecondstyle"/>
        <w:rPr>
          <w:rFonts w:eastAsia="Calibri"/>
        </w:rPr>
      </w:pPr>
      <w:r w:rsidRPr="007E3923">
        <w:rPr>
          <w:rFonts w:eastAsia="Calibri"/>
        </w:rPr>
        <w:t>indexing the capital base each year for forecast inflation.</w:t>
      </w:r>
    </w:p>
    <w:p w:rsidR="007C1F9F" w:rsidRDefault="007C1F9F" w:rsidP="007C1F9F">
      <w:pPr>
        <w:pStyle w:val="AERheading2"/>
        <w:numPr>
          <w:ilvl w:val="1"/>
          <w:numId w:val="7"/>
        </w:numPr>
        <w:tabs>
          <w:tab w:val="clear" w:pos="4317"/>
          <w:tab w:val="num" w:pos="0"/>
        </w:tabs>
        <w:ind w:left="0" w:hanging="720"/>
      </w:pPr>
      <w:bookmarkStart w:id="22" w:name="_Toc334543758"/>
      <w:r w:rsidRPr="004C06CB">
        <w:t>Reasons for draft de</w:t>
      </w:r>
      <w:r>
        <w:t>cision</w:t>
      </w:r>
      <w:bookmarkEnd w:id="22"/>
    </w:p>
    <w:p w:rsidR="007C1F9F" w:rsidRDefault="007C1F9F" w:rsidP="007C1F9F">
      <w:pPr>
        <w:pStyle w:val="AERbodytext"/>
      </w:pPr>
      <w:r>
        <w:t>The AER considers APA GasNet's proposed inputs into the capital base roll forward overstate the value of the opening capital base at 1 January 2013 and consequently the projected closing capital base as at 31 December 2017. The AER considers these inputs are not consistent with rr. 77(2) and 73 of the NGR respectively.  In particular, the AER considers:</w:t>
      </w:r>
    </w:p>
    <w:p w:rsidR="007C1F9F" w:rsidRDefault="007C1F9F" w:rsidP="007C1F9F">
      <w:pPr>
        <w:pStyle w:val="AERbulletlistfirststyle"/>
      </w:pPr>
      <w:r>
        <w:t>APA GasNet's proposed RFM included an incorrect inflation input for 2007 and therefore overstates the opening capital base at 1 January 2008.</w:t>
      </w:r>
    </w:p>
    <w:p w:rsidR="007C1F9F" w:rsidRDefault="007C1F9F" w:rsidP="007C1F9F">
      <w:pPr>
        <w:pStyle w:val="AERbulletlistfirststyle"/>
      </w:pPr>
      <w:r>
        <w:t>APA GasNet's proposed RFM did not correctly include the adjustment for the accumulated return on capital associated with the difference between actual and estimated capex for 2007. This has the effect of overstating the opening capital base as at 1 January 2013.</w:t>
      </w:r>
    </w:p>
    <w:p w:rsidR="007C1F9F" w:rsidRDefault="007C1F9F" w:rsidP="007C1F9F">
      <w:pPr>
        <w:pStyle w:val="AERbulletlistfirststyle"/>
      </w:pPr>
      <w:r>
        <w:t>APA GasNet's proposed forecast capex and depreciation inputs used to roll forward the projected capital base for the 2013–17 access arrangement period need to be amended. As discussed below, the AER considers APA GasNet's proposed inclusion of capitalised interest in its capex forecasts will overstate its efficient capital requirements. The AER's assessment of APA GasNet's forecast capex and depreciation inputs is discussed in attachments 3 and 5 respectively.</w:t>
      </w:r>
    </w:p>
    <w:p w:rsidR="007C1F9F" w:rsidRDefault="007C1F9F" w:rsidP="007C1F9F">
      <w:pPr>
        <w:pStyle w:val="AERbodytext"/>
      </w:pPr>
      <w:r>
        <w:t xml:space="preserve">The AER has also made other minor amendments to APA GasNet's capital base roll forward, which are discussed in the following sections. </w:t>
      </w:r>
      <w:r w:rsidRPr="008002BA">
        <w:t>These amendments are individually necessary for consistency with relevant NGR requirements. The AER's detailed assessment follows</w:t>
      </w:r>
      <w:r>
        <w:t>.</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Opening capital base in the 2008–12 access arrangement period</w:t>
      </w:r>
    </w:p>
    <w:p w:rsidR="007C1F9F" w:rsidRDefault="007C1F9F" w:rsidP="007C1F9F">
      <w:pPr>
        <w:pStyle w:val="AERbodytext"/>
      </w:pPr>
      <w:r>
        <w:t>The AER does not approve APA GasNet's proposed opening capital base as at 1 January 2008 because it does not correctly reflect the appropriate inflation input for 2007. APA GasNet's proposed value for 2007 actual inflation is inconsistent with its annual tariff variation mechanism. In its proposed RFM, APA GasNet applied a December–December CPI for 2007. However, APA GasNet's annual tariff mechanism used:</w:t>
      </w:r>
    </w:p>
    <w:p w:rsidR="007C1F9F" w:rsidRDefault="007C1F9F" w:rsidP="007C1F9F">
      <w:pPr>
        <w:pStyle w:val="AERbulletlistfirststyle"/>
      </w:pPr>
      <w:r>
        <w:t>a September–September CPI for the 2003</w:t>
      </w:r>
      <w:r w:rsidRPr="00846685">
        <w:t>–</w:t>
      </w:r>
      <w:r>
        <w:t>2007 access arrangement period</w:t>
      </w:r>
      <w:r>
        <w:rPr>
          <w:rStyle w:val="FootnoteReference"/>
        </w:rPr>
        <w:footnoteReference w:id="49"/>
      </w:r>
    </w:p>
    <w:p w:rsidR="007C1F9F" w:rsidRDefault="007C1F9F" w:rsidP="007C1F9F">
      <w:pPr>
        <w:pStyle w:val="AERbulletlistfirststyle"/>
      </w:pPr>
      <w:r>
        <w:t>a December–December CPI for the 2008–12 access arrangement period.</w:t>
      </w:r>
      <w:r>
        <w:rPr>
          <w:rStyle w:val="FootnoteReference"/>
        </w:rPr>
        <w:footnoteReference w:id="50"/>
      </w:r>
    </w:p>
    <w:p w:rsidR="007C1F9F" w:rsidRDefault="007C1F9F" w:rsidP="007C1F9F">
      <w:pPr>
        <w:pStyle w:val="AERbodytext"/>
      </w:pPr>
      <w:r>
        <w:t>The AER has adjusted APA GasNet's RFM to include the correct value for 2007 actual inflation, which is consistent with that applied to its annual tariff variation for the same access arrangement period.</w:t>
      </w:r>
      <w:r>
        <w:rPr>
          <w:rStyle w:val="FootnoteReference"/>
        </w:rPr>
        <w:footnoteReference w:id="51"/>
      </w:r>
      <w:r>
        <w:t xml:space="preserve"> The AER approves $559.6 million ($nominal) as the value for the opening capital base as at 1 January 2008, consistent with the NGR.</w:t>
      </w:r>
      <w:r>
        <w:rPr>
          <w:rStyle w:val="FootnoteReference"/>
        </w:rPr>
        <w:footnoteReference w:id="52"/>
      </w:r>
    </w:p>
    <w:p w:rsidR="007C1F9F" w:rsidRDefault="007C1F9F" w:rsidP="007C1F9F">
      <w:pPr>
        <w:pStyle w:val="AERbodytext"/>
      </w:pPr>
      <w:r>
        <w:t>APA GasNet</w:t>
      </w:r>
      <w:r w:rsidRPr="009D3E81">
        <w:t>'s</w:t>
      </w:r>
      <w:r>
        <w:t xml:space="preserve"> actual capex for 2007 is lower than the estimated 2007 capex that was included in the capital base when the ACCC made its decision for the 2008–12 access arrangement. While APA GasNet has adjusted the capital base for the difference between forecast and actual 2007 capex, it did not make this adjustment in the manner required in the AER's RFM. As a result, it did not include a reduction for the excess accumulated return on capital arising from its forecast 2007 capex</w:t>
      </w:r>
      <w:r w:rsidRPr="00DF508F">
        <w:t xml:space="preserve"> </w:t>
      </w:r>
      <w:r>
        <w:t xml:space="preserve">being higher than actual 2007 capex. </w:t>
      </w:r>
    </w:p>
    <w:p w:rsidR="007C1F9F" w:rsidRPr="0052010D" w:rsidRDefault="007C1F9F" w:rsidP="007C1F9F">
      <w:pPr>
        <w:pStyle w:val="AERbodytext"/>
      </w:pPr>
      <w:r w:rsidRPr="009C646D">
        <w:t xml:space="preserve">In the AER's standard </w:t>
      </w:r>
      <w:r>
        <w:t>RFM</w:t>
      </w:r>
      <w:r w:rsidRPr="009C646D">
        <w:t xml:space="preserve">, </w:t>
      </w:r>
      <w:r>
        <w:t>the amendment for the difference between 2007 actual and forecast capex does</w:t>
      </w:r>
      <w:r w:rsidRPr="009C646D">
        <w:t xml:space="preserve"> not affect the opening capital base </w:t>
      </w:r>
      <w:r>
        <w:t xml:space="preserve">at 1 January 2008. Instead, the amendment and the resulting adjustment </w:t>
      </w:r>
      <w:r w:rsidRPr="007E1209">
        <w:t xml:space="preserve">for the return on difference associated with 2007 capex apply to the opening capital base </w:t>
      </w:r>
      <w:r>
        <w:t xml:space="preserve">as </w:t>
      </w:r>
      <w:r w:rsidRPr="007E1209">
        <w:t>at 1 January 2013</w:t>
      </w:r>
      <w:r>
        <w:t>.</w:t>
      </w:r>
      <w:r w:rsidRPr="009C646D">
        <w:t xml:space="preserve"> </w:t>
      </w:r>
      <w:r>
        <w:t>Conversely, APA GasNet's proposed RFM included its amendment in the capital base at 1 January 2008. The AER has used its standard approach to present the amendments.  As a result, t</w:t>
      </w:r>
      <w:r w:rsidRPr="009C646D">
        <w:t>he AER's amendment</w:t>
      </w:r>
      <w:r>
        <w:t xml:space="preserve"> increases</w:t>
      </w:r>
      <w:r w:rsidRPr="009C646D">
        <w:t xml:space="preserve"> APA Gas</w:t>
      </w:r>
      <w:r>
        <w:t>N</w:t>
      </w:r>
      <w:r w:rsidRPr="009C646D">
        <w:t xml:space="preserve">et's </w:t>
      </w:r>
      <w:r>
        <w:t xml:space="preserve">proposed </w:t>
      </w:r>
      <w:r w:rsidRPr="009C646D">
        <w:t>opening capital base at 1 January 2008 by $</w:t>
      </w:r>
      <w:r>
        <w:t>20</w:t>
      </w:r>
      <w:r w:rsidRPr="009C646D">
        <w:t xml:space="preserve"> million</w:t>
      </w:r>
      <w:r>
        <w:t xml:space="preserve"> ($nominal)</w:t>
      </w:r>
      <w:r w:rsidRPr="009C646D">
        <w:t>.</w:t>
      </w:r>
      <w:r>
        <w:t xml:space="preserve"> However, by the end of the 2008</w:t>
      </w:r>
      <w:r w:rsidRPr="00A03229">
        <w:t>–</w:t>
      </w:r>
      <w:r>
        <w:t xml:space="preserve">12 access arrangement period, these adjustments have the effect of reducing APA GasNet's opening capital base as at 1 January 2013 by approximately $33 million. This includes both the amendment for the difference between 2007 actual and forecast capex, as well as the resulting adjustment for the return on that difference of $13.2 million. </w:t>
      </w:r>
      <w:r w:rsidRPr="007E1209">
        <w:t>The AER's consideration of this adjustment is discussed in the following section</w:t>
      </w:r>
      <w:r>
        <w:t>.</w:t>
      </w:r>
    </w:p>
    <w:p w:rsidR="007C1F9F" w:rsidRPr="006B0474" w:rsidRDefault="007C1F9F" w:rsidP="007C1F9F">
      <w:pPr>
        <w:pStyle w:val="AERheading3"/>
        <w:numPr>
          <w:ilvl w:val="2"/>
          <w:numId w:val="7"/>
        </w:numPr>
        <w:tabs>
          <w:tab w:val="clear" w:pos="-357"/>
          <w:tab w:val="num" w:pos="0"/>
        </w:tabs>
        <w:ind w:left="0" w:hanging="714"/>
      </w:pPr>
      <w:r w:rsidRPr="004450FE">
        <w:t xml:space="preserve">Adjustment </w:t>
      </w:r>
      <w:r>
        <w:t>for the return on difference associated with 2007 capex</w:t>
      </w:r>
    </w:p>
    <w:p w:rsidR="007C1F9F" w:rsidRDefault="007C1F9F" w:rsidP="007C1F9F">
      <w:pPr>
        <w:pStyle w:val="AERbodytext"/>
      </w:pPr>
      <w:r>
        <w:t>The AER accepts APA GasNet’s proposal to reduce the opening capital base for the difference between estimated and actual capex in 2007.</w:t>
      </w:r>
      <w:r>
        <w:rPr>
          <w:rStyle w:val="FootnoteReference"/>
        </w:rPr>
        <w:footnoteReference w:id="53"/>
      </w:r>
      <w:r>
        <w:t xml:space="preserve"> However, the AER has further reduced APA GasNet’s opening capital base as at 1 January 2013 by $13.2 million ($nominal). This is to remove the effect of the rate of return on this difference over the </w:t>
      </w:r>
      <w:r>
        <w:br/>
        <w:t>2008–12 access arrangement period.</w:t>
      </w:r>
    </w:p>
    <w:p w:rsidR="007C1F9F" w:rsidRDefault="007C1F9F" w:rsidP="007C1F9F">
      <w:pPr>
        <w:pStyle w:val="AERbodytext"/>
      </w:pPr>
      <w:r>
        <w:t>The ACCC approved the opening capital base as at 1 January 2008 of $560.5 which included an amount for estimated capex in 2007 of $93.9 million ($nominal).</w:t>
      </w:r>
      <w:r>
        <w:rPr>
          <w:rStyle w:val="FootnoteReference"/>
        </w:rPr>
        <w:footnoteReference w:id="54"/>
      </w:r>
      <w:r>
        <w:t xml:space="preserve"> APA GasNet’s actual capex for that year was $72.4 million ($nominal), or $21.5 million less than the amount approved by the ACCC.</w:t>
      </w:r>
      <w:r>
        <w:rPr>
          <w:rStyle w:val="FootnoteReference"/>
        </w:rPr>
        <w:footnoteReference w:id="55"/>
      </w:r>
      <w:r>
        <w:t xml:space="preserve"> As the higher estimated capex for 2007 was incorporated into the capital base for the 2008–12 access arrangement period, APA GasNet has therefore earned a return on this amount over that period. </w:t>
      </w:r>
    </w:p>
    <w:p w:rsidR="007C1F9F" w:rsidRDefault="007C1F9F" w:rsidP="007C1F9F">
      <w:pPr>
        <w:pStyle w:val="AERbodytext"/>
      </w:pPr>
      <w:r>
        <w:t xml:space="preserve">While APA GasNet reduced its opening capital base by about $20 million ($nominal) to account for the difference between estimated and actual capex in 2007, it did not remove the benefit of the return on capital associated with this difference from the capital base. The AER considers that this benefit should be removed in these circumstances because allowing the difference would create an incentive for APA GasNet to overestimate its capex for the final year of the access arrangement period. </w:t>
      </w:r>
      <w:r w:rsidR="00DE0D6A">
        <w:fldChar w:fldCharType="begin"/>
      </w:r>
      <w:r>
        <w:instrText xml:space="preserve"> REF _Ref333591854 \r \h </w:instrText>
      </w:r>
      <w:r w:rsidR="00DE0D6A">
        <w:fldChar w:fldCharType="separate"/>
      </w:r>
      <w:r>
        <w:t>Table 2.6</w:t>
      </w:r>
      <w:r w:rsidR="00DE0D6A">
        <w:fldChar w:fldCharType="end"/>
      </w:r>
      <w:r>
        <w:t xml:space="preserve"> shows that the return on this difference that was earned by APA GasNet over the 2008–12 access arrangement period is $13.2 million ($nominal). </w:t>
      </w:r>
    </w:p>
    <w:p w:rsidR="007C1F9F" w:rsidRDefault="007C1F9F" w:rsidP="007C1F9F">
      <w:pPr>
        <w:pStyle w:val="AERbodytext"/>
      </w:pPr>
      <w:r>
        <w:t>The AER therefore amends APA GasNet’s proposed RFM to remove the return on the difference between estimated and actual net capex for 2007 from the capital base. This adjustment removes the benefit APA GasNet received by applying the rate of return to the estimated capex instead of the lower actual capex which APA GasNet incurred.</w:t>
      </w:r>
      <w:r>
        <w:rPr>
          <w:rStyle w:val="FootnoteReference"/>
        </w:rPr>
        <w:footnoteReference w:id="56"/>
      </w:r>
      <w:r>
        <w:t xml:space="preserve"> The AER’s decision to remove the rate of return from APA GasNet’s capital base is consistent with the approach adopted by the AER in previous gas access arrangement decisions. This is also consistent with the Australian Competition Tribunal’s decision upholding the AER’s removal of the return on difference between estimated and actual capex from Jemena Gas Networks’ capital base.</w:t>
      </w:r>
      <w:r>
        <w:rPr>
          <w:rStyle w:val="FootnoteReference"/>
        </w:rPr>
        <w:footnoteReference w:id="57"/>
      </w:r>
    </w:p>
    <w:p w:rsidR="007C1F9F" w:rsidRPr="006B0474" w:rsidRDefault="007C1F9F" w:rsidP="007C1F9F">
      <w:pPr>
        <w:pStyle w:val="AERtabletitle"/>
      </w:pPr>
      <w:bookmarkStart w:id="23" w:name="_Ref326931221"/>
      <w:bookmarkStart w:id="24" w:name="_Ref333591854"/>
      <w:r>
        <w:t>Return on capital from overestimate of 2007 capex</w:t>
      </w:r>
      <w:r w:rsidRPr="006B0474">
        <w:t xml:space="preserve"> ($million, nominal)</w:t>
      </w:r>
      <w:bookmarkEnd w:id="23"/>
      <w:bookmarkEnd w:id="24"/>
    </w:p>
    <w:tbl>
      <w:tblPr>
        <w:tblW w:w="5000" w:type="pct"/>
        <w:tblBorders>
          <w:top w:val="single" w:sz="4" w:space="0" w:color="auto"/>
          <w:bottom w:val="single" w:sz="4" w:space="0" w:color="auto"/>
        </w:tblBorders>
        <w:tblLayout w:type="fixed"/>
        <w:tblLook w:val="04A0"/>
      </w:tblPr>
      <w:tblGrid>
        <w:gridCol w:w="3226"/>
        <w:gridCol w:w="902"/>
        <w:gridCol w:w="761"/>
        <w:gridCol w:w="761"/>
        <w:gridCol w:w="761"/>
        <w:gridCol w:w="761"/>
        <w:gridCol w:w="590"/>
        <w:gridCol w:w="766"/>
      </w:tblGrid>
      <w:tr w:rsidR="007C1F9F" w:rsidRPr="00C14493" w:rsidTr="00186172">
        <w:tc>
          <w:tcPr>
            <w:tcW w:w="1892"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
            </w:pPr>
          </w:p>
        </w:tc>
        <w:tc>
          <w:tcPr>
            <w:tcW w:w="529"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2007</w:t>
            </w:r>
          </w:p>
        </w:tc>
        <w:tc>
          <w:tcPr>
            <w:tcW w:w="446"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2008</w:t>
            </w:r>
          </w:p>
        </w:tc>
        <w:tc>
          <w:tcPr>
            <w:tcW w:w="446"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2009</w:t>
            </w:r>
          </w:p>
        </w:tc>
        <w:tc>
          <w:tcPr>
            <w:tcW w:w="446"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2010</w:t>
            </w:r>
          </w:p>
        </w:tc>
        <w:tc>
          <w:tcPr>
            <w:tcW w:w="446"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2011</w:t>
            </w:r>
          </w:p>
        </w:tc>
        <w:tc>
          <w:tcPr>
            <w:tcW w:w="346"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2012</w:t>
            </w:r>
          </w:p>
        </w:tc>
        <w:tc>
          <w:tcPr>
            <w:tcW w:w="449"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Total</w:t>
            </w:r>
          </w:p>
        </w:tc>
      </w:tr>
      <w:tr w:rsidR="007C1F9F" w:rsidTr="00186172">
        <w:tc>
          <w:tcPr>
            <w:tcW w:w="1892" w:type="pct"/>
            <w:shd w:val="clear" w:color="auto" w:fill="auto"/>
            <w:noWrap/>
            <w:tcMar>
              <w:top w:w="0" w:type="dxa"/>
              <w:bottom w:w="0" w:type="dxa"/>
            </w:tcMar>
            <w:vAlign w:val="center"/>
          </w:tcPr>
          <w:p w:rsidR="007C1F9F" w:rsidRDefault="007C1F9F" w:rsidP="00186172">
            <w:pPr>
              <w:pStyle w:val="AERtabletext"/>
            </w:pPr>
            <w:r>
              <w:t>Amount of overestimate</w:t>
            </w:r>
          </w:p>
        </w:tc>
        <w:tc>
          <w:tcPr>
            <w:tcW w:w="529" w:type="pct"/>
            <w:shd w:val="clear" w:color="auto" w:fill="auto"/>
            <w:noWrap/>
            <w:tcMar>
              <w:top w:w="0" w:type="dxa"/>
              <w:bottom w:w="0" w:type="dxa"/>
            </w:tcMar>
            <w:vAlign w:val="center"/>
          </w:tcPr>
          <w:p w:rsidR="007C1F9F" w:rsidRPr="00F05EAA" w:rsidRDefault="007C1F9F" w:rsidP="00186172">
            <w:pPr>
              <w:pStyle w:val="AERtabletext-numbers"/>
            </w:pPr>
            <w:r>
              <w:t>20.0</w:t>
            </w:r>
          </w:p>
        </w:tc>
        <w:tc>
          <w:tcPr>
            <w:tcW w:w="446" w:type="pct"/>
            <w:shd w:val="clear" w:color="auto" w:fill="auto"/>
            <w:noWrap/>
            <w:tcMar>
              <w:top w:w="0" w:type="dxa"/>
              <w:bottom w:w="0" w:type="dxa"/>
            </w:tcMar>
            <w:vAlign w:val="center"/>
          </w:tcPr>
          <w:p w:rsidR="007C1F9F" w:rsidRPr="00F05EAA" w:rsidRDefault="007C1F9F" w:rsidP="00186172">
            <w:pPr>
              <w:pStyle w:val="AERtabletext-numbers"/>
            </w:pPr>
          </w:p>
        </w:tc>
        <w:tc>
          <w:tcPr>
            <w:tcW w:w="446" w:type="pct"/>
            <w:shd w:val="clear" w:color="auto" w:fill="auto"/>
            <w:noWrap/>
            <w:tcMar>
              <w:top w:w="0" w:type="dxa"/>
              <w:bottom w:w="0" w:type="dxa"/>
            </w:tcMar>
            <w:vAlign w:val="center"/>
          </w:tcPr>
          <w:p w:rsidR="007C1F9F" w:rsidRPr="00F05EAA" w:rsidRDefault="007C1F9F" w:rsidP="00186172">
            <w:pPr>
              <w:pStyle w:val="AERtabletext-numbers"/>
            </w:pPr>
          </w:p>
        </w:tc>
        <w:tc>
          <w:tcPr>
            <w:tcW w:w="446" w:type="pct"/>
            <w:shd w:val="clear" w:color="auto" w:fill="auto"/>
            <w:noWrap/>
            <w:tcMar>
              <w:top w:w="0" w:type="dxa"/>
              <w:bottom w:w="0" w:type="dxa"/>
            </w:tcMar>
            <w:vAlign w:val="center"/>
          </w:tcPr>
          <w:p w:rsidR="007C1F9F" w:rsidRPr="00F05EAA" w:rsidRDefault="007C1F9F" w:rsidP="00186172">
            <w:pPr>
              <w:pStyle w:val="AERtabletext-numbers"/>
            </w:pPr>
          </w:p>
        </w:tc>
        <w:tc>
          <w:tcPr>
            <w:tcW w:w="446" w:type="pct"/>
            <w:shd w:val="clear" w:color="auto" w:fill="auto"/>
            <w:noWrap/>
            <w:tcMar>
              <w:top w:w="0" w:type="dxa"/>
              <w:bottom w:w="0" w:type="dxa"/>
            </w:tcMar>
            <w:vAlign w:val="center"/>
          </w:tcPr>
          <w:p w:rsidR="007C1F9F" w:rsidRPr="00F05EAA" w:rsidRDefault="007C1F9F" w:rsidP="00186172">
            <w:pPr>
              <w:pStyle w:val="AERtabletext-numbers"/>
            </w:pPr>
          </w:p>
        </w:tc>
        <w:tc>
          <w:tcPr>
            <w:tcW w:w="346" w:type="pct"/>
            <w:shd w:val="clear" w:color="auto" w:fill="auto"/>
            <w:noWrap/>
            <w:tcMar>
              <w:top w:w="0" w:type="dxa"/>
              <w:bottom w:w="0" w:type="dxa"/>
            </w:tcMar>
            <w:vAlign w:val="center"/>
          </w:tcPr>
          <w:p w:rsidR="007C1F9F" w:rsidRPr="00F05EAA" w:rsidRDefault="007C1F9F" w:rsidP="00186172">
            <w:pPr>
              <w:pStyle w:val="AERtabletext-numbers"/>
            </w:pPr>
          </w:p>
        </w:tc>
        <w:tc>
          <w:tcPr>
            <w:tcW w:w="449" w:type="pct"/>
            <w:shd w:val="clear" w:color="auto" w:fill="auto"/>
            <w:noWrap/>
            <w:tcMar>
              <w:top w:w="0" w:type="dxa"/>
              <w:bottom w:w="0" w:type="dxa"/>
            </w:tcMar>
            <w:vAlign w:val="center"/>
          </w:tcPr>
          <w:p w:rsidR="007C1F9F" w:rsidRPr="00F05EAA" w:rsidRDefault="007C1F9F" w:rsidP="00186172">
            <w:pPr>
              <w:pStyle w:val="AERtabletext-numbers"/>
            </w:pPr>
          </w:p>
        </w:tc>
      </w:tr>
      <w:tr w:rsidR="007C1F9F" w:rsidTr="00186172">
        <w:trPr>
          <w:trHeight w:val="746"/>
        </w:trPr>
        <w:tc>
          <w:tcPr>
            <w:tcW w:w="1892" w:type="pct"/>
            <w:shd w:val="clear" w:color="auto" w:fill="F8B47C"/>
            <w:noWrap/>
            <w:tcMar>
              <w:top w:w="0" w:type="dxa"/>
              <w:bottom w:w="0" w:type="dxa"/>
            </w:tcMar>
            <w:vAlign w:val="center"/>
          </w:tcPr>
          <w:p w:rsidR="007C1F9F" w:rsidRPr="00A605AC" w:rsidRDefault="007C1F9F" w:rsidP="00186172">
            <w:pPr>
              <w:pStyle w:val="AERtabletext"/>
            </w:pPr>
            <w:r w:rsidRPr="00A605AC">
              <w:t>Return on the overestimate (including inflation)</w:t>
            </w:r>
          </w:p>
        </w:tc>
        <w:tc>
          <w:tcPr>
            <w:tcW w:w="529" w:type="pct"/>
            <w:shd w:val="clear" w:color="auto" w:fill="F8B47C"/>
            <w:noWrap/>
            <w:tcMar>
              <w:top w:w="0" w:type="dxa"/>
              <w:bottom w:w="0" w:type="dxa"/>
            </w:tcMar>
            <w:vAlign w:val="center"/>
          </w:tcPr>
          <w:p w:rsidR="007C1F9F" w:rsidRPr="00A605AC" w:rsidRDefault="007C1F9F" w:rsidP="00186172">
            <w:pPr>
              <w:pStyle w:val="AERtabletext-numbers"/>
            </w:pPr>
          </w:p>
        </w:tc>
        <w:tc>
          <w:tcPr>
            <w:tcW w:w="446" w:type="pct"/>
            <w:shd w:val="clear" w:color="auto" w:fill="F8B47C"/>
            <w:noWrap/>
            <w:tcMar>
              <w:top w:w="0" w:type="dxa"/>
              <w:bottom w:w="0" w:type="dxa"/>
            </w:tcMar>
            <w:vAlign w:val="center"/>
          </w:tcPr>
          <w:p w:rsidR="007C1F9F" w:rsidRPr="00A605AC" w:rsidRDefault="007C1F9F" w:rsidP="00186172">
            <w:pPr>
              <w:pStyle w:val="AERtabletext-numbers"/>
            </w:pPr>
            <w:r w:rsidRPr="00A605AC">
              <w:t xml:space="preserve">2.3 </w:t>
            </w:r>
          </w:p>
        </w:tc>
        <w:tc>
          <w:tcPr>
            <w:tcW w:w="446" w:type="pct"/>
            <w:shd w:val="clear" w:color="auto" w:fill="F8B47C"/>
            <w:noWrap/>
            <w:tcMar>
              <w:top w:w="0" w:type="dxa"/>
              <w:bottom w:w="0" w:type="dxa"/>
            </w:tcMar>
            <w:vAlign w:val="center"/>
          </w:tcPr>
          <w:p w:rsidR="007C1F9F" w:rsidRPr="00A605AC" w:rsidRDefault="007C1F9F" w:rsidP="00186172">
            <w:pPr>
              <w:pStyle w:val="AERtabletext-numbers"/>
            </w:pPr>
            <w:r w:rsidRPr="00A605AC">
              <w:t xml:space="preserve">2.2 </w:t>
            </w:r>
          </w:p>
        </w:tc>
        <w:tc>
          <w:tcPr>
            <w:tcW w:w="446" w:type="pct"/>
            <w:shd w:val="clear" w:color="auto" w:fill="F8B47C"/>
            <w:noWrap/>
            <w:tcMar>
              <w:top w:w="0" w:type="dxa"/>
              <w:bottom w:w="0" w:type="dxa"/>
            </w:tcMar>
            <w:vAlign w:val="center"/>
          </w:tcPr>
          <w:p w:rsidR="007C1F9F" w:rsidRPr="00A605AC" w:rsidRDefault="007C1F9F" w:rsidP="00186172">
            <w:pPr>
              <w:pStyle w:val="AERtabletext-numbers"/>
            </w:pPr>
            <w:r w:rsidRPr="00A605AC">
              <w:t xml:space="preserve">2.6 </w:t>
            </w:r>
          </w:p>
        </w:tc>
        <w:tc>
          <w:tcPr>
            <w:tcW w:w="446" w:type="pct"/>
            <w:shd w:val="clear" w:color="auto" w:fill="F8B47C"/>
            <w:noWrap/>
            <w:tcMar>
              <w:top w:w="0" w:type="dxa"/>
              <w:bottom w:w="0" w:type="dxa"/>
            </w:tcMar>
            <w:vAlign w:val="center"/>
          </w:tcPr>
          <w:p w:rsidR="007C1F9F" w:rsidRPr="00A605AC" w:rsidRDefault="007C1F9F" w:rsidP="00186172">
            <w:pPr>
              <w:pStyle w:val="AERtabletext-numbers"/>
            </w:pPr>
            <w:r w:rsidRPr="00A605AC">
              <w:t xml:space="preserve">3.0 </w:t>
            </w:r>
          </w:p>
        </w:tc>
        <w:tc>
          <w:tcPr>
            <w:tcW w:w="346" w:type="pct"/>
            <w:shd w:val="clear" w:color="auto" w:fill="F8B47C"/>
            <w:noWrap/>
            <w:tcMar>
              <w:top w:w="0" w:type="dxa"/>
              <w:bottom w:w="0" w:type="dxa"/>
            </w:tcMar>
            <w:vAlign w:val="center"/>
          </w:tcPr>
          <w:p w:rsidR="007C1F9F" w:rsidRPr="00A605AC" w:rsidRDefault="007C1F9F" w:rsidP="00186172">
            <w:pPr>
              <w:pStyle w:val="AERtabletext-numbers"/>
            </w:pPr>
            <w:r w:rsidRPr="00A605AC">
              <w:t xml:space="preserve">3.1 </w:t>
            </w:r>
          </w:p>
        </w:tc>
        <w:tc>
          <w:tcPr>
            <w:tcW w:w="449" w:type="pct"/>
            <w:shd w:val="clear" w:color="auto" w:fill="F8B47C"/>
            <w:noWrap/>
            <w:tcMar>
              <w:top w:w="0" w:type="dxa"/>
              <w:bottom w:w="0" w:type="dxa"/>
            </w:tcMar>
            <w:vAlign w:val="center"/>
          </w:tcPr>
          <w:p w:rsidR="007C1F9F" w:rsidRPr="00A605AC" w:rsidRDefault="007C1F9F" w:rsidP="00186172">
            <w:pPr>
              <w:pStyle w:val="AERtabletext-numbers"/>
            </w:pPr>
            <w:r w:rsidRPr="00A605AC">
              <w:t>13.</w:t>
            </w:r>
            <w:r>
              <w:t>2</w:t>
            </w:r>
          </w:p>
        </w:tc>
      </w:tr>
    </w:tbl>
    <w:p w:rsidR="007C1F9F" w:rsidRPr="006B0474" w:rsidRDefault="007C1F9F" w:rsidP="007C1F9F">
      <w:pPr>
        <w:pStyle w:val="AERtablesource"/>
      </w:pPr>
      <w:r w:rsidRPr="006B0474">
        <w:t xml:space="preserve">Source: </w:t>
      </w:r>
      <w:r w:rsidRPr="006B0474">
        <w:tab/>
        <w:t xml:space="preserve">AER analysis, based on a real vanilla WACC of 7.67 per cent approved for 2008–12 and actual CPI. </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Conforming capital expenditure in the 2008–12 access arrangement period</w:t>
      </w:r>
    </w:p>
    <w:p w:rsidR="007C1F9F" w:rsidRPr="007E3923" w:rsidRDefault="007C1F9F" w:rsidP="007C1F9F">
      <w:pPr>
        <w:pStyle w:val="AERbodytext"/>
        <w:rPr>
          <w:rFonts w:eastAsia="Calibri"/>
        </w:rPr>
      </w:pPr>
      <w:r w:rsidRPr="007E3923">
        <w:rPr>
          <w:rFonts w:eastAsia="Calibri"/>
        </w:rPr>
        <w:t>The AER largely approves APA GasNet's proposed capex for the 2008–12 access arrangement period. The AER's assessment of conforming capex is set out in attachment 3. However, in determining the opening capital base as at 1 January 2013, the AER assessed whether APA GasNet's proposed capex amounts for the 2008–12 access arrangement are properly accounted for in the capital base roll forward. The AER accepts that APA GasNet's proposed capex for the 2008–12 access arrangement period is properly included in the capital base roll forward, except for its initial treatment of asset disposals in 2010. In consultation with APA GasNet, the AER identified minor asset disposal values that were not initially included in APA GasNet's proposed RFM.</w:t>
      </w:r>
      <w:r w:rsidRPr="007E3923">
        <w:rPr>
          <w:rStyle w:val="FootnoteReference"/>
          <w:rFonts w:eastAsia="Calibri"/>
        </w:rPr>
        <w:t xml:space="preserve"> </w:t>
      </w:r>
      <w:r w:rsidRPr="007E3923">
        <w:rPr>
          <w:rStyle w:val="FootnoteReference"/>
          <w:rFonts w:eastAsia="Calibri"/>
        </w:rPr>
        <w:footnoteReference w:id="58"/>
      </w:r>
      <w:r w:rsidRPr="007E3923">
        <w:rPr>
          <w:rFonts w:eastAsia="Calibri"/>
        </w:rPr>
        <w:t xml:space="preserve"> APA GasNet provided a detailed RAB spreadsheet to the AER and identified that the disposals were allocated to the 'General building' asset classes in 2010.</w:t>
      </w:r>
      <w:r w:rsidRPr="007E3923">
        <w:rPr>
          <w:rStyle w:val="FootnoteReference"/>
          <w:rFonts w:eastAsia="Calibri"/>
        </w:rPr>
        <w:footnoteReference w:id="59"/>
      </w:r>
      <w:r w:rsidRPr="007E3923">
        <w:rPr>
          <w:rFonts w:eastAsia="Calibri"/>
        </w:rPr>
        <w:t xml:space="preserve"> APA GasNet also provided a revised RFM that included the disposal amounts.</w:t>
      </w:r>
      <w:r w:rsidRPr="007E3923">
        <w:rPr>
          <w:rStyle w:val="FootnoteReference"/>
          <w:rFonts w:eastAsia="Calibri"/>
        </w:rPr>
        <w:footnoteReference w:id="60"/>
      </w:r>
    </w:p>
    <w:p w:rsidR="007C1F9F" w:rsidRPr="00D30BC7" w:rsidRDefault="007C1F9F" w:rsidP="007C1F9F">
      <w:pPr>
        <w:pStyle w:val="AERbodytext"/>
        <w:rPr>
          <w:rFonts w:eastAsia="Calibri"/>
        </w:rPr>
      </w:pPr>
      <w:r w:rsidRPr="007E3923">
        <w:rPr>
          <w:rFonts w:eastAsia="Calibri"/>
        </w:rPr>
        <w:t xml:space="preserve">The AER's draft decision on APA GasNet's conforming capex for the 2008–12 access arrangement period is set out in </w:t>
      </w:r>
      <w:r w:rsidR="00DE0D6A" w:rsidRPr="007E3923">
        <w:rPr>
          <w:rFonts w:eastAsia="Calibri"/>
        </w:rPr>
        <w:fldChar w:fldCharType="begin"/>
      </w:r>
      <w:r w:rsidRPr="007E3923">
        <w:rPr>
          <w:rFonts w:eastAsia="Calibri"/>
        </w:rPr>
        <w:instrText xml:space="preserve"> REF _Ref331516286 \r \h </w:instrText>
      </w:r>
      <w:r w:rsidR="00DE0D6A" w:rsidRPr="007E3923">
        <w:rPr>
          <w:rFonts w:eastAsia="Calibri"/>
        </w:rPr>
      </w:r>
      <w:r w:rsidR="00DE0D6A" w:rsidRPr="007E3923">
        <w:rPr>
          <w:rFonts w:eastAsia="Calibri"/>
        </w:rPr>
        <w:fldChar w:fldCharType="separate"/>
      </w:r>
      <w:r>
        <w:rPr>
          <w:rFonts w:eastAsia="Calibri"/>
        </w:rPr>
        <w:t>Table 2.7</w:t>
      </w:r>
      <w:r w:rsidR="00DE0D6A" w:rsidRPr="007E3923">
        <w:rPr>
          <w:rFonts w:eastAsia="Calibri"/>
        </w:rPr>
        <w:fldChar w:fldCharType="end"/>
      </w:r>
      <w:r w:rsidRPr="007E3923">
        <w:rPr>
          <w:rFonts w:eastAsia="Calibri"/>
        </w:rPr>
        <w:t>.</w:t>
      </w:r>
      <w:bookmarkStart w:id="25" w:name="_Ref330395532"/>
    </w:p>
    <w:p w:rsidR="007C1F9F" w:rsidRDefault="007C1F9F" w:rsidP="007C1F9F">
      <w:pPr>
        <w:pStyle w:val="AERtabletitle"/>
      </w:pPr>
      <w:bookmarkStart w:id="26" w:name="_Ref331516286"/>
      <w:r>
        <w:t>AER's approved conforming net capex for the 2008</w:t>
      </w:r>
      <w:r w:rsidRPr="00A03229">
        <w:t>–</w:t>
      </w:r>
      <w:r>
        <w:t>12 access arrangement period ($million, nominal)</w:t>
      </w:r>
      <w:bookmarkEnd w:id="25"/>
      <w:bookmarkEnd w:id="26"/>
      <w:r>
        <w:t xml:space="preserve"> </w:t>
      </w:r>
    </w:p>
    <w:tbl>
      <w:tblPr>
        <w:tblW w:w="5000" w:type="pct"/>
        <w:tblBorders>
          <w:top w:val="single" w:sz="4" w:space="0" w:color="auto"/>
          <w:bottom w:val="single" w:sz="4" w:space="0" w:color="auto"/>
        </w:tblBorders>
        <w:tblLook w:val="04A0"/>
      </w:tblPr>
      <w:tblGrid>
        <w:gridCol w:w="3238"/>
        <w:gridCol w:w="751"/>
        <w:gridCol w:w="751"/>
        <w:gridCol w:w="751"/>
        <w:gridCol w:w="751"/>
        <w:gridCol w:w="750"/>
        <w:gridCol w:w="750"/>
        <w:gridCol w:w="786"/>
      </w:tblGrid>
      <w:tr w:rsidR="007C1F9F" w:rsidRPr="00F718F3" w:rsidTr="00186172">
        <w:tc>
          <w:tcPr>
            <w:tcW w:w="1898"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
            </w:pPr>
            <w:r w:rsidRPr="00A03229">
              <w:t>Asset class</w:t>
            </w:r>
          </w:p>
        </w:tc>
        <w:tc>
          <w:tcPr>
            <w:tcW w:w="440"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2007</w:t>
            </w:r>
          </w:p>
        </w:tc>
        <w:tc>
          <w:tcPr>
            <w:tcW w:w="440"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2008</w:t>
            </w:r>
          </w:p>
        </w:tc>
        <w:tc>
          <w:tcPr>
            <w:tcW w:w="440"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2009</w:t>
            </w:r>
          </w:p>
        </w:tc>
        <w:tc>
          <w:tcPr>
            <w:tcW w:w="440"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2010</w:t>
            </w:r>
          </w:p>
        </w:tc>
        <w:tc>
          <w:tcPr>
            <w:tcW w:w="440"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2011</w:t>
            </w:r>
            <w:r w:rsidRPr="00A03229">
              <w:rPr>
                <w:rStyle w:val="AERsuperscript"/>
              </w:rPr>
              <w:t>a</w:t>
            </w:r>
          </w:p>
        </w:tc>
        <w:tc>
          <w:tcPr>
            <w:tcW w:w="440"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2012</w:t>
            </w:r>
            <w:r w:rsidRPr="00A03229">
              <w:rPr>
                <w:rStyle w:val="AERsuperscript"/>
              </w:rPr>
              <w:t>a</w:t>
            </w:r>
          </w:p>
        </w:tc>
        <w:tc>
          <w:tcPr>
            <w:tcW w:w="461"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A03229" w:rsidRDefault="007C1F9F" w:rsidP="00186172">
            <w:pPr>
              <w:pStyle w:val="AERtabletextheadingright"/>
            </w:pPr>
            <w:r w:rsidRPr="00A03229">
              <w:t>Total</w:t>
            </w:r>
          </w:p>
        </w:tc>
      </w:tr>
      <w:tr w:rsidR="007C1F9F" w:rsidTr="00186172">
        <w:tc>
          <w:tcPr>
            <w:tcW w:w="1898" w:type="pct"/>
            <w:shd w:val="clear" w:color="auto" w:fill="auto"/>
            <w:noWrap/>
            <w:tcMar>
              <w:top w:w="0" w:type="dxa"/>
              <w:bottom w:w="0" w:type="dxa"/>
            </w:tcMar>
            <w:vAlign w:val="center"/>
          </w:tcPr>
          <w:p w:rsidR="007C1F9F" w:rsidRPr="006F731F" w:rsidRDefault="007C1F9F" w:rsidP="00186172">
            <w:pPr>
              <w:pStyle w:val="AERtabletext"/>
            </w:pPr>
            <w:r w:rsidRPr="006F731F">
              <w:t>Pipelines</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41.5</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18.7</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2.6</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1.5</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5.8</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17.5</w:t>
            </w:r>
          </w:p>
        </w:tc>
        <w:tc>
          <w:tcPr>
            <w:tcW w:w="461" w:type="pct"/>
            <w:shd w:val="clear" w:color="auto" w:fill="auto"/>
            <w:noWrap/>
            <w:tcMar>
              <w:top w:w="0" w:type="dxa"/>
              <w:bottom w:w="0" w:type="dxa"/>
            </w:tcMar>
            <w:vAlign w:val="bottom"/>
          </w:tcPr>
          <w:p w:rsidR="007C1F9F" w:rsidRPr="006F731F" w:rsidRDefault="007C1F9F" w:rsidP="00186172">
            <w:pPr>
              <w:pStyle w:val="AERtabletext-numbers"/>
            </w:pPr>
            <w:r w:rsidRPr="006F731F">
              <w:t>87.6</w:t>
            </w:r>
          </w:p>
        </w:tc>
      </w:tr>
      <w:tr w:rsidR="007C1F9F" w:rsidTr="00186172">
        <w:tc>
          <w:tcPr>
            <w:tcW w:w="1898" w:type="pct"/>
            <w:shd w:val="clear" w:color="auto" w:fill="F8B47C"/>
            <w:noWrap/>
            <w:tcMar>
              <w:top w:w="0" w:type="dxa"/>
              <w:bottom w:w="0" w:type="dxa"/>
            </w:tcMar>
            <w:vAlign w:val="center"/>
          </w:tcPr>
          <w:p w:rsidR="007C1F9F" w:rsidRPr="006F731F" w:rsidRDefault="007C1F9F" w:rsidP="00186172">
            <w:pPr>
              <w:pStyle w:val="AERtabletext"/>
            </w:pPr>
            <w:r w:rsidRPr="006F731F">
              <w:t>Compressors</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28.9</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3.9</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2.8</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4.0</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39.7</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28.3</w:t>
            </w:r>
          </w:p>
        </w:tc>
        <w:tc>
          <w:tcPr>
            <w:tcW w:w="461" w:type="pct"/>
            <w:shd w:val="clear" w:color="auto" w:fill="F8B47C"/>
            <w:noWrap/>
            <w:tcMar>
              <w:top w:w="0" w:type="dxa"/>
              <w:bottom w:w="0" w:type="dxa"/>
            </w:tcMar>
            <w:vAlign w:val="bottom"/>
          </w:tcPr>
          <w:p w:rsidR="007C1F9F" w:rsidRPr="006F731F" w:rsidRDefault="007C1F9F" w:rsidP="00186172">
            <w:pPr>
              <w:pStyle w:val="AERtabletext-numbers"/>
            </w:pPr>
            <w:r w:rsidRPr="006F731F">
              <w:t>107.5</w:t>
            </w:r>
          </w:p>
        </w:tc>
      </w:tr>
      <w:tr w:rsidR="007C1F9F" w:rsidTr="00186172">
        <w:tc>
          <w:tcPr>
            <w:tcW w:w="1898" w:type="pct"/>
            <w:shd w:val="clear" w:color="auto" w:fill="auto"/>
            <w:noWrap/>
            <w:tcMar>
              <w:top w:w="0" w:type="dxa"/>
              <w:bottom w:w="0" w:type="dxa"/>
            </w:tcMar>
            <w:vAlign w:val="center"/>
          </w:tcPr>
          <w:p w:rsidR="007C1F9F" w:rsidRPr="006F731F" w:rsidRDefault="007C1F9F" w:rsidP="00186172">
            <w:pPr>
              <w:pStyle w:val="AERtabletext"/>
            </w:pPr>
            <w:r w:rsidRPr="006F731F">
              <w:t>City gates &amp; Field regulators</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1.3</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14.0</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3.9</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4.2</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1.8</w:t>
            </w:r>
          </w:p>
        </w:tc>
        <w:tc>
          <w:tcPr>
            <w:tcW w:w="461" w:type="pct"/>
            <w:shd w:val="clear" w:color="auto" w:fill="auto"/>
            <w:noWrap/>
            <w:tcMar>
              <w:top w:w="0" w:type="dxa"/>
              <w:bottom w:w="0" w:type="dxa"/>
            </w:tcMar>
            <w:vAlign w:val="bottom"/>
          </w:tcPr>
          <w:p w:rsidR="007C1F9F" w:rsidRPr="006F731F" w:rsidRDefault="007C1F9F" w:rsidP="00186172">
            <w:pPr>
              <w:pStyle w:val="AERtabletext-numbers"/>
            </w:pPr>
            <w:r w:rsidRPr="006F731F">
              <w:t>25.3</w:t>
            </w:r>
          </w:p>
        </w:tc>
      </w:tr>
      <w:tr w:rsidR="007C1F9F" w:rsidTr="00186172">
        <w:tc>
          <w:tcPr>
            <w:tcW w:w="1898" w:type="pct"/>
            <w:shd w:val="clear" w:color="auto" w:fill="F8B47C"/>
            <w:noWrap/>
            <w:tcMar>
              <w:top w:w="0" w:type="dxa"/>
              <w:bottom w:w="0" w:type="dxa"/>
            </w:tcMar>
            <w:vAlign w:val="center"/>
          </w:tcPr>
          <w:p w:rsidR="007C1F9F" w:rsidRPr="006F731F" w:rsidRDefault="007C1F9F" w:rsidP="00186172">
            <w:pPr>
              <w:pStyle w:val="AERtabletext"/>
            </w:pPr>
            <w:r w:rsidRPr="006F731F">
              <w:t>Odourant plants</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A03229">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0.1</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61" w:type="pct"/>
            <w:shd w:val="clear" w:color="auto" w:fill="F8B47C"/>
            <w:noWrap/>
            <w:tcMar>
              <w:top w:w="0" w:type="dxa"/>
              <w:bottom w:w="0" w:type="dxa"/>
            </w:tcMar>
            <w:vAlign w:val="bottom"/>
          </w:tcPr>
          <w:p w:rsidR="007C1F9F" w:rsidRPr="006F731F" w:rsidRDefault="007C1F9F" w:rsidP="00186172">
            <w:pPr>
              <w:pStyle w:val="AERtabletext-numbers"/>
            </w:pPr>
            <w:r w:rsidRPr="006F731F">
              <w:t>0.2</w:t>
            </w:r>
          </w:p>
        </w:tc>
      </w:tr>
      <w:tr w:rsidR="007C1F9F" w:rsidTr="00186172">
        <w:tc>
          <w:tcPr>
            <w:tcW w:w="1898" w:type="pct"/>
            <w:shd w:val="clear" w:color="auto" w:fill="auto"/>
            <w:noWrap/>
            <w:tcMar>
              <w:top w:w="0" w:type="dxa"/>
              <w:bottom w:w="0" w:type="dxa"/>
            </w:tcMar>
            <w:vAlign w:val="center"/>
          </w:tcPr>
          <w:p w:rsidR="007C1F9F" w:rsidRPr="006F731F" w:rsidRDefault="007C1F9F" w:rsidP="00186172">
            <w:pPr>
              <w:pStyle w:val="AERtabletext"/>
            </w:pPr>
            <w:r w:rsidRPr="006F731F">
              <w:t>Gas quality</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c>
          <w:tcPr>
            <w:tcW w:w="461" w:type="pct"/>
            <w:shd w:val="clear" w:color="auto" w:fill="auto"/>
            <w:noWrap/>
            <w:tcMar>
              <w:top w:w="0" w:type="dxa"/>
              <w:bottom w:w="0" w:type="dxa"/>
            </w:tcMar>
            <w:vAlign w:val="bottom"/>
          </w:tcPr>
          <w:p w:rsidR="007C1F9F" w:rsidRPr="006F731F" w:rsidRDefault="007C1F9F" w:rsidP="00186172">
            <w:pPr>
              <w:pStyle w:val="AERtabletext-numbers"/>
            </w:pPr>
            <w:r w:rsidRPr="006D4D01">
              <w:t>–</w:t>
            </w:r>
          </w:p>
        </w:tc>
      </w:tr>
      <w:tr w:rsidR="007C1F9F" w:rsidTr="00186172">
        <w:tc>
          <w:tcPr>
            <w:tcW w:w="1898" w:type="pct"/>
            <w:shd w:val="clear" w:color="auto" w:fill="F8B47C"/>
            <w:noWrap/>
            <w:tcMar>
              <w:top w:w="0" w:type="dxa"/>
              <w:bottom w:w="0" w:type="dxa"/>
            </w:tcMar>
            <w:vAlign w:val="center"/>
          </w:tcPr>
          <w:p w:rsidR="007C1F9F" w:rsidRPr="006F731F" w:rsidRDefault="007C1F9F" w:rsidP="00186172">
            <w:pPr>
              <w:pStyle w:val="AERtabletext"/>
            </w:pPr>
            <w:r w:rsidRPr="006F731F">
              <w:t>Other</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0.2</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0.5</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0.5</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5.1</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1.6</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4.6</w:t>
            </w:r>
          </w:p>
        </w:tc>
        <w:tc>
          <w:tcPr>
            <w:tcW w:w="461" w:type="pct"/>
            <w:shd w:val="clear" w:color="auto" w:fill="F8B47C"/>
            <w:noWrap/>
            <w:tcMar>
              <w:top w:w="0" w:type="dxa"/>
              <w:bottom w:w="0" w:type="dxa"/>
            </w:tcMar>
            <w:vAlign w:val="bottom"/>
          </w:tcPr>
          <w:p w:rsidR="007C1F9F" w:rsidRPr="006F731F" w:rsidRDefault="007C1F9F" w:rsidP="00186172">
            <w:pPr>
              <w:pStyle w:val="AERtabletext-numbers"/>
            </w:pPr>
            <w:r w:rsidRPr="006F731F">
              <w:t>12.4</w:t>
            </w:r>
          </w:p>
        </w:tc>
      </w:tr>
      <w:tr w:rsidR="007C1F9F" w:rsidTr="00186172">
        <w:tc>
          <w:tcPr>
            <w:tcW w:w="1898" w:type="pct"/>
            <w:shd w:val="clear" w:color="auto" w:fill="auto"/>
            <w:noWrap/>
            <w:tcMar>
              <w:top w:w="0" w:type="dxa"/>
              <w:bottom w:w="0" w:type="dxa"/>
            </w:tcMar>
            <w:vAlign w:val="center"/>
          </w:tcPr>
          <w:p w:rsidR="007C1F9F" w:rsidRPr="006F731F" w:rsidRDefault="007C1F9F" w:rsidP="00186172">
            <w:pPr>
              <w:pStyle w:val="AERtabletext"/>
            </w:pPr>
            <w:r w:rsidRPr="006F731F">
              <w:t>General building</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0.4</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0.8</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0.4</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0.1</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0.9</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0.2</w:t>
            </w:r>
          </w:p>
        </w:tc>
        <w:tc>
          <w:tcPr>
            <w:tcW w:w="461" w:type="pct"/>
            <w:shd w:val="clear" w:color="auto" w:fill="auto"/>
            <w:noWrap/>
            <w:tcMar>
              <w:top w:w="0" w:type="dxa"/>
              <w:bottom w:w="0" w:type="dxa"/>
            </w:tcMar>
            <w:vAlign w:val="bottom"/>
          </w:tcPr>
          <w:p w:rsidR="007C1F9F" w:rsidRPr="006F731F" w:rsidRDefault="007C1F9F" w:rsidP="00186172">
            <w:pPr>
              <w:pStyle w:val="AERtabletext-numbers"/>
            </w:pPr>
            <w:r w:rsidRPr="006F731F">
              <w:t>2.9</w:t>
            </w:r>
          </w:p>
        </w:tc>
      </w:tr>
      <w:tr w:rsidR="007C1F9F" w:rsidTr="00186172">
        <w:tc>
          <w:tcPr>
            <w:tcW w:w="1898" w:type="pct"/>
            <w:shd w:val="clear" w:color="auto" w:fill="F8B47C"/>
            <w:noWrap/>
            <w:tcMar>
              <w:top w:w="0" w:type="dxa"/>
              <w:bottom w:w="0" w:type="dxa"/>
            </w:tcMar>
            <w:vAlign w:val="center"/>
          </w:tcPr>
          <w:p w:rsidR="007C1F9F" w:rsidRPr="006F731F" w:rsidRDefault="007C1F9F" w:rsidP="00186172">
            <w:pPr>
              <w:pStyle w:val="AERtabletext"/>
            </w:pPr>
            <w:r w:rsidRPr="006F731F">
              <w:t>General land</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F731F">
              <w:t>1.2</w:t>
            </w:r>
          </w:p>
        </w:tc>
        <w:tc>
          <w:tcPr>
            <w:tcW w:w="440" w:type="pct"/>
            <w:shd w:val="clear" w:color="auto" w:fill="F8B47C"/>
            <w:noWrap/>
            <w:tcMar>
              <w:top w:w="0" w:type="dxa"/>
              <w:bottom w:w="0" w:type="dxa"/>
            </w:tcMar>
            <w:vAlign w:val="bottom"/>
          </w:tcPr>
          <w:p w:rsidR="007C1F9F" w:rsidRPr="006F731F" w:rsidRDefault="007C1F9F" w:rsidP="00186172">
            <w:pPr>
              <w:pStyle w:val="AERtabletext-numbers"/>
            </w:pPr>
            <w:r w:rsidRPr="006D4D01">
              <w:t>–</w:t>
            </w:r>
          </w:p>
        </w:tc>
        <w:tc>
          <w:tcPr>
            <w:tcW w:w="461" w:type="pct"/>
            <w:shd w:val="clear" w:color="auto" w:fill="F8B47C"/>
            <w:noWrap/>
            <w:tcMar>
              <w:top w:w="0" w:type="dxa"/>
              <w:bottom w:w="0" w:type="dxa"/>
            </w:tcMar>
            <w:vAlign w:val="bottom"/>
          </w:tcPr>
          <w:p w:rsidR="007C1F9F" w:rsidRPr="006F731F" w:rsidRDefault="007C1F9F" w:rsidP="00186172">
            <w:pPr>
              <w:pStyle w:val="AERtabletext-numbers"/>
            </w:pPr>
            <w:r w:rsidRPr="006F731F">
              <w:t>1.2</w:t>
            </w:r>
          </w:p>
        </w:tc>
      </w:tr>
      <w:tr w:rsidR="007C1F9F" w:rsidTr="00186172">
        <w:tc>
          <w:tcPr>
            <w:tcW w:w="1898" w:type="pct"/>
            <w:shd w:val="clear" w:color="auto" w:fill="auto"/>
            <w:noWrap/>
            <w:tcMar>
              <w:top w:w="0" w:type="dxa"/>
              <w:bottom w:w="0" w:type="dxa"/>
            </w:tcMar>
            <w:vAlign w:val="center"/>
          </w:tcPr>
          <w:p w:rsidR="007C1F9F" w:rsidRPr="006F731F" w:rsidRDefault="007C1F9F" w:rsidP="00186172">
            <w:pPr>
              <w:pStyle w:val="AERtabletext"/>
            </w:pPr>
            <w:r w:rsidRPr="006F731F">
              <w:t>Total</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72.4</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37.8</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10.2</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10.6</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53.6</w:t>
            </w:r>
          </w:p>
        </w:tc>
        <w:tc>
          <w:tcPr>
            <w:tcW w:w="440" w:type="pct"/>
            <w:shd w:val="clear" w:color="auto" w:fill="auto"/>
            <w:noWrap/>
            <w:tcMar>
              <w:top w:w="0" w:type="dxa"/>
              <w:bottom w:w="0" w:type="dxa"/>
            </w:tcMar>
            <w:vAlign w:val="bottom"/>
          </w:tcPr>
          <w:p w:rsidR="007C1F9F" w:rsidRPr="006F731F" w:rsidRDefault="007C1F9F" w:rsidP="00186172">
            <w:pPr>
              <w:pStyle w:val="AERtabletext-numbers"/>
            </w:pPr>
            <w:r w:rsidRPr="006F731F">
              <w:t>52.5</w:t>
            </w:r>
          </w:p>
        </w:tc>
        <w:tc>
          <w:tcPr>
            <w:tcW w:w="461" w:type="pct"/>
            <w:shd w:val="clear" w:color="auto" w:fill="auto"/>
            <w:noWrap/>
            <w:tcMar>
              <w:top w:w="0" w:type="dxa"/>
              <w:bottom w:w="0" w:type="dxa"/>
            </w:tcMar>
            <w:vAlign w:val="bottom"/>
          </w:tcPr>
          <w:p w:rsidR="007C1F9F" w:rsidRPr="006F731F" w:rsidRDefault="007C1F9F" w:rsidP="00186172">
            <w:pPr>
              <w:pStyle w:val="AERtabletext-numbers"/>
            </w:pPr>
            <w:r w:rsidRPr="006F731F">
              <w:t>237.2</w:t>
            </w:r>
          </w:p>
        </w:tc>
      </w:tr>
    </w:tbl>
    <w:p w:rsidR="007C1F9F" w:rsidRDefault="007C1F9F" w:rsidP="007C1F9F">
      <w:pPr>
        <w:pStyle w:val="AERtablesource"/>
      </w:pPr>
      <w:r>
        <w:t xml:space="preserve">Source: </w:t>
      </w:r>
      <w:r>
        <w:tab/>
        <w:t>AER analysis.</w:t>
      </w:r>
    </w:p>
    <w:p w:rsidR="007C1F9F" w:rsidRPr="006F731F" w:rsidRDefault="007C1F9F" w:rsidP="007C1F9F">
      <w:pPr>
        <w:pStyle w:val="AERtablesource"/>
      </w:pPr>
      <w:r>
        <w:t>(a)</w:t>
      </w:r>
      <w:r>
        <w:tab/>
        <w:t>Values are estimates.</w:t>
      </w:r>
    </w:p>
    <w:p w:rsidR="007C1F9F" w:rsidRPr="007E3923" w:rsidRDefault="007C1F9F" w:rsidP="007C1F9F">
      <w:pPr>
        <w:pStyle w:val="AERbodytext"/>
        <w:rPr>
          <w:rFonts w:eastAsia="Calibri"/>
        </w:rPr>
      </w:pPr>
      <w:r w:rsidRPr="007E3923">
        <w:rPr>
          <w:rFonts w:eastAsia="Calibri"/>
        </w:rPr>
        <w:t>At the time it submitted its proposal, APA GasNet did not yet have the values for 2011 and 2012 actual capex.</w:t>
      </w:r>
      <w:r w:rsidRPr="007E3923">
        <w:rPr>
          <w:rStyle w:val="FootnoteReference"/>
          <w:rFonts w:eastAsia="Calibri"/>
        </w:rPr>
        <w:footnoteReference w:id="61"/>
      </w:r>
      <w:r w:rsidRPr="007E3923">
        <w:rPr>
          <w:rFonts w:eastAsia="Calibri"/>
        </w:rPr>
        <w:t xml:space="preserve"> As such, APA GasNet's RFM contained capex estimates for those years. The AER understands the 2011 actual capex information should be available when APA GasNet submits its revised proposal. The AER therefore requires APA GasNet to include in its revised proposal actual capex for 2011. APA GasNet may also include an update of its capex estimate for 2012.</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Depreciation used in the 2008–12 access arrangement period</w:t>
      </w:r>
    </w:p>
    <w:p w:rsidR="007C1F9F" w:rsidRPr="007E3923" w:rsidRDefault="007C1F9F" w:rsidP="007C1F9F">
      <w:pPr>
        <w:pStyle w:val="AERbodytext"/>
        <w:rPr>
          <w:rFonts w:eastAsia="Calibri"/>
        </w:rPr>
      </w:pPr>
      <w:r w:rsidRPr="007E3923">
        <w:rPr>
          <w:rFonts w:eastAsia="Calibri"/>
        </w:rPr>
        <w:t>The AER approves APA GasNet's proposal to roll forward the capital base to 1 January 2013 using forecast depreciation (straight-line method) as approved in the previous access arrangement review. The use of forecast depreciation to determine the opening capital base is consistent with the AER's standard approach to depreciation for gas distribution service providers.</w:t>
      </w:r>
      <w:r w:rsidRPr="007E3923">
        <w:rPr>
          <w:rStyle w:val="FootnoteReference"/>
          <w:rFonts w:eastAsia="Calibri"/>
        </w:rPr>
        <w:footnoteReference w:id="62"/>
      </w:r>
      <w:r w:rsidRPr="007E3923">
        <w:rPr>
          <w:rFonts w:eastAsia="Calibri"/>
        </w:rPr>
        <w:t xml:space="preserve"> </w:t>
      </w:r>
    </w:p>
    <w:p w:rsidR="007C1F9F" w:rsidRPr="007E3923" w:rsidRDefault="007C1F9F" w:rsidP="007C1F9F">
      <w:pPr>
        <w:pStyle w:val="AERbodytext"/>
        <w:rPr>
          <w:rFonts w:eastAsia="Calibri"/>
        </w:rPr>
      </w:pPr>
      <w:r w:rsidRPr="007E3923">
        <w:rPr>
          <w:rFonts w:eastAsia="Calibri"/>
        </w:rPr>
        <w:t>Under the NGR,</w:t>
      </w:r>
      <w:r w:rsidRPr="007E3923">
        <w:rPr>
          <w:rStyle w:val="FootnoteReference"/>
          <w:rFonts w:eastAsia="Calibri"/>
        </w:rPr>
        <w:footnoteReference w:id="63"/>
      </w:r>
      <w:r w:rsidRPr="007E3923">
        <w:rPr>
          <w:rFonts w:eastAsia="Calibri"/>
        </w:rPr>
        <w:t xml:space="preserve"> the AER must subtract from the capital base depreciation calculated in accordance with the relevant access arrangement. In its last access arrangement review, the ACCC calculated a forecast depreciation allowance for APA GasNet, based on its forecast capex allowance over the 2008–12 access arrangement period.</w:t>
      </w:r>
      <w:r w:rsidRPr="007E3923">
        <w:rPr>
          <w:rStyle w:val="FootnoteReference"/>
          <w:rFonts w:eastAsia="Calibri"/>
        </w:rPr>
        <w:footnoteReference w:id="64"/>
      </w:r>
      <w:r w:rsidRPr="007E3923">
        <w:rPr>
          <w:rFonts w:eastAsia="Calibri"/>
        </w:rPr>
        <w:t xml:space="preserve"> The AER therefore accepts that APA GasNet's proposed approach is consistent with the relevant provisions in the </w:t>
      </w:r>
      <w:r w:rsidRPr="007E3923">
        <w:rPr>
          <w:rFonts w:eastAsia="Calibri"/>
        </w:rPr>
        <w:br/>
        <w:t>2008–12 access arrangement.</w:t>
      </w:r>
    </w:p>
    <w:p w:rsidR="007C1F9F" w:rsidRPr="00097005" w:rsidRDefault="007C1F9F" w:rsidP="007C1F9F">
      <w:pPr>
        <w:pStyle w:val="AERheading3"/>
        <w:numPr>
          <w:ilvl w:val="2"/>
          <w:numId w:val="7"/>
        </w:numPr>
        <w:tabs>
          <w:tab w:val="clear" w:pos="-357"/>
          <w:tab w:val="num" w:pos="0"/>
        </w:tabs>
        <w:ind w:left="0" w:hanging="714"/>
      </w:pPr>
      <w:bookmarkStart w:id="27" w:name="_Ref331682294"/>
      <w:r w:rsidRPr="00097005">
        <w:t>Approach for recognising capex—capitalised interest</w:t>
      </w:r>
      <w:bookmarkEnd w:id="27"/>
    </w:p>
    <w:p w:rsidR="007C1F9F" w:rsidRPr="00097005" w:rsidRDefault="007C1F9F" w:rsidP="007C1F9F">
      <w:pPr>
        <w:pStyle w:val="AERbodytext"/>
      </w:pPr>
      <w:r w:rsidRPr="00097005">
        <w:t>The AER does not approve GasNet’s inclusion of capitalised interest (or interest during construction) in its capex forecasts</w:t>
      </w:r>
      <w:r>
        <w:t>. This is</w:t>
      </w:r>
      <w:r w:rsidRPr="00097005">
        <w:t xml:space="preserve"> because it is not required under the ‘partially as incurred’ approach for recognising capex in the </w:t>
      </w:r>
      <w:r>
        <w:t xml:space="preserve">AER's transmission </w:t>
      </w:r>
      <w:r w:rsidRPr="00097005">
        <w:t xml:space="preserve">PTRM, which APA GasNet has proposed to adopt. Under the partially as incurred approach, the AER considers </w:t>
      </w:r>
      <w:r>
        <w:t xml:space="preserve">that </w:t>
      </w:r>
      <w:r w:rsidRPr="00097005">
        <w:t>capex forecasts including capitalised interest overstate APA GasNet’s efficient capital requirements, and do not meet the requirements of conforming capex under the NGR.</w:t>
      </w:r>
      <w:r>
        <w:rPr>
          <w:rStyle w:val="FootnoteReference"/>
        </w:rPr>
        <w:footnoteReference w:id="65"/>
      </w:r>
      <w:r w:rsidRPr="00097005">
        <w:t xml:space="preserve"> Th</w:t>
      </w:r>
      <w:r>
        <w:t>e removal of capitalised interest</w:t>
      </w:r>
      <w:r w:rsidRPr="00097005">
        <w:t xml:space="preserve"> reduces APA GasNet’s capex forecasts for the 2013–17 access arrangement </w:t>
      </w:r>
      <w:r>
        <w:t xml:space="preserve">period </w:t>
      </w:r>
      <w:r w:rsidRPr="00097005">
        <w:t>by</w:t>
      </w:r>
      <w:r>
        <w:t xml:space="preserve"> approximately</w:t>
      </w:r>
      <w:r w:rsidRPr="00097005">
        <w:t xml:space="preserve"> </w:t>
      </w:r>
      <w:r>
        <w:t>$12</w:t>
      </w:r>
      <w:r w:rsidRPr="00097005">
        <w:t xml:space="preserve"> million, or </w:t>
      </w:r>
      <w:r>
        <w:t>3</w:t>
      </w:r>
      <w:r w:rsidRPr="00097005">
        <w:t xml:space="preserve"> per cent compared to APA GasNet’s proposal. </w:t>
      </w:r>
    </w:p>
    <w:p w:rsidR="007C1F9F" w:rsidRPr="00097005" w:rsidRDefault="007C1F9F" w:rsidP="007C1F9F">
      <w:pPr>
        <w:pStyle w:val="AERbodytext"/>
      </w:pPr>
      <w:r w:rsidRPr="00097005">
        <w:t xml:space="preserve">For the </w:t>
      </w:r>
      <w:r>
        <w:t>2008–12</w:t>
      </w:r>
      <w:r w:rsidRPr="00097005">
        <w:t xml:space="preserve"> access arrangement period, APA GasNet used the ACCC’s approved ‘as commissioned’ approach for recognising capex. Under this approach, capex was only recognised in the capital base when the project it related to was commissioned and began providing reference services. Where expenditure on a project was incurred over several years, it resulted in time delays between when capex was incurred and when APA GasNet could begin to recover a return relating to that project. Accordingly, under the as commissioned approach, the ACCC allowed APA GasNet to include in its capex values the efficient cost of financing projects when they are under construction but not earning revenues</w:t>
      </w:r>
      <w:r>
        <w:t>—t</w:t>
      </w:r>
      <w:r w:rsidRPr="00097005">
        <w:t xml:space="preserve">hat is, capitalised interest. </w:t>
      </w:r>
      <w:r>
        <w:t>T</w:t>
      </w:r>
      <w:r w:rsidRPr="00097005">
        <w:t xml:space="preserve">he AER accepts APA GasNet’s proposal to adopt the partially as incurred approach for recognising capex during the 2013–17 access arrangement period. Under this approach, </w:t>
      </w:r>
      <w:r>
        <w:t xml:space="preserve">however, </w:t>
      </w:r>
      <w:r w:rsidRPr="00097005">
        <w:t>capex is recognised in the year it is incurred and there is no delay in rolling the expenditure into the capital base where it starts earning a return. As a result, there is no need to include any capitalised interest in the capex forecasts. This is consistent with the AER’s p</w:t>
      </w:r>
      <w:r>
        <w:t>revious</w:t>
      </w:r>
      <w:r w:rsidRPr="00097005">
        <w:t xml:space="preserve"> determinations for electricity transmission </w:t>
      </w:r>
      <w:r>
        <w:t xml:space="preserve">network </w:t>
      </w:r>
      <w:r w:rsidRPr="00097005">
        <w:t>service providers.</w:t>
      </w:r>
      <w:r>
        <w:rPr>
          <w:rStyle w:val="FootnoteReference"/>
        </w:rPr>
        <w:footnoteReference w:id="66"/>
      </w:r>
      <w:r w:rsidRPr="00097005">
        <w:t xml:space="preserve"> </w:t>
      </w:r>
    </w:p>
    <w:p w:rsidR="007C1F9F" w:rsidRPr="00097005" w:rsidRDefault="007C1F9F" w:rsidP="007C1F9F">
      <w:pPr>
        <w:pStyle w:val="AERbodytext"/>
      </w:pPr>
      <w:r w:rsidRPr="00097005">
        <w:t>During its assessment of APA Gas</w:t>
      </w:r>
      <w:r>
        <w:t>N</w:t>
      </w:r>
      <w:r w:rsidRPr="00097005">
        <w:t>et’s forecast capex, the AER identified discrepancies between the capex forecast values in APA GasNet’s PTRM and in other areas of its access arrangement proposal. Following an information request, APA GasNet responded that its capex forecasts in the PTRM included capitalised interest. The AER therefore requires APA GasNet to remove the capitalised interest from the capex forecasts for the 2013–17 access arrangement period.</w:t>
      </w:r>
    </w:p>
    <w:p w:rsidR="007C1F9F" w:rsidRDefault="007C1F9F" w:rsidP="007C1F9F">
      <w:pPr>
        <w:pStyle w:val="AERheading3"/>
        <w:numPr>
          <w:ilvl w:val="2"/>
          <w:numId w:val="7"/>
        </w:numPr>
        <w:tabs>
          <w:tab w:val="clear" w:pos="-357"/>
          <w:tab w:val="num" w:pos="0"/>
        </w:tabs>
        <w:ind w:left="0" w:hanging="714"/>
      </w:pPr>
      <w:r>
        <w:t xml:space="preserve">Projected capital base during the </w:t>
      </w:r>
      <w:r w:rsidRPr="007E3923">
        <w:rPr>
          <w:rFonts w:eastAsia="Calibri"/>
        </w:rPr>
        <w:t xml:space="preserve">2013–17 </w:t>
      </w:r>
      <w:r>
        <w:t>access arrangement period</w:t>
      </w:r>
    </w:p>
    <w:p w:rsidR="007C1F9F" w:rsidRPr="007E3923" w:rsidRDefault="007C1F9F" w:rsidP="007C1F9F">
      <w:pPr>
        <w:pStyle w:val="AERbodytext"/>
        <w:rPr>
          <w:rFonts w:eastAsia="Calibri"/>
        </w:rPr>
      </w:pPr>
      <w:r w:rsidRPr="007E3923">
        <w:rPr>
          <w:rFonts w:eastAsia="Calibri"/>
        </w:rPr>
        <w:t>The AER’s forecast of APA GasNet’s projected capital base as at 31 December 2017 is $722.7 million ($nominal), a reduction of $134.4 million or 16 per cent from APA GasNet's proposal. This is because of the AER's draft decision on the inputs to the determination of the projected capital base. The AER has amended the following inputs:</w:t>
      </w:r>
    </w:p>
    <w:p w:rsidR="007C1F9F" w:rsidRPr="007E3923" w:rsidRDefault="007C1F9F" w:rsidP="007C1F9F">
      <w:pPr>
        <w:pStyle w:val="AERbulletlistfirststyle"/>
        <w:rPr>
          <w:rFonts w:eastAsia="Calibri"/>
        </w:rPr>
      </w:pPr>
      <w:r w:rsidRPr="007E3923">
        <w:rPr>
          <w:rFonts w:eastAsia="Calibri"/>
        </w:rPr>
        <w:t>Reduced APA GasNet's proposed opening capital base as at 1 January 2013 to $612.1 million or by 1 per cent to reflect the changes required in this attachment.</w:t>
      </w:r>
    </w:p>
    <w:p w:rsidR="007C1F9F" w:rsidRPr="007E3923" w:rsidRDefault="007C1F9F" w:rsidP="007C1F9F">
      <w:pPr>
        <w:pStyle w:val="AERbulletlistfirststyle"/>
        <w:rPr>
          <w:rFonts w:eastAsia="Calibri"/>
        </w:rPr>
      </w:pPr>
      <w:r w:rsidRPr="007E3923">
        <w:rPr>
          <w:rFonts w:eastAsia="Calibri"/>
        </w:rPr>
        <w:t>In rejecting APA GasNet's proposed depreciation approach (see attachment 5), the AER has applied its standard approach for projecting the capital base as follows:</w:t>
      </w:r>
    </w:p>
    <w:p w:rsidR="007C1F9F" w:rsidRPr="007E3923" w:rsidRDefault="007C1F9F" w:rsidP="007C1F9F">
      <w:pPr>
        <w:pStyle w:val="AERbulletlistsecondstyle"/>
        <w:rPr>
          <w:rFonts w:eastAsia="Calibri"/>
        </w:rPr>
      </w:pPr>
      <w:r w:rsidRPr="007E3923">
        <w:rPr>
          <w:rFonts w:eastAsia="Calibri"/>
        </w:rPr>
        <w:t>Applied forecast inflation indexation to the opening capital base</w:t>
      </w:r>
    </w:p>
    <w:p w:rsidR="007C1F9F" w:rsidRPr="007E3923" w:rsidRDefault="007C1F9F" w:rsidP="007C1F9F">
      <w:pPr>
        <w:pStyle w:val="AERbulletlistsecondstyle"/>
        <w:rPr>
          <w:rFonts w:eastAsia="Calibri"/>
        </w:rPr>
      </w:pPr>
      <w:r w:rsidRPr="007E3923">
        <w:rPr>
          <w:rFonts w:eastAsia="Calibri"/>
        </w:rPr>
        <w:t>Determined the return on capital allowance using a nominal WACC and the indexed opening capital base</w:t>
      </w:r>
    </w:p>
    <w:p w:rsidR="007C1F9F" w:rsidRPr="007E3923" w:rsidRDefault="007C1F9F" w:rsidP="007C1F9F">
      <w:pPr>
        <w:pStyle w:val="AERbulletlistsecondstyle"/>
        <w:rPr>
          <w:rFonts w:eastAsia="Calibri"/>
        </w:rPr>
      </w:pPr>
      <w:r w:rsidRPr="007E3923">
        <w:rPr>
          <w:rFonts w:eastAsia="Calibri"/>
        </w:rPr>
        <w:t>Determined the forecast depreciation (straight-line method) using the indexed capital base. The regulatory depreciation allowance in the building block is based on the forecast straight-line depreciation net of the forecast inflation indexation applied to the opening capital base.</w:t>
      </w:r>
    </w:p>
    <w:p w:rsidR="007C1F9F" w:rsidRPr="007E3923" w:rsidRDefault="007C1F9F" w:rsidP="007C1F9F">
      <w:pPr>
        <w:pStyle w:val="AERbulletlistfirststyle"/>
        <w:rPr>
          <w:rFonts w:eastAsia="Calibri"/>
        </w:rPr>
      </w:pPr>
      <w:r w:rsidRPr="007E3923">
        <w:rPr>
          <w:rFonts w:eastAsia="Calibri"/>
        </w:rPr>
        <w:t>Reduced APA GasNet's proposed forecast capex allowance by $223 million ($2012) or 59 per cent. The AER's detailed assessment of the forecast capex allowance is set out in attachment 3 The AER has also excluded capitalised interest from APA GasNet's capex forecasts.</w:t>
      </w:r>
    </w:p>
    <w:p w:rsidR="007C1F9F" w:rsidRPr="007E3923" w:rsidRDefault="007C1F9F" w:rsidP="007C1F9F">
      <w:pPr>
        <w:pStyle w:val="AERbulletlistfirststyle"/>
        <w:rPr>
          <w:rFonts w:eastAsia="Calibri"/>
        </w:rPr>
      </w:pPr>
      <w:r w:rsidRPr="007E3923">
        <w:rPr>
          <w:rFonts w:eastAsia="Calibri"/>
        </w:rPr>
        <w:t xml:space="preserve">Reduced APA GasNet's proposed forecast depreciation allowance by $101 million ($nominal) or 64 per cent. The AER's assessment of the proposed forecast depreciation allowance is set out in attachment 5. </w:t>
      </w:r>
    </w:p>
    <w:p w:rsidR="007C1F9F" w:rsidRPr="007E3923" w:rsidRDefault="007C1F9F" w:rsidP="007C1F9F">
      <w:pPr>
        <w:pStyle w:val="AERbulletlistfirststyle"/>
        <w:rPr>
          <w:rFonts w:eastAsia="Calibri"/>
        </w:rPr>
      </w:pPr>
      <w:r>
        <w:t xml:space="preserve">Applied an updated </w:t>
      </w:r>
      <w:r w:rsidRPr="00B53ECD">
        <w:t>forecast inflation of 2.</w:t>
      </w:r>
      <w:r>
        <w:t>5 per cent per annum</w:t>
      </w:r>
      <w:r w:rsidRPr="00B53ECD">
        <w:t xml:space="preserve"> for</w:t>
      </w:r>
      <w:r>
        <w:t xml:space="preserve"> the</w:t>
      </w:r>
      <w:r w:rsidRPr="00B53ECD">
        <w:t xml:space="preserve"> </w:t>
      </w:r>
      <w:r w:rsidRPr="002C24DA">
        <w:t>2013–17</w:t>
      </w:r>
      <w:r>
        <w:t xml:space="preserve"> access arrangement period</w:t>
      </w:r>
      <w:r w:rsidRPr="00B53ECD">
        <w:t xml:space="preserve">. </w:t>
      </w:r>
      <w:r>
        <w:t xml:space="preserve">As discussed in </w:t>
      </w:r>
      <w:r w:rsidRPr="005B72D2">
        <w:t xml:space="preserve">attachment </w:t>
      </w:r>
      <w:r>
        <w:t>5, APA GasNet's proposed change in depreciation approach means n</w:t>
      </w:r>
      <w:r w:rsidRPr="005B72D2">
        <w:t xml:space="preserve">o inflation indexation </w:t>
      </w:r>
      <w:r>
        <w:t>was applied to</w:t>
      </w:r>
      <w:r w:rsidRPr="005B72D2">
        <w:t xml:space="preserve"> the capital base</w:t>
      </w:r>
      <w:r>
        <w:t xml:space="preserve"> in its proposal</w:t>
      </w:r>
      <w:r w:rsidRPr="005B72D2">
        <w:t xml:space="preserve">. </w:t>
      </w:r>
      <w:r>
        <w:t>The AER has not accepted the proposed change in depreciation approach</w:t>
      </w:r>
      <w:r w:rsidRPr="005B72D2">
        <w:t xml:space="preserve">. </w:t>
      </w:r>
      <w:r>
        <w:t>Consequently, this draft decision indexes the capital base for inflation.</w:t>
      </w:r>
    </w:p>
    <w:p w:rsidR="007C1F9F" w:rsidRPr="007E3923" w:rsidRDefault="007C1F9F" w:rsidP="007C1F9F">
      <w:pPr>
        <w:pStyle w:val="AERbodytext"/>
        <w:rPr>
          <w:rFonts w:eastAsia="Calibri"/>
        </w:rPr>
      </w:pPr>
      <w:r w:rsidRPr="007E3923">
        <w:rPr>
          <w:rFonts w:eastAsia="Calibri"/>
        </w:rPr>
        <w:t>The capital base at the commencement of the 2018–22 access arrangement period will be subject to adjustments under the NGR.</w:t>
      </w:r>
      <w:r w:rsidRPr="007E3923">
        <w:rPr>
          <w:rStyle w:val="FootnoteReference"/>
          <w:rFonts w:eastAsia="Calibri"/>
        </w:rPr>
        <w:footnoteReference w:id="67"/>
      </w:r>
      <w:r w:rsidRPr="007E3923">
        <w:rPr>
          <w:rFonts w:eastAsia="Calibri"/>
        </w:rPr>
        <w:t xml:space="preserve"> These adjustments are not limited to, but include:</w:t>
      </w:r>
    </w:p>
    <w:p w:rsidR="007C1F9F" w:rsidRPr="007E3923" w:rsidRDefault="007C1F9F" w:rsidP="007C1F9F">
      <w:pPr>
        <w:pStyle w:val="AERbulletlistfirststyle"/>
        <w:rPr>
          <w:rFonts w:eastAsia="Calibri"/>
        </w:rPr>
      </w:pPr>
      <w:r w:rsidRPr="007E3923">
        <w:rPr>
          <w:rFonts w:eastAsia="Calibri"/>
        </w:rPr>
        <w:t>the difference between actual and forecast capex for 2012 (the final year of the 2008–12 access arrangement period)</w:t>
      </w:r>
    </w:p>
    <w:p w:rsidR="007C1F9F" w:rsidRPr="007E3923" w:rsidRDefault="007C1F9F" w:rsidP="007C1F9F">
      <w:pPr>
        <w:pStyle w:val="AERbulletlistfirststyle"/>
        <w:rPr>
          <w:rFonts w:eastAsia="Calibri"/>
        </w:rPr>
      </w:pPr>
      <w:r w:rsidRPr="007E3923">
        <w:rPr>
          <w:rFonts w:eastAsia="Calibri"/>
        </w:rPr>
        <w:t xml:space="preserve">actual inflation and approved depreciation over the 2013–17 access arrangement period. </w:t>
      </w:r>
    </w:p>
    <w:p w:rsidR="007C1F9F" w:rsidRPr="007E3923" w:rsidRDefault="007C1F9F" w:rsidP="007C1F9F">
      <w:pPr>
        <w:pStyle w:val="AERbodytext"/>
        <w:rPr>
          <w:rFonts w:eastAsia="Calibri"/>
        </w:rPr>
      </w:pPr>
      <w:r w:rsidRPr="007E3923">
        <w:rPr>
          <w:rFonts w:eastAsia="Calibri"/>
        </w:rPr>
        <w:t>The AER accepts APA GasNet's proposal to use forecast depreciation approved in the final decision for the 2013–17 access arrangement period to establish APA GasNet’s opening capital base as at 1 January 2018.</w:t>
      </w:r>
      <w:r w:rsidRPr="007E3923" w:rsidDel="00D04364">
        <w:rPr>
          <w:rStyle w:val="FootnoteReference"/>
          <w:rFonts w:eastAsia="Calibri"/>
        </w:rPr>
        <w:t xml:space="preserve"> </w:t>
      </w:r>
      <w:r w:rsidRPr="007E3923">
        <w:rPr>
          <w:rFonts w:eastAsia="Calibri"/>
        </w:rPr>
        <w:t xml:space="preserve"> The use of forecast depreciation to roll forward the capital base:</w:t>
      </w:r>
    </w:p>
    <w:p w:rsidR="007C1F9F" w:rsidRPr="007E3923" w:rsidRDefault="007C1F9F" w:rsidP="007C1F9F">
      <w:pPr>
        <w:pStyle w:val="AERbulletlistfirststyle"/>
        <w:rPr>
          <w:rFonts w:eastAsia="Calibri"/>
        </w:rPr>
      </w:pPr>
      <w:r w:rsidRPr="007E3923">
        <w:rPr>
          <w:rFonts w:eastAsia="Calibri"/>
        </w:rPr>
        <w:t>is consistent with the AER's approach for determining the opening capital base in its recent decisions, including those for the Jemena Gas Networks (JGN), APT Allgas, and Envestra networks</w:t>
      </w:r>
      <w:r w:rsidRPr="007E3923">
        <w:rPr>
          <w:rStyle w:val="FootnoteReference"/>
          <w:rFonts w:eastAsia="Calibri"/>
        </w:rPr>
        <w:footnoteReference w:id="68"/>
      </w:r>
      <w:r w:rsidRPr="007E3923">
        <w:rPr>
          <w:rFonts w:eastAsia="Calibri"/>
        </w:rPr>
        <w:t xml:space="preserve"> </w:t>
      </w:r>
    </w:p>
    <w:p w:rsidR="007C1F9F" w:rsidRPr="007E3923" w:rsidRDefault="007C1F9F" w:rsidP="007C1F9F">
      <w:pPr>
        <w:pStyle w:val="AERbulletlistfirststyle"/>
        <w:rPr>
          <w:rFonts w:eastAsia="Calibri"/>
        </w:rPr>
      </w:pPr>
      <w:r w:rsidRPr="007E3923">
        <w:rPr>
          <w:rFonts w:eastAsia="Calibri"/>
        </w:rPr>
        <w:t>maintains a consistent approach with APA GasNet's roll forward of its capital base to 1 January 2013 using forecast depreciation as approved by the ACCC for the 2008–12 access arrangement period</w:t>
      </w:r>
      <w:r w:rsidRPr="007E3923">
        <w:rPr>
          <w:rStyle w:val="FootnoteReference"/>
          <w:rFonts w:eastAsia="Calibri"/>
        </w:rPr>
        <w:footnoteReference w:id="69"/>
      </w:r>
    </w:p>
    <w:p w:rsidR="007C1F9F" w:rsidRPr="007E3923" w:rsidRDefault="007C1F9F" w:rsidP="007C1F9F">
      <w:pPr>
        <w:pStyle w:val="AERbulletlistfirststyle"/>
        <w:rPr>
          <w:rFonts w:eastAsia="Calibri"/>
        </w:rPr>
      </w:pPr>
      <w:r w:rsidRPr="007E3923">
        <w:rPr>
          <w:rFonts w:eastAsia="Calibri"/>
        </w:rPr>
        <w:t>is also consistent with the approach outlined in the AER’s Access Arrangement Guideline.</w:t>
      </w:r>
      <w:r w:rsidRPr="007E3923">
        <w:rPr>
          <w:rStyle w:val="FootnoteReference"/>
          <w:rFonts w:eastAsia="Calibri"/>
        </w:rPr>
        <w:footnoteReference w:id="70"/>
      </w:r>
    </w:p>
    <w:p w:rsidR="007C1F9F" w:rsidRDefault="007C1F9F" w:rsidP="007C1F9F">
      <w:pPr>
        <w:pStyle w:val="AERheading2"/>
        <w:numPr>
          <w:ilvl w:val="1"/>
          <w:numId w:val="7"/>
        </w:numPr>
        <w:tabs>
          <w:tab w:val="clear" w:pos="4317"/>
          <w:tab w:val="num" w:pos="0"/>
        </w:tabs>
        <w:ind w:left="0" w:hanging="720"/>
      </w:pPr>
      <w:bookmarkStart w:id="28" w:name="_Toc334543759"/>
      <w:r w:rsidRPr="005B258D">
        <w:t>Revisions</w:t>
      </w:r>
      <w:bookmarkEnd w:id="28"/>
    </w:p>
    <w:p w:rsidR="007C1F9F" w:rsidRPr="00111CA5" w:rsidRDefault="007C1F9F" w:rsidP="007C1F9F">
      <w:pPr>
        <w:pStyle w:val="AERbodytext"/>
      </w:pPr>
      <w:r w:rsidRPr="006C6EFF">
        <w:t>The AER requires the following revisions to make the access arrangement proposal acceptable</w:t>
      </w:r>
      <w:r w:rsidRPr="00111CA5">
        <w:t>:</w:t>
      </w:r>
    </w:p>
    <w:p w:rsidR="007C1F9F" w:rsidRPr="007E3923" w:rsidRDefault="007C1F9F" w:rsidP="007C1F9F">
      <w:pPr>
        <w:pStyle w:val="AERrevisionbox"/>
        <w:rPr>
          <w:rFonts w:eastAsia="Calibri"/>
        </w:rPr>
      </w:pPr>
      <w:r w:rsidRPr="007E3923">
        <w:rPr>
          <w:rStyle w:val="AERtextbold"/>
          <w:rFonts w:eastAsia="Calibri"/>
        </w:rPr>
        <w:t>Revision 2.1</w:t>
      </w:r>
      <w:r w:rsidRPr="007E3923">
        <w:rPr>
          <w:rFonts w:eastAsia="Calibri"/>
        </w:rPr>
        <w:t xml:space="preserve">: Make all necessary amendments to reflect the AER’s draft decision on the roll forward of the capital base for the 2008–12 access arrangement period, as set out in </w:t>
      </w:r>
      <w:r w:rsidR="00DE0D6A" w:rsidRPr="007E3923">
        <w:rPr>
          <w:rFonts w:eastAsia="Calibri"/>
        </w:rPr>
        <w:fldChar w:fldCharType="begin"/>
      </w:r>
      <w:r w:rsidRPr="007E3923">
        <w:rPr>
          <w:rFonts w:eastAsia="Calibri"/>
        </w:rPr>
        <w:instrText xml:space="preserve"> REF _Ref332957823 \r \h </w:instrText>
      </w:r>
      <w:r w:rsidR="00DE0D6A" w:rsidRPr="007E3923">
        <w:rPr>
          <w:rFonts w:eastAsia="Calibri"/>
        </w:rPr>
      </w:r>
      <w:r w:rsidR="00DE0D6A" w:rsidRPr="007E3923">
        <w:rPr>
          <w:rFonts w:eastAsia="Calibri"/>
        </w:rPr>
        <w:fldChar w:fldCharType="separate"/>
      </w:r>
      <w:r>
        <w:rPr>
          <w:rFonts w:eastAsia="Calibri"/>
        </w:rPr>
        <w:t>Table 2.1</w:t>
      </w:r>
      <w:r w:rsidR="00DE0D6A" w:rsidRPr="007E3923">
        <w:rPr>
          <w:rFonts w:eastAsia="Calibri"/>
        </w:rPr>
        <w:fldChar w:fldCharType="end"/>
      </w:r>
      <w:r w:rsidRPr="007E3923">
        <w:rPr>
          <w:rFonts w:eastAsia="Calibri"/>
        </w:rPr>
        <w:t>.</w:t>
      </w:r>
    </w:p>
    <w:p w:rsidR="007C1F9F" w:rsidRPr="007E3923" w:rsidRDefault="007C1F9F" w:rsidP="007C1F9F">
      <w:pPr>
        <w:pStyle w:val="AERrevisionbox"/>
        <w:rPr>
          <w:rFonts w:eastAsia="Calibri"/>
        </w:rPr>
      </w:pPr>
      <w:r w:rsidRPr="007E3923">
        <w:rPr>
          <w:rStyle w:val="AERtextbold"/>
          <w:rFonts w:eastAsia="Calibri"/>
        </w:rPr>
        <w:t>Revision 2.2</w:t>
      </w:r>
      <w:r w:rsidRPr="007E3923">
        <w:rPr>
          <w:rFonts w:eastAsia="Calibri"/>
        </w:rPr>
        <w:t xml:space="preserve">: Make all necessary amendments to reflect the AER’s draft decision on the projected opening capital base for the 2013–17 access arrangement period, as set out in </w:t>
      </w:r>
      <w:r w:rsidR="00DE0D6A" w:rsidRPr="007E3923">
        <w:rPr>
          <w:rFonts w:eastAsia="Calibri"/>
        </w:rPr>
        <w:fldChar w:fldCharType="begin"/>
      </w:r>
      <w:r w:rsidRPr="007E3923">
        <w:rPr>
          <w:rFonts w:eastAsia="Calibri"/>
        </w:rPr>
        <w:instrText xml:space="preserve"> REF  _Ref328757042 \* Lower \h \r </w:instrText>
      </w:r>
      <w:r w:rsidR="00DE0D6A" w:rsidRPr="007E3923">
        <w:rPr>
          <w:rFonts w:eastAsia="Calibri"/>
        </w:rPr>
      </w:r>
      <w:r w:rsidR="00DE0D6A" w:rsidRPr="007E3923">
        <w:rPr>
          <w:rFonts w:eastAsia="Calibri"/>
        </w:rPr>
        <w:fldChar w:fldCharType="separate"/>
      </w:r>
      <w:r>
        <w:rPr>
          <w:rFonts w:eastAsia="Calibri"/>
        </w:rPr>
        <w:t>table 2.2</w:t>
      </w:r>
      <w:r w:rsidR="00DE0D6A" w:rsidRPr="007E3923">
        <w:rPr>
          <w:rFonts w:eastAsia="Calibri"/>
        </w:rPr>
        <w:fldChar w:fldCharType="end"/>
      </w:r>
      <w:r w:rsidRPr="007E3923">
        <w:rPr>
          <w:rFonts w:eastAsia="Calibri"/>
        </w:rPr>
        <w:t>.</w:t>
      </w:r>
    </w:p>
    <w:p w:rsidR="007C1F9F" w:rsidRPr="007E3923" w:rsidRDefault="007C1F9F" w:rsidP="007C1F9F">
      <w:pPr>
        <w:pStyle w:val="AERrevisionbox"/>
        <w:rPr>
          <w:rFonts w:eastAsia="Calibri"/>
        </w:rPr>
      </w:pPr>
      <w:r w:rsidRPr="007E3923">
        <w:rPr>
          <w:rStyle w:val="AERtextbold"/>
          <w:rFonts w:eastAsia="Calibri"/>
        </w:rPr>
        <w:t>Revision 2.3</w:t>
      </w:r>
      <w:r w:rsidRPr="007E3923">
        <w:rPr>
          <w:rFonts w:eastAsia="Calibri"/>
        </w:rPr>
        <w:t xml:space="preserve">: Make all necessary amendments to reflect the AER’s draft decision on net capex by asset class during the 2008–12 access arrangement period, as set out in </w:t>
      </w:r>
      <w:r w:rsidR="00DE0D6A" w:rsidRPr="007E3923">
        <w:rPr>
          <w:rFonts w:eastAsia="Calibri"/>
        </w:rPr>
        <w:fldChar w:fldCharType="begin"/>
      </w:r>
      <w:r w:rsidRPr="007E3923">
        <w:rPr>
          <w:rFonts w:eastAsia="Calibri"/>
        </w:rPr>
        <w:instrText xml:space="preserve"> REF  _Ref331516286 \* Lower \h \r </w:instrText>
      </w:r>
      <w:r w:rsidR="00DE0D6A" w:rsidRPr="007E3923">
        <w:rPr>
          <w:rFonts w:eastAsia="Calibri"/>
        </w:rPr>
      </w:r>
      <w:r w:rsidR="00DE0D6A" w:rsidRPr="007E3923">
        <w:rPr>
          <w:rFonts w:eastAsia="Calibri"/>
        </w:rPr>
        <w:fldChar w:fldCharType="separate"/>
      </w:r>
      <w:r>
        <w:rPr>
          <w:rFonts w:eastAsia="Calibri"/>
        </w:rPr>
        <w:t>table 2.7</w:t>
      </w:r>
      <w:r w:rsidR="00DE0D6A" w:rsidRPr="007E3923">
        <w:rPr>
          <w:rFonts w:eastAsia="Calibri"/>
        </w:rPr>
        <w:fldChar w:fldCharType="end"/>
      </w:r>
      <w:r w:rsidRPr="007E3923">
        <w:rPr>
          <w:rFonts w:eastAsia="Calibri"/>
        </w:rPr>
        <w:t>.</w:t>
      </w:r>
    </w:p>
    <w:p w:rsidR="007C1F9F" w:rsidRPr="007E3923" w:rsidRDefault="007C1F9F" w:rsidP="007C1F9F">
      <w:pPr>
        <w:pStyle w:val="AERrevisionbox"/>
        <w:rPr>
          <w:rFonts w:eastAsia="Calibri"/>
        </w:rPr>
      </w:pPr>
      <w:r w:rsidRPr="007E3923">
        <w:rPr>
          <w:rStyle w:val="AERtextbold"/>
          <w:rFonts w:eastAsia="Calibri"/>
        </w:rPr>
        <w:t>Revision 2.4</w:t>
      </w:r>
      <w:r w:rsidRPr="007E3923">
        <w:rPr>
          <w:rFonts w:eastAsia="Calibri"/>
        </w:rPr>
        <w:t xml:space="preserve">: Make all necessary amendments to reflect the AER’s draft decision on the </w:t>
      </w:r>
      <w:r>
        <w:t xml:space="preserve">removal of </w:t>
      </w:r>
      <w:r w:rsidRPr="00097005">
        <w:t>capitalised interest from the capex forecasts for the 2013–17 access arrangement period</w:t>
      </w:r>
      <w:r>
        <w:t>, as set out in section 2.4.5</w:t>
      </w:r>
      <w:r w:rsidRPr="007E3923">
        <w:rPr>
          <w:rFonts w:eastAsia="Calibri"/>
        </w:rPr>
        <w:t>.</w:t>
      </w:r>
    </w:p>
    <w:p w:rsidR="007C1F9F" w:rsidRPr="00EA510C" w:rsidRDefault="007C1F9F" w:rsidP="007C1F9F"/>
    <w:p w:rsidR="007C1F9F" w:rsidRDefault="007C1F9F" w:rsidP="007C1F9F">
      <w:pPr>
        <w:pStyle w:val="AERheading1"/>
        <w:numPr>
          <w:ilvl w:val="0"/>
          <w:numId w:val="7"/>
        </w:numPr>
        <w:tabs>
          <w:tab w:val="clear" w:pos="-357"/>
          <w:tab w:val="left" w:pos="0"/>
        </w:tabs>
        <w:ind w:left="-354" w:hanging="360"/>
      </w:pPr>
      <w:bookmarkStart w:id="29" w:name="_Toc334543760"/>
      <w:r>
        <w:t>Capital expenditure</w:t>
      </w:r>
      <w:bookmarkEnd w:id="29"/>
    </w:p>
    <w:p w:rsidR="007C1F9F" w:rsidRDefault="007C1F9F" w:rsidP="007C1F9F">
      <w:pPr>
        <w:pStyle w:val="AERbodytext"/>
      </w:pPr>
      <w:r>
        <w:t>This attachment sets out the AER’s draft decision, reasoning and approach to assessing APA GasNet's proposed capital expenditure (capex) for the 2008-12 access arrangement period and forecast capex for the 2013–17 access arrangement period.</w:t>
      </w:r>
    </w:p>
    <w:p w:rsidR="007C1F9F" w:rsidRDefault="007C1F9F" w:rsidP="007C1F9F">
      <w:pPr>
        <w:pStyle w:val="AERheading2"/>
        <w:numPr>
          <w:ilvl w:val="1"/>
          <w:numId w:val="7"/>
        </w:numPr>
        <w:tabs>
          <w:tab w:val="clear" w:pos="4317"/>
          <w:tab w:val="num" w:pos="0"/>
        </w:tabs>
        <w:ind w:left="0" w:hanging="720"/>
      </w:pPr>
      <w:bookmarkStart w:id="30" w:name="_Toc334543761"/>
      <w:r w:rsidRPr="003131A4">
        <w:t>Draft decision</w:t>
      </w:r>
      <w:bookmarkEnd w:id="30"/>
    </w:p>
    <w:p w:rsidR="007C1F9F" w:rsidRPr="00CF716F" w:rsidRDefault="00BB1422" w:rsidP="007C1F9F">
      <w:pPr>
        <w:pStyle w:val="AERheading3"/>
        <w:numPr>
          <w:ilvl w:val="2"/>
          <w:numId w:val="7"/>
        </w:numPr>
        <w:tabs>
          <w:tab w:val="clear" w:pos="-357"/>
          <w:tab w:val="num" w:pos="0"/>
        </w:tabs>
        <w:ind w:left="0" w:hanging="714"/>
      </w:pPr>
      <w:r>
        <w:t>2008–1</w:t>
      </w:r>
      <w:r w:rsidR="007C1F9F">
        <w:t>2 access arrangement period capex</w:t>
      </w:r>
    </w:p>
    <w:p w:rsidR="007C1F9F" w:rsidRDefault="007C1F9F" w:rsidP="007C1F9F">
      <w:pPr>
        <w:pStyle w:val="AERbodytext"/>
      </w:pPr>
      <w:r w:rsidRPr="00AA6157">
        <w:t xml:space="preserve">The </w:t>
      </w:r>
      <w:r>
        <w:t>AER approves APA GasNet's proposed $160.4 million (</w:t>
      </w:r>
      <w:r w:rsidR="00BB1422">
        <w:t>$2012) total capex for the 2008</w:t>
      </w:r>
      <w:r w:rsidR="00BB1422" w:rsidRPr="00BB1422">
        <w:rPr>
          <w:rStyle w:val="AERbody"/>
          <w:rFonts w:eastAsia="Calibri"/>
        </w:rPr>
        <w:t>–</w:t>
      </w:r>
      <w:r>
        <w:t>12 access arrangement period.</w:t>
      </w:r>
    </w:p>
    <w:p w:rsidR="007C1F9F" w:rsidRDefault="00DE0D6A" w:rsidP="007C1F9F">
      <w:pPr>
        <w:pStyle w:val="AERbodytext"/>
      </w:pPr>
      <w:r>
        <w:fldChar w:fldCharType="begin"/>
      </w:r>
      <w:r w:rsidR="007C1F9F">
        <w:instrText xml:space="preserve"> REF _Ref330897126 \r \h </w:instrText>
      </w:r>
      <w:r>
        <w:fldChar w:fldCharType="separate"/>
      </w:r>
      <w:r w:rsidR="007C1F9F">
        <w:t>Table 3.1</w:t>
      </w:r>
      <w:r>
        <w:fldChar w:fldCharType="end"/>
      </w:r>
      <w:r w:rsidR="007C1F9F">
        <w:t xml:space="preserve"> summarises the AER’s approved capex in the 2008–12 access arrangement period.</w:t>
      </w:r>
    </w:p>
    <w:p w:rsidR="007C1F9F" w:rsidRPr="000D1DCA" w:rsidRDefault="007C1F9F" w:rsidP="007C1F9F">
      <w:pPr>
        <w:pStyle w:val="AERtabletitle"/>
      </w:pPr>
      <w:bookmarkStart w:id="31" w:name="_Ref330897126"/>
      <w:r>
        <w:t xml:space="preserve">AER approved capital expenditure by asset class over the </w:t>
      </w:r>
      <w:r w:rsidR="00202065">
        <w:t>2008–12</w:t>
      </w:r>
      <w:r>
        <w:t xml:space="preserve"> access arrangement period ($million, 2012)</w:t>
      </w:r>
      <w:bookmarkEnd w:id="31"/>
      <w:r>
        <w:tab/>
      </w:r>
    </w:p>
    <w:tbl>
      <w:tblPr>
        <w:tblStyle w:val="AERtable-numbers"/>
        <w:tblW w:w="0" w:type="auto"/>
        <w:tblLook w:val="01E0"/>
      </w:tblPr>
      <w:tblGrid>
        <w:gridCol w:w="1440"/>
        <w:gridCol w:w="1163"/>
        <w:gridCol w:w="1164"/>
        <w:gridCol w:w="1163"/>
        <w:gridCol w:w="1163"/>
        <w:gridCol w:w="1024"/>
        <w:gridCol w:w="1024"/>
      </w:tblGrid>
      <w:tr w:rsidR="007C1F9F" w:rsidTr="000B7EE2">
        <w:trPr>
          <w:cnfStyle w:val="100000000000"/>
        </w:trPr>
        <w:tc>
          <w:tcPr>
            <w:cnfStyle w:val="001000000000"/>
            <w:tcW w:w="1440" w:type="dxa"/>
          </w:tcPr>
          <w:p w:rsidR="007C1F9F" w:rsidRPr="00AB6746" w:rsidRDefault="007C1F9F" w:rsidP="00186172">
            <w:pPr>
              <w:pStyle w:val="AERtabletextheading"/>
            </w:pPr>
          </w:p>
        </w:tc>
        <w:tc>
          <w:tcPr>
            <w:tcW w:w="1163" w:type="dxa"/>
          </w:tcPr>
          <w:p w:rsidR="007C1F9F" w:rsidRPr="00AB6746" w:rsidRDefault="007C1F9F" w:rsidP="00186172">
            <w:pPr>
              <w:pStyle w:val="AERtabletextheading"/>
              <w:cnfStyle w:val="100000000000"/>
            </w:pPr>
            <w:r w:rsidRPr="00AB6746">
              <w:t>2008</w:t>
            </w:r>
          </w:p>
        </w:tc>
        <w:tc>
          <w:tcPr>
            <w:tcW w:w="1164" w:type="dxa"/>
          </w:tcPr>
          <w:p w:rsidR="007C1F9F" w:rsidRPr="00AB6746" w:rsidRDefault="007C1F9F" w:rsidP="00186172">
            <w:pPr>
              <w:pStyle w:val="AERtabletextheading"/>
              <w:cnfStyle w:val="100000000000"/>
            </w:pPr>
            <w:r w:rsidRPr="00AB6746">
              <w:t>2009</w:t>
            </w:r>
          </w:p>
        </w:tc>
        <w:tc>
          <w:tcPr>
            <w:tcW w:w="1163" w:type="dxa"/>
          </w:tcPr>
          <w:p w:rsidR="007C1F9F" w:rsidRPr="00AB6746" w:rsidRDefault="007C1F9F" w:rsidP="00186172">
            <w:pPr>
              <w:pStyle w:val="AERtabletextheading"/>
              <w:cnfStyle w:val="100000000000"/>
            </w:pPr>
            <w:r w:rsidRPr="00AB6746">
              <w:t>2010</w:t>
            </w:r>
          </w:p>
        </w:tc>
        <w:tc>
          <w:tcPr>
            <w:tcW w:w="1163" w:type="dxa"/>
          </w:tcPr>
          <w:p w:rsidR="007C1F9F" w:rsidRPr="00AB6746" w:rsidRDefault="007C1F9F" w:rsidP="00186172">
            <w:pPr>
              <w:pStyle w:val="AERtabletextheading"/>
              <w:cnfStyle w:val="100000000000"/>
            </w:pPr>
            <w:r w:rsidRPr="00AB6746">
              <w:t>2011</w:t>
            </w:r>
          </w:p>
        </w:tc>
        <w:tc>
          <w:tcPr>
            <w:tcW w:w="1024" w:type="dxa"/>
          </w:tcPr>
          <w:p w:rsidR="007C1F9F" w:rsidRPr="00AB6746" w:rsidRDefault="007C1F9F" w:rsidP="00186172">
            <w:pPr>
              <w:pStyle w:val="AERtabletextheading"/>
              <w:cnfStyle w:val="100000000000"/>
            </w:pPr>
            <w:r w:rsidRPr="00AB6746">
              <w:t>2012</w:t>
            </w:r>
          </w:p>
        </w:tc>
        <w:tc>
          <w:tcPr>
            <w:tcW w:w="1024" w:type="dxa"/>
          </w:tcPr>
          <w:p w:rsidR="007C1F9F" w:rsidRPr="00AB6746" w:rsidRDefault="007C1F9F" w:rsidP="00186172">
            <w:pPr>
              <w:pStyle w:val="AERtabletextheading"/>
              <w:cnfStyle w:val="100000000000"/>
            </w:pPr>
            <w:r>
              <w:t>Total</w:t>
            </w:r>
          </w:p>
        </w:tc>
      </w:tr>
      <w:tr w:rsidR="007C1F9F" w:rsidTr="000B7EE2">
        <w:tc>
          <w:tcPr>
            <w:cnfStyle w:val="001000000000"/>
            <w:tcW w:w="1440" w:type="dxa"/>
          </w:tcPr>
          <w:p w:rsidR="007C1F9F" w:rsidRPr="00BA5D5B" w:rsidRDefault="007C1F9F" w:rsidP="00186172">
            <w:pPr>
              <w:pStyle w:val="AERtabletext"/>
            </w:pPr>
            <w:r>
              <w:t>Augmentation</w:t>
            </w:r>
          </w:p>
        </w:tc>
        <w:tc>
          <w:tcPr>
            <w:tcW w:w="1163" w:type="dxa"/>
          </w:tcPr>
          <w:p w:rsidR="007C1F9F" w:rsidRPr="00315129" w:rsidRDefault="007C1F9F" w:rsidP="00186172">
            <w:pPr>
              <w:pStyle w:val="AERtabletext-numbers"/>
              <w:cnfStyle w:val="000000000000"/>
            </w:pPr>
            <w:r>
              <w:t>18.6</w:t>
            </w:r>
          </w:p>
        </w:tc>
        <w:tc>
          <w:tcPr>
            <w:tcW w:w="1164" w:type="dxa"/>
          </w:tcPr>
          <w:p w:rsidR="007C1F9F" w:rsidRPr="00315129" w:rsidRDefault="007C1F9F" w:rsidP="00186172">
            <w:pPr>
              <w:pStyle w:val="AERtabletext-numbers"/>
              <w:cnfStyle w:val="000000000000"/>
            </w:pPr>
            <w:r>
              <w:t>2.4</w:t>
            </w:r>
          </w:p>
        </w:tc>
        <w:tc>
          <w:tcPr>
            <w:tcW w:w="1163" w:type="dxa"/>
          </w:tcPr>
          <w:p w:rsidR="007C1F9F" w:rsidRPr="00315129" w:rsidRDefault="007C1F9F" w:rsidP="00186172">
            <w:pPr>
              <w:pStyle w:val="AERtabletext-numbers"/>
              <w:cnfStyle w:val="000000000000"/>
            </w:pPr>
            <w:r>
              <w:t>4.3</w:t>
            </w:r>
          </w:p>
        </w:tc>
        <w:tc>
          <w:tcPr>
            <w:tcW w:w="1163" w:type="dxa"/>
          </w:tcPr>
          <w:p w:rsidR="007C1F9F" w:rsidRPr="00315129" w:rsidRDefault="007C1F9F" w:rsidP="00186172">
            <w:pPr>
              <w:pStyle w:val="AERtabletext-numbers"/>
              <w:cnfStyle w:val="000000000000"/>
            </w:pPr>
            <w:r>
              <w:t>43.5</w:t>
            </w:r>
          </w:p>
        </w:tc>
        <w:tc>
          <w:tcPr>
            <w:tcW w:w="1024" w:type="dxa"/>
          </w:tcPr>
          <w:p w:rsidR="007C1F9F" w:rsidRPr="00315129" w:rsidRDefault="007C1F9F" w:rsidP="00186172">
            <w:pPr>
              <w:pStyle w:val="AERtabletext-numbers"/>
              <w:cnfStyle w:val="000000000000"/>
            </w:pPr>
            <w:r>
              <w:t>23.4</w:t>
            </w:r>
          </w:p>
        </w:tc>
        <w:tc>
          <w:tcPr>
            <w:tcW w:w="1024" w:type="dxa"/>
          </w:tcPr>
          <w:p w:rsidR="007C1F9F" w:rsidRDefault="007C1F9F" w:rsidP="00186172">
            <w:pPr>
              <w:pStyle w:val="AERtabletext-numbers"/>
              <w:cnfStyle w:val="000000000000"/>
            </w:pPr>
            <w:r>
              <w:t>92.1</w:t>
            </w:r>
          </w:p>
        </w:tc>
      </w:tr>
      <w:tr w:rsidR="007C1F9F" w:rsidTr="000B7EE2">
        <w:trPr>
          <w:cnfStyle w:val="000000010000"/>
        </w:trPr>
        <w:tc>
          <w:tcPr>
            <w:cnfStyle w:val="001000000000"/>
            <w:tcW w:w="1440" w:type="dxa"/>
          </w:tcPr>
          <w:p w:rsidR="007C1F9F" w:rsidRPr="00BA5D5B" w:rsidRDefault="007C1F9F" w:rsidP="00186172">
            <w:pPr>
              <w:pStyle w:val="AERtabletext"/>
            </w:pPr>
            <w:r>
              <w:t>Refurbishment and upgrade</w:t>
            </w:r>
          </w:p>
        </w:tc>
        <w:tc>
          <w:tcPr>
            <w:tcW w:w="1163" w:type="dxa"/>
          </w:tcPr>
          <w:p w:rsidR="007C1F9F" w:rsidRPr="00315129" w:rsidRDefault="007C1F9F" w:rsidP="00186172">
            <w:pPr>
              <w:pStyle w:val="AERtabletext-numbers"/>
              <w:cnfStyle w:val="000000010000"/>
            </w:pPr>
            <w:r>
              <w:t>19.2</w:t>
            </w:r>
          </w:p>
        </w:tc>
        <w:tc>
          <w:tcPr>
            <w:tcW w:w="1164" w:type="dxa"/>
          </w:tcPr>
          <w:p w:rsidR="007C1F9F" w:rsidRPr="00315129" w:rsidRDefault="007C1F9F" w:rsidP="00186172">
            <w:pPr>
              <w:pStyle w:val="AERtabletext-numbers"/>
              <w:cnfStyle w:val="000000010000"/>
            </w:pPr>
            <w:r>
              <w:t>7.1</w:t>
            </w:r>
          </w:p>
        </w:tc>
        <w:tc>
          <w:tcPr>
            <w:tcW w:w="1163" w:type="dxa"/>
          </w:tcPr>
          <w:p w:rsidR="007C1F9F" w:rsidRPr="00315129" w:rsidRDefault="007C1F9F" w:rsidP="00186172">
            <w:pPr>
              <w:pStyle w:val="AERtabletext-numbers"/>
              <w:cnfStyle w:val="000000010000"/>
            </w:pPr>
            <w:r>
              <w:t>1.3</w:t>
            </w:r>
          </w:p>
        </w:tc>
        <w:tc>
          <w:tcPr>
            <w:tcW w:w="1163" w:type="dxa"/>
          </w:tcPr>
          <w:p w:rsidR="007C1F9F" w:rsidRPr="00315129" w:rsidRDefault="007C1F9F" w:rsidP="00186172">
            <w:pPr>
              <w:pStyle w:val="AERtabletext-numbers"/>
              <w:cnfStyle w:val="000000010000"/>
            </w:pPr>
            <w:r>
              <w:t>4.8</w:t>
            </w:r>
          </w:p>
        </w:tc>
        <w:tc>
          <w:tcPr>
            <w:tcW w:w="1024" w:type="dxa"/>
          </w:tcPr>
          <w:p w:rsidR="007C1F9F" w:rsidRPr="00072277" w:rsidRDefault="007C1F9F" w:rsidP="00186172">
            <w:pPr>
              <w:pStyle w:val="AERtabletext-numbers"/>
              <w:cnfStyle w:val="000000010000"/>
              <w:rPr>
                <w:rStyle w:val="FootnoteReference"/>
              </w:rPr>
            </w:pPr>
            <w:r>
              <w:t>22.5</w:t>
            </w:r>
          </w:p>
        </w:tc>
        <w:tc>
          <w:tcPr>
            <w:tcW w:w="1024" w:type="dxa"/>
          </w:tcPr>
          <w:p w:rsidR="007C1F9F" w:rsidRDefault="007C1F9F" w:rsidP="00186172">
            <w:pPr>
              <w:pStyle w:val="AERtabletext-numbers"/>
              <w:cnfStyle w:val="000000010000"/>
            </w:pPr>
            <w:r>
              <w:t>54.9</w:t>
            </w:r>
          </w:p>
        </w:tc>
      </w:tr>
      <w:tr w:rsidR="007C1F9F" w:rsidTr="000B7EE2">
        <w:tc>
          <w:tcPr>
            <w:cnfStyle w:val="001000000000"/>
            <w:tcW w:w="1440" w:type="dxa"/>
          </w:tcPr>
          <w:p w:rsidR="007C1F9F" w:rsidRPr="00BA5D5B" w:rsidRDefault="007C1F9F" w:rsidP="00186172">
            <w:pPr>
              <w:pStyle w:val="AERtabletext"/>
            </w:pPr>
            <w:r>
              <w:t>Non-system</w:t>
            </w:r>
          </w:p>
        </w:tc>
        <w:tc>
          <w:tcPr>
            <w:tcW w:w="1163" w:type="dxa"/>
          </w:tcPr>
          <w:p w:rsidR="007C1F9F" w:rsidRPr="00282C3C" w:rsidRDefault="007C1F9F" w:rsidP="00186172">
            <w:pPr>
              <w:pStyle w:val="AERtabletext-numbers"/>
              <w:cnfStyle w:val="000000000000"/>
              <w:rPr>
                <w:rStyle w:val="AERtextbold"/>
              </w:rPr>
            </w:pPr>
            <w:r w:rsidRPr="00282C3C">
              <w:rPr>
                <w:rStyle w:val="AERtextbold"/>
              </w:rPr>
              <w:t>0.6</w:t>
            </w:r>
          </w:p>
        </w:tc>
        <w:tc>
          <w:tcPr>
            <w:tcW w:w="1164" w:type="dxa"/>
          </w:tcPr>
          <w:p w:rsidR="007C1F9F" w:rsidRPr="00282C3C" w:rsidRDefault="007C1F9F" w:rsidP="00186172">
            <w:pPr>
              <w:pStyle w:val="AERtabletext-numbers"/>
              <w:cnfStyle w:val="000000000000"/>
              <w:rPr>
                <w:rStyle w:val="AERtextbold"/>
              </w:rPr>
            </w:pPr>
            <w:r w:rsidRPr="00282C3C">
              <w:rPr>
                <w:rStyle w:val="AERtextbold"/>
              </w:rPr>
              <w:t>0.8</w:t>
            </w:r>
          </w:p>
        </w:tc>
        <w:tc>
          <w:tcPr>
            <w:tcW w:w="1163" w:type="dxa"/>
          </w:tcPr>
          <w:p w:rsidR="007C1F9F" w:rsidRPr="00282C3C" w:rsidRDefault="007C1F9F" w:rsidP="00186172">
            <w:pPr>
              <w:pStyle w:val="AERtabletext-numbers"/>
              <w:cnfStyle w:val="000000000000"/>
              <w:rPr>
                <w:rStyle w:val="AERtextbold"/>
              </w:rPr>
            </w:pPr>
            <w:r w:rsidRPr="00282C3C">
              <w:rPr>
                <w:rStyle w:val="AERtextbold"/>
              </w:rPr>
              <w:t>5.5</w:t>
            </w:r>
          </w:p>
        </w:tc>
        <w:tc>
          <w:tcPr>
            <w:tcW w:w="1163" w:type="dxa"/>
          </w:tcPr>
          <w:p w:rsidR="007C1F9F" w:rsidRPr="00282C3C" w:rsidRDefault="007C1F9F" w:rsidP="00186172">
            <w:pPr>
              <w:pStyle w:val="AERtabletext-numbers"/>
              <w:cnfStyle w:val="000000000000"/>
              <w:rPr>
                <w:rStyle w:val="AERtextbold"/>
              </w:rPr>
            </w:pPr>
            <w:r w:rsidRPr="00282C3C">
              <w:rPr>
                <w:rStyle w:val="AERtextbold"/>
              </w:rPr>
              <w:t>1.7</w:t>
            </w:r>
          </w:p>
        </w:tc>
        <w:tc>
          <w:tcPr>
            <w:tcW w:w="1024" w:type="dxa"/>
          </w:tcPr>
          <w:p w:rsidR="007C1F9F" w:rsidRPr="00282C3C" w:rsidRDefault="007C1F9F" w:rsidP="00186172">
            <w:pPr>
              <w:pStyle w:val="AERtabletext-numbers"/>
              <w:cnfStyle w:val="000000000000"/>
              <w:rPr>
                <w:rStyle w:val="AERtextbold"/>
              </w:rPr>
            </w:pPr>
            <w:r w:rsidRPr="00282C3C">
              <w:rPr>
                <w:rStyle w:val="AERtextbold"/>
              </w:rPr>
              <w:t>4.8</w:t>
            </w:r>
          </w:p>
        </w:tc>
        <w:tc>
          <w:tcPr>
            <w:tcW w:w="1024" w:type="dxa"/>
          </w:tcPr>
          <w:p w:rsidR="007C1F9F" w:rsidRPr="00282C3C" w:rsidRDefault="007C1F9F" w:rsidP="00186172">
            <w:pPr>
              <w:pStyle w:val="AERtabletext-numbers"/>
              <w:cnfStyle w:val="000000000000"/>
              <w:rPr>
                <w:rStyle w:val="AERtextbold"/>
              </w:rPr>
            </w:pPr>
            <w:r w:rsidRPr="00282C3C">
              <w:rPr>
                <w:rStyle w:val="AERtextbold"/>
              </w:rPr>
              <w:t>13.4</w:t>
            </w:r>
          </w:p>
        </w:tc>
      </w:tr>
      <w:tr w:rsidR="007C1F9F" w:rsidTr="000B7EE2">
        <w:trPr>
          <w:cnfStyle w:val="000000010000"/>
        </w:trPr>
        <w:tc>
          <w:tcPr>
            <w:cnfStyle w:val="001000000000"/>
            <w:tcW w:w="1440" w:type="dxa"/>
          </w:tcPr>
          <w:p w:rsidR="007C1F9F" w:rsidRPr="00BA5D5B" w:rsidRDefault="007C1F9F" w:rsidP="00186172">
            <w:pPr>
              <w:pStyle w:val="AERtabletext"/>
            </w:pPr>
            <w:r w:rsidRPr="00EB2C59">
              <w:t>Total capex</w:t>
            </w:r>
          </w:p>
        </w:tc>
        <w:tc>
          <w:tcPr>
            <w:tcW w:w="1163" w:type="dxa"/>
          </w:tcPr>
          <w:p w:rsidR="007C1F9F" w:rsidRPr="00315129" w:rsidRDefault="007C1F9F" w:rsidP="00186172">
            <w:pPr>
              <w:pStyle w:val="AERtabletext-numbers"/>
              <w:cnfStyle w:val="000000010000"/>
            </w:pPr>
            <w:r>
              <w:t>38.5</w:t>
            </w:r>
          </w:p>
        </w:tc>
        <w:tc>
          <w:tcPr>
            <w:tcW w:w="1164" w:type="dxa"/>
          </w:tcPr>
          <w:p w:rsidR="007C1F9F" w:rsidRPr="00315129" w:rsidRDefault="007C1F9F" w:rsidP="00186172">
            <w:pPr>
              <w:pStyle w:val="AERtabletext-numbers"/>
              <w:cnfStyle w:val="000000010000"/>
            </w:pPr>
            <w:r>
              <w:t>10.3</w:t>
            </w:r>
          </w:p>
        </w:tc>
        <w:tc>
          <w:tcPr>
            <w:tcW w:w="1163" w:type="dxa"/>
          </w:tcPr>
          <w:p w:rsidR="007C1F9F" w:rsidRPr="00315129" w:rsidRDefault="007C1F9F" w:rsidP="00186172">
            <w:pPr>
              <w:pStyle w:val="AERtabletext-numbers"/>
              <w:cnfStyle w:val="000000010000"/>
            </w:pPr>
            <w:r>
              <w:t>11.1</w:t>
            </w:r>
          </w:p>
        </w:tc>
        <w:tc>
          <w:tcPr>
            <w:tcW w:w="1163" w:type="dxa"/>
          </w:tcPr>
          <w:p w:rsidR="007C1F9F" w:rsidRPr="00315129" w:rsidRDefault="007C1F9F" w:rsidP="00186172">
            <w:pPr>
              <w:pStyle w:val="AERtabletext-numbers"/>
              <w:cnfStyle w:val="000000010000"/>
            </w:pPr>
            <w:r>
              <w:t>49.9</w:t>
            </w:r>
          </w:p>
        </w:tc>
        <w:tc>
          <w:tcPr>
            <w:tcW w:w="1024" w:type="dxa"/>
          </w:tcPr>
          <w:p w:rsidR="007C1F9F" w:rsidRPr="00315129" w:rsidRDefault="007C1F9F" w:rsidP="00186172">
            <w:pPr>
              <w:pStyle w:val="AERtabletext-numbers"/>
              <w:cnfStyle w:val="000000010000"/>
            </w:pPr>
            <w:r>
              <w:t>50.6</w:t>
            </w:r>
          </w:p>
        </w:tc>
        <w:tc>
          <w:tcPr>
            <w:tcW w:w="1024" w:type="dxa"/>
          </w:tcPr>
          <w:p w:rsidR="007C1F9F" w:rsidRDefault="007C1F9F" w:rsidP="00186172">
            <w:pPr>
              <w:pStyle w:val="AERtabletext-numbers"/>
              <w:cnfStyle w:val="000000010000"/>
            </w:pPr>
            <w:r>
              <w:t>160.4</w:t>
            </w:r>
          </w:p>
        </w:tc>
      </w:tr>
    </w:tbl>
    <w:p w:rsidR="007C1F9F" w:rsidRDefault="007C1F9F" w:rsidP="007C1F9F">
      <w:pPr>
        <w:pStyle w:val="FootnoteText"/>
      </w:pPr>
      <w:r>
        <w:t>Source:</w:t>
      </w:r>
      <w:r>
        <w:tab/>
        <w:t xml:space="preserve"> APA GasNet, </w:t>
      </w:r>
      <w:r w:rsidRPr="000326DB">
        <w:rPr>
          <w:rStyle w:val="AERtextitalic"/>
        </w:rPr>
        <w:t xml:space="preserve">Access </w:t>
      </w:r>
      <w:r>
        <w:rPr>
          <w:rStyle w:val="AERtextitalic"/>
        </w:rPr>
        <w:t>arrangement submission</w:t>
      </w:r>
      <w:r w:rsidRPr="000326DB">
        <w:t>,</w:t>
      </w:r>
      <w:r>
        <w:t xml:space="preserve"> 31 March 2012, p. 73.</w:t>
      </w:r>
    </w:p>
    <w:p w:rsidR="007C1F9F" w:rsidRDefault="007C1F9F" w:rsidP="007C1F9F">
      <w:pPr>
        <w:pStyle w:val="FootnoteText"/>
      </w:pPr>
    </w:p>
    <w:p w:rsidR="007C1F9F" w:rsidRPr="005F2A82" w:rsidRDefault="00202065" w:rsidP="007C1F9F">
      <w:pPr>
        <w:pStyle w:val="AERheading3"/>
        <w:numPr>
          <w:ilvl w:val="2"/>
          <w:numId w:val="7"/>
        </w:numPr>
        <w:tabs>
          <w:tab w:val="clear" w:pos="-357"/>
          <w:tab w:val="num" w:pos="0"/>
        </w:tabs>
        <w:ind w:left="0" w:hanging="714"/>
      </w:pPr>
      <w:r>
        <w:t>2013–17</w:t>
      </w:r>
      <w:r w:rsidR="007C1F9F" w:rsidRPr="005F2A82">
        <w:t xml:space="preserve"> access arrangement period capex</w:t>
      </w:r>
    </w:p>
    <w:p w:rsidR="007C1F9F" w:rsidRDefault="007C1F9F" w:rsidP="007C1F9F">
      <w:pPr>
        <w:pStyle w:val="AERbodytext"/>
      </w:pPr>
      <w:r w:rsidRPr="007E3923">
        <w:rPr>
          <w:rStyle w:val="AERbody"/>
          <w:rFonts w:eastAsia="Calibri"/>
        </w:rPr>
        <w:t xml:space="preserve">The AER </w:t>
      </w:r>
      <w:r w:rsidRPr="007E3923">
        <w:rPr>
          <w:rFonts w:eastAsia="Calibri"/>
        </w:rPr>
        <w:t>approves $153.8 million ($2012</w:t>
      </w:r>
      <w:r w:rsidRPr="007E3923">
        <w:rPr>
          <w:rStyle w:val="AERbody"/>
          <w:rFonts w:eastAsia="Calibri"/>
        </w:rPr>
        <w:t xml:space="preserve">) of APA GasNet's proposed $340.8 million total capex for the </w:t>
      </w:r>
      <w:r w:rsidR="00202065">
        <w:rPr>
          <w:rStyle w:val="AERbody"/>
          <w:rFonts w:eastAsia="Calibri"/>
        </w:rPr>
        <w:t>2013–17</w:t>
      </w:r>
      <w:r w:rsidRPr="007E3923">
        <w:rPr>
          <w:rStyle w:val="AERbody"/>
          <w:rFonts w:eastAsia="Calibri"/>
        </w:rPr>
        <w:t xml:space="preserve"> access arrangement period.</w:t>
      </w:r>
    </w:p>
    <w:p w:rsidR="007C1F9F" w:rsidRPr="00F96FC6" w:rsidRDefault="00DE0D6A" w:rsidP="007C1F9F">
      <w:pPr>
        <w:pStyle w:val="AERbodytext"/>
      </w:pPr>
      <w:r>
        <w:fldChar w:fldCharType="begin"/>
      </w:r>
      <w:r w:rsidR="007C1F9F">
        <w:instrText xml:space="preserve"> REF _Ref330897244 \r \h </w:instrText>
      </w:r>
      <w:r>
        <w:fldChar w:fldCharType="separate"/>
      </w:r>
      <w:r w:rsidR="007C1F9F">
        <w:t>Table 3.2</w:t>
      </w:r>
      <w:r>
        <w:fldChar w:fldCharType="end"/>
      </w:r>
      <w:r w:rsidR="007C1F9F">
        <w:t xml:space="preserve"> summarises the AER’s approved capex over the </w:t>
      </w:r>
      <w:r w:rsidR="00202065">
        <w:t>2013–17</w:t>
      </w:r>
      <w:r w:rsidR="007C1F9F">
        <w:t xml:space="preserve"> access arrangement period.</w:t>
      </w:r>
    </w:p>
    <w:p w:rsidR="007C1F9F" w:rsidRPr="000D1DCA" w:rsidRDefault="007C1F9F" w:rsidP="007C1F9F">
      <w:pPr>
        <w:pStyle w:val="AERtabletitle"/>
      </w:pPr>
      <w:bookmarkStart w:id="32" w:name="_Ref330897244"/>
      <w:r w:rsidRPr="00C345D3">
        <w:t xml:space="preserve">Forecast capital expenditure by asset class over the </w:t>
      </w:r>
      <w:r w:rsidR="00202065">
        <w:t>2013–17</w:t>
      </w:r>
      <w:r>
        <w:t xml:space="preserve"> </w:t>
      </w:r>
      <w:r w:rsidRPr="00C345D3">
        <w:t>access arrangement period ($m</w:t>
      </w:r>
      <w:r>
        <w:t>illion, 20</w:t>
      </w:r>
      <w:r w:rsidRPr="000D1DCA">
        <w:t>12)</w:t>
      </w:r>
      <w:bookmarkEnd w:id="32"/>
    </w:p>
    <w:tbl>
      <w:tblPr>
        <w:tblStyle w:val="AERtable-numbers"/>
        <w:tblW w:w="8364" w:type="dxa"/>
        <w:tblLayout w:type="fixed"/>
        <w:tblLook w:val="01E0"/>
      </w:tblPr>
      <w:tblGrid>
        <w:gridCol w:w="1704"/>
        <w:gridCol w:w="1110"/>
        <w:gridCol w:w="1110"/>
        <w:gridCol w:w="1110"/>
        <w:gridCol w:w="1110"/>
        <w:gridCol w:w="1110"/>
        <w:gridCol w:w="1110"/>
      </w:tblGrid>
      <w:tr w:rsidR="007C1F9F" w:rsidRPr="000861FC" w:rsidTr="000B7EE2">
        <w:trPr>
          <w:cnfStyle w:val="100000000000"/>
          <w:trHeight w:val="577"/>
        </w:trPr>
        <w:tc>
          <w:tcPr>
            <w:cnfStyle w:val="001000000000"/>
            <w:tcW w:w="1704" w:type="dxa"/>
          </w:tcPr>
          <w:p w:rsidR="007C1F9F" w:rsidRPr="00AB6746" w:rsidRDefault="007C1F9F" w:rsidP="00186172">
            <w:pPr>
              <w:pStyle w:val="AERtabletextheading"/>
            </w:pPr>
          </w:p>
        </w:tc>
        <w:tc>
          <w:tcPr>
            <w:tcW w:w="1110" w:type="dxa"/>
          </w:tcPr>
          <w:p w:rsidR="007C1F9F" w:rsidRPr="00AB6746" w:rsidRDefault="007C1F9F" w:rsidP="00186172">
            <w:pPr>
              <w:pStyle w:val="AERtabletextheading"/>
              <w:cnfStyle w:val="100000000000"/>
            </w:pPr>
            <w:r w:rsidRPr="00AB6746">
              <w:t>2013</w:t>
            </w:r>
          </w:p>
        </w:tc>
        <w:tc>
          <w:tcPr>
            <w:tcW w:w="1110" w:type="dxa"/>
          </w:tcPr>
          <w:p w:rsidR="007C1F9F" w:rsidRPr="00AB6746" w:rsidRDefault="007C1F9F" w:rsidP="00186172">
            <w:pPr>
              <w:pStyle w:val="AERtabletextheading"/>
              <w:cnfStyle w:val="100000000000"/>
            </w:pPr>
            <w:r w:rsidRPr="00AB6746">
              <w:t>2014</w:t>
            </w:r>
          </w:p>
        </w:tc>
        <w:tc>
          <w:tcPr>
            <w:tcW w:w="1110" w:type="dxa"/>
          </w:tcPr>
          <w:p w:rsidR="007C1F9F" w:rsidRPr="00AB6746" w:rsidRDefault="007C1F9F" w:rsidP="00186172">
            <w:pPr>
              <w:pStyle w:val="AERtabletextheading"/>
              <w:cnfStyle w:val="100000000000"/>
            </w:pPr>
            <w:r w:rsidRPr="00AB6746">
              <w:t>2015</w:t>
            </w:r>
          </w:p>
        </w:tc>
        <w:tc>
          <w:tcPr>
            <w:tcW w:w="1110" w:type="dxa"/>
          </w:tcPr>
          <w:p w:rsidR="007C1F9F" w:rsidRPr="00AB6746" w:rsidRDefault="007C1F9F" w:rsidP="00186172">
            <w:pPr>
              <w:pStyle w:val="AERtabletextheading"/>
              <w:cnfStyle w:val="100000000000"/>
            </w:pPr>
            <w:r w:rsidRPr="00AB6746">
              <w:t>2016</w:t>
            </w:r>
          </w:p>
        </w:tc>
        <w:tc>
          <w:tcPr>
            <w:tcW w:w="1110" w:type="dxa"/>
          </w:tcPr>
          <w:p w:rsidR="007C1F9F" w:rsidRPr="00AB6746" w:rsidRDefault="007C1F9F" w:rsidP="00186172">
            <w:pPr>
              <w:pStyle w:val="AERtabletextheading"/>
              <w:cnfStyle w:val="100000000000"/>
            </w:pPr>
            <w:r w:rsidRPr="00AB6746">
              <w:t>2017</w:t>
            </w:r>
          </w:p>
        </w:tc>
        <w:tc>
          <w:tcPr>
            <w:tcW w:w="1110" w:type="dxa"/>
          </w:tcPr>
          <w:p w:rsidR="007C1F9F" w:rsidRPr="00AB6746" w:rsidRDefault="007C1F9F" w:rsidP="00186172">
            <w:pPr>
              <w:pStyle w:val="AERtabletextheading"/>
              <w:cnfStyle w:val="100000000000"/>
            </w:pPr>
            <w:r w:rsidRPr="00AB6746">
              <w:t>Total</w:t>
            </w:r>
          </w:p>
        </w:tc>
      </w:tr>
      <w:tr w:rsidR="007C1F9F" w:rsidRPr="000861FC" w:rsidTr="000B7EE2">
        <w:tc>
          <w:tcPr>
            <w:cnfStyle w:val="001000000000"/>
            <w:tcW w:w="1704" w:type="dxa"/>
          </w:tcPr>
          <w:p w:rsidR="007C1F9F" w:rsidRPr="00BA5D5B" w:rsidRDefault="007C1F9F" w:rsidP="00186172">
            <w:pPr>
              <w:pStyle w:val="AERtabletext"/>
            </w:pPr>
            <w:r>
              <w:t xml:space="preserve">Augmentation </w:t>
            </w:r>
          </w:p>
        </w:tc>
        <w:tc>
          <w:tcPr>
            <w:tcW w:w="1110" w:type="dxa"/>
          </w:tcPr>
          <w:p w:rsidR="007C1F9F" w:rsidRPr="00315129" w:rsidRDefault="007C1F9F" w:rsidP="00186172">
            <w:pPr>
              <w:pStyle w:val="AERtabletext-numbers"/>
              <w:cnfStyle w:val="000000000000"/>
            </w:pPr>
            <w:r>
              <w:t>10.6</w:t>
            </w:r>
          </w:p>
        </w:tc>
        <w:tc>
          <w:tcPr>
            <w:tcW w:w="1110" w:type="dxa"/>
          </w:tcPr>
          <w:p w:rsidR="007C1F9F" w:rsidRPr="00315129" w:rsidRDefault="007C1F9F" w:rsidP="00186172">
            <w:pPr>
              <w:pStyle w:val="AERtabletext-numbers"/>
              <w:cnfStyle w:val="000000000000"/>
            </w:pPr>
            <w:r>
              <w:t>62.1</w:t>
            </w:r>
          </w:p>
        </w:tc>
        <w:tc>
          <w:tcPr>
            <w:tcW w:w="1110" w:type="dxa"/>
          </w:tcPr>
          <w:p w:rsidR="007C1F9F" w:rsidRPr="000861FC" w:rsidRDefault="007C1F9F" w:rsidP="00186172">
            <w:pPr>
              <w:pStyle w:val="AERtabletext-numbers"/>
              <w:cnfStyle w:val="000000000000"/>
            </w:pPr>
            <w:r>
              <w:t>11.6</w:t>
            </w:r>
          </w:p>
        </w:tc>
        <w:tc>
          <w:tcPr>
            <w:tcW w:w="1110" w:type="dxa"/>
          </w:tcPr>
          <w:p w:rsidR="007C1F9F" w:rsidRPr="000861FC" w:rsidRDefault="007C1F9F" w:rsidP="00186172">
            <w:pPr>
              <w:pStyle w:val="AERtabletext-numbers"/>
              <w:cnfStyle w:val="000000000000"/>
            </w:pPr>
            <w:r>
              <w:t>0.3</w:t>
            </w:r>
          </w:p>
        </w:tc>
        <w:tc>
          <w:tcPr>
            <w:tcW w:w="1110" w:type="dxa"/>
          </w:tcPr>
          <w:p w:rsidR="007C1F9F" w:rsidRPr="000861FC" w:rsidRDefault="007C1F9F" w:rsidP="00186172">
            <w:pPr>
              <w:pStyle w:val="AERtabletext-numbers"/>
              <w:cnfStyle w:val="000000000000"/>
            </w:pPr>
            <w:r>
              <w:t>-</w:t>
            </w:r>
          </w:p>
        </w:tc>
        <w:tc>
          <w:tcPr>
            <w:tcW w:w="1110" w:type="dxa"/>
          </w:tcPr>
          <w:p w:rsidR="007C1F9F" w:rsidRPr="000861FC" w:rsidRDefault="007C1F9F" w:rsidP="00186172">
            <w:pPr>
              <w:pStyle w:val="AERtabletext-numbers"/>
              <w:cnfStyle w:val="000000000000"/>
            </w:pPr>
            <w:r>
              <w:t>84.5</w:t>
            </w:r>
          </w:p>
        </w:tc>
      </w:tr>
      <w:tr w:rsidR="007C1F9F" w:rsidRPr="000861FC" w:rsidTr="000B7EE2">
        <w:trPr>
          <w:cnfStyle w:val="000000010000"/>
        </w:trPr>
        <w:tc>
          <w:tcPr>
            <w:cnfStyle w:val="001000000000"/>
            <w:tcW w:w="1704" w:type="dxa"/>
          </w:tcPr>
          <w:p w:rsidR="007C1F9F" w:rsidRPr="00BA5D5B" w:rsidRDefault="007C1F9F" w:rsidP="00186172">
            <w:pPr>
              <w:pStyle w:val="AERtabletext"/>
            </w:pPr>
            <w:r>
              <w:t>Refurbishment and upgrade</w:t>
            </w:r>
          </w:p>
        </w:tc>
        <w:tc>
          <w:tcPr>
            <w:tcW w:w="1110" w:type="dxa"/>
          </w:tcPr>
          <w:p w:rsidR="007C1F9F" w:rsidRPr="008342CD" w:rsidRDefault="007C1F9F" w:rsidP="00186172">
            <w:pPr>
              <w:pStyle w:val="AERtabletext-numbers"/>
              <w:cnfStyle w:val="000000010000"/>
            </w:pPr>
            <w:r>
              <w:t>12.0</w:t>
            </w:r>
          </w:p>
        </w:tc>
        <w:tc>
          <w:tcPr>
            <w:tcW w:w="1110" w:type="dxa"/>
          </w:tcPr>
          <w:p w:rsidR="007C1F9F" w:rsidRPr="008342CD" w:rsidRDefault="007C1F9F" w:rsidP="00186172">
            <w:pPr>
              <w:pStyle w:val="AERtabletext-numbers"/>
              <w:cnfStyle w:val="000000010000"/>
            </w:pPr>
            <w:r>
              <w:t>10.8</w:t>
            </w:r>
          </w:p>
        </w:tc>
        <w:tc>
          <w:tcPr>
            <w:tcW w:w="1110" w:type="dxa"/>
          </w:tcPr>
          <w:p w:rsidR="007C1F9F" w:rsidRPr="008342CD" w:rsidRDefault="007C1F9F" w:rsidP="00186172">
            <w:pPr>
              <w:pStyle w:val="AERtabletext-numbers"/>
              <w:cnfStyle w:val="000000010000"/>
            </w:pPr>
            <w:r>
              <w:t>10.7</w:t>
            </w:r>
          </w:p>
        </w:tc>
        <w:tc>
          <w:tcPr>
            <w:tcW w:w="1110" w:type="dxa"/>
          </w:tcPr>
          <w:p w:rsidR="007C1F9F" w:rsidRPr="008342CD" w:rsidRDefault="007C1F9F" w:rsidP="00186172">
            <w:pPr>
              <w:pStyle w:val="AERtabletext-numbers"/>
              <w:cnfStyle w:val="000000010000"/>
            </w:pPr>
            <w:r>
              <w:t>11.2</w:t>
            </w:r>
          </w:p>
        </w:tc>
        <w:tc>
          <w:tcPr>
            <w:tcW w:w="1110" w:type="dxa"/>
          </w:tcPr>
          <w:p w:rsidR="007C1F9F" w:rsidRPr="008342CD" w:rsidRDefault="007C1F9F" w:rsidP="00186172">
            <w:pPr>
              <w:pStyle w:val="AERtabletext-numbers"/>
              <w:cnfStyle w:val="000000010000"/>
            </w:pPr>
            <w:r>
              <w:t>8.5</w:t>
            </w:r>
          </w:p>
        </w:tc>
        <w:tc>
          <w:tcPr>
            <w:tcW w:w="1110" w:type="dxa"/>
          </w:tcPr>
          <w:p w:rsidR="007C1F9F" w:rsidRPr="008342CD" w:rsidRDefault="007C1F9F" w:rsidP="00186172">
            <w:pPr>
              <w:pStyle w:val="AERtabletext-numbers"/>
              <w:cnfStyle w:val="000000010000"/>
            </w:pPr>
            <w:r>
              <w:t>53.2</w:t>
            </w:r>
          </w:p>
        </w:tc>
      </w:tr>
      <w:tr w:rsidR="007C1F9F" w:rsidRPr="000861FC" w:rsidTr="000B7EE2">
        <w:tc>
          <w:tcPr>
            <w:cnfStyle w:val="001000000000"/>
            <w:tcW w:w="1704" w:type="dxa"/>
          </w:tcPr>
          <w:p w:rsidR="007C1F9F" w:rsidRPr="00BA5D5B" w:rsidRDefault="007C1F9F" w:rsidP="00186172">
            <w:pPr>
              <w:pStyle w:val="AERtabletext"/>
            </w:pPr>
            <w:r>
              <w:t>Non-system</w:t>
            </w:r>
          </w:p>
        </w:tc>
        <w:tc>
          <w:tcPr>
            <w:tcW w:w="1110" w:type="dxa"/>
          </w:tcPr>
          <w:p w:rsidR="007C1F9F" w:rsidRPr="008342CD" w:rsidRDefault="007C1F9F" w:rsidP="00186172">
            <w:pPr>
              <w:pStyle w:val="AERtabletext-numbers"/>
              <w:cnfStyle w:val="000000000000"/>
            </w:pPr>
            <w:r>
              <w:t>5.1</w:t>
            </w:r>
          </w:p>
        </w:tc>
        <w:tc>
          <w:tcPr>
            <w:tcW w:w="1110" w:type="dxa"/>
          </w:tcPr>
          <w:p w:rsidR="007C1F9F" w:rsidRPr="008342CD" w:rsidRDefault="007C1F9F" w:rsidP="00186172">
            <w:pPr>
              <w:pStyle w:val="AERtabletext-numbers"/>
              <w:cnfStyle w:val="000000000000"/>
            </w:pPr>
            <w:r>
              <w:t>5.8</w:t>
            </w:r>
          </w:p>
        </w:tc>
        <w:tc>
          <w:tcPr>
            <w:tcW w:w="1110" w:type="dxa"/>
          </w:tcPr>
          <w:p w:rsidR="007C1F9F" w:rsidRPr="008342CD" w:rsidRDefault="007C1F9F" w:rsidP="00186172">
            <w:pPr>
              <w:pStyle w:val="AERtabletext-numbers"/>
              <w:cnfStyle w:val="000000000000"/>
            </w:pPr>
            <w:r>
              <w:t>1.0</w:t>
            </w:r>
          </w:p>
        </w:tc>
        <w:tc>
          <w:tcPr>
            <w:tcW w:w="1110" w:type="dxa"/>
          </w:tcPr>
          <w:p w:rsidR="007C1F9F" w:rsidRPr="008342CD" w:rsidRDefault="007C1F9F" w:rsidP="00186172">
            <w:pPr>
              <w:pStyle w:val="AERtabletext-numbers"/>
              <w:cnfStyle w:val="000000000000"/>
            </w:pPr>
            <w:r>
              <w:t>1.7</w:t>
            </w:r>
          </w:p>
        </w:tc>
        <w:tc>
          <w:tcPr>
            <w:tcW w:w="1110" w:type="dxa"/>
          </w:tcPr>
          <w:p w:rsidR="007C1F9F" w:rsidRPr="008342CD" w:rsidRDefault="007C1F9F" w:rsidP="00186172">
            <w:pPr>
              <w:pStyle w:val="AERtabletext-numbers"/>
              <w:cnfStyle w:val="000000000000"/>
            </w:pPr>
            <w:r>
              <w:t>2.6</w:t>
            </w:r>
          </w:p>
        </w:tc>
        <w:tc>
          <w:tcPr>
            <w:tcW w:w="1110" w:type="dxa"/>
          </w:tcPr>
          <w:p w:rsidR="007C1F9F" w:rsidRPr="008342CD" w:rsidRDefault="007C1F9F" w:rsidP="00186172">
            <w:pPr>
              <w:pStyle w:val="AERtabletext-numbers"/>
              <w:cnfStyle w:val="000000000000"/>
            </w:pPr>
            <w:r>
              <w:t>16.2</w:t>
            </w:r>
          </w:p>
        </w:tc>
      </w:tr>
      <w:tr w:rsidR="007C1F9F" w:rsidRPr="000861FC" w:rsidTr="000B7EE2">
        <w:trPr>
          <w:cnfStyle w:val="000000010000"/>
        </w:trPr>
        <w:tc>
          <w:tcPr>
            <w:cnfStyle w:val="001000000000"/>
            <w:tcW w:w="1704" w:type="dxa"/>
          </w:tcPr>
          <w:p w:rsidR="007C1F9F" w:rsidRPr="00BA5D5B" w:rsidRDefault="007C1F9F" w:rsidP="00186172">
            <w:pPr>
              <w:pStyle w:val="AERtabletext"/>
            </w:pPr>
            <w:r>
              <w:t>Total capex</w:t>
            </w:r>
          </w:p>
        </w:tc>
        <w:tc>
          <w:tcPr>
            <w:tcW w:w="1110" w:type="dxa"/>
          </w:tcPr>
          <w:p w:rsidR="007C1F9F" w:rsidRPr="008342CD" w:rsidRDefault="007C1F9F" w:rsidP="00186172">
            <w:pPr>
              <w:pStyle w:val="AERtabletext-numbers"/>
              <w:cnfStyle w:val="000000010000"/>
            </w:pPr>
            <w:r>
              <w:t>27.7</w:t>
            </w:r>
          </w:p>
        </w:tc>
        <w:tc>
          <w:tcPr>
            <w:tcW w:w="1110" w:type="dxa"/>
          </w:tcPr>
          <w:p w:rsidR="007C1F9F" w:rsidRPr="008342CD" w:rsidRDefault="007C1F9F" w:rsidP="00186172">
            <w:pPr>
              <w:pStyle w:val="AERtabletext-numbers"/>
              <w:cnfStyle w:val="000000010000"/>
            </w:pPr>
            <w:r>
              <w:t>78.7</w:t>
            </w:r>
          </w:p>
        </w:tc>
        <w:tc>
          <w:tcPr>
            <w:tcW w:w="1110" w:type="dxa"/>
          </w:tcPr>
          <w:p w:rsidR="007C1F9F" w:rsidRPr="008342CD" w:rsidRDefault="007C1F9F" w:rsidP="00186172">
            <w:pPr>
              <w:pStyle w:val="AERtabletext-numbers"/>
              <w:cnfStyle w:val="000000010000"/>
            </w:pPr>
            <w:r>
              <w:t>23.3</w:t>
            </w:r>
          </w:p>
        </w:tc>
        <w:tc>
          <w:tcPr>
            <w:tcW w:w="1110" w:type="dxa"/>
          </w:tcPr>
          <w:p w:rsidR="007C1F9F" w:rsidRPr="008342CD" w:rsidRDefault="007C1F9F" w:rsidP="00186172">
            <w:pPr>
              <w:pStyle w:val="AERtabletext-numbers"/>
              <w:cnfStyle w:val="000000010000"/>
            </w:pPr>
            <w:r>
              <w:t>13.1</w:t>
            </w:r>
          </w:p>
        </w:tc>
        <w:tc>
          <w:tcPr>
            <w:tcW w:w="1110" w:type="dxa"/>
          </w:tcPr>
          <w:p w:rsidR="007C1F9F" w:rsidRPr="008342CD" w:rsidRDefault="007C1F9F" w:rsidP="00186172">
            <w:pPr>
              <w:pStyle w:val="AERtabletext-numbers"/>
              <w:cnfStyle w:val="000000010000"/>
            </w:pPr>
            <w:r>
              <w:t>11.1</w:t>
            </w:r>
          </w:p>
        </w:tc>
        <w:tc>
          <w:tcPr>
            <w:tcW w:w="1110" w:type="dxa"/>
          </w:tcPr>
          <w:p w:rsidR="007C1F9F" w:rsidRPr="008342CD" w:rsidRDefault="007C1F9F" w:rsidP="00186172">
            <w:pPr>
              <w:pStyle w:val="AERtabletext-numbers"/>
              <w:cnfStyle w:val="000000010000"/>
            </w:pPr>
            <w:r>
              <w:t>153.8</w:t>
            </w:r>
          </w:p>
        </w:tc>
      </w:tr>
    </w:tbl>
    <w:p w:rsidR="007C1F9F" w:rsidRDefault="007C1F9F" w:rsidP="007C1F9F">
      <w:pPr>
        <w:pStyle w:val="AERtablesource"/>
      </w:pPr>
      <w:r>
        <w:t>Source:</w:t>
      </w:r>
      <w:r>
        <w:tab/>
        <w:t>AER analysis.</w:t>
      </w:r>
    </w:p>
    <w:p w:rsidR="007C1F9F" w:rsidRDefault="007C1F9F" w:rsidP="007C1F9F">
      <w:pPr>
        <w:pStyle w:val="AERbodytext"/>
      </w:pPr>
      <w:r>
        <w:t>The AER's reasons for requiring amendments to APA GasNet's proposed capex are:</w:t>
      </w:r>
    </w:p>
    <w:p w:rsidR="007C1F9F" w:rsidRDefault="007C1F9F" w:rsidP="007C1F9F">
      <w:pPr>
        <w:pStyle w:val="AERbulletlistfirststyle"/>
      </w:pPr>
      <w:r>
        <w:t>the proposed capex for the Gas to Culcairn project would not be incurred by a prudent service provider acting efficiently.</w:t>
      </w:r>
      <w:r w:rsidRPr="00816601">
        <w:t xml:space="preserve"> </w:t>
      </w:r>
      <w:r>
        <w:t xml:space="preserve">The forecast incremental gas volumes driving the project have not been arrived at on a reasonable basis and do not represent the best forecast possible in the circumstances as required by r. 74(2) of the NGR. The proposed capex for the project is not conforming capex for the purposes of r. 79 </w:t>
      </w:r>
      <w:r w:rsidRPr="00B44203">
        <w:t>of the NGR.</w:t>
      </w:r>
    </w:p>
    <w:p w:rsidR="007C1F9F" w:rsidRDefault="007C1F9F" w:rsidP="007C1F9F">
      <w:pPr>
        <w:pStyle w:val="AERbulletlistfirststyle"/>
      </w:pPr>
      <w:r>
        <w:t>t</w:t>
      </w:r>
      <w:r w:rsidRPr="004238A0">
        <w:t xml:space="preserve">he purported security of supply benefits provided by the </w:t>
      </w:r>
      <w:r>
        <w:t xml:space="preserve">Western Outer Ring Main (WORM) </w:t>
      </w:r>
      <w:r w:rsidRPr="004238A0">
        <w:t>project are not supported by A</w:t>
      </w:r>
      <w:r>
        <w:t>PA GasNet’s proposal</w:t>
      </w:r>
      <w:r w:rsidRPr="004238A0">
        <w:t>. Neither the proposed W</w:t>
      </w:r>
      <w:r>
        <w:t xml:space="preserve">ORM project nor the </w:t>
      </w:r>
      <w:r w:rsidRPr="004238A0">
        <w:t xml:space="preserve">alternative expenditure at the Brooklyn compressor station is required </w:t>
      </w:r>
      <w:r>
        <w:t xml:space="preserve">in the </w:t>
      </w:r>
      <w:r w:rsidR="00202065">
        <w:t>2013–17</w:t>
      </w:r>
      <w:r>
        <w:t xml:space="preserve"> access arrangement period</w:t>
      </w:r>
      <w:r w:rsidRPr="004238A0">
        <w:t xml:space="preserve">. </w:t>
      </w:r>
      <w:r>
        <w:t>The proposed capex</w:t>
      </w:r>
      <w:r w:rsidRPr="004238A0">
        <w:t xml:space="preserve"> would not be incurred by a prudent service provider, and is not consistent with achieving the lowest sustainable cost of </w:t>
      </w:r>
      <w:r>
        <w:t>providing services</w:t>
      </w:r>
      <w:r w:rsidRPr="004238A0">
        <w:t>.</w:t>
      </w:r>
      <w:r>
        <w:t xml:space="preserve"> The AER is not satisfied the proposed capex for the project is conforming capex for the purposes of r. 79 of the NGR.</w:t>
      </w:r>
    </w:p>
    <w:p w:rsidR="007C1F9F" w:rsidRDefault="007C1F9F" w:rsidP="007C1F9F">
      <w:pPr>
        <w:pStyle w:val="AERbulletlistfirststyle"/>
      </w:pPr>
      <w:r>
        <w:t>the need for the proposed expenditure on the Kalkallo lateral is not established. The AER has not accepted the related distribution network capex proposal for a new city gate station near Kalkallo. In the absence of the new city gate station, the proposed mains extension capex would not be incurred by a prudent service provider. The AER is not satisfied that the capex proposed for the project conforms with r. 79(1)(a) of the NGR.</w:t>
      </w:r>
    </w:p>
    <w:p w:rsidR="007C1F9F" w:rsidRDefault="007C1F9F" w:rsidP="007C1F9F">
      <w:pPr>
        <w:pStyle w:val="AERbulletlistfirststyle"/>
      </w:pPr>
      <w:r>
        <w:t>t</w:t>
      </w:r>
      <w:r w:rsidRPr="002764BD">
        <w:t xml:space="preserve">he AER considers that the labour price index provides a better measure of labour cost changes than APA GasNet's proposed </w:t>
      </w:r>
      <w:r w:rsidRPr="00673D1E">
        <w:t xml:space="preserve">Average Weekly </w:t>
      </w:r>
      <w:r>
        <w:t>F</w:t>
      </w:r>
      <w:r w:rsidRPr="00673D1E">
        <w:t xml:space="preserve">ull time Ordinary Time Earnings </w:t>
      </w:r>
      <w:r>
        <w:t>(</w:t>
      </w:r>
      <w:r w:rsidRPr="002764BD">
        <w:t>AWOTE</w:t>
      </w:r>
      <w:r>
        <w:t>) index</w:t>
      </w:r>
      <w:r w:rsidRPr="002764BD">
        <w:t>.</w:t>
      </w:r>
    </w:p>
    <w:p w:rsidR="007C1F9F" w:rsidRDefault="00DE0D6A" w:rsidP="007C1F9F">
      <w:pPr>
        <w:pStyle w:val="AERbodytext"/>
      </w:pPr>
      <w:r>
        <w:fldChar w:fldCharType="begin"/>
      </w:r>
      <w:r w:rsidR="007C1F9F">
        <w:instrText xml:space="preserve"> REF _Ref331493032 \r \h </w:instrText>
      </w:r>
      <w:r>
        <w:fldChar w:fldCharType="separate"/>
      </w:r>
      <w:r w:rsidR="0018730D">
        <w:t>Figure 3.1</w:t>
      </w:r>
      <w:r>
        <w:fldChar w:fldCharType="end"/>
      </w:r>
      <w:r w:rsidR="007C1F9F">
        <w:t xml:space="preserve"> shows the actual incurred and estimated capex of the </w:t>
      </w:r>
      <w:r w:rsidR="00202065">
        <w:t>2008–12</w:t>
      </w:r>
      <w:r w:rsidR="007C1F9F">
        <w:t xml:space="preserve"> access arrangement period with both APA GasNet's and the AER's proposed forecasts of capex for the </w:t>
      </w:r>
      <w:r w:rsidR="00202065">
        <w:t>2013–17</w:t>
      </w:r>
      <w:r w:rsidR="007C1F9F">
        <w:t xml:space="preserve"> access arrangement period.</w:t>
      </w:r>
    </w:p>
    <w:p w:rsidR="007C1F9F" w:rsidRPr="00AB6746" w:rsidRDefault="007C1F9F" w:rsidP="007C1F9F">
      <w:pPr>
        <w:pStyle w:val="AERfigureheading"/>
      </w:pPr>
      <w:bookmarkStart w:id="33" w:name="_Ref331493032"/>
      <w:r>
        <w:t>APA GasNet actual</w:t>
      </w:r>
      <w:r w:rsidRPr="00AB6746">
        <w:t>, forecast and AER approved capital expenditure</w:t>
      </w:r>
      <w:bookmarkEnd w:id="33"/>
    </w:p>
    <w:p w:rsidR="007C1F9F" w:rsidRDefault="00AB287B" w:rsidP="007C1F9F">
      <w:pPr>
        <w:pStyle w:val="AERbodytext"/>
      </w:pPr>
      <w:r>
        <w:pict>
          <v:shape id="Chart 1" o:spid="_x0000_i1025" type="#_x0000_t75" style="width:415.25pt;height:272.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x8rV2gAAAAUBAAAPAAAAZHJzL2Rvd25y&#10;ZXYueG1sTI9PS8QwEMXvgt8hjOBF3KQedtfadBHFc7Euwt7SZrYt2/yhSdP67R296OXB4w3v/aY4&#10;rGZkCacwOCsh2whgaFunB9tJOH683e+BhaisVqOzKOELAxzK66tC5dot9h1THTtGJTbkSkIfo885&#10;D22PRoWN82gpO7vJqEh26rie1ELlZuQPQmy5UYOlhV55fOmxvdSzkfD4Wn0uXPimSief0knPd1WN&#10;Ut7erM9PwCKu8e8YfvAJHUpiatxsdWCjBHok/ipl+21GtpGwy3YCeFnw//TlN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">
            <v:imagedata r:id="rId20" o:title="" croptop="-1385f" cropbottom="-2019f" cropleft="-2287f" cropright="-2994f"/>
            <o:lock v:ext="edit" aspectratio="f"/>
          </v:shape>
        </w:pict>
      </w:r>
    </w:p>
    <w:p w:rsidR="007C1F9F" w:rsidRDefault="007C1F9F" w:rsidP="007C1F9F">
      <w:pPr>
        <w:pStyle w:val="AERtablesource"/>
      </w:pPr>
      <w:r w:rsidRPr="006708A5">
        <w:t>Source:</w:t>
      </w:r>
      <w:r w:rsidRPr="006708A5">
        <w:tab/>
      </w:r>
      <w:r>
        <w:t xml:space="preserve">APA GasNet, </w:t>
      </w:r>
      <w:r w:rsidRPr="000326DB">
        <w:rPr>
          <w:rStyle w:val="AERtextitalic"/>
        </w:rPr>
        <w:t xml:space="preserve">Access </w:t>
      </w:r>
      <w:r>
        <w:rPr>
          <w:rStyle w:val="AERtextitalic"/>
        </w:rPr>
        <w:t>arrangement submission</w:t>
      </w:r>
      <w:r w:rsidRPr="000326DB">
        <w:t>,</w:t>
      </w:r>
      <w:r>
        <w:t xml:space="preserve"> 31 March 2012, p. 73; APA GasNet, </w:t>
      </w:r>
      <w:r w:rsidRPr="005C7F6C">
        <w:rPr>
          <w:rStyle w:val="AERtextitalic"/>
        </w:rPr>
        <w:t>VTSAACapexForecastFINAL120706.xls</w:t>
      </w:r>
      <w:r>
        <w:t>, 6 July 2012; and AER analysis.</w:t>
      </w:r>
    </w:p>
    <w:p w:rsidR="007C1F9F" w:rsidRPr="003131A4" w:rsidRDefault="007C1F9F" w:rsidP="007C1F9F">
      <w:pPr>
        <w:pStyle w:val="AERheading2"/>
        <w:numPr>
          <w:ilvl w:val="1"/>
          <w:numId w:val="7"/>
        </w:numPr>
        <w:tabs>
          <w:tab w:val="clear" w:pos="4317"/>
          <w:tab w:val="num" w:pos="0"/>
        </w:tabs>
        <w:ind w:left="0" w:hanging="720"/>
      </w:pPr>
      <w:bookmarkStart w:id="34" w:name="_Toc334543762"/>
      <w:r>
        <w:t>APA GasNet's</w:t>
      </w:r>
      <w:r w:rsidRPr="003131A4">
        <w:t xml:space="preserve"> proposal</w:t>
      </w:r>
      <w:bookmarkEnd w:id="34"/>
    </w:p>
    <w:p w:rsidR="007C1F9F" w:rsidRPr="003131A4" w:rsidRDefault="007C1F9F" w:rsidP="007C1F9F">
      <w:pPr>
        <w:pStyle w:val="AERheading3"/>
        <w:numPr>
          <w:ilvl w:val="2"/>
          <w:numId w:val="7"/>
        </w:numPr>
        <w:tabs>
          <w:tab w:val="clear" w:pos="-357"/>
          <w:tab w:val="num" w:pos="0"/>
        </w:tabs>
        <w:ind w:left="0" w:hanging="714"/>
      </w:pPr>
      <w:r w:rsidRPr="003131A4">
        <w:t xml:space="preserve">Capex in the </w:t>
      </w:r>
      <w:r w:rsidR="00202065">
        <w:t>2008–12</w:t>
      </w:r>
      <w:r>
        <w:t xml:space="preserve"> access arrangement period</w:t>
      </w:r>
    </w:p>
    <w:p w:rsidR="007C1F9F" w:rsidRDefault="007C1F9F" w:rsidP="007C1F9F">
      <w:pPr>
        <w:pStyle w:val="AERbodytext"/>
      </w:pPr>
      <w:r>
        <w:t xml:space="preserve">APA GasNet proposed capex of $160.4 million ($2012) in the </w:t>
      </w:r>
      <w:r w:rsidR="00202065">
        <w:t>2008–12</w:t>
      </w:r>
      <w:r>
        <w:t xml:space="preserve"> access arrangement period.</w:t>
      </w:r>
      <w:r>
        <w:rPr>
          <w:rStyle w:val="FootnoteReference"/>
        </w:rPr>
        <w:footnoteReference w:id="71"/>
      </w:r>
      <w:r>
        <w:t xml:space="preserve"> This is $61.4 million ($2012) lower than the amount approved by the ACCC.</w:t>
      </w:r>
      <w:r>
        <w:rPr>
          <w:rStyle w:val="FootnoteReference"/>
        </w:rPr>
        <w:footnoteReference w:id="72"/>
      </w:r>
      <w:r>
        <w:t xml:space="preserve"> The underspend was largely due to the actual level of expenditure being significantly lower than that forecast for 2009 as shown in </w:t>
      </w:r>
      <w:r w:rsidR="00DE0D6A">
        <w:fldChar w:fldCharType="begin"/>
      </w:r>
      <w:r>
        <w:instrText xml:space="preserve"> REF _Ref330898300 \r \h </w:instrText>
      </w:r>
      <w:r w:rsidR="00DE0D6A">
        <w:fldChar w:fldCharType="separate"/>
      </w:r>
      <w:r w:rsidR="0018730D">
        <w:t>Figure 3.2</w:t>
      </w:r>
      <w:r w:rsidR="00DE0D6A">
        <w:fldChar w:fldCharType="end"/>
      </w:r>
      <w:r w:rsidRPr="00900B9B">
        <w:t>.</w:t>
      </w:r>
    </w:p>
    <w:p w:rsidR="007C1F9F" w:rsidRPr="00AB6746" w:rsidRDefault="007C1F9F" w:rsidP="007C1F9F">
      <w:pPr>
        <w:pStyle w:val="AERfigureheading"/>
      </w:pPr>
      <w:bookmarkStart w:id="35" w:name="_Ref330898300"/>
      <w:r w:rsidRPr="003131A4">
        <w:t xml:space="preserve">Comparison of ACCC approved and </w:t>
      </w:r>
      <w:r w:rsidRPr="00AB6746">
        <w:t xml:space="preserve">APA GasNet actual/estimated capital expenditure for the </w:t>
      </w:r>
      <w:r w:rsidR="00202065">
        <w:t>2008–12</w:t>
      </w:r>
      <w:r w:rsidRPr="00AB6746">
        <w:t xml:space="preserve"> access arrangement period</w:t>
      </w:r>
      <w:bookmarkEnd w:id="35"/>
    </w:p>
    <w:p w:rsidR="007C1F9F" w:rsidRDefault="00AB287B" w:rsidP="007C1F9F">
      <w:pPr>
        <w:pStyle w:val="AERbodytext"/>
      </w:pPr>
      <w:r>
        <w:pict>
          <v:shape id="Chart 14" o:spid="_x0000_i1026" type="#_x0000_t75" style="width:499.8pt;height:33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uwhC2wAAAAUBAAAPAAAAZHJzL2Rvd25y&#10;ZXYueG1sTI9BT4NAEIXvJv6HzZh4s0uppYSyNKaJjVeqB71t2SmQsrPIbgH/vaMXvbzk5U3e+ybf&#10;zbYTIw6+daRguYhAIFXOtFQreHt9fkhB+KDJ6M4RKvhCD7vi9ibXmXETlTgeQy24hHymFTQh9JmU&#10;vmrQar9wPRJnZzdYHdgOtTSDnrjcdjKOokRa3RIvNLrHfYPV5Xi1Cj6T6SO1L+tyf4gvh/h9XG3K&#10;cqXU/d38tAURcA5/x/CDz+hQMNPJXcl40SngR8KvcpY+JmxPCjbpcg2yyOV/+uI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">
            <v:imagedata r:id="rId21" o:title="" croptop="-1267f" cropbottom="-1944f" cropleft="-3017f" cropright="-29996f"/>
            <o:lock v:ext="edit" aspectratio="f"/>
          </v:shape>
        </w:pict>
      </w:r>
    </w:p>
    <w:p w:rsidR="007C1F9F" w:rsidRDefault="007C1F9F" w:rsidP="007C1F9F">
      <w:pPr>
        <w:pStyle w:val="AERtablesource"/>
      </w:pPr>
      <w:r w:rsidRPr="006708A5">
        <w:t>Source:</w:t>
      </w:r>
      <w:r w:rsidRPr="006708A5">
        <w:tab/>
      </w:r>
      <w:r>
        <w:t xml:space="preserve">APA GasNet, </w:t>
      </w:r>
      <w:r w:rsidRPr="000326DB">
        <w:rPr>
          <w:rStyle w:val="AERtextitalic"/>
        </w:rPr>
        <w:t xml:space="preserve">Access </w:t>
      </w:r>
      <w:r>
        <w:rPr>
          <w:rStyle w:val="AERtextitalic"/>
        </w:rPr>
        <w:t>arrangement submission</w:t>
      </w:r>
      <w:r w:rsidRPr="000326DB">
        <w:t>,</w:t>
      </w:r>
      <w:r>
        <w:t xml:space="preserve"> 31 March 2012, p. 73.</w:t>
      </w:r>
    </w:p>
    <w:p w:rsidR="007C1F9F" w:rsidRDefault="00DE0D6A" w:rsidP="007C1F9F">
      <w:pPr>
        <w:pStyle w:val="AERbodytext"/>
      </w:pPr>
      <w:r>
        <w:fldChar w:fldCharType="begin"/>
      </w:r>
      <w:r w:rsidR="007C1F9F">
        <w:instrText xml:space="preserve"> REF _Ref330898342 \r \h </w:instrText>
      </w:r>
      <w:r>
        <w:fldChar w:fldCharType="separate"/>
      </w:r>
      <w:r w:rsidR="007C1F9F">
        <w:t>Table 3.3</w:t>
      </w:r>
      <w:r>
        <w:fldChar w:fldCharType="end"/>
      </w:r>
      <w:r w:rsidR="007C1F9F">
        <w:t xml:space="preserve"> shows APA GasNet's approved and incurred capex for each capex category in the </w:t>
      </w:r>
      <w:r w:rsidR="00202065">
        <w:t>2008–12</w:t>
      </w:r>
      <w:r w:rsidR="007C1F9F">
        <w:t xml:space="preserve"> access arrangement period. During this period, APA GasNet underspent its approved expenditure in the augmentation and refurbishment and upgrade capex categories and overspent its approved expenditure in the non-system capex category. The variations in these categories are discussed below. </w:t>
      </w:r>
    </w:p>
    <w:p w:rsidR="007C1F9F" w:rsidRPr="000D1DCA" w:rsidRDefault="007C1F9F" w:rsidP="007C1F9F">
      <w:pPr>
        <w:pStyle w:val="AERtabletitle"/>
      </w:pPr>
      <w:bookmarkStart w:id="36" w:name="_Ref330898342"/>
      <w:r>
        <w:t>APA GasNet’s</w:t>
      </w:r>
      <w:r w:rsidRPr="000D1DCA">
        <w:t xml:space="preserve"> approved and actual/forecast capital expenditure by category for the </w:t>
      </w:r>
      <w:r w:rsidR="00202065">
        <w:t>2008–12</w:t>
      </w:r>
      <w:r>
        <w:t xml:space="preserve"> access arrangement period</w:t>
      </w:r>
      <w:r w:rsidRPr="000D1DCA">
        <w:t xml:space="preserve"> ($million, </w:t>
      </w:r>
      <w:r>
        <w:t>2012</w:t>
      </w:r>
      <w:r w:rsidRPr="000D1DCA">
        <w:t>)</w:t>
      </w:r>
      <w:bookmarkEnd w:id="36"/>
    </w:p>
    <w:tbl>
      <w:tblPr>
        <w:tblW w:w="7916" w:type="dxa"/>
        <w:tblBorders>
          <w:top w:val="single" w:sz="4" w:space="0" w:color="auto"/>
          <w:bottom w:val="single" w:sz="4" w:space="0" w:color="auto"/>
        </w:tblBorders>
        <w:tblLayout w:type="fixed"/>
        <w:tblLook w:val="01E0"/>
      </w:tblPr>
      <w:tblGrid>
        <w:gridCol w:w="1384"/>
        <w:gridCol w:w="1276"/>
        <w:gridCol w:w="1134"/>
        <w:gridCol w:w="850"/>
        <w:gridCol w:w="851"/>
        <w:gridCol w:w="850"/>
        <w:gridCol w:w="851"/>
        <w:gridCol w:w="720"/>
      </w:tblGrid>
      <w:tr w:rsidR="007C1F9F" w:rsidRPr="00EB2C59" w:rsidTr="00186172">
        <w:tc>
          <w:tcPr>
            <w:tcW w:w="138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6172">
            <w:pPr>
              <w:pStyle w:val="AERtabletext"/>
            </w:pP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6172">
            <w:pPr>
              <w:pStyle w:val="AERtabletextheading"/>
            </w:pPr>
          </w:p>
        </w:tc>
        <w:tc>
          <w:tcPr>
            <w:tcW w:w="113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730D">
            <w:pPr>
              <w:pStyle w:val="AERtabletextheadingright"/>
            </w:pPr>
            <w:r w:rsidRPr="00AB6746">
              <w:t>2008</w:t>
            </w:r>
          </w:p>
        </w:tc>
        <w:tc>
          <w:tcPr>
            <w:tcW w:w="85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730D">
            <w:pPr>
              <w:pStyle w:val="AERtabletextheadingright"/>
            </w:pPr>
            <w:r w:rsidRPr="00AB6746">
              <w:t>2009</w:t>
            </w:r>
          </w:p>
        </w:tc>
        <w:tc>
          <w:tcPr>
            <w:tcW w:w="85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730D">
            <w:pPr>
              <w:pStyle w:val="AERtabletextheadingright"/>
            </w:pPr>
            <w:r w:rsidRPr="00AB6746">
              <w:t>2010</w:t>
            </w:r>
          </w:p>
        </w:tc>
        <w:tc>
          <w:tcPr>
            <w:tcW w:w="85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730D">
            <w:pPr>
              <w:pStyle w:val="AERtabletextheadingright"/>
            </w:pPr>
            <w:r w:rsidRPr="00AB6746">
              <w:t>2011</w:t>
            </w:r>
          </w:p>
        </w:tc>
        <w:tc>
          <w:tcPr>
            <w:tcW w:w="85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730D">
            <w:pPr>
              <w:pStyle w:val="AERtabletextheadingright"/>
            </w:pPr>
            <w:r w:rsidRPr="00AB6746">
              <w:t>2012F</w:t>
            </w:r>
          </w:p>
        </w:tc>
        <w:tc>
          <w:tcPr>
            <w:tcW w:w="720"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AB6746" w:rsidRDefault="007C1F9F" w:rsidP="00186172">
            <w:pPr>
              <w:pStyle w:val="AERtabletextheading"/>
            </w:pPr>
            <w:r w:rsidRPr="00AB6746">
              <w:t>Total</w:t>
            </w:r>
          </w:p>
        </w:tc>
      </w:tr>
      <w:tr w:rsidR="007C1F9F" w:rsidRPr="006708A5" w:rsidTr="00186172">
        <w:tc>
          <w:tcPr>
            <w:tcW w:w="1384" w:type="dxa"/>
            <w:shd w:val="clear" w:color="auto" w:fill="auto"/>
            <w:noWrap/>
            <w:tcMar>
              <w:top w:w="0" w:type="dxa"/>
              <w:bottom w:w="0" w:type="dxa"/>
            </w:tcMar>
            <w:vAlign w:val="center"/>
          </w:tcPr>
          <w:p w:rsidR="007C1F9F" w:rsidRPr="00D30BC7" w:rsidRDefault="007C1F9F" w:rsidP="00186172">
            <w:pPr>
              <w:pStyle w:val="AERtabletext"/>
            </w:pPr>
            <w:r w:rsidRPr="00D30BC7">
              <w:t>Augmentation</w:t>
            </w:r>
          </w:p>
        </w:tc>
        <w:tc>
          <w:tcPr>
            <w:tcW w:w="1276" w:type="dxa"/>
            <w:shd w:val="clear" w:color="auto" w:fill="auto"/>
            <w:noWrap/>
            <w:tcMar>
              <w:top w:w="0" w:type="dxa"/>
              <w:bottom w:w="0" w:type="dxa"/>
            </w:tcMar>
            <w:vAlign w:val="center"/>
          </w:tcPr>
          <w:p w:rsidR="007C1F9F" w:rsidRPr="00D30BC7" w:rsidRDefault="007C1F9F" w:rsidP="00186172">
            <w:pPr>
              <w:pStyle w:val="AERtabletext"/>
            </w:pPr>
            <w:r w:rsidRPr="00D30BC7">
              <w:t>Approved</w:t>
            </w:r>
          </w:p>
        </w:tc>
        <w:tc>
          <w:tcPr>
            <w:tcW w:w="1134"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16.8</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94.9</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w:t>
            </w:r>
          </w:p>
        </w:tc>
        <w:tc>
          <w:tcPr>
            <w:tcW w:w="72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111.7</w:t>
            </w:r>
          </w:p>
        </w:tc>
      </w:tr>
      <w:tr w:rsidR="007C1F9F" w:rsidRPr="00FA5E39" w:rsidTr="00186172">
        <w:tc>
          <w:tcPr>
            <w:tcW w:w="1384" w:type="dxa"/>
            <w:shd w:val="clear" w:color="auto" w:fill="F8B47C"/>
            <w:noWrap/>
            <w:tcMar>
              <w:top w:w="0" w:type="dxa"/>
              <w:bottom w:w="0" w:type="dxa"/>
            </w:tcMar>
            <w:vAlign w:val="center"/>
          </w:tcPr>
          <w:p w:rsidR="007C1F9F" w:rsidRPr="00D30BC7" w:rsidRDefault="007C1F9F" w:rsidP="00186172">
            <w:pPr>
              <w:pStyle w:val="AERtabletext"/>
            </w:pPr>
          </w:p>
        </w:tc>
        <w:tc>
          <w:tcPr>
            <w:tcW w:w="1276" w:type="dxa"/>
            <w:shd w:val="clear" w:color="auto" w:fill="F8B47C"/>
            <w:noWrap/>
            <w:tcMar>
              <w:top w:w="0" w:type="dxa"/>
              <w:bottom w:w="0" w:type="dxa"/>
            </w:tcMar>
            <w:vAlign w:val="center"/>
          </w:tcPr>
          <w:p w:rsidR="007C1F9F" w:rsidRPr="00D30BC7" w:rsidRDefault="007C1F9F" w:rsidP="00186172">
            <w:pPr>
              <w:pStyle w:val="AERtabletext"/>
            </w:pPr>
            <w:r w:rsidRPr="00D30BC7">
              <w:t>Actual</w:t>
            </w:r>
          </w:p>
        </w:tc>
        <w:tc>
          <w:tcPr>
            <w:tcW w:w="1134"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18.6</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2.4</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4.3</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43.5</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23.4</w:t>
            </w:r>
          </w:p>
        </w:tc>
        <w:tc>
          <w:tcPr>
            <w:tcW w:w="72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92.1</w:t>
            </w:r>
          </w:p>
        </w:tc>
      </w:tr>
      <w:tr w:rsidR="007C1F9F" w:rsidRPr="006708A5" w:rsidTr="00186172">
        <w:tc>
          <w:tcPr>
            <w:tcW w:w="1384" w:type="dxa"/>
            <w:shd w:val="clear" w:color="auto" w:fill="auto"/>
            <w:noWrap/>
            <w:tcMar>
              <w:top w:w="0" w:type="dxa"/>
              <w:bottom w:w="0" w:type="dxa"/>
            </w:tcMar>
            <w:vAlign w:val="center"/>
          </w:tcPr>
          <w:p w:rsidR="007C1F9F" w:rsidRPr="00D30BC7" w:rsidRDefault="007C1F9F" w:rsidP="00186172">
            <w:pPr>
              <w:pStyle w:val="AERtabletext"/>
            </w:pPr>
          </w:p>
        </w:tc>
        <w:tc>
          <w:tcPr>
            <w:tcW w:w="1276" w:type="dxa"/>
            <w:shd w:val="clear" w:color="auto" w:fill="auto"/>
            <w:noWrap/>
            <w:tcMar>
              <w:top w:w="0" w:type="dxa"/>
              <w:bottom w:w="0" w:type="dxa"/>
            </w:tcMar>
            <w:vAlign w:val="center"/>
          </w:tcPr>
          <w:p w:rsidR="007C1F9F" w:rsidRPr="00D30BC7" w:rsidRDefault="007C1F9F" w:rsidP="00186172">
            <w:pPr>
              <w:pStyle w:val="AERtabletext"/>
            </w:pPr>
            <w:r w:rsidRPr="00D30BC7">
              <w:t>Variance</w:t>
            </w:r>
          </w:p>
        </w:tc>
        <w:tc>
          <w:tcPr>
            <w:tcW w:w="1134"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1.8</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-92.5</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4.3</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43.5</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23.4</w:t>
            </w:r>
          </w:p>
        </w:tc>
        <w:tc>
          <w:tcPr>
            <w:tcW w:w="72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-19.6</w:t>
            </w:r>
          </w:p>
        </w:tc>
      </w:tr>
      <w:tr w:rsidR="007C1F9F" w:rsidRPr="006708A5" w:rsidTr="00186172">
        <w:tc>
          <w:tcPr>
            <w:tcW w:w="1384" w:type="dxa"/>
            <w:shd w:val="clear" w:color="auto" w:fill="F8B47C"/>
            <w:noWrap/>
            <w:tcMar>
              <w:top w:w="0" w:type="dxa"/>
              <w:bottom w:w="0" w:type="dxa"/>
            </w:tcMar>
            <w:vAlign w:val="center"/>
          </w:tcPr>
          <w:p w:rsidR="007C1F9F" w:rsidRPr="00D30BC7" w:rsidRDefault="007C1F9F" w:rsidP="00186172">
            <w:pPr>
              <w:pStyle w:val="AERtabletext"/>
            </w:pPr>
            <w:r w:rsidRPr="00D30BC7">
              <w:t>Refurbishment and upgrade</w:t>
            </w:r>
          </w:p>
        </w:tc>
        <w:tc>
          <w:tcPr>
            <w:tcW w:w="1276" w:type="dxa"/>
            <w:shd w:val="clear" w:color="auto" w:fill="F8B47C"/>
            <w:noWrap/>
            <w:tcMar>
              <w:top w:w="0" w:type="dxa"/>
              <w:bottom w:w="0" w:type="dxa"/>
            </w:tcMar>
            <w:vAlign w:val="center"/>
          </w:tcPr>
          <w:p w:rsidR="007C1F9F" w:rsidRPr="00D30BC7" w:rsidRDefault="007C1F9F" w:rsidP="00186172">
            <w:pPr>
              <w:pStyle w:val="AERtabletext"/>
            </w:pPr>
            <w:r w:rsidRPr="00D30BC7">
              <w:t>Approved</w:t>
            </w:r>
          </w:p>
        </w:tc>
        <w:tc>
          <w:tcPr>
            <w:tcW w:w="1134"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29.9</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51.1</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5.2</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15.6</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4.4</w:t>
            </w:r>
          </w:p>
        </w:tc>
        <w:tc>
          <w:tcPr>
            <w:tcW w:w="72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106.2</w:t>
            </w:r>
          </w:p>
        </w:tc>
      </w:tr>
      <w:tr w:rsidR="007C1F9F" w:rsidRPr="006708A5" w:rsidTr="00186172">
        <w:tc>
          <w:tcPr>
            <w:tcW w:w="1384" w:type="dxa"/>
            <w:shd w:val="clear" w:color="auto" w:fill="auto"/>
            <w:noWrap/>
            <w:tcMar>
              <w:top w:w="0" w:type="dxa"/>
              <w:bottom w:w="0" w:type="dxa"/>
            </w:tcMar>
            <w:vAlign w:val="center"/>
          </w:tcPr>
          <w:p w:rsidR="007C1F9F" w:rsidRPr="00D30BC7" w:rsidRDefault="007C1F9F" w:rsidP="00186172">
            <w:pPr>
              <w:pStyle w:val="AERtabletext"/>
            </w:pPr>
          </w:p>
        </w:tc>
        <w:tc>
          <w:tcPr>
            <w:tcW w:w="1276" w:type="dxa"/>
            <w:shd w:val="clear" w:color="auto" w:fill="auto"/>
            <w:noWrap/>
            <w:tcMar>
              <w:top w:w="0" w:type="dxa"/>
              <w:bottom w:w="0" w:type="dxa"/>
            </w:tcMar>
            <w:vAlign w:val="center"/>
          </w:tcPr>
          <w:p w:rsidR="007C1F9F" w:rsidRPr="00D30BC7" w:rsidRDefault="007C1F9F" w:rsidP="00186172">
            <w:pPr>
              <w:pStyle w:val="AERtabletext"/>
            </w:pPr>
            <w:r w:rsidRPr="00D30BC7">
              <w:t>Actual</w:t>
            </w:r>
          </w:p>
        </w:tc>
        <w:tc>
          <w:tcPr>
            <w:tcW w:w="1134"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19.2</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7.1</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1.3</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4.8</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22.5</w:t>
            </w:r>
          </w:p>
        </w:tc>
        <w:tc>
          <w:tcPr>
            <w:tcW w:w="72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54.9</w:t>
            </w:r>
          </w:p>
        </w:tc>
      </w:tr>
      <w:tr w:rsidR="007C1F9F" w:rsidRPr="006708A5" w:rsidTr="00186172">
        <w:tc>
          <w:tcPr>
            <w:tcW w:w="1384" w:type="dxa"/>
            <w:shd w:val="clear" w:color="auto" w:fill="F8B47C"/>
            <w:noWrap/>
            <w:tcMar>
              <w:top w:w="0" w:type="dxa"/>
              <w:bottom w:w="0" w:type="dxa"/>
            </w:tcMar>
            <w:vAlign w:val="center"/>
          </w:tcPr>
          <w:p w:rsidR="007C1F9F" w:rsidRPr="00D30BC7" w:rsidRDefault="007C1F9F" w:rsidP="00186172">
            <w:pPr>
              <w:pStyle w:val="AERtabletext"/>
            </w:pPr>
          </w:p>
        </w:tc>
        <w:tc>
          <w:tcPr>
            <w:tcW w:w="1276" w:type="dxa"/>
            <w:shd w:val="clear" w:color="auto" w:fill="F8B47C"/>
            <w:noWrap/>
            <w:tcMar>
              <w:top w:w="0" w:type="dxa"/>
              <w:bottom w:w="0" w:type="dxa"/>
            </w:tcMar>
            <w:vAlign w:val="center"/>
          </w:tcPr>
          <w:p w:rsidR="007C1F9F" w:rsidRPr="00D30BC7" w:rsidRDefault="007C1F9F" w:rsidP="00186172">
            <w:pPr>
              <w:pStyle w:val="AERtabletext"/>
            </w:pPr>
            <w:r w:rsidRPr="00D30BC7">
              <w:t>Variance</w:t>
            </w:r>
          </w:p>
        </w:tc>
        <w:tc>
          <w:tcPr>
            <w:tcW w:w="1134"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-10.7</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-44.0</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-4.0</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-10.8</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18.1</w:t>
            </w:r>
          </w:p>
        </w:tc>
        <w:tc>
          <w:tcPr>
            <w:tcW w:w="72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-51.3</w:t>
            </w:r>
          </w:p>
        </w:tc>
      </w:tr>
      <w:tr w:rsidR="007C1F9F" w:rsidRPr="006708A5" w:rsidTr="00186172">
        <w:tc>
          <w:tcPr>
            <w:tcW w:w="1384" w:type="dxa"/>
            <w:shd w:val="clear" w:color="auto" w:fill="auto"/>
            <w:noWrap/>
            <w:tcMar>
              <w:top w:w="0" w:type="dxa"/>
              <w:bottom w:w="0" w:type="dxa"/>
            </w:tcMar>
            <w:vAlign w:val="center"/>
          </w:tcPr>
          <w:p w:rsidR="007C1F9F" w:rsidRPr="00D30BC7" w:rsidRDefault="007C1F9F" w:rsidP="00186172">
            <w:pPr>
              <w:pStyle w:val="AERtabletext"/>
            </w:pPr>
            <w:r w:rsidRPr="00D30BC7">
              <w:t>Non-system</w:t>
            </w:r>
          </w:p>
        </w:tc>
        <w:tc>
          <w:tcPr>
            <w:tcW w:w="1276" w:type="dxa"/>
            <w:shd w:val="clear" w:color="auto" w:fill="auto"/>
            <w:noWrap/>
            <w:tcMar>
              <w:top w:w="0" w:type="dxa"/>
              <w:bottom w:w="0" w:type="dxa"/>
            </w:tcMar>
            <w:vAlign w:val="center"/>
          </w:tcPr>
          <w:p w:rsidR="007C1F9F" w:rsidRPr="00D30BC7" w:rsidRDefault="007C1F9F" w:rsidP="00186172">
            <w:pPr>
              <w:pStyle w:val="AERtabletext"/>
            </w:pPr>
            <w:r w:rsidRPr="00D30BC7">
              <w:t>Approved</w:t>
            </w:r>
          </w:p>
        </w:tc>
        <w:tc>
          <w:tcPr>
            <w:tcW w:w="1134"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1.2</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0.1</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0.1</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1.9</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0.5</w:t>
            </w:r>
          </w:p>
        </w:tc>
        <w:tc>
          <w:tcPr>
            <w:tcW w:w="72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3.9</w:t>
            </w:r>
          </w:p>
        </w:tc>
      </w:tr>
      <w:tr w:rsidR="007C1F9F" w:rsidRPr="006708A5" w:rsidTr="00186172">
        <w:tc>
          <w:tcPr>
            <w:tcW w:w="1384" w:type="dxa"/>
            <w:shd w:val="clear" w:color="auto" w:fill="F8B47C"/>
            <w:noWrap/>
            <w:tcMar>
              <w:top w:w="0" w:type="dxa"/>
              <w:bottom w:w="0" w:type="dxa"/>
            </w:tcMar>
            <w:vAlign w:val="center"/>
          </w:tcPr>
          <w:p w:rsidR="007C1F9F" w:rsidRPr="00D30BC7" w:rsidRDefault="007C1F9F" w:rsidP="00186172">
            <w:pPr>
              <w:pStyle w:val="AERtabletext"/>
            </w:pPr>
          </w:p>
        </w:tc>
        <w:tc>
          <w:tcPr>
            <w:tcW w:w="1276" w:type="dxa"/>
            <w:shd w:val="clear" w:color="auto" w:fill="F8B47C"/>
            <w:noWrap/>
            <w:tcMar>
              <w:top w:w="0" w:type="dxa"/>
              <w:bottom w:w="0" w:type="dxa"/>
            </w:tcMar>
            <w:vAlign w:val="center"/>
          </w:tcPr>
          <w:p w:rsidR="007C1F9F" w:rsidRPr="00D30BC7" w:rsidRDefault="007C1F9F" w:rsidP="00186172">
            <w:pPr>
              <w:pStyle w:val="AERtabletext"/>
            </w:pPr>
            <w:r w:rsidRPr="00D30BC7">
              <w:t>Actual</w:t>
            </w:r>
          </w:p>
        </w:tc>
        <w:tc>
          <w:tcPr>
            <w:tcW w:w="1134"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0.6</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0.8</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5.5</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1.7</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4.8</w:t>
            </w:r>
          </w:p>
        </w:tc>
        <w:tc>
          <w:tcPr>
            <w:tcW w:w="72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13.4</w:t>
            </w:r>
          </w:p>
        </w:tc>
      </w:tr>
      <w:tr w:rsidR="007C1F9F" w:rsidRPr="006708A5" w:rsidTr="00186172">
        <w:tc>
          <w:tcPr>
            <w:tcW w:w="1384" w:type="dxa"/>
            <w:shd w:val="clear" w:color="auto" w:fill="auto"/>
            <w:noWrap/>
            <w:tcMar>
              <w:top w:w="0" w:type="dxa"/>
              <w:bottom w:w="0" w:type="dxa"/>
            </w:tcMar>
            <w:vAlign w:val="center"/>
          </w:tcPr>
          <w:p w:rsidR="007C1F9F" w:rsidRPr="00D30BC7" w:rsidRDefault="007C1F9F" w:rsidP="00186172">
            <w:pPr>
              <w:pStyle w:val="AERtabletext"/>
            </w:pPr>
          </w:p>
        </w:tc>
        <w:tc>
          <w:tcPr>
            <w:tcW w:w="1276" w:type="dxa"/>
            <w:shd w:val="clear" w:color="auto" w:fill="auto"/>
            <w:noWrap/>
            <w:tcMar>
              <w:top w:w="0" w:type="dxa"/>
              <w:bottom w:w="0" w:type="dxa"/>
            </w:tcMar>
            <w:vAlign w:val="center"/>
          </w:tcPr>
          <w:p w:rsidR="007C1F9F" w:rsidRPr="00D30BC7" w:rsidRDefault="007C1F9F" w:rsidP="00186172">
            <w:pPr>
              <w:pStyle w:val="AERtabletext"/>
            </w:pPr>
            <w:r w:rsidRPr="00D30BC7">
              <w:t>Variance</w:t>
            </w:r>
          </w:p>
        </w:tc>
        <w:tc>
          <w:tcPr>
            <w:tcW w:w="1134"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-0.6</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0.7</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5.4</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-0.3</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4.3</w:t>
            </w:r>
          </w:p>
        </w:tc>
        <w:tc>
          <w:tcPr>
            <w:tcW w:w="72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9.5</w:t>
            </w:r>
          </w:p>
        </w:tc>
      </w:tr>
      <w:tr w:rsidR="007C1F9F" w:rsidRPr="006708A5" w:rsidTr="00186172">
        <w:tc>
          <w:tcPr>
            <w:tcW w:w="1384" w:type="dxa"/>
            <w:shd w:val="clear" w:color="auto" w:fill="F8B47C"/>
            <w:noWrap/>
            <w:tcMar>
              <w:top w:w="0" w:type="dxa"/>
              <w:bottom w:w="0" w:type="dxa"/>
            </w:tcMar>
            <w:vAlign w:val="center"/>
          </w:tcPr>
          <w:p w:rsidR="007C1F9F" w:rsidRPr="00D30BC7" w:rsidRDefault="007C1F9F" w:rsidP="00186172">
            <w:pPr>
              <w:pStyle w:val="AERtabletext"/>
            </w:pPr>
            <w:r w:rsidRPr="00D30BC7">
              <w:t>Total</w:t>
            </w:r>
          </w:p>
        </w:tc>
        <w:tc>
          <w:tcPr>
            <w:tcW w:w="1276" w:type="dxa"/>
            <w:shd w:val="clear" w:color="auto" w:fill="F8B47C"/>
            <w:noWrap/>
            <w:tcMar>
              <w:top w:w="0" w:type="dxa"/>
              <w:bottom w:w="0" w:type="dxa"/>
            </w:tcMar>
            <w:vAlign w:val="center"/>
          </w:tcPr>
          <w:p w:rsidR="007C1F9F" w:rsidRPr="00D30BC7" w:rsidRDefault="007C1F9F" w:rsidP="00186172">
            <w:pPr>
              <w:pStyle w:val="AERtabletext"/>
            </w:pPr>
            <w:r w:rsidRPr="00D30BC7">
              <w:t>Approved</w:t>
            </w:r>
          </w:p>
        </w:tc>
        <w:tc>
          <w:tcPr>
            <w:tcW w:w="1134"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48.0</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146.1</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5.4</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17.5</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4.9</w:t>
            </w:r>
          </w:p>
        </w:tc>
        <w:tc>
          <w:tcPr>
            <w:tcW w:w="72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221.9</w:t>
            </w:r>
          </w:p>
        </w:tc>
      </w:tr>
      <w:tr w:rsidR="007C1F9F" w:rsidRPr="006708A5" w:rsidTr="00186172">
        <w:tc>
          <w:tcPr>
            <w:tcW w:w="1384" w:type="dxa"/>
            <w:shd w:val="clear" w:color="auto" w:fill="auto"/>
            <w:noWrap/>
            <w:tcMar>
              <w:top w:w="0" w:type="dxa"/>
              <w:bottom w:w="0" w:type="dxa"/>
            </w:tcMar>
            <w:vAlign w:val="center"/>
          </w:tcPr>
          <w:p w:rsidR="007C1F9F" w:rsidRPr="00D30BC7" w:rsidRDefault="007C1F9F" w:rsidP="00186172">
            <w:pPr>
              <w:pStyle w:val="AERtabletext"/>
            </w:pPr>
          </w:p>
        </w:tc>
        <w:tc>
          <w:tcPr>
            <w:tcW w:w="1276" w:type="dxa"/>
            <w:shd w:val="clear" w:color="auto" w:fill="auto"/>
            <w:noWrap/>
            <w:tcMar>
              <w:top w:w="0" w:type="dxa"/>
              <w:bottom w:w="0" w:type="dxa"/>
            </w:tcMar>
            <w:vAlign w:val="center"/>
          </w:tcPr>
          <w:p w:rsidR="007C1F9F" w:rsidRPr="00D30BC7" w:rsidRDefault="007C1F9F" w:rsidP="00186172">
            <w:pPr>
              <w:pStyle w:val="AERtabletext"/>
            </w:pPr>
            <w:r w:rsidRPr="00D30BC7">
              <w:t>Actual</w:t>
            </w:r>
          </w:p>
        </w:tc>
        <w:tc>
          <w:tcPr>
            <w:tcW w:w="1134"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38.5</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10.3</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11.1</w:t>
            </w:r>
          </w:p>
        </w:tc>
        <w:tc>
          <w:tcPr>
            <w:tcW w:w="85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49.9</w:t>
            </w:r>
          </w:p>
        </w:tc>
        <w:tc>
          <w:tcPr>
            <w:tcW w:w="851"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50.6</w:t>
            </w:r>
          </w:p>
        </w:tc>
        <w:tc>
          <w:tcPr>
            <w:tcW w:w="720" w:type="dxa"/>
            <w:shd w:val="clear" w:color="auto" w:fill="auto"/>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160.4</w:t>
            </w:r>
          </w:p>
        </w:tc>
      </w:tr>
      <w:tr w:rsidR="007C1F9F" w:rsidRPr="006708A5" w:rsidTr="00186172">
        <w:tc>
          <w:tcPr>
            <w:tcW w:w="1384" w:type="dxa"/>
            <w:shd w:val="clear" w:color="auto" w:fill="F8B47C"/>
            <w:noWrap/>
            <w:tcMar>
              <w:top w:w="0" w:type="dxa"/>
              <w:bottom w:w="0" w:type="dxa"/>
            </w:tcMar>
            <w:vAlign w:val="center"/>
          </w:tcPr>
          <w:p w:rsidR="007C1F9F" w:rsidRPr="00D30BC7" w:rsidRDefault="007C1F9F" w:rsidP="00186172">
            <w:pPr>
              <w:pStyle w:val="AERtabletext"/>
            </w:pPr>
          </w:p>
        </w:tc>
        <w:tc>
          <w:tcPr>
            <w:tcW w:w="1276" w:type="dxa"/>
            <w:shd w:val="clear" w:color="auto" w:fill="F8B47C"/>
            <w:noWrap/>
            <w:tcMar>
              <w:top w:w="0" w:type="dxa"/>
              <w:bottom w:w="0" w:type="dxa"/>
            </w:tcMar>
            <w:vAlign w:val="center"/>
          </w:tcPr>
          <w:p w:rsidR="007C1F9F" w:rsidRPr="00D30BC7" w:rsidRDefault="007C1F9F" w:rsidP="00186172">
            <w:pPr>
              <w:pStyle w:val="AERtabletext"/>
            </w:pPr>
            <w:r w:rsidRPr="00D30BC7">
              <w:t>Variance</w:t>
            </w:r>
          </w:p>
        </w:tc>
        <w:tc>
          <w:tcPr>
            <w:tcW w:w="1134"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-9.5</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-135.9</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5.7</w:t>
            </w:r>
          </w:p>
        </w:tc>
        <w:tc>
          <w:tcPr>
            <w:tcW w:w="85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32.4</w:t>
            </w:r>
          </w:p>
        </w:tc>
        <w:tc>
          <w:tcPr>
            <w:tcW w:w="851"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45.8</w:t>
            </w:r>
          </w:p>
        </w:tc>
        <w:tc>
          <w:tcPr>
            <w:tcW w:w="720" w:type="dxa"/>
            <w:shd w:val="clear" w:color="auto" w:fill="F8B47C"/>
            <w:noWrap/>
            <w:tcMar>
              <w:top w:w="0" w:type="dxa"/>
              <w:bottom w:w="0" w:type="dxa"/>
            </w:tcMar>
            <w:vAlign w:val="center"/>
          </w:tcPr>
          <w:p w:rsidR="007C1F9F" w:rsidRPr="0018730D" w:rsidRDefault="007C1F9F" w:rsidP="0018730D">
            <w:pPr>
              <w:pStyle w:val="AERtabletextheadingright"/>
              <w:rPr>
                <w:rStyle w:val="AERtextbold"/>
              </w:rPr>
            </w:pPr>
            <w:r w:rsidRPr="0018730D">
              <w:rPr>
                <w:rStyle w:val="AERtextbold"/>
              </w:rPr>
              <w:t>61.4</w:t>
            </w:r>
          </w:p>
        </w:tc>
      </w:tr>
    </w:tbl>
    <w:p w:rsidR="007C1F9F" w:rsidRDefault="007C1F9F" w:rsidP="007C1F9F">
      <w:pPr>
        <w:pStyle w:val="AERtablesource"/>
      </w:pPr>
      <w:r w:rsidRPr="006708A5">
        <w:t>Source:</w:t>
      </w:r>
      <w:r w:rsidRPr="006708A5">
        <w:tab/>
      </w:r>
      <w:r>
        <w:t xml:space="preserve">APA GasNet, </w:t>
      </w:r>
      <w:r w:rsidRPr="000326DB">
        <w:rPr>
          <w:rStyle w:val="AERtextitalic"/>
        </w:rPr>
        <w:t xml:space="preserve">Access </w:t>
      </w:r>
      <w:r>
        <w:rPr>
          <w:rStyle w:val="AERtextitalic"/>
        </w:rPr>
        <w:t>arrangement submission</w:t>
      </w:r>
      <w:r w:rsidRPr="000326DB">
        <w:t>,</w:t>
      </w:r>
      <w:r>
        <w:t xml:space="preserve"> 31 March 2012, p. 73.</w:t>
      </w:r>
    </w:p>
    <w:p w:rsidR="007C1F9F" w:rsidRDefault="007C1F9F" w:rsidP="007C1F9F">
      <w:pPr>
        <w:pStyle w:val="AERheading4"/>
      </w:pPr>
      <w:r>
        <w:t>Augmentation capital expenditure</w:t>
      </w:r>
    </w:p>
    <w:p w:rsidR="007C1F9F" w:rsidRDefault="007C1F9F" w:rsidP="007C1F9F">
      <w:pPr>
        <w:pStyle w:val="AERbodytext"/>
      </w:pPr>
      <w:r>
        <w:t xml:space="preserve">As shown in </w:t>
      </w:r>
      <w:r w:rsidR="00DE0D6A">
        <w:fldChar w:fldCharType="begin"/>
      </w:r>
      <w:r>
        <w:instrText xml:space="preserve"> REF _Ref330898342 \r \h </w:instrText>
      </w:r>
      <w:r w:rsidR="00DE0D6A">
        <w:fldChar w:fldCharType="separate"/>
      </w:r>
      <w:r>
        <w:t>Table 3.3</w:t>
      </w:r>
      <w:r w:rsidR="00DE0D6A">
        <w:fldChar w:fldCharType="end"/>
      </w:r>
      <w:r>
        <w:t>, APA GasNet's augmentation expenditure was below the approved amount (by $19.6 million ($2012) or 17.5 per cent).</w:t>
      </w:r>
      <w:r w:rsidRPr="00A83700">
        <w:t xml:space="preserve"> </w:t>
      </w:r>
      <w:r>
        <w:t xml:space="preserve">APA GasNet claims that it delivered all proposed augmentation projects but at lower cost because of significant efficiencies during the </w:t>
      </w:r>
      <w:r w:rsidR="00202065">
        <w:t>2008–12</w:t>
      </w:r>
      <w:r>
        <w:t xml:space="preserve"> access arrangement period.</w:t>
      </w:r>
      <w:r>
        <w:rPr>
          <w:rStyle w:val="FootnoteReference"/>
        </w:rPr>
        <w:footnoteReference w:id="73"/>
      </w:r>
      <w:r>
        <w:t xml:space="preserve"> </w:t>
      </w:r>
      <w:r w:rsidRPr="00742763">
        <w:t xml:space="preserve">APA GasNet submits that it was able to complete projects at a lower cost or undertake alternative options during the </w:t>
      </w:r>
      <w:r w:rsidR="00202065">
        <w:t>2008–12</w:t>
      </w:r>
      <w:r>
        <w:t xml:space="preserve"> access arrangement period</w:t>
      </w:r>
      <w:r w:rsidRPr="00742763">
        <w:t>, than those forecast in 2007, because it was able to adopt more efficient processes and practices as a consequence of the APA Group's acquisition of APA GasNet in 2007</w:t>
      </w:r>
      <w:r w:rsidRPr="001B06A5">
        <w:rPr>
          <w:rStyle w:val="AERbody"/>
        </w:rPr>
        <w:t>.</w:t>
      </w:r>
      <w:r w:rsidRPr="00A83700">
        <w:rPr>
          <w:rStyle w:val="AERsuperscript"/>
        </w:rPr>
        <w:footnoteReference w:id="74"/>
      </w:r>
      <w:r>
        <w:t xml:space="preserve"> </w:t>
      </w:r>
      <w:r w:rsidRPr="007D462D">
        <w:t xml:space="preserve">APA GasNet </w:t>
      </w:r>
      <w:r>
        <w:t>also submitted</w:t>
      </w:r>
      <w:r w:rsidRPr="007D462D">
        <w:t xml:space="preserve"> that it focused on augmentation expenditure as a prudent response to the financial uncertainty of the period to secure volumes and ensure continued growth of its business without attracting higher financing costs.</w:t>
      </w:r>
      <w:r>
        <w:rPr>
          <w:rStyle w:val="FootnoteReference"/>
        </w:rPr>
        <w:footnoteReference w:id="75"/>
      </w:r>
      <w:r w:rsidRPr="007D462D">
        <w:t xml:space="preserve"> APA GasNet submitted that although the scope of some of these projects varied from that proposed and approved by the ACCC, the variations were necessary and prudent and the expenditure should be rolled into the opening capital base for the </w:t>
      </w:r>
      <w:r w:rsidR="00202065">
        <w:t>2013–17</w:t>
      </w:r>
      <w:r>
        <w:t xml:space="preserve"> access arrangement period</w:t>
      </w:r>
      <w:r w:rsidRPr="007D462D">
        <w:t xml:space="preserve"> as conforming capital expenditure.</w:t>
      </w:r>
      <w:r>
        <w:rPr>
          <w:rStyle w:val="FootnoteReference"/>
        </w:rPr>
        <w:footnoteReference w:id="76"/>
      </w:r>
      <w:r w:rsidRPr="0093529A">
        <w:t xml:space="preserve"> </w:t>
      </w:r>
      <w:r w:rsidR="00DE0D6A">
        <w:fldChar w:fldCharType="begin"/>
      </w:r>
      <w:r>
        <w:instrText xml:space="preserve"> REF _Ref330898374 \r \h </w:instrText>
      </w:r>
      <w:r w:rsidR="00DE0D6A">
        <w:fldChar w:fldCharType="separate"/>
      </w:r>
      <w:r>
        <w:t>Table 3.4</w:t>
      </w:r>
      <w:r w:rsidR="00DE0D6A">
        <w:fldChar w:fldCharType="end"/>
      </w:r>
      <w:r>
        <w:t xml:space="preserve"> provides a summary of APA GasNet's augmentation capital expenditure and details for the variances during the </w:t>
      </w:r>
      <w:r w:rsidR="00202065">
        <w:t>2008–12</w:t>
      </w:r>
      <w:r>
        <w:t xml:space="preserve"> access arrangement period.</w:t>
      </w:r>
    </w:p>
    <w:p w:rsidR="007C1F9F" w:rsidRPr="00A56367" w:rsidRDefault="007C1F9F" w:rsidP="007C1F9F">
      <w:pPr>
        <w:pStyle w:val="AERtabletitle"/>
      </w:pPr>
      <w:bookmarkStart w:id="37" w:name="_Ref330898374"/>
      <w:r>
        <w:t>Summary of APA GasNet's augmentation capital expenditure</w:t>
      </w:r>
      <w:bookmarkEnd w:id="37"/>
      <w:r>
        <w:t xml:space="preserve"> </w:t>
      </w:r>
    </w:p>
    <w:tbl>
      <w:tblPr>
        <w:tblW w:w="8280" w:type="dxa"/>
        <w:tblBorders>
          <w:top w:val="single" w:sz="4" w:space="0" w:color="auto"/>
          <w:bottom w:val="single" w:sz="4" w:space="0" w:color="auto"/>
        </w:tblBorders>
        <w:tblLayout w:type="fixed"/>
        <w:tblLook w:val="01E0"/>
      </w:tblPr>
      <w:tblGrid>
        <w:gridCol w:w="1526"/>
        <w:gridCol w:w="1417"/>
        <w:gridCol w:w="1418"/>
        <w:gridCol w:w="3919"/>
      </w:tblGrid>
      <w:tr w:rsidR="007C1F9F" w:rsidRPr="006708A5" w:rsidTr="00186172">
        <w:tc>
          <w:tcPr>
            <w:tcW w:w="1526"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6172">
            <w:pPr>
              <w:pStyle w:val="AERtabletextheading"/>
            </w:pPr>
            <w:r w:rsidRPr="00AB6746">
              <w:t>Project</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6172">
            <w:pPr>
              <w:pStyle w:val="AERtabletextheading"/>
            </w:pPr>
            <w:r w:rsidRPr="00AB6746">
              <w:t>Approved expenditure ($million, 2012)</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AB6746" w:rsidRDefault="007C1F9F" w:rsidP="00186172">
            <w:pPr>
              <w:pStyle w:val="AERtabletextheading"/>
            </w:pPr>
            <w:r w:rsidRPr="00AB6746">
              <w:t>Actual expenditure ($million, 2012)</w:t>
            </w:r>
          </w:p>
        </w:tc>
        <w:tc>
          <w:tcPr>
            <w:tcW w:w="391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AB6746" w:rsidRDefault="007C1F9F" w:rsidP="00186172">
            <w:pPr>
              <w:pStyle w:val="AERtabletextheading"/>
            </w:pPr>
            <w:r w:rsidRPr="00AB6746">
              <w:t>Main driver for variance</w:t>
            </w:r>
          </w:p>
        </w:tc>
      </w:tr>
      <w:tr w:rsidR="007C1F9F" w:rsidRPr="006708A5" w:rsidTr="00186172">
        <w:tc>
          <w:tcPr>
            <w:tcW w:w="1526" w:type="dxa"/>
            <w:shd w:val="clear" w:color="auto" w:fill="auto"/>
            <w:noWrap/>
            <w:tcMar>
              <w:top w:w="0" w:type="dxa"/>
              <w:bottom w:w="0" w:type="dxa"/>
            </w:tcMar>
            <w:vAlign w:val="center"/>
          </w:tcPr>
          <w:p w:rsidR="007C1F9F" w:rsidRPr="00D30BC7" w:rsidRDefault="007C1F9F" w:rsidP="00186172">
            <w:pPr>
              <w:pStyle w:val="AERtabletext"/>
            </w:pPr>
            <w:r w:rsidRPr="00D30BC7">
              <w:t>Northern Zone Augmentation</w:t>
            </w:r>
          </w:p>
        </w:tc>
        <w:tc>
          <w:tcPr>
            <w:tcW w:w="1417" w:type="dxa"/>
            <w:shd w:val="clear" w:color="auto" w:fill="auto"/>
            <w:noWrap/>
            <w:tcMar>
              <w:top w:w="0" w:type="dxa"/>
              <w:bottom w:w="0" w:type="dxa"/>
            </w:tcMar>
            <w:vAlign w:val="center"/>
          </w:tcPr>
          <w:p w:rsidR="007C1F9F" w:rsidRPr="00D30BC7" w:rsidRDefault="007C1F9F" w:rsidP="000B7EE2">
            <w:pPr>
              <w:pStyle w:val="AERtabletext-numbers"/>
            </w:pPr>
            <w:r w:rsidRPr="00D30BC7">
              <w:t>93.5</w:t>
            </w:r>
          </w:p>
        </w:tc>
        <w:tc>
          <w:tcPr>
            <w:tcW w:w="1418" w:type="dxa"/>
            <w:shd w:val="clear" w:color="auto" w:fill="auto"/>
            <w:noWrap/>
            <w:tcMar>
              <w:top w:w="0" w:type="dxa"/>
              <w:bottom w:w="0" w:type="dxa"/>
            </w:tcMar>
            <w:vAlign w:val="center"/>
          </w:tcPr>
          <w:p w:rsidR="007C1F9F" w:rsidRPr="00D30BC7" w:rsidRDefault="007C1F9F" w:rsidP="000B7EE2">
            <w:pPr>
              <w:pStyle w:val="AERtabletext-numbers"/>
            </w:pPr>
            <w:r w:rsidRPr="00D30BC7">
              <w:t>66.8</w:t>
            </w:r>
          </w:p>
        </w:tc>
        <w:tc>
          <w:tcPr>
            <w:tcW w:w="3919" w:type="dxa"/>
            <w:shd w:val="clear" w:color="auto" w:fill="auto"/>
            <w:noWrap/>
            <w:tcMar>
              <w:top w:w="0" w:type="dxa"/>
              <w:bottom w:w="0" w:type="dxa"/>
            </w:tcMar>
            <w:vAlign w:val="center"/>
          </w:tcPr>
          <w:p w:rsidR="007C1F9F" w:rsidRPr="00D30BC7" w:rsidRDefault="007C1F9F" w:rsidP="00186172">
            <w:pPr>
              <w:pStyle w:val="AERtabletext"/>
            </w:pPr>
            <w:r w:rsidRPr="00D30BC7">
              <w:t xml:space="preserve">The Global Financial Crisis (GFC) delayed commencement of the project allowing APA GasNet to review and investigate alternative options. Also, APA GasNet submitted that the APA Group's purchase of APA GasNet in 2007 brought a national view for engineering design and optimising interstate transfers. Subsequently APA GasNet implemented more efficient options including the acquisition of larger compressors at lower cost, implementing an alternative solution to looping the Wollert to Wandong Pipeline and modifying the Springhurst compressor station. </w:t>
            </w:r>
          </w:p>
        </w:tc>
      </w:tr>
      <w:tr w:rsidR="007C1F9F" w:rsidRPr="006708A5" w:rsidTr="00186172">
        <w:tc>
          <w:tcPr>
            <w:tcW w:w="1526" w:type="dxa"/>
            <w:shd w:val="clear" w:color="auto" w:fill="F8B47C"/>
            <w:noWrap/>
            <w:tcMar>
              <w:top w:w="0" w:type="dxa"/>
              <w:bottom w:w="0" w:type="dxa"/>
            </w:tcMar>
            <w:vAlign w:val="center"/>
          </w:tcPr>
          <w:p w:rsidR="007C1F9F" w:rsidRPr="00BA5D5B" w:rsidRDefault="007C1F9F" w:rsidP="00186172">
            <w:pPr>
              <w:pStyle w:val="AERtabletext"/>
            </w:pPr>
            <w:r>
              <w:t>Pa</w:t>
            </w:r>
            <w:r w:rsidRPr="00BA5D5B">
              <w:t>kenham Loop</w:t>
            </w:r>
          </w:p>
        </w:tc>
        <w:tc>
          <w:tcPr>
            <w:tcW w:w="1417" w:type="dxa"/>
            <w:shd w:val="clear" w:color="auto" w:fill="F8B47C"/>
            <w:noWrap/>
            <w:tcMar>
              <w:top w:w="0" w:type="dxa"/>
              <w:bottom w:w="0" w:type="dxa"/>
            </w:tcMar>
            <w:vAlign w:val="center"/>
          </w:tcPr>
          <w:p w:rsidR="007C1F9F" w:rsidRPr="00BA5D5B" w:rsidRDefault="007C1F9F" w:rsidP="00186172">
            <w:pPr>
              <w:pStyle w:val="AERtabletext-numbers"/>
            </w:pPr>
            <w:r>
              <w:t>1.4</w:t>
            </w:r>
          </w:p>
        </w:tc>
        <w:tc>
          <w:tcPr>
            <w:tcW w:w="1418" w:type="dxa"/>
            <w:shd w:val="clear" w:color="auto" w:fill="F8B47C"/>
            <w:noWrap/>
            <w:tcMar>
              <w:top w:w="0" w:type="dxa"/>
              <w:bottom w:w="0" w:type="dxa"/>
            </w:tcMar>
            <w:vAlign w:val="center"/>
          </w:tcPr>
          <w:p w:rsidR="007C1F9F" w:rsidRPr="00BA5D5B" w:rsidRDefault="007C1F9F" w:rsidP="00186172">
            <w:pPr>
              <w:pStyle w:val="AERtabletext-numbers"/>
            </w:pPr>
            <w:r>
              <w:t>1.3</w:t>
            </w:r>
          </w:p>
        </w:tc>
        <w:tc>
          <w:tcPr>
            <w:tcW w:w="3919" w:type="dxa"/>
            <w:shd w:val="clear" w:color="auto" w:fill="F8B47C"/>
            <w:noWrap/>
            <w:tcMar>
              <w:top w:w="0" w:type="dxa"/>
              <w:bottom w:w="0" w:type="dxa"/>
            </w:tcMar>
            <w:vAlign w:val="center"/>
          </w:tcPr>
          <w:p w:rsidR="007C1F9F" w:rsidRPr="00BA5D5B" w:rsidRDefault="007C1F9F" w:rsidP="00186172">
            <w:pPr>
              <w:pStyle w:val="AERtabletext"/>
            </w:pPr>
            <w:r>
              <w:t xml:space="preserve">Completed in 2009 as approved by ACCC. </w:t>
            </w:r>
          </w:p>
        </w:tc>
      </w:tr>
      <w:tr w:rsidR="007C1F9F" w:rsidRPr="006708A5" w:rsidTr="00186172">
        <w:tc>
          <w:tcPr>
            <w:tcW w:w="1526" w:type="dxa"/>
            <w:shd w:val="clear" w:color="auto" w:fill="auto"/>
            <w:noWrap/>
            <w:tcMar>
              <w:top w:w="0" w:type="dxa"/>
              <w:bottom w:w="0" w:type="dxa"/>
            </w:tcMar>
            <w:vAlign w:val="center"/>
          </w:tcPr>
          <w:p w:rsidR="007C1F9F" w:rsidRPr="00BA5D5B" w:rsidRDefault="007C1F9F" w:rsidP="00186172">
            <w:pPr>
              <w:pStyle w:val="AERtabletext"/>
            </w:pPr>
            <w:r>
              <w:t>Brooklyn Lara Pipeline (Corio Loop)</w:t>
            </w:r>
          </w:p>
        </w:tc>
        <w:tc>
          <w:tcPr>
            <w:tcW w:w="1417" w:type="dxa"/>
            <w:shd w:val="clear" w:color="auto" w:fill="auto"/>
            <w:noWrap/>
            <w:tcMar>
              <w:top w:w="0" w:type="dxa"/>
              <w:bottom w:w="0" w:type="dxa"/>
            </w:tcMar>
            <w:vAlign w:val="center"/>
          </w:tcPr>
          <w:p w:rsidR="007C1F9F" w:rsidRPr="00BA5D5B" w:rsidRDefault="007C1F9F" w:rsidP="00186172">
            <w:pPr>
              <w:pStyle w:val="AERtabletext-numbers"/>
            </w:pPr>
            <w:r>
              <w:t>16.8</w:t>
            </w:r>
          </w:p>
        </w:tc>
        <w:tc>
          <w:tcPr>
            <w:tcW w:w="1418" w:type="dxa"/>
            <w:shd w:val="clear" w:color="auto" w:fill="auto"/>
            <w:noWrap/>
            <w:tcMar>
              <w:top w:w="0" w:type="dxa"/>
              <w:bottom w:w="0" w:type="dxa"/>
            </w:tcMar>
            <w:vAlign w:val="center"/>
          </w:tcPr>
          <w:p w:rsidR="007C1F9F" w:rsidRPr="00BA5D5B" w:rsidRDefault="007C1F9F" w:rsidP="00186172">
            <w:pPr>
              <w:pStyle w:val="AERtabletext-numbers"/>
            </w:pPr>
            <w:r>
              <w:t>24.0</w:t>
            </w:r>
          </w:p>
        </w:tc>
        <w:tc>
          <w:tcPr>
            <w:tcW w:w="3919" w:type="dxa"/>
            <w:shd w:val="clear" w:color="auto" w:fill="auto"/>
            <w:noWrap/>
            <w:tcMar>
              <w:top w:w="0" w:type="dxa"/>
              <w:bottom w:w="0" w:type="dxa"/>
            </w:tcMar>
            <w:vAlign w:val="center"/>
          </w:tcPr>
          <w:p w:rsidR="007C1F9F" w:rsidRPr="00BA5D5B" w:rsidRDefault="007C1F9F" w:rsidP="00186172">
            <w:pPr>
              <w:pStyle w:val="AERtabletext"/>
            </w:pPr>
            <w:r>
              <w:t>Total approved</w:t>
            </w:r>
            <w:r w:rsidRPr="00BA5D5B">
              <w:t xml:space="preserve"> amount for the project was $71.1 million ($2012) with a split of $54.3 million in 2007 and $16.8 million in 2008. Delays in undertaking some stages of the project diverted expenditure from 2007 to 2008 with some additional expenditure in 2011 and 2012. Delays were mainly driven by issues associated with the compulsory acquisition of easements. These delays increased the cost of the project. Total expenditure on this project was $70.3 million ($2012) compared to an approved amount of $71.1 million ($2012).</w:t>
            </w:r>
          </w:p>
        </w:tc>
      </w:tr>
      <w:tr w:rsidR="007C1F9F" w:rsidRPr="006708A5" w:rsidTr="00186172">
        <w:tc>
          <w:tcPr>
            <w:tcW w:w="1526" w:type="dxa"/>
            <w:shd w:val="clear" w:color="auto" w:fill="F8B47C"/>
            <w:noWrap/>
            <w:tcMar>
              <w:top w:w="0" w:type="dxa"/>
              <w:bottom w:w="0" w:type="dxa"/>
            </w:tcMar>
            <w:vAlign w:val="center"/>
          </w:tcPr>
          <w:p w:rsidR="007C1F9F" w:rsidRPr="00BA5D5B" w:rsidRDefault="007C1F9F" w:rsidP="00186172">
            <w:pPr>
              <w:pStyle w:val="AERtabletext"/>
            </w:pPr>
            <w:r>
              <w:t>Total expenditure</w:t>
            </w:r>
          </w:p>
        </w:tc>
        <w:tc>
          <w:tcPr>
            <w:tcW w:w="1417" w:type="dxa"/>
            <w:shd w:val="clear" w:color="auto" w:fill="F8B47C"/>
            <w:noWrap/>
            <w:tcMar>
              <w:top w:w="0" w:type="dxa"/>
              <w:bottom w:w="0" w:type="dxa"/>
            </w:tcMar>
            <w:vAlign w:val="center"/>
          </w:tcPr>
          <w:p w:rsidR="007C1F9F" w:rsidRPr="00BA5D5B" w:rsidRDefault="007C1F9F" w:rsidP="00186172">
            <w:pPr>
              <w:pStyle w:val="AERtabletext-numbers"/>
            </w:pPr>
            <w:r>
              <w:t>111.7</w:t>
            </w:r>
          </w:p>
        </w:tc>
        <w:tc>
          <w:tcPr>
            <w:tcW w:w="1418" w:type="dxa"/>
            <w:shd w:val="clear" w:color="auto" w:fill="F8B47C"/>
            <w:noWrap/>
            <w:tcMar>
              <w:top w:w="0" w:type="dxa"/>
              <w:bottom w:w="0" w:type="dxa"/>
            </w:tcMar>
            <w:vAlign w:val="center"/>
          </w:tcPr>
          <w:p w:rsidR="007C1F9F" w:rsidRPr="00BA5D5B" w:rsidRDefault="007C1F9F" w:rsidP="00186172">
            <w:pPr>
              <w:pStyle w:val="AERtabletext-numbers"/>
            </w:pPr>
            <w:r>
              <w:t>92.1</w:t>
            </w:r>
          </w:p>
        </w:tc>
        <w:tc>
          <w:tcPr>
            <w:tcW w:w="3919" w:type="dxa"/>
            <w:shd w:val="clear" w:color="auto" w:fill="F8B47C"/>
            <w:noWrap/>
            <w:tcMar>
              <w:top w:w="0" w:type="dxa"/>
              <w:bottom w:w="0" w:type="dxa"/>
            </w:tcMar>
            <w:vAlign w:val="center"/>
          </w:tcPr>
          <w:p w:rsidR="007C1F9F" w:rsidRPr="00854F14" w:rsidRDefault="007C1F9F" w:rsidP="00186172">
            <w:pPr>
              <w:pStyle w:val="AERtabletext-numbers"/>
            </w:pPr>
          </w:p>
        </w:tc>
      </w:tr>
    </w:tbl>
    <w:p w:rsidR="007C1F9F" w:rsidRDefault="007C1F9F" w:rsidP="000B7EE2">
      <w:pPr>
        <w:pStyle w:val="FootnoteText"/>
      </w:pPr>
      <w:r w:rsidRPr="006708A5">
        <w:t>Source:</w:t>
      </w:r>
      <w:r w:rsidRPr="006708A5">
        <w:tab/>
      </w:r>
      <w:r>
        <w:t xml:space="preserve">APA GasNet, </w:t>
      </w:r>
      <w:r w:rsidRPr="000326DB">
        <w:rPr>
          <w:rStyle w:val="AERtextitalic"/>
        </w:rPr>
        <w:t xml:space="preserve">Access </w:t>
      </w:r>
      <w:r>
        <w:rPr>
          <w:rStyle w:val="AERtextitalic"/>
        </w:rPr>
        <w:t>arrangement submission</w:t>
      </w:r>
      <w:r w:rsidRPr="000326DB">
        <w:t>,</w:t>
      </w:r>
      <w:r>
        <w:t xml:space="preserve"> 31 March 2012, pp. 74-79 and </w:t>
      </w:r>
      <w:r>
        <w:rPr>
          <w:rStyle w:val="AERtextitalic"/>
        </w:rPr>
        <w:t xml:space="preserve">Response to AER information request 3, Part 2, </w:t>
      </w:r>
      <w:r w:rsidRPr="000B7EE2">
        <w:rPr>
          <w:rStyle w:val="AERtextitalic"/>
          <w:i w:val="0"/>
        </w:rPr>
        <w:t>29 May 2012, p.2 (confidential)</w:t>
      </w:r>
      <w:r w:rsidRPr="000B7EE2">
        <w:t>.</w:t>
      </w:r>
      <w:r>
        <w:t xml:space="preserve"> </w:t>
      </w:r>
      <w:r w:rsidRPr="007F0EC0">
        <w:t xml:space="preserve"> </w:t>
      </w:r>
    </w:p>
    <w:p w:rsidR="007C1F9F" w:rsidRPr="00753C0E" w:rsidRDefault="007C1F9F" w:rsidP="007C1F9F">
      <w:pPr>
        <w:pStyle w:val="AERtablesource"/>
      </w:pPr>
    </w:p>
    <w:p w:rsidR="007C1F9F" w:rsidRPr="005668A0" w:rsidRDefault="007C1F9F" w:rsidP="007C1F9F">
      <w:pPr>
        <w:pStyle w:val="AERheading4"/>
      </w:pPr>
      <w:r>
        <w:t>Refurbishment and upgrade capital</w:t>
      </w:r>
      <w:r w:rsidRPr="005668A0">
        <w:t xml:space="preserve"> expenditure</w:t>
      </w:r>
    </w:p>
    <w:p w:rsidR="007C1F9F" w:rsidRDefault="007C1F9F" w:rsidP="007C1F9F">
      <w:pPr>
        <w:pStyle w:val="AERbodytext"/>
      </w:pPr>
      <w:r>
        <w:t xml:space="preserve">APA GasNet significantly underspent the refurbishment and upgrade component of its approved capex in the </w:t>
      </w:r>
      <w:r w:rsidR="00202065">
        <w:t>2008–12</w:t>
      </w:r>
      <w:r>
        <w:t xml:space="preserve"> access arrangement period.</w:t>
      </w:r>
      <w:r w:rsidRPr="00744B42">
        <w:t xml:space="preserve"> </w:t>
      </w:r>
      <w:r>
        <w:t>Refurbishment and upgrade capex was $54.9 million ($2012) or 51.7 per cent below the approved amount. APA GasNet submitted that the significant underspend in refurbishment and upgrade capex can be attributed to the impact of the GFC and uncertainty over the availability of funds from early 2009 through 2010, necessitating APA GasNet to limit all non-time critical capex and opex during this period.</w:t>
      </w:r>
      <w:r>
        <w:rPr>
          <w:rStyle w:val="FootnoteReference"/>
        </w:rPr>
        <w:footnoteReference w:id="77"/>
      </w:r>
      <w:r>
        <w:t xml:space="preserve"> </w:t>
      </w:r>
      <w:r w:rsidR="00DE0D6A">
        <w:fldChar w:fldCharType="begin"/>
      </w:r>
      <w:r>
        <w:instrText xml:space="preserve"> REF _Ref330898407 \r \h </w:instrText>
      </w:r>
      <w:r w:rsidR="00DE0D6A">
        <w:fldChar w:fldCharType="separate"/>
      </w:r>
      <w:r>
        <w:t>Table 3.5</w:t>
      </w:r>
      <w:r w:rsidR="00DE0D6A">
        <w:fldChar w:fldCharType="end"/>
      </w:r>
      <w:r>
        <w:t xml:space="preserve"> provides a summary of APA GasNet's refurbishment and upgrade capex project expenditure and details for the variances during the </w:t>
      </w:r>
      <w:r w:rsidR="00202065">
        <w:t>2008–12</w:t>
      </w:r>
      <w:r>
        <w:t xml:space="preserve"> access arrangement period. </w:t>
      </w:r>
    </w:p>
    <w:p w:rsidR="007C1F9F" w:rsidRDefault="007C1F9F" w:rsidP="007C1F9F">
      <w:pPr>
        <w:pStyle w:val="AERbodytext"/>
      </w:pPr>
    </w:p>
    <w:p w:rsidR="007C1F9F" w:rsidRPr="00A56367" w:rsidRDefault="007C1F9F" w:rsidP="007C1F9F">
      <w:pPr>
        <w:pStyle w:val="AERtabletitle"/>
      </w:pPr>
      <w:bookmarkStart w:id="38" w:name="_Ref330898407"/>
      <w:r>
        <w:t>Summary of APA GasNet's refurbishment and upgrade capital expenditure</w:t>
      </w:r>
      <w:bookmarkEnd w:id="38"/>
      <w:r>
        <w:t xml:space="preserve"> </w:t>
      </w:r>
    </w:p>
    <w:tbl>
      <w:tblPr>
        <w:tblW w:w="8280" w:type="dxa"/>
        <w:tblBorders>
          <w:top w:val="single" w:sz="4" w:space="0" w:color="auto"/>
          <w:bottom w:val="single" w:sz="4" w:space="0" w:color="auto"/>
        </w:tblBorders>
        <w:tblLayout w:type="fixed"/>
        <w:tblLook w:val="01E0"/>
      </w:tblPr>
      <w:tblGrid>
        <w:gridCol w:w="1701"/>
        <w:gridCol w:w="1418"/>
        <w:gridCol w:w="1417"/>
        <w:gridCol w:w="3744"/>
      </w:tblGrid>
      <w:tr w:rsidR="007C1F9F" w:rsidRPr="006708A5" w:rsidTr="00186172">
        <w:tc>
          <w:tcPr>
            <w:tcW w:w="170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BA5D5B" w:rsidRDefault="007C1F9F" w:rsidP="00186172">
            <w:pPr>
              <w:pStyle w:val="AERtabletextheading"/>
            </w:pPr>
            <w:r w:rsidRPr="00BA5D5B">
              <w:t>Project</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BA5D5B" w:rsidRDefault="007C1F9F" w:rsidP="00186172">
            <w:pPr>
              <w:pStyle w:val="AERtabletextheading"/>
            </w:pPr>
            <w:r w:rsidRPr="00BA5D5B">
              <w:t>Approved expenditure ($million, 2012)</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BA5D5B" w:rsidRDefault="007C1F9F" w:rsidP="00186172">
            <w:pPr>
              <w:pStyle w:val="AERtabletextheading"/>
            </w:pPr>
            <w:r w:rsidRPr="00BA5D5B">
              <w:t>Actual expenditure ($million, 2012)</w:t>
            </w:r>
          </w:p>
        </w:tc>
        <w:tc>
          <w:tcPr>
            <w:tcW w:w="374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BA5D5B" w:rsidRDefault="007C1F9F" w:rsidP="00186172">
            <w:pPr>
              <w:pStyle w:val="AERtabletextheading"/>
            </w:pPr>
            <w:r w:rsidRPr="00BA5D5B">
              <w:t>Main driver for variance</w:t>
            </w:r>
          </w:p>
        </w:tc>
      </w:tr>
      <w:tr w:rsidR="007C1F9F" w:rsidRPr="006708A5" w:rsidTr="00186172">
        <w:tc>
          <w:tcPr>
            <w:tcW w:w="1701" w:type="dxa"/>
            <w:shd w:val="clear" w:color="auto" w:fill="auto"/>
            <w:noWrap/>
            <w:tcMar>
              <w:top w:w="0" w:type="dxa"/>
              <w:bottom w:w="0" w:type="dxa"/>
            </w:tcMar>
            <w:vAlign w:val="center"/>
          </w:tcPr>
          <w:p w:rsidR="007C1F9F" w:rsidRPr="00D30BC7" w:rsidRDefault="007C1F9F" w:rsidP="00186172">
            <w:pPr>
              <w:pStyle w:val="AERtabletext"/>
            </w:pPr>
            <w:r w:rsidRPr="00D30BC7">
              <w:t>Gas heating facilities</w:t>
            </w:r>
          </w:p>
        </w:tc>
        <w:tc>
          <w:tcPr>
            <w:tcW w:w="1418" w:type="dxa"/>
            <w:shd w:val="clear" w:color="auto" w:fill="auto"/>
            <w:noWrap/>
            <w:tcMar>
              <w:top w:w="0" w:type="dxa"/>
              <w:bottom w:w="0" w:type="dxa"/>
            </w:tcMar>
            <w:vAlign w:val="center"/>
          </w:tcPr>
          <w:p w:rsidR="007C1F9F" w:rsidRPr="00D30BC7" w:rsidRDefault="007C1F9F" w:rsidP="000B7EE2">
            <w:pPr>
              <w:pStyle w:val="AERtabletext-numbers"/>
            </w:pPr>
            <w:r w:rsidRPr="00D30BC7">
              <w:t>9.2</w:t>
            </w:r>
          </w:p>
        </w:tc>
        <w:tc>
          <w:tcPr>
            <w:tcW w:w="1417" w:type="dxa"/>
            <w:shd w:val="clear" w:color="auto" w:fill="auto"/>
            <w:noWrap/>
            <w:tcMar>
              <w:top w:w="0" w:type="dxa"/>
              <w:bottom w:w="0" w:type="dxa"/>
            </w:tcMar>
            <w:vAlign w:val="center"/>
          </w:tcPr>
          <w:p w:rsidR="007C1F9F" w:rsidRPr="00D30BC7" w:rsidRDefault="007C1F9F" w:rsidP="000B7EE2">
            <w:pPr>
              <w:pStyle w:val="AERtabletext-numbers"/>
            </w:pPr>
            <w:r w:rsidRPr="00D30BC7">
              <w:t>8.4</w:t>
            </w:r>
          </w:p>
        </w:tc>
        <w:tc>
          <w:tcPr>
            <w:tcW w:w="3744" w:type="dxa"/>
            <w:shd w:val="clear" w:color="auto" w:fill="auto"/>
            <w:noWrap/>
            <w:tcMar>
              <w:top w:w="0" w:type="dxa"/>
              <w:bottom w:w="0" w:type="dxa"/>
            </w:tcMar>
            <w:vAlign w:val="center"/>
          </w:tcPr>
          <w:p w:rsidR="007C1F9F" w:rsidRPr="00D30BC7" w:rsidRDefault="007C1F9F" w:rsidP="00186172">
            <w:pPr>
              <w:pStyle w:val="AERtabletext"/>
            </w:pPr>
            <w:r w:rsidRPr="00D30BC7">
              <w:t>Scope change due to higher Brooklyn Lara Pipeline City Gate upgrade costs. Deferral of expenditure due to GFC.</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City Gate Works</w:t>
            </w:r>
          </w:p>
        </w:tc>
        <w:tc>
          <w:tcPr>
            <w:tcW w:w="1418" w:type="dxa"/>
            <w:shd w:val="clear" w:color="auto" w:fill="F8B47C"/>
            <w:noWrap/>
            <w:tcMar>
              <w:top w:w="0" w:type="dxa"/>
              <w:bottom w:w="0" w:type="dxa"/>
            </w:tcMar>
            <w:vAlign w:val="center"/>
          </w:tcPr>
          <w:p w:rsidR="007C1F9F" w:rsidRPr="00BA5D5B" w:rsidRDefault="007C1F9F" w:rsidP="00186172">
            <w:pPr>
              <w:pStyle w:val="AERtabletext-numbers"/>
            </w:pPr>
            <w:r>
              <w:t>15.4</w:t>
            </w:r>
          </w:p>
        </w:tc>
        <w:tc>
          <w:tcPr>
            <w:tcW w:w="1417" w:type="dxa"/>
            <w:shd w:val="clear" w:color="auto" w:fill="F8B47C"/>
            <w:noWrap/>
            <w:tcMar>
              <w:top w:w="0" w:type="dxa"/>
              <w:bottom w:w="0" w:type="dxa"/>
            </w:tcMar>
            <w:vAlign w:val="center"/>
          </w:tcPr>
          <w:p w:rsidR="007C1F9F" w:rsidRPr="00BA5D5B" w:rsidRDefault="007C1F9F" w:rsidP="00186172">
            <w:pPr>
              <w:pStyle w:val="AERtabletext-numbers"/>
            </w:pPr>
            <w:r>
              <w:t>15.4</w:t>
            </w:r>
          </w:p>
        </w:tc>
        <w:tc>
          <w:tcPr>
            <w:tcW w:w="3744" w:type="dxa"/>
            <w:shd w:val="clear" w:color="auto" w:fill="F8B47C"/>
            <w:noWrap/>
            <w:tcMar>
              <w:top w:w="0" w:type="dxa"/>
              <w:bottom w:w="0" w:type="dxa"/>
            </w:tcMar>
            <w:vAlign w:val="center"/>
          </w:tcPr>
          <w:p w:rsidR="007C1F9F" w:rsidRPr="00BA5D5B" w:rsidRDefault="007C1F9F" w:rsidP="00186172">
            <w:pPr>
              <w:pStyle w:val="AERtabletext"/>
            </w:pPr>
            <w:r>
              <w:t>Work undertaken differed from that forecast reflecting reprioritisation in response to changing pipeline operation and dynamics. Some projects postponed to the 2013 -2017 access arrangement period.</w:t>
            </w:r>
            <w:r w:rsidRPr="00BA5D5B">
              <w:t xml:space="preserve"> </w:t>
            </w:r>
          </w:p>
        </w:tc>
      </w:tr>
      <w:tr w:rsidR="007C1F9F" w:rsidRPr="006708A5" w:rsidTr="00186172">
        <w:tc>
          <w:tcPr>
            <w:tcW w:w="1701" w:type="dxa"/>
            <w:shd w:val="clear" w:color="auto" w:fill="auto"/>
            <w:noWrap/>
            <w:tcMar>
              <w:top w:w="0" w:type="dxa"/>
              <w:bottom w:w="0" w:type="dxa"/>
            </w:tcMar>
            <w:vAlign w:val="center"/>
          </w:tcPr>
          <w:p w:rsidR="007C1F9F" w:rsidRPr="00BA5D5B" w:rsidRDefault="007C1F9F" w:rsidP="00186172">
            <w:pPr>
              <w:pStyle w:val="AERtabletext"/>
            </w:pPr>
            <w:r>
              <w:t>Pipeline Upgrades</w:t>
            </w:r>
          </w:p>
        </w:tc>
        <w:tc>
          <w:tcPr>
            <w:tcW w:w="1418" w:type="dxa"/>
            <w:shd w:val="clear" w:color="auto" w:fill="auto"/>
            <w:noWrap/>
            <w:tcMar>
              <w:top w:w="0" w:type="dxa"/>
              <w:bottom w:w="0" w:type="dxa"/>
            </w:tcMar>
            <w:vAlign w:val="center"/>
          </w:tcPr>
          <w:p w:rsidR="007C1F9F" w:rsidRPr="00BA5D5B" w:rsidRDefault="007C1F9F" w:rsidP="00186172">
            <w:pPr>
              <w:pStyle w:val="AERtabletext-numbers"/>
            </w:pPr>
            <w:r>
              <w:t>11.4</w:t>
            </w:r>
          </w:p>
        </w:tc>
        <w:tc>
          <w:tcPr>
            <w:tcW w:w="1417" w:type="dxa"/>
            <w:shd w:val="clear" w:color="auto" w:fill="auto"/>
            <w:noWrap/>
            <w:tcMar>
              <w:top w:w="0" w:type="dxa"/>
              <w:bottom w:w="0" w:type="dxa"/>
            </w:tcMar>
            <w:vAlign w:val="center"/>
          </w:tcPr>
          <w:p w:rsidR="007C1F9F" w:rsidRPr="00BA5D5B" w:rsidRDefault="007C1F9F" w:rsidP="00186172">
            <w:pPr>
              <w:pStyle w:val="AERtabletext-numbers"/>
            </w:pPr>
            <w:r>
              <w:t>17.8</w:t>
            </w:r>
          </w:p>
        </w:tc>
        <w:tc>
          <w:tcPr>
            <w:tcW w:w="3744" w:type="dxa"/>
            <w:shd w:val="clear" w:color="auto" w:fill="auto"/>
            <w:noWrap/>
            <w:tcMar>
              <w:top w:w="0" w:type="dxa"/>
              <w:bottom w:w="0" w:type="dxa"/>
            </w:tcMar>
            <w:vAlign w:val="center"/>
          </w:tcPr>
          <w:p w:rsidR="007C1F9F" w:rsidRPr="00BA5D5B" w:rsidRDefault="007C1F9F" w:rsidP="00186172">
            <w:pPr>
              <w:pStyle w:val="AERtabletext"/>
            </w:pPr>
            <w:r>
              <w:t>Scope change due to construction of the Sunbury Loop for $13.5 million ($2012) which was not part of approved expenditure. Deferral of other expenditure due to GFC.</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 xml:space="preserve">Safety and </w:t>
            </w:r>
            <w:r w:rsidRPr="00BA5D5B">
              <w:t>Security Systems</w:t>
            </w:r>
          </w:p>
        </w:tc>
        <w:tc>
          <w:tcPr>
            <w:tcW w:w="1418" w:type="dxa"/>
            <w:shd w:val="clear" w:color="auto" w:fill="F8B47C"/>
            <w:noWrap/>
            <w:tcMar>
              <w:top w:w="0" w:type="dxa"/>
              <w:bottom w:w="0" w:type="dxa"/>
            </w:tcMar>
            <w:vAlign w:val="center"/>
          </w:tcPr>
          <w:p w:rsidR="007C1F9F" w:rsidRPr="00BA5D5B" w:rsidRDefault="007C1F9F" w:rsidP="00186172">
            <w:pPr>
              <w:pStyle w:val="AERtabletext-numbers"/>
            </w:pPr>
            <w:r>
              <w:t>5.0</w:t>
            </w:r>
          </w:p>
        </w:tc>
        <w:tc>
          <w:tcPr>
            <w:tcW w:w="1417" w:type="dxa"/>
            <w:shd w:val="clear" w:color="auto" w:fill="F8B47C"/>
            <w:noWrap/>
            <w:tcMar>
              <w:top w:w="0" w:type="dxa"/>
              <w:bottom w:w="0" w:type="dxa"/>
            </w:tcMar>
            <w:vAlign w:val="center"/>
          </w:tcPr>
          <w:p w:rsidR="007C1F9F" w:rsidRPr="00BA5D5B" w:rsidRDefault="007C1F9F" w:rsidP="00186172">
            <w:pPr>
              <w:pStyle w:val="AERtabletext-numbers"/>
            </w:pPr>
            <w:r>
              <w:t>1.5</w:t>
            </w:r>
          </w:p>
        </w:tc>
        <w:tc>
          <w:tcPr>
            <w:tcW w:w="3744" w:type="dxa"/>
            <w:shd w:val="clear" w:color="auto" w:fill="F8B47C"/>
            <w:noWrap/>
            <w:tcMar>
              <w:top w:w="0" w:type="dxa"/>
              <w:bottom w:w="0" w:type="dxa"/>
            </w:tcMar>
            <w:vAlign w:val="center"/>
          </w:tcPr>
          <w:p w:rsidR="007C1F9F" w:rsidRPr="00BA5D5B" w:rsidRDefault="007C1F9F" w:rsidP="00186172">
            <w:pPr>
              <w:pStyle w:val="AERtabletext"/>
            </w:pPr>
            <w:r>
              <w:t>Deferral of much of the work on the basis of risk assessment due to impact of GFC.</w:t>
            </w:r>
          </w:p>
        </w:tc>
      </w:tr>
      <w:tr w:rsidR="007C1F9F" w:rsidRPr="006708A5" w:rsidTr="00186172">
        <w:tc>
          <w:tcPr>
            <w:tcW w:w="1701" w:type="dxa"/>
            <w:shd w:val="clear" w:color="auto" w:fill="auto"/>
            <w:noWrap/>
            <w:tcMar>
              <w:top w:w="0" w:type="dxa"/>
              <w:bottom w:w="0" w:type="dxa"/>
            </w:tcMar>
            <w:vAlign w:val="center"/>
          </w:tcPr>
          <w:p w:rsidR="007C1F9F" w:rsidRPr="00BA5D5B" w:rsidRDefault="007C1F9F" w:rsidP="00186172">
            <w:pPr>
              <w:pStyle w:val="AERtabletext"/>
            </w:pPr>
            <w:r>
              <w:t>Brooklyn Compressor Station</w:t>
            </w:r>
          </w:p>
        </w:tc>
        <w:tc>
          <w:tcPr>
            <w:tcW w:w="1418" w:type="dxa"/>
            <w:shd w:val="clear" w:color="auto" w:fill="auto"/>
            <w:noWrap/>
            <w:tcMar>
              <w:top w:w="0" w:type="dxa"/>
              <w:bottom w:w="0" w:type="dxa"/>
            </w:tcMar>
            <w:vAlign w:val="center"/>
          </w:tcPr>
          <w:p w:rsidR="007C1F9F" w:rsidRPr="00BA5D5B" w:rsidRDefault="007C1F9F" w:rsidP="00186172">
            <w:pPr>
              <w:pStyle w:val="AERtabletext-numbers"/>
            </w:pPr>
            <w:r>
              <w:t>58.6</w:t>
            </w:r>
          </w:p>
        </w:tc>
        <w:tc>
          <w:tcPr>
            <w:tcW w:w="1417" w:type="dxa"/>
            <w:shd w:val="clear" w:color="auto" w:fill="auto"/>
            <w:noWrap/>
            <w:tcMar>
              <w:top w:w="0" w:type="dxa"/>
              <w:bottom w:w="0" w:type="dxa"/>
            </w:tcMar>
            <w:vAlign w:val="center"/>
          </w:tcPr>
          <w:p w:rsidR="007C1F9F" w:rsidRPr="00BA5D5B" w:rsidRDefault="007C1F9F" w:rsidP="00186172">
            <w:pPr>
              <w:pStyle w:val="AERtabletext-numbers"/>
            </w:pPr>
            <w:r>
              <w:t>4.4</w:t>
            </w:r>
          </w:p>
        </w:tc>
        <w:tc>
          <w:tcPr>
            <w:tcW w:w="3744" w:type="dxa"/>
            <w:shd w:val="clear" w:color="auto" w:fill="auto"/>
            <w:noWrap/>
            <w:tcMar>
              <w:top w:w="0" w:type="dxa"/>
              <w:bottom w:w="0" w:type="dxa"/>
            </w:tcMar>
            <w:vAlign w:val="center"/>
          </w:tcPr>
          <w:p w:rsidR="007C1F9F" w:rsidRPr="00BA5D5B" w:rsidRDefault="007C1F9F" w:rsidP="00186172">
            <w:pPr>
              <w:pStyle w:val="AERtabletext"/>
            </w:pPr>
            <w:r w:rsidRPr="00C01902">
              <w:t xml:space="preserve">The transition of APA GasNet into the APA Group led to a review of capex forecast to occur during the </w:t>
            </w:r>
            <w:r w:rsidR="00202065">
              <w:t>2008–12</w:t>
            </w:r>
            <w:r w:rsidRPr="00C01902">
              <w:t xml:space="preserve"> access arrangement period and identified an alternative to address the constraints in the Sunbury and Ballarat areas. The</w:t>
            </w:r>
            <w:r>
              <w:t xml:space="preserve"> </w:t>
            </w:r>
            <w:r w:rsidRPr="00BA5D5B">
              <w:t>Sunbury Loop project replaced expenditure at the Brooklyn Compressor Station and was identified as a first stage in completing the proposed WORM project. Some carryover of expenditure from 2007.</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Wollert Compressor Station</w:t>
            </w:r>
          </w:p>
        </w:tc>
        <w:tc>
          <w:tcPr>
            <w:tcW w:w="1418" w:type="dxa"/>
            <w:shd w:val="clear" w:color="auto" w:fill="F8B47C"/>
            <w:noWrap/>
            <w:tcMar>
              <w:top w:w="0" w:type="dxa"/>
              <w:bottom w:w="0" w:type="dxa"/>
            </w:tcMar>
            <w:vAlign w:val="center"/>
          </w:tcPr>
          <w:p w:rsidR="007C1F9F" w:rsidRPr="00BA5D5B" w:rsidRDefault="007C1F9F" w:rsidP="00186172">
            <w:pPr>
              <w:pStyle w:val="AERtabletext-numbers"/>
            </w:pPr>
            <w:r>
              <w:t>Not forecast</w:t>
            </w:r>
          </w:p>
        </w:tc>
        <w:tc>
          <w:tcPr>
            <w:tcW w:w="1417" w:type="dxa"/>
            <w:shd w:val="clear" w:color="auto" w:fill="F8B47C"/>
            <w:noWrap/>
            <w:tcMar>
              <w:top w:w="0" w:type="dxa"/>
              <w:bottom w:w="0" w:type="dxa"/>
            </w:tcMar>
            <w:vAlign w:val="center"/>
          </w:tcPr>
          <w:p w:rsidR="007C1F9F" w:rsidRPr="00BA5D5B" w:rsidRDefault="007C1F9F" w:rsidP="00186172">
            <w:pPr>
              <w:pStyle w:val="AERtabletext-numbers"/>
            </w:pPr>
            <w:r>
              <w:t>1.9</w:t>
            </w:r>
          </w:p>
        </w:tc>
        <w:tc>
          <w:tcPr>
            <w:tcW w:w="3744" w:type="dxa"/>
            <w:shd w:val="clear" w:color="auto" w:fill="F8B47C"/>
            <w:noWrap/>
            <w:tcMar>
              <w:top w:w="0" w:type="dxa"/>
              <w:bottom w:w="0" w:type="dxa"/>
            </w:tcMar>
            <w:vAlign w:val="center"/>
          </w:tcPr>
          <w:p w:rsidR="007C1F9F" w:rsidRPr="00BA5D5B" w:rsidRDefault="007C1F9F" w:rsidP="00186172">
            <w:pPr>
              <w:pStyle w:val="AERtabletext"/>
            </w:pPr>
            <w:r>
              <w:t>Carryover of expenditure from 2007</w:t>
            </w:r>
            <w:r w:rsidRPr="00BA5D5B">
              <w:t>.</w:t>
            </w:r>
          </w:p>
        </w:tc>
      </w:tr>
      <w:tr w:rsidR="007C1F9F" w:rsidRPr="006708A5" w:rsidTr="00186172">
        <w:tc>
          <w:tcPr>
            <w:tcW w:w="1701" w:type="dxa"/>
            <w:shd w:val="clear" w:color="auto" w:fill="auto"/>
            <w:noWrap/>
            <w:tcMar>
              <w:top w:w="0" w:type="dxa"/>
              <w:bottom w:w="0" w:type="dxa"/>
            </w:tcMar>
            <w:vAlign w:val="center"/>
          </w:tcPr>
          <w:p w:rsidR="007C1F9F" w:rsidRPr="00BA5D5B" w:rsidRDefault="007C1F9F" w:rsidP="00186172">
            <w:pPr>
              <w:pStyle w:val="AERtabletext"/>
            </w:pPr>
            <w:r>
              <w:t>Iona Compressor Station</w:t>
            </w:r>
          </w:p>
        </w:tc>
        <w:tc>
          <w:tcPr>
            <w:tcW w:w="1418" w:type="dxa"/>
            <w:shd w:val="clear" w:color="auto" w:fill="auto"/>
            <w:noWrap/>
            <w:tcMar>
              <w:top w:w="0" w:type="dxa"/>
              <w:bottom w:w="0" w:type="dxa"/>
            </w:tcMar>
            <w:vAlign w:val="center"/>
          </w:tcPr>
          <w:p w:rsidR="007C1F9F" w:rsidRPr="00BA5D5B" w:rsidRDefault="007C1F9F" w:rsidP="00186172">
            <w:pPr>
              <w:pStyle w:val="AERtabletext-numbers"/>
            </w:pPr>
            <w:r>
              <w:t>0.8</w:t>
            </w:r>
          </w:p>
        </w:tc>
        <w:tc>
          <w:tcPr>
            <w:tcW w:w="1417" w:type="dxa"/>
            <w:shd w:val="clear" w:color="auto" w:fill="auto"/>
            <w:noWrap/>
            <w:tcMar>
              <w:top w:w="0" w:type="dxa"/>
              <w:bottom w:w="0" w:type="dxa"/>
            </w:tcMar>
            <w:vAlign w:val="center"/>
          </w:tcPr>
          <w:p w:rsidR="007C1F9F" w:rsidRPr="00BA5D5B" w:rsidRDefault="000B7EE2" w:rsidP="00186172">
            <w:pPr>
              <w:pStyle w:val="AERtabletext-numbers"/>
            </w:pPr>
            <w:r>
              <w:t>–</w:t>
            </w:r>
          </w:p>
        </w:tc>
        <w:tc>
          <w:tcPr>
            <w:tcW w:w="3744" w:type="dxa"/>
            <w:shd w:val="clear" w:color="auto" w:fill="auto"/>
            <w:noWrap/>
            <w:tcMar>
              <w:top w:w="0" w:type="dxa"/>
              <w:bottom w:w="0" w:type="dxa"/>
            </w:tcMar>
            <w:vAlign w:val="center"/>
          </w:tcPr>
          <w:p w:rsidR="007C1F9F" w:rsidRPr="00BA5D5B" w:rsidRDefault="007C1F9F" w:rsidP="00186172">
            <w:pPr>
              <w:pStyle w:val="AERtabletext"/>
            </w:pPr>
            <w:r>
              <w:t>Deferred expenditure on basis of the WORM being approved.</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Gooding Compressor Station</w:t>
            </w:r>
          </w:p>
        </w:tc>
        <w:tc>
          <w:tcPr>
            <w:tcW w:w="1418" w:type="dxa"/>
            <w:shd w:val="clear" w:color="auto" w:fill="F8B47C"/>
            <w:noWrap/>
            <w:tcMar>
              <w:top w:w="0" w:type="dxa"/>
              <w:bottom w:w="0" w:type="dxa"/>
            </w:tcMar>
            <w:vAlign w:val="center"/>
          </w:tcPr>
          <w:p w:rsidR="007C1F9F" w:rsidRPr="00BA5D5B" w:rsidRDefault="007C1F9F" w:rsidP="00186172">
            <w:pPr>
              <w:pStyle w:val="AERtabletext-numbers"/>
            </w:pPr>
            <w:r>
              <w:t>1.4</w:t>
            </w:r>
          </w:p>
        </w:tc>
        <w:tc>
          <w:tcPr>
            <w:tcW w:w="1417" w:type="dxa"/>
            <w:shd w:val="clear" w:color="auto" w:fill="F8B47C"/>
            <w:noWrap/>
            <w:tcMar>
              <w:top w:w="0" w:type="dxa"/>
              <w:bottom w:w="0" w:type="dxa"/>
            </w:tcMar>
            <w:vAlign w:val="center"/>
          </w:tcPr>
          <w:p w:rsidR="007C1F9F" w:rsidRPr="00BA5D5B" w:rsidRDefault="007C1F9F" w:rsidP="00186172">
            <w:pPr>
              <w:pStyle w:val="AERtabletext-numbers"/>
            </w:pPr>
            <w:r>
              <w:t>1.8</w:t>
            </w:r>
          </w:p>
        </w:tc>
        <w:tc>
          <w:tcPr>
            <w:tcW w:w="3744" w:type="dxa"/>
            <w:shd w:val="clear" w:color="auto" w:fill="F8B47C"/>
            <w:noWrap/>
            <w:tcMar>
              <w:top w:w="0" w:type="dxa"/>
              <w:bottom w:w="0" w:type="dxa"/>
            </w:tcMar>
            <w:vAlign w:val="center"/>
          </w:tcPr>
          <w:p w:rsidR="007C1F9F" w:rsidRPr="00BA5D5B" w:rsidRDefault="007C1F9F" w:rsidP="00186172">
            <w:pPr>
              <w:pStyle w:val="AERtabletext"/>
            </w:pPr>
            <w:r>
              <w:t>Carryover of expenditure from 2007.</w:t>
            </w:r>
          </w:p>
        </w:tc>
      </w:tr>
      <w:tr w:rsidR="007C1F9F" w:rsidRPr="006708A5" w:rsidTr="00186172">
        <w:tc>
          <w:tcPr>
            <w:tcW w:w="1701" w:type="dxa"/>
            <w:shd w:val="clear" w:color="auto" w:fill="auto"/>
            <w:noWrap/>
            <w:tcMar>
              <w:top w:w="0" w:type="dxa"/>
              <w:bottom w:w="0" w:type="dxa"/>
            </w:tcMar>
            <w:vAlign w:val="center"/>
          </w:tcPr>
          <w:p w:rsidR="007C1F9F" w:rsidRPr="00BA5D5B" w:rsidRDefault="007C1F9F" w:rsidP="00186172">
            <w:pPr>
              <w:pStyle w:val="AERtabletext"/>
            </w:pPr>
            <w:r>
              <w:t>Other Compressor Stations</w:t>
            </w:r>
          </w:p>
        </w:tc>
        <w:tc>
          <w:tcPr>
            <w:tcW w:w="1418" w:type="dxa"/>
            <w:shd w:val="clear" w:color="auto" w:fill="auto"/>
            <w:noWrap/>
            <w:tcMar>
              <w:top w:w="0" w:type="dxa"/>
              <w:bottom w:w="0" w:type="dxa"/>
            </w:tcMar>
            <w:vAlign w:val="center"/>
          </w:tcPr>
          <w:p w:rsidR="007C1F9F" w:rsidRPr="00BA5D5B" w:rsidRDefault="007C1F9F" w:rsidP="00186172">
            <w:pPr>
              <w:pStyle w:val="AERtabletext-numbers"/>
            </w:pPr>
            <w:r>
              <w:t>3.4</w:t>
            </w:r>
          </w:p>
        </w:tc>
        <w:tc>
          <w:tcPr>
            <w:tcW w:w="1417" w:type="dxa"/>
            <w:shd w:val="clear" w:color="auto" w:fill="auto"/>
            <w:noWrap/>
            <w:tcMar>
              <w:top w:w="0" w:type="dxa"/>
              <w:bottom w:w="0" w:type="dxa"/>
            </w:tcMar>
            <w:vAlign w:val="center"/>
          </w:tcPr>
          <w:p w:rsidR="007C1F9F" w:rsidRPr="00BA5D5B" w:rsidRDefault="007C1F9F" w:rsidP="00186172">
            <w:pPr>
              <w:pStyle w:val="AERtabletext-numbers"/>
            </w:pPr>
            <w:r>
              <w:t>2.5</w:t>
            </w:r>
          </w:p>
        </w:tc>
        <w:tc>
          <w:tcPr>
            <w:tcW w:w="3744" w:type="dxa"/>
            <w:shd w:val="clear" w:color="auto" w:fill="auto"/>
            <w:noWrap/>
            <w:tcMar>
              <w:top w:w="0" w:type="dxa"/>
              <w:bottom w:w="0" w:type="dxa"/>
            </w:tcMar>
            <w:vAlign w:val="center"/>
          </w:tcPr>
          <w:p w:rsidR="007C1F9F" w:rsidRPr="00BA5D5B" w:rsidRDefault="007C1F9F" w:rsidP="00186172">
            <w:pPr>
              <w:pStyle w:val="AERtabletext"/>
            </w:pPr>
            <w:r>
              <w:t xml:space="preserve">Deferred expenditure on the Iona Compressor Station and </w:t>
            </w:r>
            <w:r w:rsidRPr="00BA5D5B">
              <w:t>overhaul of Gooding Compressor unit 3. Unforecast</w:t>
            </w:r>
            <w:r>
              <w:t xml:space="preserve"> </w:t>
            </w:r>
            <w:r w:rsidRPr="00BA5D5B">
              <w:t>work at Gooding Compressor Station.</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O</w:t>
            </w:r>
            <w:r w:rsidRPr="00BA5D5B">
              <w:t>ther</w:t>
            </w:r>
          </w:p>
        </w:tc>
        <w:tc>
          <w:tcPr>
            <w:tcW w:w="1418" w:type="dxa"/>
            <w:shd w:val="clear" w:color="auto" w:fill="F8B47C"/>
            <w:noWrap/>
            <w:tcMar>
              <w:top w:w="0" w:type="dxa"/>
              <w:bottom w:w="0" w:type="dxa"/>
            </w:tcMar>
            <w:vAlign w:val="center"/>
          </w:tcPr>
          <w:p w:rsidR="007C1F9F" w:rsidRPr="00BA5D5B" w:rsidRDefault="007C1F9F" w:rsidP="00186172">
            <w:pPr>
              <w:pStyle w:val="AERtabletext-numbers"/>
            </w:pPr>
            <w:r>
              <w:t>1.0</w:t>
            </w:r>
          </w:p>
        </w:tc>
        <w:tc>
          <w:tcPr>
            <w:tcW w:w="1417" w:type="dxa"/>
            <w:shd w:val="clear" w:color="auto" w:fill="F8B47C"/>
            <w:noWrap/>
            <w:tcMar>
              <w:top w:w="0" w:type="dxa"/>
              <w:bottom w:w="0" w:type="dxa"/>
            </w:tcMar>
            <w:vAlign w:val="center"/>
          </w:tcPr>
          <w:p w:rsidR="007C1F9F" w:rsidRPr="00BA5D5B" w:rsidRDefault="007C1F9F" w:rsidP="00186172">
            <w:pPr>
              <w:pStyle w:val="AERtabletext-numbers"/>
            </w:pPr>
            <w:r>
              <w:t>1.3</w:t>
            </w:r>
          </w:p>
        </w:tc>
        <w:tc>
          <w:tcPr>
            <w:tcW w:w="3744" w:type="dxa"/>
            <w:shd w:val="clear" w:color="auto" w:fill="F8B47C"/>
            <w:noWrap/>
            <w:tcMar>
              <w:top w:w="0" w:type="dxa"/>
              <w:bottom w:w="0" w:type="dxa"/>
            </w:tcMar>
            <w:vAlign w:val="center"/>
          </w:tcPr>
          <w:p w:rsidR="007C1F9F" w:rsidRPr="00BA5D5B" w:rsidRDefault="007C1F9F" w:rsidP="00186172">
            <w:pPr>
              <w:pStyle w:val="AERtabletext"/>
            </w:pPr>
            <w:r>
              <w:t xml:space="preserve">Scope change due to higher </w:t>
            </w:r>
            <w:r w:rsidRPr="00BA5D5B">
              <w:t>odorant plant costs.</w:t>
            </w:r>
          </w:p>
        </w:tc>
      </w:tr>
      <w:tr w:rsidR="007C1F9F" w:rsidRPr="006708A5" w:rsidTr="00186172">
        <w:tc>
          <w:tcPr>
            <w:tcW w:w="1701" w:type="dxa"/>
            <w:shd w:val="clear" w:color="auto" w:fill="auto"/>
            <w:noWrap/>
            <w:tcMar>
              <w:top w:w="0" w:type="dxa"/>
              <w:bottom w:w="0" w:type="dxa"/>
            </w:tcMar>
            <w:vAlign w:val="center"/>
          </w:tcPr>
          <w:p w:rsidR="007C1F9F" w:rsidRPr="00BA5D5B" w:rsidRDefault="007C1F9F" w:rsidP="00186172">
            <w:pPr>
              <w:pStyle w:val="AERtabletext"/>
            </w:pPr>
            <w:r>
              <w:t>Total expenditure</w:t>
            </w:r>
          </w:p>
        </w:tc>
        <w:tc>
          <w:tcPr>
            <w:tcW w:w="1418" w:type="dxa"/>
            <w:shd w:val="clear" w:color="auto" w:fill="auto"/>
            <w:noWrap/>
            <w:tcMar>
              <w:top w:w="0" w:type="dxa"/>
              <w:bottom w:w="0" w:type="dxa"/>
            </w:tcMar>
            <w:vAlign w:val="center"/>
          </w:tcPr>
          <w:p w:rsidR="007C1F9F" w:rsidRPr="00BA5D5B" w:rsidRDefault="007C1F9F" w:rsidP="00186172">
            <w:pPr>
              <w:pStyle w:val="AERtabletext-numbers"/>
            </w:pPr>
            <w:r>
              <w:t>1</w:t>
            </w:r>
            <w:r w:rsidRPr="00BA5D5B">
              <w:t>06.2</w:t>
            </w:r>
          </w:p>
        </w:tc>
        <w:tc>
          <w:tcPr>
            <w:tcW w:w="1417" w:type="dxa"/>
            <w:shd w:val="clear" w:color="auto" w:fill="auto"/>
            <w:noWrap/>
            <w:tcMar>
              <w:top w:w="0" w:type="dxa"/>
              <w:bottom w:w="0" w:type="dxa"/>
            </w:tcMar>
            <w:vAlign w:val="center"/>
          </w:tcPr>
          <w:p w:rsidR="007C1F9F" w:rsidRPr="00BA5D5B" w:rsidRDefault="007C1F9F" w:rsidP="00186172">
            <w:pPr>
              <w:pStyle w:val="AERtabletext-numbers"/>
            </w:pPr>
            <w:r>
              <w:t>54.9</w:t>
            </w:r>
          </w:p>
        </w:tc>
        <w:tc>
          <w:tcPr>
            <w:tcW w:w="3744" w:type="dxa"/>
            <w:shd w:val="clear" w:color="auto" w:fill="auto"/>
            <w:noWrap/>
            <w:tcMar>
              <w:top w:w="0" w:type="dxa"/>
              <w:bottom w:w="0" w:type="dxa"/>
            </w:tcMar>
            <w:vAlign w:val="center"/>
          </w:tcPr>
          <w:p w:rsidR="007C1F9F" w:rsidRPr="00BA5D5B" w:rsidRDefault="007C1F9F" w:rsidP="00186172">
            <w:pPr>
              <w:pStyle w:val="AERtabletext"/>
            </w:pPr>
            <w:r>
              <w:t>Prudent deferral due to identification of alternative projects, lower</w:t>
            </w:r>
            <w:r w:rsidRPr="00BA5D5B">
              <w:t xml:space="preserve"> cost delivery of outcomes and uncertainty due to GFC.</w:t>
            </w:r>
          </w:p>
        </w:tc>
      </w:tr>
    </w:tbl>
    <w:p w:rsidR="007C1F9F" w:rsidRDefault="007C1F9F" w:rsidP="000B7EE2">
      <w:pPr>
        <w:pStyle w:val="FootnoteText"/>
      </w:pPr>
      <w:r w:rsidRPr="006708A5">
        <w:t>Source:</w:t>
      </w:r>
      <w:r w:rsidRPr="006708A5">
        <w:tab/>
      </w:r>
      <w:r>
        <w:t xml:space="preserve">APA GasNet, </w:t>
      </w:r>
      <w:r w:rsidRPr="000326DB">
        <w:rPr>
          <w:rStyle w:val="AERtextitalic"/>
        </w:rPr>
        <w:t xml:space="preserve">Access </w:t>
      </w:r>
      <w:r>
        <w:rPr>
          <w:rStyle w:val="AERtextitalic"/>
        </w:rPr>
        <w:t>arrangement submission</w:t>
      </w:r>
      <w:r w:rsidRPr="000326DB">
        <w:t>,</w:t>
      </w:r>
      <w:r>
        <w:t xml:space="preserve"> 31 March 2012, pp. 80-88 and </w:t>
      </w:r>
      <w:r>
        <w:rPr>
          <w:rStyle w:val="AERtextitalic"/>
        </w:rPr>
        <w:t>Response to AER information request 3, Part 2</w:t>
      </w:r>
      <w:r w:rsidRPr="00AB6746">
        <w:rPr>
          <w:rStyle w:val="AERtextitalic"/>
        </w:rPr>
        <w:t xml:space="preserve">, </w:t>
      </w:r>
      <w:r w:rsidRPr="000B7EE2">
        <w:rPr>
          <w:rStyle w:val="AERtextitalic"/>
          <w:i w:val="0"/>
        </w:rPr>
        <w:t>29 May 2012, pp.1-2 (confidential)</w:t>
      </w:r>
      <w:r w:rsidRPr="000B7EE2">
        <w:t>.</w:t>
      </w:r>
      <w:r>
        <w:t xml:space="preserve"> </w:t>
      </w:r>
      <w:r w:rsidRPr="007F0EC0">
        <w:t xml:space="preserve"> </w:t>
      </w:r>
    </w:p>
    <w:p w:rsidR="007C1F9F" w:rsidRPr="007F0EC0" w:rsidRDefault="007C1F9F" w:rsidP="007C1F9F">
      <w:pPr>
        <w:pStyle w:val="FootnoteText"/>
      </w:pPr>
    </w:p>
    <w:p w:rsidR="007C1F9F" w:rsidRDefault="007C1F9F" w:rsidP="007C1F9F">
      <w:pPr>
        <w:pStyle w:val="AERheading4"/>
      </w:pPr>
      <w:r>
        <w:t>Non-system capital expenditure</w:t>
      </w:r>
    </w:p>
    <w:p w:rsidR="007C1F9F" w:rsidRDefault="007C1F9F" w:rsidP="007C1F9F">
      <w:pPr>
        <w:pStyle w:val="AERbodytext"/>
      </w:pPr>
      <w:r>
        <w:t>APA GasNet submitted that the basis for the increase in non-system capex from a forecast level of $3.9 million ($2012) to actual expenditure of $13.5 million ($2012) was due to IT system expenditure at a corporate level.</w:t>
      </w:r>
      <w:r>
        <w:rPr>
          <w:rStyle w:val="FootnoteReference"/>
        </w:rPr>
        <w:footnoteReference w:id="78"/>
      </w:r>
      <w:r>
        <w:t xml:space="preserve"> APA GasNet attributes $9.7 million ($2012) of this unforecast expenditure to the operation of the VTS.</w:t>
      </w:r>
      <w:r>
        <w:rPr>
          <w:rStyle w:val="FootnoteReference"/>
        </w:rPr>
        <w:footnoteReference w:id="79"/>
      </w:r>
      <w:r>
        <w:t xml:space="preserve"> Expenditure on IT systems was undertaken nationally and allocated to the VTS based on APA GasNet's allocation methodology for corporate costs.</w:t>
      </w:r>
      <w:r>
        <w:rPr>
          <w:rStyle w:val="FootnoteReference"/>
        </w:rPr>
        <w:footnoteReference w:id="80"/>
      </w:r>
      <w:r>
        <w:t xml:space="preserve"> This allocation methodology allocates corporate costs to specific assets like the VTS first by driver, with the remainder allocated in proportion to APA Group revenue.</w:t>
      </w:r>
      <w:r>
        <w:rPr>
          <w:rStyle w:val="FootnoteReference"/>
        </w:rPr>
        <w:footnoteReference w:id="81"/>
      </w:r>
      <w:r>
        <w:t xml:space="preserve"> APA GasNet submitted that in all cases the amount capitalised for the VTS is less than the cost that an equivalent system could be built for on a stand-alone basis.</w:t>
      </w:r>
      <w:r>
        <w:rPr>
          <w:rStyle w:val="FootnoteReference"/>
        </w:rPr>
        <w:footnoteReference w:id="82"/>
      </w:r>
    </w:p>
    <w:p w:rsidR="007C1F9F" w:rsidRDefault="007C1F9F" w:rsidP="007C1F9F">
      <w:pPr>
        <w:pStyle w:val="AERbodytext"/>
      </w:pPr>
      <w:r>
        <w:t>APA GasNet submitted that there was some deviation from its forecast repair and maintenance works program at its Dandenong office in 2011 and 2012. These maintenance works were not completed largely because replacement of the Dandenong office buildings was identified as the only option available to address known issues at the site. APA GasNet has included this project as part of its forecast non-system capex.</w:t>
      </w:r>
      <w:r>
        <w:rPr>
          <w:rStyle w:val="FootnoteReference"/>
        </w:rPr>
        <w:footnoteReference w:id="83"/>
      </w:r>
      <w:r>
        <w:t xml:space="preserve"> </w:t>
      </w:r>
    </w:p>
    <w:p w:rsidR="007C1F9F" w:rsidRDefault="007C1F9F" w:rsidP="007C1F9F">
      <w:pPr>
        <w:pStyle w:val="AERheading3"/>
        <w:numPr>
          <w:ilvl w:val="2"/>
          <w:numId w:val="7"/>
        </w:numPr>
        <w:tabs>
          <w:tab w:val="clear" w:pos="-357"/>
          <w:tab w:val="num" w:pos="0"/>
        </w:tabs>
        <w:ind w:left="0" w:hanging="714"/>
      </w:pPr>
      <w:r>
        <w:t xml:space="preserve">Forecast capex over the </w:t>
      </w:r>
      <w:r w:rsidR="00202065">
        <w:t>2013–17</w:t>
      </w:r>
      <w:r>
        <w:t xml:space="preserve"> access arrangement period </w:t>
      </w:r>
    </w:p>
    <w:p w:rsidR="007C1F9F" w:rsidRDefault="007C1F9F" w:rsidP="007C1F9F">
      <w:pPr>
        <w:pStyle w:val="AERbodytext"/>
      </w:pPr>
      <w:r>
        <w:t xml:space="preserve">APA GasNet proposed forecast capex of </w:t>
      </w:r>
      <w:r w:rsidRPr="003F562A">
        <w:rPr>
          <w:rStyle w:val="AERbody"/>
        </w:rPr>
        <w:t>$3</w:t>
      </w:r>
      <w:r>
        <w:rPr>
          <w:rStyle w:val="AERbody"/>
        </w:rPr>
        <w:t>40.8</w:t>
      </w:r>
      <w:r w:rsidRPr="003F562A">
        <w:rPr>
          <w:rStyle w:val="AERbody"/>
        </w:rPr>
        <w:t> million</w:t>
      </w:r>
      <w:r>
        <w:t xml:space="preserve"> ($2012) over the </w:t>
      </w:r>
      <w:r w:rsidR="00202065">
        <w:t>2013–17</w:t>
      </w:r>
      <w:r>
        <w:t xml:space="preserve"> access arrangement period.</w:t>
      </w:r>
      <w:r>
        <w:rPr>
          <w:rStyle w:val="FootnoteReference"/>
        </w:rPr>
        <w:footnoteReference w:id="84"/>
      </w:r>
      <w:r>
        <w:t xml:space="preserve"> This forecast reflects updated capex estimates provided by APA GasNet in July 2012 following the identification of a number of minor errors in the forecast capex estimates submitted by APA GasNet to the AER in March 2012. The proposed forecast capex is set out in </w:t>
      </w:r>
      <w:r w:rsidR="00DE0D6A">
        <w:fldChar w:fldCharType="begin"/>
      </w:r>
      <w:r>
        <w:instrText xml:space="preserve"> REF _Ref330898806 \r \h </w:instrText>
      </w:r>
      <w:r w:rsidR="00DE0D6A">
        <w:fldChar w:fldCharType="separate"/>
      </w:r>
      <w:r>
        <w:t>Table 3.6</w:t>
      </w:r>
      <w:r w:rsidR="00DE0D6A">
        <w:fldChar w:fldCharType="end"/>
      </w:r>
      <w:r w:rsidRPr="00A85E2F">
        <w:t>.</w:t>
      </w:r>
      <w:r>
        <w:t xml:space="preserve"> </w:t>
      </w:r>
    </w:p>
    <w:p w:rsidR="007C1F9F" w:rsidRDefault="007C1F9F" w:rsidP="007C1F9F">
      <w:pPr>
        <w:pStyle w:val="AERtabletitle"/>
      </w:pPr>
      <w:bookmarkStart w:id="39" w:name="_Ref330898806"/>
      <w:r>
        <w:t xml:space="preserve">APA GasNet's forecast capital expenditure for the </w:t>
      </w:r>
      <w:r w:rsidR="00202065">
        <w:t>2013–17</w:t>
      </w:r>
      <w:r>
        <w:t xml:space="preserve"> access arrangement period ($million, 2012)</w:t>
      </w:r>
      <w:bookmarkEnd w:id="39"/>
      <w:r>
        <w:tab/>
      </w:r>
    </w:p>
    <w:tbl>
      <w:tblPr>
        <w:tblStyle w:val="AERtable-numbers"/>
        <w:tblW w:w="8280" w:type="dxa"/>
        <w:tblLayout w:type="fixed"/>
        <w:tblLook w:val="01E0"/>
      </w:tblPr>
      <w:tblGrid>
        <w:gridCol w:w="2160"/>
        <w:gridCol w:w="1043"/>
        <w:gridCol w:w="1043"/>
        <w:gridCol w:w="1044"/>
        <w:gridCol w:w="1043"/>
        <w:gridCol w:w="1043"/>
        <w:gridCol w:w="904"/>
      </w:tblGrid>
      <w:tr w:rsidR="007C1F9F" w:rsidRPr="006708A5" w:rsidTr="000B7EE2">
        <w:trPr>
          <w:cnfStyle w:val="100000000000"/>
        </w:trPr>
        <w:tc>
          <w:tcPr>
            <w:cnfStyle w:val="001000000000"/>
            <w:tcW w:w="2160" w:type="dxa"/>
          </w:tcPr>
          <w:p w:rsidR="007C1F9F" w:rsidRPr="00AB6746" w:rsidRDefault="007C1F9F" w:rsidP="00186172">
            <w:pPr>
              <w:pStyle w:val="AERtabletextheading"/>
            </w:pPr>
          </w:p>
        </w:tc>
        <w:tc>
          <w:tcPr>
            <w:tcW w:w="1043" w:type="dxa"/>
          </w:tcPr>
          <w:p w:rsidR="007C1F9F" w:rsidRPr="00AB6746" w:rsidRDefault="007C1F9F" w:rsidP="00186172">
            <w:pPr>
              <w:pStyle w:val="AERtabletextheading"/>
              <w:cnfStyle w:val="100000000000"/>
            </w:pPr>
            <w:r w:rsidRPr="00AB6746">
              <w:t>2013</w:t>
            </w:r>
          </w:p>
        </w:tc>
        <w:tc>
          <w:tcPr>
            <w:tcW w:w="1043" w:type="dxa"/>
          </w:tcPr>
          <w:p w:rsidR="007C1F9F" w:rsidRPr="00AB6746" w:rsidRDefault="007C1F9F" w:rsidP="00186172">
            <w:pPr>
              <w:pStyle w:val="AERtabletextheading"/>
              <w:cnfStyle w:val="100000000000"/>
            </w:pPr>
            <w:r w:rsidRPr="00AB6746">
              <w:t>2014</w:t>
            </w:r>
          </w:p>
        </w:tc>
        <w:tc>
          <w:tcPr>
            <w:tcW w:w="1044" w:type="dxa"/>
          </w:tcPr>
          <w:p w:rsidR="007C1F9F" w:rsidRPr="00AB6746" w:rsidRDefault="007C1F9F" w:rsidP="00186172">
            <w:pPr>
              <w:pStyle w:val="AERtabletextheading"/>
              <w:cnfStyle w:val="100000000000"/>
            </w:pPr>
            <w:r w:rsidRPr="00AB6746">
              <w:t>2015</w:t>
            </w:r>
          </w:p>
        </w:tc>
        <w:tc>
          <w:tcPr>
            <w:tcW w:w="1043" w:type="dxa"/>
          </w:tcPr>
          <w:p w:rsidR="007C1F9F" w:rsidRPr="00AB6746" w:rsidRDefault="007C1F9F" w:rsidP="00186172">
            <w:pPr>
              <w:pStyle w:val="AERtabletextheading"/>
              <w:cnfStyle w:val="100000000000"/>
            </w:pPr>
            <w:r w:rsidRPr="00AB6746">
              <w:t>2016</w:t>
            </w:r>
          </w:p>
        </w:tc>
        <w:tc>
          <w:tcPr>
            <w:tcW w:w="1043" w:type="dxa"/>
          </w:tcPr>
          <w:p w:rsidR="007C1F9F" w:rsidRPr="00AB6746" w:rsidRDefault="007C1F9F" w:rsidP="00186172">
            <w:pPr>
              <w:pStyle w:val="AERtabletextheading"/>
              <w:cnfStyle w:val="100000000000"/>
            </w:pPr>
            <w:r w:rsidRPr="00AB6746">
              <w:t>2017</w:t>
            </w:r>
          </w:p>
        </w:tc>
        <w:tc>
          <w:tcPr>
            <w:tcW w:w="904" w:type="dxa"/>
          </w:tcPr>
          <w:p w:rsidR="007C1F9F" w:rsidRPr="00AB6746" w:rsidRDefault="007C1F9F" w:rsidP="00186172">
            <w:pPr>
              <w:pStyle w:val="AERtabletextheading"/>
              <w:cnfStyle w:val="100000000000"/>
            </w:pPr>
            <w:r w:rsidRPr="00AB6746">
              <w:t>Total</w:t>
            </w:r>
          </w:p>
        </w:tc>
      </w:tr>
      <w:tr w:rsidR="007C1F9F" w:rsidRPr="006708A5" w:rsidTr="000B7EE2">
        <w:tc>
          <w:tcPr>
            <w:cnfStyle w:val="001000000000"/>
            <w:tcW w:w="2160" w:type="dxa"/>
          </w:tcPr>
          <w:p w:rsidR="007C1F9F" w:rsidRPr="00D30BC7" w:rsidRDefault="007C1F9F" w:rsidP="00186172">
            <w:pPr>
              <w:pStyle w:val="AERtabletext"/>
            </w:pPr>
            <w:r w:rsidRPr="00D30BC7">
              <w:t xml:space="preserve">Augmentation </w:t>
            </w:r>
          </w:p>
        </w:tc>
        <w:tc>
          <w:tcPr>
            <w:tcW w:w="1043" w:type="dxa"/>
          </w:tcPr>
          <w:p w:rsidR="007C1F9F" w:rsidRPr="00D30BC7" w:rsidRDefault="007C1F9F" w:rsidP="00186172">
            <w:pPr>
              <w:pStyle w:val="AERtabletext-numbers"/>
              <w:cnfStyle w:val="000000000000"/>
            </w:pPr>
            <w:r w:rsidRPr="00D30BC7">
              <w:t>31.2</w:t>
            </w:r>
          </w:p>
        </w:tc>
        <w:tc>
          <w:tcPr>
            <w:tcW w:w="1043" w:type="dxa"/>
          </w:tcPr>
          <w:p w:rsidR="007C1F9F" w:rsidRPr="00D30BC7" w:rsidRDefault="007C1F9F" w:rsidP="00186172">
            <w:pPr>
              <w:pStyle w:val="AERtabletext-numbers"/>
              <w:cnfStyle w:val="000000000000"/>
            </w:pPr>
            <w:r w:rsidRPr="00D30BC7">
              <w:t>227.5</w:t>
            </w:r>
          </w:p>
        </w:tc>
        <w:tc>
          <w:tcPr>
            <w:tcW w:w="1044" w:type="dxa"/>
          </w:tcPr>
          <w:p w:rsidR="007C1F9F" w:rsidRPr="00D30BC7" w:rsidRDefault="007C1F9F" w:rsidP="00186172">
            <w:pPr>
              <w:pStyle w:val="AERtabletext-numbers"/>
              <w:cnfStyle w:val="000000000000"/>
            </w:pPr>
            <w:r w:rsidRPr="00D30BC7">
              <w:t>11.5</w:t>
            </w:r>
          </w:p>
        </w:tc>
        <w:tc>
          <w:tcPr>
            <w:tcW w:w="1043" w:type="dxa"/>
          </w:tcPr>
          <w:p w:rsidR="007C1F9F" w:rsidRPr="00D30BC7" w:rsidRDefault="007C1F9F" w:rsidP="00186172">
            <w:pPr>
              <w:pStyle w:val="AERtabletext-numbers"/>
              <w:cnfStyle w:val="000000000000"/>
            </w:pPr>
            <w:r w:rsidRPr="00D30BC7">
              <w:t>0.0</w:t>
            </w:r>
          </w:p>
        </w:tc>
        <w:tc>
          <w:tcPr>
            <w:tcW w:w="1043" w:type="dxa"/>
          </w:tcPr>
          <w:p w:rsidR="007C1F9F" w:rsidRPr="00D30BC7" w:rsidRDefault="007C1F9F" w:rsidP="00186172">
            <w:pPr>
              <w:pStyle w:val="AERtabletext-numbers"/>
              <w:cnfStyle w:val="000000000000"/>
            </w:pPr>
            <w:r w:rsidRPr="00D30BC7">
              <w:t>0.0</w:t>
            </w:r>
          </w:p>
        </w:tc>
        <w:tc>
          <w:tcPr>
            <w:tcW w:w="904" w:type="dxa"/>
          </w:tcPr>
          <w:p w:rsidR="007C1F9F" w:rsidRPr="00D30BC7" w:rsidRDefault="007C1F9F" w:rsidP="00186172">
            <w:pPr>
              <w:pStyle w:val="AERtabletext-numbers"/>
              <w:cnfStyle w:val="000000000000"/>
            </w:pPr>
            <w:r w:rsidRPr="00D30BC7">
              <w:t>270.3</w:t>
            </w:r>
          </w:p>
        </w:tc>
      </w:tr>
      <w:tr w:rsidR="007C1F9F" w:rsidRPr="006708A5" w:rsidTr="000B7EE2">
        <w:trPr>
          <w:cnfStyle w:val="000000010000"/>
        </w:trPr>
        <w:tc>
          <w:tcPr>
            <w:cnfStyle w:val="001000000000"/>
            <w:tcW w:w="2160" w:type="dxa"/>
          </w:tcPr>
          <w:p w:rsidR="007C1F9F" w:rsidRPr="00D30BC7" w:rsidRDefault="007C1F9F" w:rsidP="00186172">
            <w:pPr>
              <w:pStyle w:val="AERtabletext"/>
            </w:pPr>
            <w:r w:rsidRPr="00D30BC7">
              <w:t>Refurbishment and upgrade</w:t>
            </w:r>
          </w:p>
        </w:tc>
        <w:tc>
          <w:tcPr>
            <w:tcW w:w="1043" w:type="dxa"/>
          </w:tcPr>
          <w:p w:rsidR="007C1F9F" w:rsidRPr="00D30BC7" w:rsidRDefault="007C1F9F" w:rsidP="00186172">
            <w:pPr>
              <w:pStyle w:val="AERtabletext-numbers"/>
              <w:cnfStyle w:val="000000010000"/>
            </w:pPr>
            <w:r w:rsidRPr="00D30BC7">
              <w:t>12.0</w:t>
            </w:r>
          </w:p>
        </w:tc>
        <w:tc>
          <w:tcPr>
            <w:tcW w:w="1043" w:type="dxa"/>
          </w:tcPr>
          <w:p w:rsidR="007C1F9F" w:rsidRPr="00D30BC7" w:rsidRDefault="007C1F9F" w:rsidP="00186172">
            <w:pPr>
              <w:pStyle w:val="AERtabletext-numbers"/>
              <w:cnfStyle w:val="000000010000"/>
            </w:pPr>
            <w:r w:rsidRPr="00D30BC7">
              <w:t>11.0</w:t>
            </w:r>
          </w:p>
        </w:tc>
        <w:tc>
          <w:tcPr>
            <w:tcW w:w="1044" w:type="dxa"/>
          </w:tcPr>
          <w:p w:rsidR="007C1F9F" w:rsidRPr="00D30BC7" w:rsidRDefault="007C1F9F" w:rsidP="00186172">
            <w:pPr>
              <w:pStyle w:val="AERtabletext-numbers"/>
              <w:cnfStyle w:val="000000010000"/>
            </w:pPr>
            <w:r w:rsidRPr="00D30BC7">
              <w:t>10.9</w:t>
            </w:r>
          </w:p>
        </w:tc>
        <w:tc>
          <w:tcPr>
            <w:tcW w:w="1043" w:type="dxa"/>
          </w:tcPr>
          <w:p w:rsidR="007C1F9F" w:rsidRPr="00D30BC7" w:rsidRDefault="007C1F9F" w:rsidP="00186172">
            <w:pPr>
              <w:pStyle w:val="AERtabletext-numbers"/>
              <w:cnfStyle w:val="000000010000"/>
            </w:pPr>
            <w:r w:rsidRPr="00D30BC7">
              <w:t>11.5</w:t>
            </w:r>
          </w:p>
        </w:tc>
        <w:tc>
          <w:tcPr>
            <w:tcW w:w="1043" w:type="dxa"/>
          </w:tcPr>
          <w:p w:rsidR="007C1F9F" w:rsidRPr="00D30BC7" w:rsidRDefault="007C1F9F" w:rsidP="00186172">
            <w:pPr>
              <w:pStyle w:val="AERtabletext-numbers"/>
              <w:cnfStyle w:val="000000010000"/>
            </w:pPr>
            <w:r w:rsidRPr="00D30BC7">
              <w:t>8.8</w:t>
            </w:r>
          </w:p>
        </w:tc>
        <w:tc>
          <w:tcPr>
            <w:tcW w:w="904" w:type="dxa"/>
          </w:tcPr>
          <w:p w:rsidR="007C1F9F" w:rsidRPr="00D30BC7" w:rsidRDefault="007C1F9F" w:rsidP="00186172">
            <w:pPr>
              <w:pStyle w:val="AERtabletext-numbers"/>
              <w:cnfStyle w:val="000000010000"/>
            </w:pPr>
            <w:r w:rsidRPr="00D30BC7">
              <w:t>54.2</w:t>
            </w:r>
          </w:p>
        </w:tc>
      </w:tr>
      <w:tr w:rsidR="007C1F9F" w:rsidRPr="006708A5" w:rsidTr="000B7EE2">
        <w:tc>
          <w:tcPr>
            <w:cnfStyle w:val="001000000000"/>
            <w:tcW w:w="2160" w:type="dxa"/>
          </w:tcPr>
          <w:p w:rsidR="007C1F9F" w:rsidRPr="00D30BC7" w:rsidRDefault="007C1F9F" w:rsidP="00186172">
            <w:pPr>
              <w:pStyle w:val="AERtabletext"/>
            </w:pPr>
            <w:r w:rsidRPr="00D30BC7">
              <w:t>Non-system</w:t>
            </w:r>
          </w:p>
        </w:tc>
        <w:tc>
          <w:tcPr>
            <w:tcW w:w="1043" w:type="dxa"/>
          </w:tcPr>
          <w:p w:rsidR="007C1F9F" w:rsidRPr="00D30BC7" w:rsidRDefault="007C1F9F" w:rsidP="00186172">
            <w:pPr>
              <w:pStyle w:val="AERtabletext-numbers"/>
              <w:cnfStyle w:val="000000000000"/>
            </w:pPr>
            <w:r w:rsidRPr="00D30BC7">
              <w:t>5.1</w:t>
            </w:r>
          </w:p>
        </w:tc>
        <w:tc>
          <w:tcPr>
            <w:tcW w:w="1043" w:type="dxa"/>
          </w:tcPr>
          <w:p w:rsidR="007C1F9F" w:rsidRPr="00D30BC7" w:rsidRDefault="007C1F9F" w:rsidP="00186172">
            <w:pPr>
              <w:pStyle w:val="AERtabletext-numbers"/>
              <w:cnfStyle w:val="000000000000"/>
            </w:pPr>
            <w:r w:rsidRPr="00D30BC7">
              <w:t>5.8</w:t>
            </w:r>
          </w:p>
        </w:tc>
        <w:tc>
          <w:tcPr>
            <w:tcW w:w="1044" w:type="dxa"/>
          </w:tcPr>
          <w:p w:rsidR="007C1F9F" w:rsidRPr="00D30BC7" w:rsidRDefault="007C1F9F" w:rsidP="00186172">
            <w:pPr>
              <w:pStyle w:val="AERtabletext-numbers"/>
              <w:cnfStyle w:val="000000000000"/>
            </w:pPr>
            <w:r w:rsidRPr="00D30BC7">
              <w:t>1.0</w:t>
            </w:r>
          </w:p>
        </w:tc>
        <w:tc>
          <w:tcPr>
            <w:tcW w:w="1043" w:type="dxa"/>
          </w:tcPr>
          <w:p w:rsidR="007C1F9F" w:rsidRPr="00D30BC7" w:rsidRDefault="007C1F9F" w:rsidP="00186172">
            <w:pPr>
              <w:pStyle w:val="AERtabletext-numbers"/>
              <w:cnfStyle w:val="000000000000"/>
            </w:pPr>
            <w:r w:rsidRPr="00D30BC7">
              <w:t>1.7</w:t>
            </w:r>
          </w:p>
        </w:tc>
        <w:tc>
          <w:tcPr>
            <w:tcW w:w="1043" w:type="dxa"/>
          </w:tcPr>
          <w:p w:rsidR="007C1F9F" w:rsidRPr="00D30BC7" w:rsidRDefault="007C1F9F" w:rsidP="00186172">
            <w:pPr>
              <w:pStyle w:val="AERtabletext-numbers"/>
              <w:cnfStyle w:val="000000000000"/>
            </w:pPr>
            <w:r w:rsidRPr="00D30BC7">
              <w:t>2.7</w:t>
            </w:r>
          </w:p>
        </w:tc>
        <w:tc>
          <w:tcPr>
            <w:tcW w:w="904" w:type="dxa"/>
          </w:tcPr>
          <w:p w:rsidR="007C1F9F" w:rsidRPr="00D30BC7" w:rsidRDefault="007C1F9F" w:rsidP="00186172">
            <w:pPr>
              <w:pStyle w:val="AERtabletext-numbers"/>
              <w:cnfStyle w:val="000000000000"/>
            </w:pPr>
            <w:r w:rsidRPr="00D30BC7">
              <w:t>16.4</w:t>
            </w:r>
          </w:p>
        </w:tc>
      </w:tr>
      <w:tr w:rsidR="007C1F9F" w:rsidRPr="006708A5" w:rsidTr="000B7EE2">
        <w:trPr>
          <w:cnfStyle w:val="000000010000"/>
        </w:trPr>
        <w:tc>
          <w:tcPr>
            <w:cnfStyle w:val="001000000000"/>
            <w:tcW w:w="2160" w:type="dxa"/>
          </w:tcPr>
          <w:p w:rsidR="007C1F9F" w:rsidRPr="00D30BC7" w:rsidRDefault="007C1F9F" w:rsidP="00186172">
            <w:pPr>
              <w:pStyle w:val="AERtabletext"/>
            </w:pPr>
            <w:r w:rsidRPr="00D30BC7">
              <w:t xml:space="preserve">Total </w:t>
            </w:r>
          </w:p>
        </w:tc>
        <w:tc>
          <w:tcPr>
            <w:tcW w:w="1043" w:type="dxa"/>
          </w:tcPr>
          <w:p w:rsidR="007C1F9F" w:rsidRPr="00D30BC7" w:rsidRDefault="007C1F9F" w:rsidP="00186172">
            <w:pPr>
              <w:pStyle w:val="AERtabletext-numbers"/>
              <w:cnfStyle w:val="000000010000"/>
            </w:pPr>
            <w:r w:rsidRPr="00D30BC7">
              <w:t>48.3</w:t>
            </w:r>
          </w:p>
        </w:tc>
        <w:tc>
          <w:tcPr>
            <w:tcW w:w="1043" w:type="dxa"/>
          </w:tcPr>
          <w:p w:rsidR="007C1F9F" w:rsidRPr="00D30BC7" w:rsidRDefault="007C1F9F" w:rsidP="00186172">
            <w:pPr>
              <w:pStyle w:val="AERtabletext-numbers"/>
              <w:cnfStyle w:val="000000010000"/>
            </w:pPr>
            <w:r w:rsidRPr="00D30BC7">
              <w:t>244.3</w:t>
            </w:r>
          </w:p>
        </w:tc>
        <w:tc>
          <w:tcPr>
            <w:tcW w:w="1044" w:type="dxa"/>
          </w:tcPr>
          <w:p w:rsidR="007C1F9F" w:rsidRPr="00D30BC7" w:rsidRDefault="007C1F9F" w:rsidP="00186172">
            <w:pPr>
              <w:pStyle w:val="AERtabletext-numbers"/>
              <w:cnfStyle w:val="000000010000"/>
            </w:pPr>
            <w:r w:rsidRPr="00D30BC7">
              <w:t>23.5</w:t>
            </w:r>
          </w:p>
        </w:tc>
        <w:tc>
          <w:tcPr>
            <w:tcW w:w="1043" w:type="dxa"/>
          </w:tcPr>
          <w:p w:rsidR="007C1F9F" w:rsidRPr="00D30BC7" w:rsidRDefault="007C1F9F" w:rsidP="00186172">
            <w:pPr>
              <w:pStyle w:val="AERtabletext-numbers"/>
              <w:cnfStyle w:val="000000010000"/>
            </w:pPr>
            <w:r w:rsidRPr="00D30BC7">
              <w:t>13.2</w:t>
            </w:r>
          </w:p>
        </w:tc>
        <w:tc>
          <w:tcPr>
            <w:tcW w:w="1043" w:type="dxa"/>
          </w:tcPr>
          <w:p w:rsidR="007C1F9F" w:rsidRPr="00D30BC7" w:rsidRDefault="007C1F9F" w:rsidP="00186172">
            <w:pPr>
              <w:pStyle w:val="AERtabletext-numbers"/>
              <w:cnfStyle w:val="000000010000"/>
            </w:pPr>
            <w:r w:rsidRPr="00D30BC7">
              <w:t>11.5</w:t>
            </w:r>
          </w:p>
        </w:tc>
        <w:tc>
          <w:tcPr>
            <w:tcW w:w="904" w:type="dxa"/>
          </w:tcPr>
          <w:p w:rsidR="007C1F9F" w:rsidRPr="00D30BC7" w:rsidRDefault="007C1F9F" w:rsidP="00186172">
            <w:pPr>
              <w:pStyle w:val="AERtabletext-numbers"/>
              <w:cnfStyle w:val="000000010000"/>
            </w:pPr>
            <w:r w:rsidRPr="00D30BC7">
              <w:t>340.8</w:t>
            </w:r>
          </w:p>
        </w:tc>
      </w:tr>
    </w:tbl>
    <w:p w:rsidR="007C1F9F" w:rsidRDefault="007C1F9F" w:rsidP="007C1F9F">
      <w:pPr>
        <w:pStyle w:val="AERtablesource"/>
      </w:pPr>
      <w:r w:rsidRPr="006708A5">
        <w:t>Source:</w:t>
      </w:r>
      <w:r w:rsidRPr="006708A5">
        <w:tab/>
      </w:r>
      <w:r>
        <w:t xml:space="preserve">APA GasNet, </w:t>
      </w:r>
      <w:r w:rsidRPr="005C7F6C">
        <w:rPr>
          <w:rStyle w:val="AERtextitalic"/>
        </w:rPr>
        <w:t>VTSAACapexForecastFINAL120706.xls</w:t>
      </w:r>
      <w:r>
        <w:t>, 6 July 2012.</w:t>
      </w:r>
    </w:p>
    <w:p w:rsidR="007C1F9F" w:rsidRPr="005B315F" w:rsidRDefault="007C1F9F" w:rsidP="007C1F9F">
      <w:pPr>
        <w:pStyle w:val="AERbodytext"/>
      </w:pPr>
      <w:r>
        <w:t>F</w:t>
      </w:r>
      <w:r w:rsidRPr="005B315F">
        <w:t xml:space="preserve">orecast capex over the </w:t>
      </w:r>
      <w:r w:rsidR="00202065">
        <w:t>2013–17</w:t>
      </w:r>
      <w:r>
        <w:t xml:space="preserve"> access arrangement period</w:t>
      </w:r>
      <w:r w:rsidRPr="005B315F">
        <w:t xml:space="preserve"> is made up of augmentation, refurbishment and upgrade and non-system capex. Augmentation capex </w:t>
      </w:r>
      <w:r>
        <w:t xml:space="preserve">consists of five major projects </w:t>
      </w:r>
      <w:r w:rsidRPr="005B315F">
        <w:t>account</w:t>
      </w:r>
      <w:r>
        <w:t>ing for 79</w:t>
      </w:r>
      <w:r w:rsidRPr="005B315F">
        <w:t xml:space="preserve"> per cent of </w:t>
      </w:r>
      <w:r>
        <w:t>total forecast capex</w:t>
      </w:r>
      <w:r w:rsidRPr="005B315F">
        <w:t>. Refurbishment and upgrade capex applies to existing assets to ensure the safety of the VTS and to meet the long term objectives of the VTS.</w:t>
      </w:r>
      <w:r w:rsidRPr="005B315F">
        <w:rPr>
          <w:rStyle w:val="AERsuperscript"/>
        </w:rPr>
        <w:footnoteReference w:id="85"/>
      </w:r>
      <w:r w:rsidRPr="005B315F">
        <w:t xml:space="preserve"> Non-system capex includes expenditure on two major projects; the Dandenong office facility ($9.2 million ($2012)) and the </w:t>
      </w:r>
      <w:r w:rsidRPr="00A74553">
        <w:t>Supervisory Control and Data Acquisition</w:t>
      </w:r>
      <w:r>
        <w:t xml:space="preserve"> (</w:t>
      </w:r>
      <w:r w:rsidRPr="005B315F">
        <w:t>SCADA</w:t>
      </w:r>
      <w:r>
        <w:t>)</w:t>
      </w:r>
      <w:r w:rsidRPr="005B315F">
        <w:t xml:space="preserve"> system upgrade ($3.8 million ($2012)).</w:t>
      </w:r>
      <w:r w:rsidRPr="002262EB">
        <w:rPr>
          <w:rStyle w:val="AERsuperscript"/>
        </w:rPr>
        <w:footnoteReference w:id="86"/>
      </w:r>
      <w:r w:rsidRPr="005B315F">
        <w:t xml:space="preserve"> APA GasNet applied two labour cost escalators to its base capex forecasts</w:t>
      </w:r>
      <w:r>
        <w:t>;</w:t>
      </w:r>
      <w:r w:rsidRPr="005B315F">
        <w:t xml:space="preserve"> an Electricity, Gas and Water labour cost escalator to capitalised APA Group staff labour costs</w:t>
      </w:r>
      <w:r>
        <w:t>,</w:t>
      </w:r>
      <w:r w:rsidRPr="005B315F">
        <w:t xml:space="preserve"> and a Construction labour cost escalator to outsourced labour.</w:t>
      </w:r>
      <w:r w:rsidRPr="005B315F">
        <w:rPr>
          <w:rStyle w:val="AERsuperscript"/>
        </w:rPr>
        <w:footnoteReference w:id="87"/>
      </w:r>
    </w:p>
    <w:p w:rsidR="007C1F9F" w:rsidRDefault="007C1F9F" w:rsidP="007C1F9F">
      <w:pPr>
        <w:pStyle w:val="AERheading4"/>
      </w:pPr>
      <w:r w:rsidRPr="006C4BE6">
        <w:t>Augmentation capital expenditure</w:t>
      </w:r>
    </w:p>
    <w:p w:rsidR="007C1F9F" w:rsidRDefault="007C1F9F" w:rsidP="007C1F9F">
      <w:pPr>
        <w:pStyle w:val="AERbodytext"/>
      </w:pPr>
      <w:r>
        <w:t xml:space="preserve">APA GasNet proposed augmentation capital expenditure of $270.3 million ($2012) over the </w:t>
      </w:r>
      <w:r w:rsidR="00202065">
        <w:t>2013–17</w:t>
      </w:r>
      <w:r>
        <w:t xml:space="preserve"> access arrangement period. The augmentation capital expenditure proposed by APA GasNet consists of five significant capital expenditure projects:</w:t>
      </w:r>
      <w:r>
        <w:rPr>
          <w:rStyle w:val="FootnoteReference"/>
        </w:rPr>
        <w:footnoteReference w:id="88"/>
      </w:r>
    </w:p>
    <w:p w:rsidR="007C1F9F" w:rsidRDefault="007C1F9F" w:rsidP="007C1F9F">
      <w:pPr>
        <w:pStyle w:val="AERbulletlistfirststyle"/>
      </w:pPr>
      <w:r>
        <w:t xml:space="preserve">Gas to Culcairn </w:t>
      </w:r>
      <w:r w:rsidR="000B7EE2">
        <w:t>–</w:t>
      </w:r>
      <w:r>
        <w:t xml:space="preserve"> $157.5 million</w:t>
      </w:r>
    </w:p>
    <w:p w:rsidR="007C1F9F" w:rsidRDefault="007C1F9F" w:rsidP="007C1F9F">
      <w:pPr>
        <w:pStyle w:val="AERbulletlistfirststyle"/>
      </w:pPr>
      <w:r>
        <w:t xml:space="preserve">Western Outer Ring Main </w:t>
      </w:r>
      <w:r w:rsidR="000B7EE2">
        <w:t>–</w:t>
      </w:r>
      <w:r>
        <w:t xml:space="preserve"> $93.4 million</w:t>
      </w:r>
    </w:p>
    <w:p w:rsidR="007C1F9F" w:rsidRDefault="007C1F9F" w:rsidP="007C1F9F">
      <w:pPr>
        <w:pStyle w:val="AERbulletlistfirststyle"/>
      </w:pPr>
      <w:r>
        <w:t xml:space="preserve">Anglesea Pipeline Extension </w:t>
      </w:r>
      <w:r w:rsidR="000B7EE2">
        <w:t>–</w:t>
      </w:r>
      <w:r>
        <w:t xml:space="preserve"> $12.8 million</w:t>
      </w:r>
    </w:p>
    <w:p w:rsidR="007C1F9F" w:rsidRDefault="007C1F9F" w:rsidP="007C1F9F">
      <w:pPr>
        <w:pStyle w:val="AERbulletlistfirststyle"/>
      </w:pPr>
      <w:r>
        <w:t xml:space="preserve">Kalkallo Lateral </w:t>
      </w:r>
      <w:r w:rsidR="000B7EE2">
        <w:t>–</w:t>
      </w:r>
      <w:r>
        <w:t xml:space="preserve"> $4.1 million</w:t>
      </w:r>
    </w:p>
    <w:p w:rsidR="007C1F9F" w:rsidRDefault="007C1F9F" w:rsidP="007C1F9F">
      <w:pPr>
        <w:pStyle w:val="AERbulletlistfirststyle"/>
      </w:pPr>
      <w:r>
        <w:t xml:space="preserve">Warragul Lateral </w:t>
      </w:r>
      <w:r w:rsidR="000B7EE2">
        <w:t>–</w:t>
      </w:r>
      <w:r>
        <w:t xml:space="preserve"> $2.5 million</w:t>
      </w:r>
    </w:p>
    <w:p w:rsidR="007C1F9F" w:rsidRPr="00302B29" w:rsidRDefault="007C1F9F" w:rsidP="007C1F9F">
      <w:pPr>
        <w:pStyle w:val="AERbodytext"/>
      </w:pPr>
      <w:r>
        <w:t xml:space="preserve">The proposed augmentation capital expenditure is shown in </w:t>
      </w:r>
      <w:r w:rsidR="00DE0D6A">
        <w:fldChar w:fldCharType="begin"/>
      </w:r>
      <w:r>
        <w:instrText xml:space="preserve"> REF _Ref330898853 \r \h </w:instrText>
      </w:r>
      <w:r w:rsidR="00DE0D6A">
        <w:fldChar w:fldCharType="separate"/>
      </w:r>
      <w:r w:rsidR="0018730D">
        <w:t>Figure 3.3</w:t>
      </w:r>
      <w:r w:rsidR="00DE0D6A">
        <w:fldChar w:fldCharType="end"/>
      </w:r>
      <w:r w:rsidRPr="00302B29">
        <w:t>.</w:t>
      </w:r>
    </w:p>
    <w:p w:rsidR="007C1F9F" w:rsidRDefault="007C1F9F" w:rsidP="007C1F9F">
      <w:pPr>
        <w:pStyle w:val="AERfigureheading"/>
      </w:pPr>
      <w:bookmarkStart w:id="40" w:name="_Ref330898853"/>
      <w:r>
        <w:t>Augmentation capital expenditure projects ($million, 2012)</w:t>
      </w:r>
      <w:bookmarkEnd w:id="40"/>
    </w:p>
    <w:p w:rsidR="007C1F9F" w:rsidRPr="00451A29" w:rsidRDefault="00AB287B" w:rsidP="007C1F9F">
      <w:pPr>
        <w:pStyle w:val="AERbodytext"/>
      </w:pPr>
      <w:r>
        <w:pict>
          <v:shape id="_x0000_i1027" type="#_x0000_t75" style="width:396pt;height:301.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">
            <v:imagedata r:id="rId22" o:title="" cropbottom="-83f"/>
            <o:lock v:ext="edit" aspectratio="f"/>
          </v:shape>
        </w:pict>
      </w:r>
    </w:p>
    <w:p w:rsidR="007C1F9F" w:rsidRDefault="007C1F9F" w:rsidP="007C1F9F">
      <w:pPr>
        <w:pStyle w:val="AERheading5"/>
      </w:pPr>
      <w:r>
        <w:t>Gas to Culcairn</w:t>
      </w:r>
    </w:p>
    <w:p w:rsidR="007C1F9F" w:rsidRDefault="007C1F9F" w:rsidP="007C1F9F">
      <w:pPr>
        <w:pStyle w:val="AERbodytext"/>
      </w:pPr>
      <w:r>
        <w:t>The Gas to Culcairn project is designed to augment transmission capacity on the South West Pipeline and in the Northern Zone. The project is driven by specific requests from shippers for additional injection capacity at Iona (53 TJ/day) and withdrawal capacity at Culcairn (45 TJ/day).</w:t>
      </w:r>
      <w:r>
        <w:rPr>
          <w:rStyle w:val="FootnoteReference"/>
        </w:rPr>
        <w:footnoteReference w:id="89"/>
      </w:r>
      <w:r>
        <w:t xml:space="preserve"> The project consists of two distinct elements:</w:t>
      </w:r>
    </w:p>
    <w:p w:rsidR="007C1F9F" w:rsidRPr="007F0472" w:rsidRDefault="007C1F9F" w:rsidP="007C1F9F">
      <w:pPr>
        <w:pStyle w:val="AERbulletlistfirststyle"/>
      </w:pPr>
      <w:r>
        <w:t>installation of a n</w:t>
      </w:r>
      <w:r w:rsidRPr="007F0472">
        <w:t xml:space="preserve">ew compressor station at Stonehaven </w:t>
      </w:r>
      <w:r>
        <w:t>on the South West Pipeline</w:t>
      </w:r>
      <w:r w:rsidRPr="007F0472">
        <w:t xml:space="preserve"> </w:t>
      </w:r>
    </w:p>
    <w:p w:rsidR="007C1F9F" w:rsidRDefault="007C1F9F" w:rsidP="007C1F9F">
      <w:pPr>
        <w:pStyle w:val="AERbulletlistfirststyle"/>
      </w:pPr>
      <w:r>
        <w:t xml:space="preserve">laying </w:t>
      </w:r>
      <w:r w:rsidRPr="007F0472">
        <w:t>1</w:t>
      </w:r>
      <w:r>
        <w:t>04.1 km of 450</w:t>
      </w:r>
      <w:r w:rsidR="000B7EE2">
        <w:t xml:space="preserve"> </w:t>
      </w:r>
      <w:r>
        <w:t>mm pipeline looping three</w:t>
      </w:r>
      <w:r w:rsidRPr="007F0472">
        <w:t xml:space="preserve"> sections of the Wollert to Barnawartha pipeline</w:t>
      </w:r>
      <w:r>
        <w:t>.</w:t>
      </w:r>
    </w:p>
    <w:p w:rsidR="007C1F9F" w:rsidRDefault="007C1F9F" w:rsidP="007C1F9F">
      <w:pPr>
        <w:pStyle w:val="AERbodytext"/>
      </w:pPr>
      <w:r>
        <w:t>Construction of the Gas to Culcairn project is forecast to occur in 2013 and 2014 at a total cost of $157.5 million ($2012). APA GasNet submitted that the Gas to Culcairn project is justified under clause 79(2)(a) of the NGR as the overall economic value of the project is positive. The economic value identified by APA GasNet includes benefits accruing to a gas shipper, in addition to the economic value of the project to APA GasNet.</w:t>
      </w:r>
      <w:r>
        <w:rPr>
          <w:rStyle w:val="FootnoteReference"/>
        </w:rPr>
        <w:footnoteReference w:id="90"/>
      </w:r>
    </w:p>
    <w:p w:rsidR="007C1F9F" w:rsidRDefault="007C1F9F" w:rsidP="007C1F9F">
      <w:pPr>
        <w:pStyle w:val="AERheading5"/>
      </w:pPr>
      <w:r>
        <w:t>Western Outer Ring Main</w:t>
      </w:r>
    </w:p>
    <w:p w:rsidR="007C1F9F" w:rsidRDefault="007C1F9F" w:rsidP="007C1F9F">
      <w:pPr>
        <w:pStyle w:val="AERbodytext"/>
      </w:pPr>
      <w:r>
        <w:t>The purpose of the Western Outer Ring Main (WORM) project is to enhance the security of supply for domestic customers in the event of a major gas plant outage at Longford.</w:t>
      </w:r>
      <w:r>
        <w:rPr>
          <w:rStyle w:val="FootnoteReference"/>
        </w:rPr>
        <w:footnoteReference w:id="91"/>
      </w:r>
      <w:r>
        <w:t xml:space="preserve"> The WORM project has three stages, the first of which (the Sunbury loop) will be completed by APA GasNet in the </w:t>
      </w:r>
      <w:r w:rsidR="00202065">
        <w:t>2008–12</w:t>
      </w:r>
      <w:r>
        <w:t xml:space="preserve"> access arrangement period. APA GasNet has proposed to undertake stages two and three of the WORM project in the </w:t>
      </w:r>
      <w:r w:rsidR="00202065">
        <w:t>2013–17</w:t>
      </w:r>
      <w:r>
        <w:t xml:space="preserve"> access arrangement period, consisting of:</w:t>
      </w:r>
    </w:p>
    <w:p w:rsidR="007C1F9F" w:rsidRDefault="007C1F9F" w:rsidP="007C1F9F">
      <w:pPr>
        <w:pStyle w:val="AERbulletlistfirststyle"/>
      </w:pPr>
      <w:r>
        <w:t>laying 49.3 km of 500</w:t>
      </w:r>
      <w:r w:rsidR="000B7EE2">
        <w:t xml:space="preserve"> </w:t>
      </w:r>
      <w:r>
        <w:t>mm pipeline from Wollert to Rockbank via Kalkallo</w:t>
      </w:r>
    </w:p>
    <w:p w:rsidR="007C1F9F" w:rsidRDefault="007C1F9F" w:rsidP="007C1F9F">
      <w:pPr>
        <w:pStyle w:val="AERbulletlistfirststyle"/>
      </w:pPr>
      <w:r>
        <w:t xml:space="preserve">installing an additional compressor at Wollert Compressor Station B to allow compression from the Pakenham </w:t>
      </w:r>
      <w:r w:rsidR="000B7EE2">
        <w:t>–</w:t>
      </w:r>
      <w:r>
        <w:t xml:space="preserve"> Wollert pipeline to the new WORM pipeline</w:t>
      </w:r>
    </w:p>
    <w:p w:rsidR="007C1F9F" w:rsidRDefault="007C1F9F" w:rsidP="007C1F9F">
      <w:pPr>
        <w:pStyle w:val="AERbulletlistfirststyle"/>
      </w:pPr>
      <w:r>
        <w:t xml:space="preserve">installing a new interconnecting pressure reduction station at Wollert, connecting the Brooklyn </w:t>
      </w:r>
      <w:r w:rsidR="000B7EE2">
        <w:t>– Lara Pipeline to the Pakenham –</w:t>
      </w:r>
      <w:r>
        <w:t xml:space="preserve"> Wollert pipeline.</w:t>
      </w:r>
      <w:r>
        <w:rPr>
          <w:rStyle w:val="FootnoteReference"/>
        </w:rPr>
        <w:footnoteReference w:id="92"/>
      </w:r>
    </w:p>
    <w:p w:rsidR="007C1F9F" w:rsidRDefault="007C1F9F" w:rsidP="007C1F9F">
      <w:pPr>
        <w:pStyle w:val="AERbodytext"/>
      </w:pPr>
      <w:r>
        <w:t>APA GasNet proposed to complete the WORM project in 2013 and 2014 at a total cost of $93.4 million ($2012). APA GasNet submitted that the WORM project is justified under clause 79(2)(c)(ii) of the NGR as necessary to maintain the integrity of services. APA GasNet considered the WORM project is also justified under clause 79(2)(c)(iii) of the NGR, to the extent that it avoids other 'stay in business' capital expenditure that would otherwise be required at a number of sites.</w:t>
      </w:r>
      <w:r>
        <w:rPr>
          <w:rStyle w:val="FootnoteReference"/>
        </w:rPr>
        <w:footnoteReference w:id="93"/>
      </w:r>
      <w:r>
        <w:t xml:space="preserve"> </w:t>
      </w:r>
    </w:p>
    <w:p w:rsidR="007C1F9F" w:rsidRDefault="007C1F9F" w:rsidP="007C1F9F">
      <w:pPr>
        <w:pStyle w:val="AERheading5"/>
      </w:pPr>
      <w:r>
        <w:t>Anglesea pipeline extension</w:t>
      </w:r>
    </w:p>
    <w:p w:rsidR="007C1F9F" w:rsidRDefault="007C1F9F" w:rsidP="007C1F9F">
      <w:pPr>
        <w:pStyle w:val="AERbodytext"/>
      </w:pPr>
      <w:r>
        <w:t>The Anglesea pipeline extension project provides a second transmission supply point to the Geelong area distribution system currently served by the Corio city gate station. APA GasNet proposed the project in response to a request from the distribution network service provider to supply a new city gate station near Anglesea. The project consists of a 15 km pipeline extension from the South West Pipeline to the new city gate station.</w:t>
      </w:r>
      <w:r>
        <w:rPr>
          <w:rStyle w:val="FootnoteReference"/>
        </w:rPr>
        <w:footnoteReference w:id="94"/>
      </w:r>
    </w:p>
    <w:p w:rsidR="007C1F9F" w:rsidRDefault="007C1F9F" w:rsidP="007C1F9F">
      <w:pPr>
        <w:pStyle w:val="AERbodytext"/>
      </w:pPr>
      <w:r>
        <w:t>APA GasNet proposed to undertake the Anglesea pipeline extension project in 2014 and 2015 at a cost of $12.8 million ($2012). APA GasNet submitted that the project is justified under clause 79(2)(c)(ii) of the NGR as necessary to maintain the integrity of services.</w:t>
      </w:r>
      <w:r>
        <w:rPr>
          <w:rStyle w:val="FootnoteReference"/>
        </w:rPr>
        <w:footnoteReference w:id="95"/>
      </w:r>
    </w:p>
    <w:p w:rsidR="007C1F9F" w:rsidRDefault="007C1F9F" w:rsidP="007C1F9F">
      <w:pPr>
        <w:pStyle w:val="AERheading5"/>
      </w:pPr>
      <w:r>
        <w:t>Kalkallo lateral</w:t>
      </w:r>
    </w:p>
    <w:p w:rsidR="007C1F9F" w:rsidRDefault="007C1F9F" w:rsidP="007C1F9F">
      <w:pPr>
        <w:pStyle w:val="AERbodytext"/>
      </w:pPr>
      <w:r>
        <w:t>The Kalkallo lateral project supplies a new city gate station to serve a significant housing and industrial development at Kalkallo. The project consists of a 4.5 km lateral pipeline, to be completed in 2014 at a cost of $4.1 million ($2012). The scope and timing of the project is affected by the WORM project. APA GasNet submitted that if the WORM project does not proceed, the Kalkallo lateral would need to be 9.5 km long, at a correspondingly higher cost.</w:t>
      </w:r>
      <w:r>
        <w:rPr>
          <w:rStyle w:val="FootnoteReference"/>
        </w:rPr>
        <w:footnoteReference w:id="96"/>
      </w:r>
    </w:p>
    <w:p w:rsidR="007C1F9F" w:rsidRDefault="007C1F9F" w:rsidP="007C1F9F">
      <w:pPr>
        <w:pStyle w:val="AERbodytext"/>
      </w:pPr>
      <w:r>
        <w:t>APA GasNet submitted that the project is justified under clause 79(2)(b) of the NGR as the net present value of the project is positive.</w:t>
      </w:r>
      <w:r>
        <w:rPr>
          <w:rStyle w:val="FootnoteReference"/>
        </w:rPr>
        <w:footnoteReference w:id="97"/>
      </w:r>
      <w:r>
        <w:t xml:space="preserve"> </w:t>
      </w:r>
    </w:p>
    <w:p w:rsidR="007C1F9F" w:rsidRDefault="007C1F9F" w:rsidP="007C1F9F">
      <w:pPr>
        <w:pStyle w:val="AERheading5"/>
      </w:pPr>
      <w:r>
        <w:t>Warragul lateral</w:t>
      </w:r>
    </w:p>
    <w:p w:rsidR="007C1F9F" w:rsidRDefault="007C1F9F" w:rsidP="007C1F9F">
      <w:pPr>
        <w:pStyle w:val="AERbodytext"/>
      </w:pPr>
      <w:r>
        <w:t>The purpose of the Warragul Lateral project is to augment the capacity of the existing Warragul lateral pipeline to meet forecast increases in industrial load in the area. In the absence of augmentation, the Warragul city gate is forecast to breach minimum connection pressures at the city gate in 2014.</w:t>
      </w:r>
      <w:r>
        <w:rPr>
          <w:rStyle w:val="FootnoteReference"/>
        </w:rPr>
        <w:footnoteReference w:id="98"/>
      </w:r>
    </w:p>
    <w:p w:rsidR="007C1F9F" w:rsidRDefault="007C1F9F" w:rsidP="007C1F9F">
      <w:pPr>
        <w:pStyle w:val="AERbodytext"/>
      </w:pPr>
      <w:r>
        <w:t>The Warragul Lateral project consists of looping the existing 4.8 km lateral pipeline to Warragul in 2014, at a total cost of $2.5 million. APA GasNet submitted that the project is justified under clause 79(2)(b) of the NGR as the net present value of the project is positive.</w:t>
      </w:r>
      <w:r>
        <w:rPr>
          <w:rStyle w:val="FootnoteReference"/>
        </w:rPr>
        <w:footnoteReference w:id="99"/>
      </w:r>
      <w:r>
        <w:t xml:space="preserve"> </w:t>
      </w:r>
    </w:p>
    <w:p w:rsidR="007C1F9F" w:rsidRPr="00282C3C" w:rsidRDefault="007C1F9F" w:rsidP="00282C3C">
      <w:pPr>
        <w:pStyle w:val="AERheading4"/>
        <w:rPr>
          <w:rStyle w:val="AERtextbold"/>
          <w:rFonts w:eastAsia="Calibri"/>
          <w:b/>
        </w:rPr>
      </w:pPr>
      <w:r w:rsidRPr="00282C3C">
        <w:rPr>
          <w:rStyle w:val="AERtextbold"/>
          <w:rFonts w:eastAsia="Calibri"/>
          <w:b/>
        </w:rPr>
        <w:t>Refurbishment and upgrade capital expenditure</w:t>
      </w:r>
    </w:p>
    <w:p w:rsidR="007C1F9F" w:rsidRPr="007E3923" w:rsidRDefault="007C1F9F" w:rsidP="007C1F9F">
      <w:pPr>
        <w:pStyle w:val="AERbodytext"/>
        <w:rPr>
          <w:rFonts w:eastAsia="Calibri"/>
        </w:rPr>
      </w:pPr>
      <w:r w:rsidRPr="007E3923">
        <w:rPr>
          <w:rFonts w:eastAsia="Calibri"/>
        </w:rPr>
        <w:t xml:space="preserve">Total forecast refurbishment and upgrade capex of $54.2 million ($2012) is forecast to be similar to that during the </w:t>
      </w:r>
      <w:r w:rsidR="00202065">
        <w:rPr>
          <w:rFonts w:eastAsia="Calibri"/>
        </w:rPr>
        <w:t>2008–12</w:t>
      </w:r>
      <w:r w:rsidRPr="007E3923">
        <w:rPr>
          <w:rFonts w:eastAsia="Calibri"/>
        </w:rPr>
        <w:t xml:space="preserve"> access arrangement period.</w:t>
      </w:r>
      <w:r w:rsidRPr="007E3923">
        <w:rPr>
          <w:rStyle w:val="FootnoteReference"/>
          <w:rFonts w:eastAsia="Calibri"/>
        </w:rPr>
        <w:footnoteReference w:id="100"/>
      </w:r>
      <w:r w:rsidRPr="007E3923">
        <w:rPr>
          <w:rFonts w:eastAsia="Calibri"/>
        </w:rPr>
        <w:t xml:space="preserve"> APA GasNet submit that the proposed WORM project will contribute to the avoidance of $60 million ($2012) (before labour escalation) of refurbishment and upgrade capex.</w:t>
      </w:r>
      <w:r w:rsidRPr="007E3923">
        <w:rPr>
          <w:rStyle w:val="FootnoteReference"/>
          <w:rFonts w:eastAsia="Calibri"/>
        </w:rPr>
        <w:footnoteReference w:id="101"/>
      </w:r>
      <w:r w:rsidRPr="007E3923">
        <w:rPr>
          <w:rFonts w:eastAsia="Calibri"/>
        </w:rPr>
        <w:t xml:space="preserve"> </w:t>
      </w:r>
      <w:r w:rsidR="00DE0D6A" w:rsidRPr="007E3923">
        <w:rPr>
          <w:rFonts w:eastAsia="Calibri"/>
        </w:rPr>
        <w:fldChar w:fldCharType="begin"/>
      </w:r>
      <w:r w:rsidRPr="007E3923">
        <w:rPr>
          <w:rFonts w:eastAsia="Calibri"/>
        </w:rPr>
        <w:instrText xml:space="preserve"> REF _Ref331409800 \r \h </w:instrText>
      </w:r>
      <w:r w:rsidR="00DE0D6A" w:rsidRPr="007E3923">
        <w:rPr>
          <w:rFonts w:eastAsia="Calibri"/>
        </w:rPr>
      </w:r>
      <w:r w:rsidR="00DE0D6A" w:rsidRPr="007E3923">
        <w:rPr>
          <w:rFonts w:eastAsia="Calibri"/>
        </w:rPr>
        <w:fldChar w:fldCharType="separate"/>
      </w:r>
      <w:r>
        <w:rPr>
          <w:rFonts w:eastAsia="Calibri"/>
        </w:rPr>
        <w:t>Table 3.7</w:t>
      </w:r>
      <w:r w:rsidR="00DE0D6A" w:rsidRPr="007E3923">
        <w:rPr>
          <w:rFonts w:eastAsia="Calibri"/>
        </w:rPr>
        <w:fldChar w:fldCharType="end"/>
      </w:r>
      <w:r w:rsidRPr="007E3923">
        <w:rPr>
          <w:rFonts w:eastAsia="Calibri"/>
        </w:rPr>
        <w:t xml:space="preserve"> provides a summary of APA GasNet's proposed refurbishment and upgrade capex program by project driver.</w:t>
      </w:r>
    </w:p>
    <w:p w:rsidR="007C1F9F" w:rsidRPr="007E3923" w:rsidRDefault="007C1F9F" w:rsidP="007C1F9F">
      <w:pPr>
        <w:pStyle w:val="AERbodytext"/>
        <w:rPr>
          <w:rFonts w:eastAsia="Calibri"/>
        </w:rPr>
      </w:pPr>
    </w:p>
    <w:p w:rsidR="007C1F9F" w:rsidRPr="00A56367" w:rsidRDefault="007C1F9F" w:rsidP="007C1F9F">
      <w:pPr>
        <w:pStyle w:val="AERtabletitle"/>
      </w:pPr>
      <w:bookmarkStart w:id="41" w:name="_Ref331409800"/>
      <w:r>
        <w:t>APA GasNet's forecast refurbishment and upgrade capital expenditure</w:t>
      </w:r>
      <w:bookmarkEnd w:id="41"/>
      <w:r>
        <w:t xml:space="preserve"> </w:t>
      </w:r>
    </w:p>
    <w:tbl>
      <w:tblPr>
        <w:tblW w:w="8409" w:type="dxa"/>
        <w:tblBorders>
          <w:top w:val="single" w:sz="4" w:space="0" w:color="auto"/>
          <w:bottom w:val="single" w:sz="4" w:space="0" w:color="auto"/>
        </w:tblBorders>
        <w:tblLayout w:type="fixed"/>
        <w:tblLook w:val="01E0"/>
      </w:tblPr>
      <w:tblGrid>
        <w:gridCol w:w="1701"/>
        <w:gridCol w:w="1384"/>
        <w:gridCol w:w="5324"/>
      </w:tblGrid>
      <w:tr w:rsidR="007C1F9F" w:rsidRPr="006708A5" w:rsidTr="00186172">
        <w:trPr>
          <w:trHeight w:val="733"/>
        </w:trPr>
        <w:tc>
          <w:tcPr>
            <w:tcW w:w="170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BA5D5B" w:rsidRDefault="007C1F9F" w:rsidP="00186172">
            <w:pPr>
              <w:pStyle w:val="AERtabletextheading"/>
            </w:pPr>
            <w:r w:rsidRPr="00BA5D5B">
              <w:t>Driver category</w:t>
            </w:r>
          </w:p>
        </w:tc>
        <w:tc>
          <w:tcPr>
            <w:tcW w:w="138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BA5D5B" w:rsidRDefault="007C1F9F" w:rsidP="00186172">
            <w:pPr>
              <w:pStyle w:val="AERtabletextheading"/>
            </w:pPr>
            <w:r w:rsidRPr="00BA5D5B">
              <w:t>Forecast  expenditure ($million, 2012)</w:t>
            </w:r>
          </w:p>
        </w:tc>
        <w:tc>
          <w:tcPr>
            <w:tcW w:w="532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BA5D5B" w:rsidRDefault="007C1F9F" w:rsidP="00186172">
            <w:pPr>
              <w:pStyle w:val="AERtabletextheading"/>
            </w:pPr>
            <w:r w:rsidRPr="00BA5D5B">
              <w:t xml:space="preserve">Projects </w:t>
            </w:r>
          </w:p>
        </w:tc>
      </w:tr>
      <w:tr w:rsidR="007C1F9F" w:rsidRPr="006708A5" w:rsidTr="00186172">
        <w:trPr>
          <w:trHeight w:val="987"/>
        </w:trPr>
        <w:tc>
          <w:tcPr>
            <w:tcW w:w="1701" w:type="dxa"/>
            <w:shd w:val="clear" w:color="auto" w:fill="auto"/>
            <w:noWrap/>
            <w:tcMar>
              <w:top w:w="0" w:type="dxa"/>
              <w:bottom w:w="0" w:type="dxa"/>
            </w:tcMar>
            <w:vAlign w:val="center"/>
          </w:tcPr>
          <w:p w:rsidR="007C1F9F" w:rsidRPr="00D30BC7" w:rsidRDefault="007C1F9F" w:rsidP="00186172">
            <w:pPr>
              <w:pStyle w:val="AERtabletext"/>
            </w:pPr>
            <w:r w:rsidRPr="00D30BC7">
              <w:t>Capacity Management</w:t>
            </w:r>
          </w:p>
        </w:tc>
        <w:tc>
          <w:tcPr>
            <w:tcW w:w="1384" w:type="dxa"/>
            <w:shd w:val="clear" w:color="auto" w:fill="auto"/>
            <w:noWrap/>
            <w:tcMar>
              <w:top w:w="0" w:type="dxa"/>
              <w:bottom w:w="0" w:type="dxa"/>
            </w:tcMar>
            <w:vAlign w:val="center"/>
          </w:tcPr>
          <w:p w:rsidR="007C1F9F" w:rsidRPr="00D30BC7" w:rsidRDefault="007C1F9F" w:rsidP="000B7EE2">
            <w:pPr>
              <w:pStyle w:val="AERtabletext-numbers"/>
            </w:pPr>
            <w:r w:rsidRPr="00D30BC7">
              <w:t>4.0</w:t>
            </w:r>
          </w:p>
        </w:tc>
        <w:tc>
          <w:tcPr>
            <w:tcW w:w="5324" w:type="dxa"/>
            <w:shd w:val="clear" w:color="auto" w:fill="auto"/>
            <w:noWrap/>
            <w:tcMar>
              <w:top w:w="0" w:type="dxa"/>
              <w:bottom w:w="0" w:type="dxa"/>
            </w:tcMar>
            <w:vAlign w:val="center"/>
          </w:tcPr>
          <w:p w:rsidR="007C1F9F" w:rsidRPr="00D30BC7" w:rsidRDefault="007C1F9F" w:rsidP="00186172">
            <w:pPr>
              <w:pStyle w:val="AERtabletext"/>
            </w:pPr>
            <w:r w:rsidRPr="00D30BC7">
              <w:t>Projects include the Rockbank Pressure Reduction Station ($2.2 million), replacement of the Iona Compressor Station control system ($0.7 million) and Springhurst Compressor Station Cooler Upgrade ($0.9 million).</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Replacement</w:t>
            </w:r>
          </w:p>
        </w:tc>
        <w:tc>
          <w:tcPr>
            <w:tcW w:w="1384" w:type="dxa"/>
            <w:shd w:val="clear" w:color="auto" w:fill="F8B47C"/>
            <w:noWrap/>
            <w:tcMar>
              <w:top w:w="0" w:type="dxa"/>
              <w:bottom w:w="0" w:type="dxa"/>
            </w:tcMar>
            <w:vAlign w:val="center"/>
          </w:tcPr>
          <w:p w:rsidR="007C1F9F" w:rsidRPr="00270DD3" w:rsidRDefault="007C1F9F" w:rsidP="00186172">
            <w:pPr>
              <w:pStyle w:val="AERtabletext-numbers"/>
            </w:pPr>
            <w:r w:rsidRPr="00270DD3">
              <w:t>10.0</w:t>
            </w:r>
          </w:p>
        </w:tc>
        <w:tc>
          <w:tcPr>
            <w:tcW w:w="5324" w:type="dxa"/>
            <w:shd w:val="clear" w:color="auto" w:fill="F8B47C"/>
            <w:noWrap/>
            <w:tcMar>
              <w:top w:w="0" w:type="dxa"/>
              <w:bottom w:w="0" w:type="dxa"/>
            </w:tcMar>
            <w:vAlign w:val="center"/>
          </w:tcPr>
          <w:p w:rsidR="007C1F9F" w:rsidRPr="00BA5D5B" w:rsidRDefault="007C1F9F" w:rsidP="00186172">
            <w:pPr>
              <w:pStyle w:val="AERtabletext"/>
            </w:pPr>
            <w:r>
              <w:t xml:space="preserve">Projects include decommissioning of Brooklyn Compressor Station units 8, 9, 10 and 11 ($2.7 million), </w:t>
            </w:r>
            <w:r w:rsidRPr="00BA5D5B">
              <w:t xml:space="preserve">decommissioning Wollert Compressor Station 'A' ($0.4 million), upgrade Type B appliances ($0.9 million), security upgrades ($2.5 million) and upgrade of remote terminal unit equipment ($0.9 million). </w:t>
            </w:r>
          </w:p>
        </w:tc>
      </w:tr>
      <w:tr w:rsidR="007C1F9F" w:rsidRPr="006708A5" w:rsidTr="00186172">
        <w:tc>
          <w:tcPr>
            <w:tcW w:w="1701" w:type="dxa"/>
            <w:shd w:val="clear" w:color="auto" w:fill="auto"/>
            <w:noWrap/>
            <w:tcMar>
              <w:top w:w="0" w:type="dxa"/>
              <w:bottom w:w="0" w:type="dxa"/>
            </w:tcMar>
            <w:vAlign w:val="center"/>
          </w:tcPr>
          <w:p w:rsidR="007C1F9F" w:rsidRPr="00BA5D5B" w:rsidRDefault="007C1F9F" w:rsidP="00186172">
            <w:pPr>
              <w:pStyle w:val="AERtabletext"/>
            </w:pPr>
            <w:r>
              <w:t xml:space="preserve">Pipeline </w:t>
            </w:r>
            <w:r w:rsidRPr="00BA5D5B">
              <w:t>Integrity</w:t>
            </w:r>
          </w:p>
        </w:tc>
        <w:tc>
          <w:tcPr>
            <w:tcW w:w="1384" w:type="dxa"/>
            <w:shd w:val="clear" w:color="auto" w:fill="auto"/>
            <w:noWrap/>
            <w:tcMar>
              <w:top w:w="0" w:type="dxa"/>
              <w:bottom w:w="0" w:type="dxa"/>
            </w:tcMar>
            <w:vAlign w:val="center"/>
          </w:tcPr>
          <w:p w:rsidR="007C1F9F" w:rsidRPr="00270DD3" w:rsidRDefault="007C1F9F" w:rsidP="00186172">
            <w:pPr>
              <w:pStyle w:val="AERtabletext-numbers"/>
            </w:pPr>
            <w:r w:rsidRPr="00270DD3">
              <w:t>15.6</w:t>
            </w:r>
          </w:p>
        </w:tc>
        <w:tc>
          <w:tcPr>
            <w:tcW w:w="5324" w:type="dxa"/>
            <w:shd w:val="clear" w:color="auto" w:fill="auto"/>
            <w:noWrap/>
            <w:tcMar>
              <w:top w:w="0" w:type="dxa"/>
              <w:bottom w:w="0" w:type="dxa"/>
            </w:tcMar>
            <w:vAlign w:val="center"/>
          </w:tcPr>
          <w:p w:rsidR="007C1F9F" w:rsidRPr="00BA5D5B" w:rsidRDefault="007C1F9F" w:rsidP="00186172">
            <w:pPr>
              <w:pStyle w:val="AERtabletext"/>
            </w:pPr>
            <w:r>
              <w:t xml:space="preserve">Projects include in-line inspection ($2.8 million), installation of pig traps ($8.6 million), exposed </w:t>
            </w:r>
            <w:r w:rsidRPr="00BA5D5B">
              <w:t>pipeline coating refurbishing ($2.4 million), cathodic protection ($1.1 million) and liquids management ($0.8 million).</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Facilities Integrity</w:t>
            </w:r>
          </w:p>
        </w:tc>
        <w:tc>
          <w:tcPr>
            <w:tcW w:w="1384" w:type="dxa"/>
            <w:shd w:val="clear" w:color="auto" w:fill="F8B47C"/>
            <w:noWrap/>
            <w:tcMar>
              <w:top w:w="0" w:type="dxa"/>
              <w:bottom w:w="0" w:type="dxa"/>
            </w:tcMar>
            <w:vAlign w:val="center"/>
          </w:tcPr>
          <w:p w:rsidR="007C1F9F" w:rsidRPr="00270DD3" w:rsidRDefault="007C1F9F" w:rsidP="00186172">
            <w:pPr>
              <w:pStyle w:val="AERtabletext-numbers"/>
            </w:pPr>
            <w:r w:rsidRPr="00270DD3">
              <w:t>15.7</w:t>
            </w:r>
          </w:p>
        </w:tc>
        <w:tc>
          <w:tcPr>
            <w:tcW w:w="5324" w:type="dxa"/>
            <w:shd w:val="clear" w:color="auto" w:fill="F8B47C"/>
            <w:noWrap/>
            <w:tcMar>
              <w:top w:w="0" w:type="dxa"/>
              <w:bottom w:w="0" w:type="dxa"/>
            </w:tcMar>
            <w:vAlign w:val="center"/>
          </w:tcPr>
          <w:p w:rsidR="007C1F9F" w:rsidRPr="00BA5D5B" w:rsidRDefault="007C1F9F" w:rsidP="00186172">
            <w:pPr>
              <w:pStyle w:val="AERtabletext"/>
            </w:pPr>
            <w:r>
              <w:t xml:space="preserve">Projects include </w:t>
            </w:r>
            <w:r w:rsidRPr="00BA5D5B">
              <w:t>Dandenong City Gate upgrade ($2.9 million), design life reviews ($1.2 million), hazardous area rectification ($2.2 million), and North Laverton City Gate heater upgrade ($0.7 million).</w:t>
            </w:r>
          </w:p>
        </w:tc>
      </w:tr>
      <w:tr w:rsidR="007C1F9F" w:rsidRPr="006708A5" w:rsidTr="00186172">
        <w:tc>
          <w:tcPr>
            <w:tcW w:w="1701" w:type="dxa"/>
            <w:shd w:val="clear" w:color="auto" w:fill="auto"/>
            <w:noWrap/>
            <w:tcMar>
              <w:top w:w="0" w:type="dxa"/>
              <w:bottom w:w="0" w:type="dxa"/>
            </w:tcMar>
            <w:vAlign w:val="center"/>
          </w:tcPr>
          <w:p w:rsidR="007C1F9F" w:rsidRPr="00BA5D5B" w:rsidRDefault="007C1F9F" w:rsidP="00186172">
            <w:pPr>
              <w:pStyle w:val="AERtabletext"/>
            </w:pPr>
            <w:r>
              <w:t>Risk Mitigation</w:t>
            </w:r>
          </w:p>
        </w:tc>
        <w:tc>
          <w:tcPr>
            <w:tcW w:w="1384" w:type="dxa"/>
            <w:shd w:val="clear" w:color="auto" w:fill="auto"/>
            <w:noWrap/>
            <w:tcMar>
              <w:top w:w="0" w:type="dxa"/>
              <w:bottom w:w="0" w:type="dxa"/>
            </w:tcMar>
            <w:vAlign w:val="center"/>
          </w:tcPr>
          <w:p w:rsidR="007C1F9F" w:rsidRPr="00BA5D5B" w:rsidRDefault="007C1F9F" w:rsidP="00186172">
            <w:pPr>
              <w:pStyle w:val="AERtabletext-numbers"/>
            </w:pPr>
            <w:r>
              <w:t>5.9</w:t>
            </w:r>
          </w:p>
        </w:tc>
        <w:tc>
          <w:tcPr>
            <w:tcW w:w="5324" w:type="dxa"/>
            <w:shd w:val="clear" w:color="auto" w:fill="auto"/>
            <w:noWrap/>
            <w:tcMar>
              <w:top w:w="0" w:type="dxa"/>
              <w:bottom w:w="0" w:type="dxa"/>
            </w:tcMar>
            <w:vAlign w:val="center"/>
          </w:tcPr>
          <w:p w:rsidR="007C1F9F" w:rsidRPr="00BA5D5B" w:rsidRDefault="007C1F9F" w:rsidP="00186172">
            <w:pPr>
              <w:pStyle w:val="AERtabletext"/>
            </w:pPr>
            <w:r>
              <w:t xml:space="preserve">Projects include Gooding Compressor Station anti-surge and fast </w:t>
            </w:r>
            <w:r w:rsidRPr="00BA5D5B">
              <w:t>stop valve upgrade ($0.7 million), fire suppression systems ($1 million) and actuation of mainline valves ($4 million).</w:t>
            </w:r>
          </w:p>
        </w:tc>
      </w:tr>
      <w:tr w:rsidR="007C1F9F" w:rsidRPr="006708A5" w:rsidTr="00186172">
        <w:tc>
          <w:tcPr>
            <w:tcW w:w="1701" w:type="dxa"/>
            <w:shd w:val="clear" w:color="auto" w:fill="F8B47C"/>
            <w:noWrap/>
            <w:tcMar>
              <w:top w:w="0" w:type="dxa"/>
              <w:bottom w:w="0" w:type="dxa"/>
            </w:tcMar>
            <w:vAlign w:val="center"/>
          </w:tcPr>
          <w:p w:rsidR="007C1F9F" w:rsidRPr="00BA5D5B" w:rsidRDefault="007C1F9F" w:rsidP="00186172">
            <w:pPr>
              <w:pStyle w:val="AERtabletext"/>
            </w:pPr>
            <w:r>
              <w:t>Emergency</w:t>
            </w:r>
          </w:p>
        </w:tc>
        <w:tc>
          <w:tcPr>
            <w:tcW w:w="1384" w:type="dxa"/>
            <w:shd w:val="clear" w:color="auto" w:fill="F8B47C"/>
            <w:noWrap/>
            <w:tcMar>
              <w:top w:w="0" w:type="dxa"/>
              <w:bottom w:w="0" w:type="dxa"/>
            </w:tcMar>
            <w:vAlign w:val="center"/>
          </w:tcPr>
          <w:p w:rsidR="007C1F9F" w:rsidRPr="00BA5D5B" w:rsidRDefault="007C1F9F" w:rsidP="00186172">
            <w:pPr>
              <w:pStyle w:val="AERtabletext-numbers"/>
            </w:pPr>
            <w:r>
              <w:t>3.1</w:t>
            </w:r>
          </w:p>
        </w:tc>
        <w:tc>
          <w:tcPr>
            <w:tcW w:w="5324" w:type="dxa"/>
            <w:shd w:val="clear" w:color="auto" w:fill="F8B47C"/>
            <w:noWrap/>
            <w:tcMar>
              <w:top w:w="0" w:type="dxa"/>
              <w:bottom w:w="0" w:type="dxa"/>
            </w:tcMar>
            <w:vAlign w:val="center"/>
          </w:tcPr>
          <w:p w:rsidR="007C1F9F" w:rsidRPr="00BA5D5B" w:rsidRDefault="007C1F9F" w:rsidP="00186172">
            <w:pPr>
              <w:pStyle w:val="AERtabletext"/>
            </w:pPr>
            <w:r>
              <w:t>Emergency pipe and fittings ($1.4 million) and in-house emergency inventory ($0.5 million).</w:t>
            </w:r>
          </w:p>
        </w:tc>
      </w:tr>
    </w:tbl>
    <w:p w:rsidR="007C1F9F" w:rsidRDefault="007C1F9F" w:rsidP="007C1F9F">
      <w:pPr>
        <w:pStyle w:val="AERtablesource"/>
      </w:pPr>
      <w:r w:rsidRPr="006708A5">
        <w:t>Source:</w:t>
      </w:r>
      <w:r w:rsidRPr="006708A5">
        <w:tab/>
      </w:r>
      <w:r>
        <w:t xml:space="preserve">APA GasNet, </w:t>
      </w:r>
      <w:r w:rsidRPr="000326DB">
        <w:rPr>
          <w:rStyle w:val="AERtextitalic"/>
        </w:rPr>
        <w:t xml:space="preserve">Access </w:t>
      </w:r>
      <w:r>
        <w:rPr>
          <w:rStyle w:val="AERtextitalic"/>
        </w:rPr>
        <w:t>arrangement submission</w:t>
      </w:r>
      <w:r w:rsidRPr="000326DB">
        <w:t>,</w:t>
      </w:r>
      <w:r>
        <w:t xml:space="preserve"> 31 March 2012, pp. 103-116. </w:t>
      </w:r>
      <w:r w:rsidRPr="007F0EC0">
        <w:t xml:space="preserve"> </w:t>
      </w:r>
    </w:p>
    <w:p w:rsidR="007C1F9F" w:rsidRDefault="007C1F9F" w:rsidP="007C1F9F">
      <w:pPr>
        <w:pStyle w:val="AERtablesource"/>
      </w:pPr>
      <w:r>
        <w:t>Note:</w:t>
      </w:r>
      <w:r>
        <w:tab/>
        <w:t>Table does not list individual project forecasts less than $0.5 million ($2012)</w:t>
      </w:r>
      <w:r w:rsidR="000B7EE2">
        <w:t>,</w:t>
      </w:r>
      <w:r>
        <w:t xml:space="preserve"> which in total contribute to less than five per cent of APA GasNet's</w:t>
      </w:r>
      <w:r w:rsidRPr="0006411D">
        <w:t xml:space="preserve"> total capex forecast.</w:t>
      </w:r>
      <w:r w:rsidRPr="0006411D">
        <w:rPr>
          <w:rStyle w:val="FootnoteReference"/>
        </w:rPr>
        <w:footnoteReference w:id="102"/>
      </w:r>
    </w:p>
    <w:p w:rsidR="007C1F9F" w:rsidRPr="007E3923" w:rsidRDefault="007C1F9F" w:rsidP="007C1F9F">
      <w:pPr>
        <w:pStyle w:val="AERheading4"/>
        <w:rPr>
          <w:rFonts w:eastAsia="Calibri"/>
        </w:rPr>
      </w:pPr>
      <w:r w:rsidRPr="006C4BE6">
        <w:t>Non-system capital expenditure</w:t>
      </w:r>
    </w:p>
    <w:p w:rsidR="007C1F9F" w:rsidRPr="007E3923" w:rsidRDefault="007C1F9F" w:rsidP="007C1F9F">
      <w:pPr>
        <w:pStyle w:val="AERbodytext"/>
        <w:rPr>
          <w:rFonts w:eastAsia="Calibri"/>
        </w:rPr>
      </w:pPr>
      <w:r w:rsidRPr="007E3923">
        <w:rPr>
          <w:rFonts w:eastAsia="Calibri"/>
        </w:rPr>
        <w:t>Non-system capital expenditure, required to support the VTS and ensure the provision of pipeline services to Australian Energy Market Operator (AEMO), is forecast by APA GasNet to be $16.4 million ($2012).</w:t>
      </w:r>
      <w:r w:rsidRPr="007E3923">
        <w:rPr>
          <w:rStyle w:val="FootnoteReference"/>
          <w:rFonts w:eastAsia="Calibri"/>
        </w:rPr>
        <w:footnoteReference w:id="103"/>
      </w:r>
      <w:r w:rsidRPr="007E3923">
        <w:rPr>
          <w:rFonts w:eastAsia="Calibri"/>
        </w:rPr>
        <w:t xml:space="preserve"> The most significant non-system capex project is the redevelopment of the Dandenong office facility which has a total forecast cost of $11.5 million ($2012). APA GasNet has allocated $9.2 million ($2012) to the VTS in proportion to its use of the building.</w:t>
      </w:r>
      <w:r w:rsidRPr="007E3923">
        <w:rPr>
          <w:rStyle w:val="FootnoteReference"/>
          <w:rFonts w:eastAsia="Calibri"/>
        </w:rPr>
        <w:footnoteReference w:id="104"/>
      </w:r>
      <w:r w:rsidRPr="007E3923">
        <w:rPr>
          <w:rFonts w:eastAsia="Calibri"/>
        </w:rPr>
        <w:t xml:space="preserve"> APA GasNet submit that there are significant issues and shortcomings associated with the current buildings that make it prudent to redevelop the Dandenong site by developing new, purpose built office accommodation and demolishing the existing buildings.</w:t>
      </w:r>
      <w:r w:rsidRPr="007E3923">
        <w:rPr>
          <w:rStyle w:val="FootnoteReference"/>
          <w:rFonts w:eastAsia="Calibri"/>
        </w:rPr>
        <w:footnoteReference w:id="105"/>
      </w:r>
    </w:p>
    <w:p w:rsidR="007C1F9F" w:rsidRPr="007E3923" w:rsidRDefault="007C1F9F" w:rsidP="007C1F9F">
      <w:pPr>
        <w:pStyle w:val="AERbodytext"/>
        <w:rPr>
          <w:rFonts w:eastAsia="Calibri"/>
        </w:rPr>
      </w:pPr>
      <w:r w:rsidRPr="007E3923">
        <w:rPr>
          <w:rFonts w:eastAsia="Calibri"/>
        </w:rPr>
        <w:t xml:space="preserve">The other significant non-system capex project is the upgrade of APA GasNet's Supervisory Control and Data Acquisition system at a forecast cost of $3.8 million ($2012). APA GasNet submits that there are benefits in </w:t>
      </w:r>
      <w:r w:rsidRPr="006C4BE6">
        <w:t>migrating its SCADA system to the APA Group's ClearSCADA system</w:t>
      </w:r>
      <w:r w:rsidRPr="007E3923">
        <w:rPr>
          <w:rFonts w:eastAsia="Calibri"/>
        </w:rPr>
        <w:t xml:space="preserve"> as its current system is becoming more difficult to maintain and there is limited support from the manufacturer for the product in Australia.</w:t>
      </w:r>
      <w:r w:rsidRPr="007E3923">
        <w:rPr>
          <w:rStyle w:val="FootnoteReference"/>
          <w:rFonts w:eastAsia="Calibri"/>
        </w:rPr>
        <w:footnoteReference w:id="106"/>
      </w:r>
    </w:p>
    <w:p w:rsidR="007C1F9F" w:rsidRDefault="007C1F9F" w:rsidP="007C1F9F">
      <w:pPr>
        <w:pStyle w:val="AERheading2"/>
        <w:numPr>
          <w:ilvl w:val="1"/>
          <w:numId w:val="7"/>
        </w:numPr>
        <w:tabs>
          <w:tab w:val="clear" w:pos="4317"/>
          <w:tab w:val="num" w:pos="0"/>
        </w:tabs>
        <w:ind w:left="0" w:hanging="720"/>
      </w:pPr>
      <w:bookmarkStart w:id="42" w:name="_Toc334543763"/>
      <w:r w:rsidRPr="003131A4">
        <w:t>Assessment approach</w:t>
      </w:r>
      <w:bookmarkEnd w:id="42"/>
    </w:p>
    <w:p w:rsidR="007C1F9F" w:rsidRPr="00157017" w:rsidRDefault="007C1F9F" w:rsidP="007C1F9F">
      <w:pPr>
        <w:pStyle w:val="AERheading3"/>
        <w:numPr>
          <w:ilvl w:val="2"/>
          <w:numId w:val="7"/>
        </w:numPr>
        <w:tabs>
          <w:tab w:val="clear" w:pos="-357"/>
          <w:tab w:val="num" w:pos="0"/>
        </w:tabs>
        <w:ind w:left="0" w:hanging="714"/>
      </w:pPr>
      <w:r>
        <w:t>NGR requirements for conforming capital expenditure</w:t>
      </w:r>
    </w:p>
    <w:p w:rsidR="007C1F9F" w:rsidRDefault="007C1F9F" w:rsidP="007C1F9F">
      <w:pPr>
        <w:pStyle w:val="AERbodytext"/>
      </w:pPr>
      <w:r>
        <w:t xml:space="preserve">The AER must accept, as part of the opening capital base for the </w:t>
      </w:r>
      <w:r w:rsidR="00202065">
        <w:t>2013–17</w:t>
      </w:r>
      <w:r>
        <w:t xml:space="preserve"> access arrangement period, any conforming capex made (or to be made) during the </w:t>
      </w:r>
      <w:r w:rsidR="00202065">
        <w:t>2008–12</w:t>
      </w:r>
      <w:r>
        <w:t xml:space="preserve"> access arrangement period. Capex will be conforming if it:</w:t>
      </w:r>
    </w:p>
    <w:p w:rsidR="007C1F9F" w:rsidRPr="005B263B" w:rsidRDefault="007C1F9F" w:rsidP="007C1F9F">
      <w:pPr>
        <w:pStyle w:val="AERbulletlistfirststyle"/>
      </w:pPr>
      <w:r w:rsidRPr="005B263B">
        <w:t>meets the definition of capex in r. 69 of the NGR. Capex is defined as costs and expenditure of a capital nature incurred to provide, or in providing, pipeline services</w:t>
      </w:r>
    </w:p>
    <w:p w:rsidR="007C1F9F" w:rsidRPr="000D1DCA" w:rsidRDefault="007C1F9F" w:rsidP="007C1F9F">
      <w:pPr>
        <w:pStyle w:val="AERbulletlistfirststyle"/>
      </w:pPr>
      <w:r w:rsidRPr="00AA296B">
        <w:t>is based on a forecast or estimate which is supported by a statement of the basis of</w:t>
      </w:r>
      <w:r w:rsidRPr="000D1DCA">
        <w:t xml:space="preserve"> the forecast or estimate as set out in r. 74(1) of the NGR. Any forecast or estimate submitted</w:t>
      </w:r>
      <w:r>
        <w:t xml:space="preserve"> must</w:t>
      </w:r>
      <w:r w:rsidRPr="000D1DCA">
        <w:t>:</w:t>
      </w:r>
    </w:p>
    <w:p w:rsidR="007C1F9F" w:rsidRPr="00CD2A5B" w:rsidRDefault="007C1F9F" w:rsidP="007C1F9F">
      <w:pPr>
        <w:pStyle w:val="AERbulletlistsecondstyle"/>
      </w:pPr>
      <w:r>
        <w:t xml:space="preserve">be </w:t>
      </w:r>
      <w:r w:rsidRPr="00CD2A5B">
        <w:t xml:space="preserve">arrived at on a reasonable basis </w:t>
      </w:r>
    </w:p>
    <w:p w:rsidR="007C1F9F" w:rsidRDefault="007C1F9F" w:rsidP="007C1F9F">
      <w:pPr>
        <w:pStyle w:val="AERbulletlistsecondstyle"/>
      </w:pPr>
      <w:r w:rsidRPr="000D1DCA">
        <w:t>represent the best forecast or estimate possible in the circumstances</w:t>
      </w:r>
      <w:r w:rsidRPr="000D1DCA">
        <w:rPr>
          <w:rStyle w:val="FootnoteReference"/>
        </w:rPr>
        <w:footnoteReference w:id="107"/>
      </w:r>
      <w:r w:rsidRPr="000D1DCA">
        <w:t xml:space="preserve"> </w:t>
      </w:r>
    </w:p>
    <w:p w:rsidR="007C1F9F" w:rsidRPr="005B263B" w:rsidRDefault="007C1F9F" w:rsidP="007C1F9F">
      <w:pPr>
        <w:pStyle w:val="AERbulletlistfirststyle"/>
      </w:pPr>
      <w:r w:rsidRPr="005B263B">
        <w:t>conforms to the capex criteria in r. 79 of the NGR. There are two essential criteria that must both be met under this rule:</w:t>
      </w:r>
    </w:p>
    <w:p w:rsidR="007C1F9F" w:rsidRPr="002C5C18" w:rsidRDefault="007C1F9F" w:rsidP="007C1F9F">
      <w:pPr>
        <w:pStyle w:val="AERbulletlistsecondstyle"/>
      </w:pPr>
      <w:r>
        <w:t>T</w:t>
      </w:r>
      <w:r w:rsidRPr="002C5C18">
        <w:t>he expenditure must be such as would be incurred by a prudent service provider acting efficiently, in accordance with good industry practice, to achieve the lowest sustainable cost of providing services</w:t>
      </w:r>
      <w:r>
        <w:t xml:space="preserve"> (r. 79(1)(a)</w:t>
      </w:r>
      <w:r w:rsidRPr="002C5C18">
        <w:t>; and</w:t>
      </w:r>
    </w:p>
    <w:p w:rsidR="007C1F9F" w:rsidRPr="002C5C18" w:rsidRDefault="007C1F9F" w:rsidP="007C1F9F">
      <w:pPr>
        <w:pStyle w:val="AERbulletlistsecondstyle"/>
      </w:pPr>
      <w:r>
        <w:t>T</w:t>
      </w:r>
      <w:r w:rsidRPr="002C5C18">
        <w:t>he expenditure must be justifiable on one of four grounds set out in r. 79(2) of the NGR.</w:t>
      </w:r>
    </w:p>
    <w:p w:rsidR="007C1F9F" w:rsidRDefault="007C1F9F" w:rsidP="007C1F9F">
      <w:pPr>
        <w:pStyle w:val="AERbodytext"/>
      </w:pPr>
      <w:r>
        <w:t>The four grounds set out in r. 79(2) of the NGR can be summarised as follows. The capex must either:</w:t>
      </w:r>
    </w:p>
    <w:p w:rsidR="007C1F9F" w:rsidRPr="005B263B" w:rsidRDefault="007C1F9F" w:rsidP="007C1F9F">
      <w:pPr>
        <w:pStyle w:val="AERbulletlistfirststyle"/>
      </w:pPr>
      <w:r w:rsidRPr="005B263B">
        <w:t>have an overall economic value that is positive</w:t>
      </w:r>
    </w:p>
    <w:p w:rsidR="007C1F9F" w:rsidRPr="000D1DCA" w:rsidRDefault="007C1F9F" w:rsidP="007C1F9F">
      <w:pPr>
        <w:pStyle w:val="AERbulletlistfirststyle"/>
      </w:pPr>
      <w:r w:rsidRPr="005B263B">
        <w:t xml:space="preserve">demonstrate an expected present value </w:t>
      </w:r>
      <w:r w:rsidRPr="000D1DCA">
        <w:t>of the incremental revenue that exceeds the expenditure</w:t>
      </w:r>
    </w:p>
    <w:p w:rsidR="007C1F9F" w:rsidRPr="005B263B" w:rsidRDefault="007C1F9F" w:rsidP="007C1F9F">
      <w:pPr>
        <w:pStyle w:val="AERbulletlistfirststyle"/>
      </w:pPr>
      <w:r w:rsidRPr="005B263B">
        <w:t>be necessary to maintain and improve the safety of services, or maintain the integrity of services, or comply with a regulatory obligation or requirement, or maintain capacity to meet levels of demand existing at the time the capex is incurred, or</w:t>
      </w:r>
    </w:p>
    <w:p w:rsidR="007C1F9F" w:rsidRPr="005B263B" w:rsidRDefault="007C1F9F" w:rsidP="007C1F9F">
      <w:pPr>
        <w:pStyle w:val="AERbulletlistfirststyle"/>
      </w:pPr>
      <w:r w:rsidRPr="005B263B">
        <w:t>be justifiable as a combination of the preceding two dot points.</w:t>
      </w:r>
    </w:p>
    <w:p w:rsidR="007C1F9F" w:rsidRPr="00AA296B" w:rsidRDefault="007C1F9F" w:rsidP="007C1F9F">
      <w:pPr>
        <w:pStyle w:val="AERbodytext"/>
      </w:pPr>
      <w:r>
        <w:t>The AER has limited discretion when making decisions under r. 79 of the NGR. The AER must approve a particular element of the access arrangement proposal if that element complies with the applicable requirements of the NGR and NGL and is consistent with any criteria set out in the NGR or NGL.</w:t>
      </w:r>
      <w:r>
        <w:rPr>
          <w:rStyle w:val="FootnoteReference"/>
        </w:rPr>
        <w:footnoteReference w:id="108"/>
      </w:r>
      <w:r>
        <w:t xml:space="preserve"> This is different to the position under the </w:t>
      </w:r>
      <w:r w:rsidR="000B7EE2">
        <w:t>NER</w:t>
      </w:r>
      <w:r>
        <w:t>, where the AER is required to consider total forecast capex and whether that forecast total reasonably reflects certain criteria. In contrast, under the NGR, any element of the access arrangement proposal that satisfies the requirements of the NGR must be approved and individual elements that do not satisfy the NGR requirements may not be accepted.</w:t>
      </w:r>
    </w:p>
    <w:p w:rsidR="007C1F9F" w:rsidRDefault="007C1F9F" w:rsidP="007C1F9F">
      <w:pPr>
        <w:pStyle w:val="AERheading3"/>
        <w:numPr>
          <w:ilvl w:val="2"/>
          <w:numId w:val="7"/>
        </w:numPr>
        <w:tabs>
          <w:tab w:val="clear" w:pos="-357"/>
          <w:tab w:val="num" w:pos="0"/>
        </w:tabs>
        <w:ind w:left="0" w:hanging="714"/>
      </w:pPr>
      <w:r>
        <w:t>Assessment of conforming capital expenditure</w:t>
      </w:r>
    </w:p>
    <w:p w:rsidR="007C1F9F" w:rsidRDefault="007C1F9F" w:rsidP="007C1F9F">
      <w:pPr>
        <w:pStyle w:val="AERbodytext"/>
      </w:pPr>
      <w:r>
        <w:t>In making its assessment of APA GasNet's proposed capex, the AER considers, amongst other things, the access arrangement information provided by APA GasNet. The information provided by APA GasNet must meet certain standards. The AER will not approve certain information and forecasts provided by APA GasNet if the information does not meet the requirements set out in the NGR.</w:t>
      </w:r>
      <w:r>
        <w:rPr>
          <w:rStyle w:val="FootnoteReference"/>
        </w:rPr>
        <w:footnoteReference w:id="109"/>
      </w:r>
      <w:r>
        <w:t xml:space="preserve">  </w:t>
      </w:r>
    </w:p>
    <w:p w:rsidR="007C1F9F" w:rsidRDefault="007C1F9F" w:rsidP="007C1F9F">
      <w:pPr>
        <w:pStyle w:val="AERbodytext"/>
      </w:pPr>
      <w:r>
        <w:t>The AER must, in performing and exercising an AER economic regulatory function or power, exercise that function or power in a manner that will or is likely to contribute to the achievement of the NGO.</w:t>
      </w:r>
      <w:r>
        <w:rPr>
          <w:rStyle w:val="FootnoteReference"/>
        </w:rPr>
        <w:footnoteReference w:id="110"/>
      </w:r>
      <w:r>
        <w:t xml:space="preserve"> For instance, having regard to the NGO, the AER takes the view that a prudent service provider will seek cost efficiencies through continuous improvements, and that customers ultimately share in these benefits. This also provides the service provider with a reasonable opportunity to recover at least its efficient costs in accordance with the revenue and pricing principles. This is pertinent as no incentive mechanism (or similar) is applied to capex for the VTS. </w:t>
      </w:r>
    </w:p>
    <w:p w:rsidR="007C1F9F" w:rsidRDefault="007C1F9F" w:rsidP="007C1F9F">
      <w:pPr>
        <w:pStyle w:val="AERbodytext"/>
      </w:pPr>
      <w:r>
        <w:t xml:space="preserve">The AER has reviewed APA GasNet's access arrangement and notes the proposed capex of $160.4 million ($2012) in the </w:t>
      </w:r>
      <w:r w:rsidR="00202065">
        <w:t>2008–12</w:t>
      </w:r>
      <w:r>
        <w:t xml:space="preserve"> access arrangement period is less than the ACCC approved capex by 27.7 per cent. The AER reviewed APA GasNet's supporting material including its reasoning and, where relevant, business cases and other drivers. This information helped the AER identify the need for the capex over the </w:t>
      </w:r>
      <w:r w:rsidR="00202065">
        <w:t>2008–12</w:t>
      </w:r>
      <w:r>
        <w:t xml:space="preserve"> access arrangement period and, in turn, whether that capex should be included in the opening capital base in accordance with r. 77 (2)(b) of the NGR.</w:t>
      </w:r>
    </w:p>
    <w:p w:rsidR="007C1F9F" w:rsidRPr="001147EC" w:rsidRDefault="007C1F9F" w:rsidP="007C1F9F">
      <w:pPr>
        <w:pStyle w:val="AERbodytext"/>
        <w:rPr>
          <w:rStyle w:val="AERbody"/>
        </w:rPr>
      </w:pPr>
      <w:r w:rsidRPr="001147EC">
        <w:rPr>
          <w:rStyle w:val="AERbody"/>
        </w:rPr>
        <w:t>In making its assessment of whether APA GasNet's proposed capex in the opening and projected capital base conforms to the capex criteria in r. 79(1) of the NGR, the AER considered APA GasNet's historic and proposed capex and assessed the key drivers for the capex. This included an analysis of APA GasNet's proposal, including:</w:t>
      </w:r>
    </w:p>
    <w:p w:rsidR="007C1F9F" w:rsidRPr="001147EC" w:rsidRDefault="007C1F9F" w:rsidP="007C1F9F">
      <w:pPr>
        <w:pStyle w:val="AERbulletlistfirststyle"/>
        <w:rPr>
          <w:rStyle w:val="AERbody"/>
        </w:rPr>
      </w:pPr>
      <w:r w:rsidRPr="001147EC">
        <w:rPr>
          <w:rStyle w:val="AERbody"/>
        </w:rPr>
        <w:t>various asset plans, policies and schedules</w:t>
      </w:r>
    </w:p>
    <w:p w:rsidR="007C1F9F" w:rsidRPr="001147EC" w:rsidRDefault="007C1F9F" w:rsidP="007C1F9F">
      <w:pPr>
        <w:pStyle w:val="AERbulletlistfirststyle"/>
        <w:rPr>
          <w:rStyle w:val="AERbody"/>
        </w:rPr>
      </w:pPr>
      <w:r w:rsidRPr="001147EC">
        <w:rPr>
          <w:rStyle w:val="AERbody"/>
        </w:rPr>
        <w:t xml:space="preserve">investment justification processes </w:t>
      </w:r>
    </w:p>
    <w:p w:rsidR="007C1F9F" w:rsidRPr="001147EC" w:rsidRDefault="007C1F9F" w:rsidP="007C1F9F">
      <w:pPr>
        <w:pStyle w:val="AERbulletlistfirststyle"/>
        <w:rPr>
          <w:rStyle w:val="AERbody"/>
        </w:rPr>
      </w:pPr>
      <w:r w:rsidRPr="001147EC">
        <w:rPr>
          <w:rStyle w:val="AERbody"/>
        </w:rPr>
        <w:t xml:space="preserve">ACCC's Final Approval in June 2008 </w:t>
      </w:r>
    </w:p>
    <w:p w:rsidR="007C1F9F" w:rsidRPr="001147EC" w:rsidRDefault="007C1F9F" w:rsidP="007C1F9F">
      <w:pPr>
        <w:pStyle w:val="AERbulletlistfirststyle"/>
        <w:rPr>
          <w:rStyle w:val="AERbody"/>
        </w:rPr>
      </w:pPr>
      <w:r w:rsidRPr="001147EC">
        <w:rPr>
          <w:rStyle w:val="AERbody"/>
        </w:rPr>
        <w:t>an assessment of major risks identified for the period, and the risk management practices and policies adopted to mitigate those risks.</w:t>
      </w:r>
    </w:p>
    <w:p w:rsidR="007C1F9F" w:rsidRPr="00F25783" w:rsidRDefault="007C1F9F" w:rsidP="007C1F9F">
      <w:pPr>
        <w:pStyle w:val="AERbodytext"/>
      </w:pPr>
      <w:r w:rsidRPr="00F25783">
        <w:t>By examining key documents, processes and assumptions, and comparing historical</w:t>
      </w:r>
      <w:r>
        <w:t xml:space="preserve"> </w:t>
      </w:r>
      <w:r w:rsidRPr="00F25783">
        <w:t>expenditure to that proposed, the AER can better understand the key drivers behind</w:t>
      </w:r>
      <w:r>
        <w:t xml:space="preserve"> APA GasNet's</w:t>
      </w:r>
      <w:r w:rsidRPr="00F25783">
        <w:t xml:space="preserve"> </w:t>
      </w:r>
      <w:r>
        <w:t>proposed capex</w:t>
      </w:r>
      <w:r w:rsidRPr="00F25783">
        <w:t>.</w:t>
      </w:r>
    </w:p>
    <w:p w:rsidR="007C1F9F" w:rsidRDefault="007C1F9F" w:rsidP="007C1F9F">
      <w:pPr>
        <w:pStyle w:val="AERbodytext"/>
      </w:pPr>
      <w:r>
        <w:t>The AER engaged Sleeman Consulting to provide technical advice on two major augmentation projects proposed by APA GasNet. The AER also</w:t>
      </w:r>
      <w:r w:rsidRPr="00F25783">
        <w:t xml:space="preserve"> engaged </w:t>
      </w:r>
      <w:r>
        <w:t xml:space="preserve">Deloitte Access Economics </w:t>
      </w:r>
      <w:r w:rsidRPr="00F25783">
        <w:t>to provide a</w:t>
      </w:r>
      <w:r>
        <w:t>dvice on</w:t>
      </w:r>
      <w:r w:rsidRPr="00F25783">
        <w:t xml:space="preserve"> </w:t>
      </w:r>
      <w:r>
        <w:t>APA GasNet's</w:t>
      </w:r>
      <w:r w:rsidRPr="00F25783">
        <w:t xml:space="preserve"> propos</w:t>
      </w:r>
      <w:r>
        <w:t xml:space="preserve">ed labour cost escalators and ACIL Tasman to provide advice on capacity utilisation. </w:t>
      </w:r>
    </w:p>
    <w:p w:rsidR="007C1F9F" w:rsidRDefault="007C1F9F" w:rsidP="007C1F9F">
      <w:pPr>
        <w:pStyle w:val="AERbodytext"/>
      </w:pPr>
      <w:r>
        <w:t>The AER received submissions from AGL Energy Limited, Australian Power and Gas Pty Limited, BHP Billiton, the Energy Users Coalition of Victoria, Origin and TRUenergy relating to APA GasNet's capex proposal.</w:t>
      </w:r>
      <w:r>
        <w:rPr>
          <w:rStyle w:val="FootnoteReference"/>
        </w:rPr>
        <w:footnoteReference w:id="111"/>
      </w:r>
    </w:p>
    <w:p w:rsidR="007C1F9F" w:rsidRDefault="007C1F9F" w:rsidP="007C1F9F">
      <w:pPr>
        <w:pStyle w:val="AERheading2"/>
        <w:numPr>
          <w:ilvl w:val="1"/>
          <w:numId w:val="7"/>
        </w:numPr>
        <w:tabs>
          <w:tab w:val="clear" w:pos="4317"/>
          <w:tab w:val="num" w:pos="0"/>
        </w:tabs>
        <w:ind w:left="0" w:hanging="720"/>
      </w:pPr>
      <w:bookmarkStart w:id="43" w:name="_Toc334543764"/>
      <w:r w:rsidRPr="003131A4">
        <w:t>Reasons for decision</w:t>
      </w:r>
      <w:bookmarkEnd w:id="43"/>
    </w:p>
    <w:p w:rsidR="007C1F9F" w:rsidRDefault="007C1F9F" w:rsidP="007C1F9F">
      <w:pPr>
        <w:pStyle w:val="AERheading3"/>
        <w:numPr>
          <w:ilvl w:val="2"/>
          <w:numId w:val="7"/>
        </w:numPr>
        <w:tabs>
          <w:tab w:val="clear" w:pos="-357"/>
          <w:tab w:val="num" w:pos="0"/>
        </w:tabs>
        <w:ind w:left="0" w:hanging="714"/>
      </w:pPr>
      <w:r w:rsidRPr="009524C2">
        <w:t xml:space="preserve">Conforming capital </w:t>
      </w:r>
      <w:r w:rsidRPr="00EC224C">
        <w:t>expenditure</w:t>
      </w:r>
      <w:r w:rsidRPr="009524C2">
        <w:t xml:space="preserve"> in the </w:t>
      </w:r>
      <w:r w:rsidR="00202065">
        <w:t>2008–12</w:t>
      </w:r>
      <w:r>
        <w:t xml:space="preserve"> access arrangement period</w:t>
      </w:r>
      <w:r w:rsidRPr="009524C2">
        <w:t xml:space="preserve"> </w:t>
      </w:r>
    </w:p>
    <w:p w:rsidR="007C1F9F" w:rsidRDefault="007C1F9F" w:rsidP="007C1F9F">
      <w:pPr>
        <w:pStyle w:val="AERbodytext"/>
      </w:pPr>
      <w:r>
        <w:t xml:space="preserve">APA GasNet proposed $160.4 million ($2012) of conforming capex in the </w:t>
      </w:r>
      <w:r w:rsidR="00202065">
        <w:t>2008–12</w:t>
      </w:r>
      <w:r>
        <w:t xml:space="preserve"> access arrangement period. The proposed conforming capex comprises expenditure in augmentation, refurbishment and upgrade and non-system capex. As </w:t>
      </w:r>
      <w:r w:rsidR="00DE0D6A">
        <w:fldChar w:fldCharType="begin"/>
      </w:r>
      <w:r>
        <w:instrText xml:space="preserve"> REF _Ref330899130 \r \h </w:instrText>
      </w:r>
      <w:r w:rsidR="00DE0D6A">
        <w:fldChar w:fldCharType="separate"/>
      </w:r>
      <w:r w:rsidR="0018730D">
        <w:t>Figure 3.4</w:t>
      </w:r>
      <w:r w:rsidR="00DE0D6A">
        <w:fldChar w:fldCharType="end"/>
      </w:r>
      <w:r>
        <w:t xml:space="preserve"> shows, there is a significant divergence between APA GasNet's proposed capex and that approved by the ACCC. The AER has carefully examined this divergence and approves APA GasNet's capex during the </w:t>
      </w:r>
      <w:r w:rsidR="00202065">
        <w:t>2008–12</w:t>
      </w:r>
      <w:r>
        <w:t xml:space="preserve"> access arrangement period.</w:t>
      </w:r>
    </w:p>
    <w:p w:rsidR="007C1F9F" w:rsidRDefault="007C1F9F" w:rsidP="007C1F9F">
      <w:pPr>
        <w:pStyle w:val="AERfigureheading"/>
      </w:pPr>
      <w:bookmarkStart w:id="44" w:name="_Ref330899130"/>
      <w:r>
        <w:t xml:space="preserve">Total proposed capex over the </w:t>
      </w:r>
      <w:r w:rsidR="00202065">
        <w:t>2008–12</w:t>
      </w:r>
      <w:r>
        <w:t xml:space="preserve"> access arrangement period by component </w:t>
      </w:r>
      <w:bookmarkEnd w:id="44"/>
    </w:p>
    <w:p w:rsidR="007C1F9F" w:rsidRDefault="00AB287B" w:rsidP="007C1F9F">
      <w:pPr>
        <w:pStyle w:val="AERbodytext"/>
      </w:pPr>
      <w:r>
        <w:pict>
          <v:shape id="Chart 2" o:spid="_x0000_i1028" type="#_x0000_t75" style="width:438.7pt;height:37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V7TN2gAAAAUBAAAPAAAAZHJzL2Rvd25y&#10;ZXYueG1sTI/BTsMwEETvSPyDtUjcqA2iJKRxqqgS4ggUPmATb5NAvI5spw18PYYLXFYazWjmbbld&#10;7CiO5MPgWMP1SoEgbp0ZuNPw9vpwlYMIEdng6Jg0fFKAbXV+VmJh3Ilf6LiPnUglHArU0Mc4FVKG&#10;tieLYeUm4uQdnLcYk/SdNB5PqdyO8kapO2lx4LTQ40S7ntqP/Ww1fNX107uf72vc5U37+MxKhU5p&#10;fXmx1BsQkZb4F4Yf/IQOVWJq3MwmiFFDeiT+3uTlWbYG0WjIbvM1yKqU/+mrb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">
            <v:imagedata r:id="rId23" o:title="" croptop="-433f" cropbottom="-1616f" cropleft="-621f" cropright="-4570f"/>
            <o:lock v:ext="edit" aspectratio="f"/>
          </v:shape>
        </w:pict>
      </w:r>
    </w:p>
    <w:p w:rsidR="007C1F9F" w:rsidRDefault="007C1F9F" w:rsidP="007C1F9F">
      <w:pPr>
        <w:pStyle w:val="AERtablesource"/>
      </w:pPr>
      <w:r w:rsidRPr="00CD3149">
        <w:t>Source:</w:t>
      </w:r>
      <w:r w:rsidRPr="00CD3149">
        <w:tab/>
      </w:r>
      <w:r>
        <w:t xml:space="preserve">APA GasNet, </w:t>
      </w:r>
      <w:r w:rsidRPr="000326DB">
        <w:rPr>
          <w:rStyle w:val="AERtextitalic"/>
        </w:rPr>
        <w:t xml:space="preserve">Access </w:t>
      </w:r>
      <w:r>
        <w:rPr>
          <w:rStyle w:val="AERtextitalic"/>
        </w:rPr>
        <w:t>arrangement submission</w:t>
      </w:r>
      <w:r w:rsidRPr="000326DB">
        <w:t>,</w:t>
      </w:r>
      <w:r>
        <w:t xml:space="preserve"> 31 March 2012, p 73.</w:t>
      </w:r>
    </w:p>
    <w:p w:rsidR="007C1F9F" w:rsidRPr="00342AD4" w:rsidRDefault="007C1F9F" w:rsidP="007C1F9F">
      <w:pPr>
        <w:pStyle w:val="AERheading4"/>
      </w:pPr>
      <w:r w:rsidRPr="00342AD4">
        <w:t>Augmentation</w:t>
      </w:r>
    </w:p>
    <w:p w:rsidR="007C1F9F" w:rsidRPr="00542635" w:rsidRDefault="007C1F9F" w:rsidP="007C1F9F">
      <w:pPr>
        <w:pStyle w:val="AERbodytext"/>
      </w:pPr>
      <w:r>
        <w:t xml:space="preserve">As a result of the </w:t>
      </w:r>
      <w:r w:rsidRPr="00542635">
        <w:t xml:space="preserve">GFC and the APA Group's acquisition of the VTS in 2007, APA GasNet completed approved augmentation projects at a lower cost or pursued alternative options than those forecast in 2007 through adopting more efficient processes and practices. </w:t>
      </w:r>
    </w:p>
    <w:p w:rsidR="007C1F9F" w:rsidRDefault="007C1F9F" w:rsidP="007C1F9F">
      <w:pPr>
        <w:pStyle w:val="AERbodytext"/>
      </w:pPr>
      <w:r w:rsidRPr="00542635">
        <w:t>In respect of the Northern Zone Augmentation project, the impact of the GFC and financial uncertainty led APA GasNet to delay commencement</w:t>
      </w:r>
      <w:r>
        <w:t xml:space="preserve"> of the project and review and investigate alternative options. </w:t>
      </w:r>
      <w:r w:rsidRPr="00C01902">
        <w:t>Further, the acquisition of APA GasNet by the APA Group in 2007 allowed APA GasNet to integrate capital planning and management practices with centralised planning, approval and management of assets.</w:t>
      </w:r>
      <w:r>
        <w:t xml:space="preserve"> APA GasNet was able to modify its proposed Northern Zone Augmentation project by implementing an alternative solution to looping the Wollert to Wandong Pipeline, modifying the Springhurst compressor station, delaying completion of the Euroa compressor station construction until 2012 and installing larger compressors at lower cost.</w:t>
      </w:r>
      <w:r>
        <w:rPr>
          <w:rStyle w:val="FootnoteReference"/>
        </w:rPr>
        <w:footnoteReference w:id="112"/>
      </w:r>
      <w:r>
        <w:t xml:space="preserve"> The AER considers these modifications were prudent, and have resulted in reduced overall project costs.</w:t>
      </w:r>
    </w:p>
    <w:p w:rsidR="007C1F9F" w:rsidRDefault="007C1F9F" w:rsidP="007C1F9F">
      <w:pPr>
        <w:pStyle w:val="AERbodytext"/>
      </w:pPr>
      <w:r>
        <w:t xml:space="preserve">The AER </w:t>
      </w:r>
      <w:r w:rsidRPr="00542635">
        <w:t>also</w:t>
      </w:r>
      <w:r>
        <w:t xml:space="preserve"> accepts APA GasNet's justification for incurring additional expenditure in 2008 for the Brooklyn Lara Pipeline project because of delays in the compulsory acquisition of easements. APA GasNet submitted that delays in completion of the project increased its expenditure to $24.0 million ($2012) in 2008 from the proposed expenditure of $16.8 million ($2012). Total expenditure for the project of $70.3 million ($2012) was still consistent with the approved amount of $71.1 million ($2012).</w:t>
      </w:r>
      <w:r>
        <w:rPr>
          <w:rStyle w:val="FootnoteReference"/>
        </w:rPr>
        <w:footnoteReference w:id="113"/>
      </w:r>
    </w:p>
    <w:p w:rsidR="007C1F9F" w:rsidRDefault="007C1F9F" w:rsidP="007C1F9F">
      <w:pPr>
        <w:pStyle w:val="AERbodytext"/>
      </w:pPr>
      <w:r>
        <w:t xml:space="preserve">The AER considers that APA GasNet's augmentation expenditure during the </w:t>
      </w:r>
      <w:r w:rsidR="00202065">
        <w:t>2008–12</w:t>
      </w:r>
      <w:r>
        <w:t xml:space="preserve"> access arrangement period is conforming capex under r. 79 of the NGR.</w:t>
      </w:r>
    </w:p>
    <w:p w:rsidR="007C1F9F" w:rsidRPr="00342AD4" w:rsidRDefault="007C1F9F" w:rsidP="007C1F9F">
      <w:pPr>
        <w:pStyle w:val="AERheading4"/>
      </w:pPr>
      <w:r w:rsidRPr="00342AD4">
        <w:t xml:space="preserve">Refurbishment and upgrade </w:t>
      </w:r>
    </w:p>
    <w:p w:rsidR="007C1F9F" w:rsidRDefault="007C1F9F" w:rsidP="007C1F9F">
      <w:pPr>
        <w:pStyle w:val="AERbodytext"/>
      </w:pPr>
      <w:r>
        <w:t>Although APA GasNet underspent its approved refurbishment and upgrade capex, the AER considers that APA GasNet's response to the impact of the GFC was prudent. APA GasNet responded to the impact of the GFC and uncertainty over the availability of funds from early 2009 through 2010 by limiting all non-time critical capex and opex during this period.</w:t>
      </w:r>
      <w:r>
        <w:rPr>
          <w:rStyle w:val="FootnoteReference"/>
        </w:rPr>
        <w:footnoteReference w:id="114"/>
      </w:r>
      <w:r>
        <w:t xml:space="preserve"> </w:t>
      </w:r>
    </w:p>
    <w:p w:rsidR="007C1F9F" w:rsidRDefault="007C1F9F" w:rsidP="007C1F9F">
      <w:pPr>
        <w:pStyle w:val="AERbodytext"/>
      </w:pPr>
      <w:r>
        <w:t>APA GasNet's most significant underspend in refurbishment and upgrade capex was for the Brooklyn Compressor Station project where APA GasNet spent $4.4 million ($2012) compared to an approved amount of $58.6 million ($2012). APA GasNet did not attribute this underspend to the GFC, but rather, to the transition of ownership of the VTS into the APA Group and a review of asset management practices.</w:t>
      </w:r>
      <w:r>
        <w:rPr>
          <w:rStyle w:val="FootnoteReference"/>
        </w:rPr>
        <w:footnoteReference w:id="115"/>
      </w:r>
      <w:r>
        <w:t xml:space="preserve"> A consequence of this review was a decision to address the constraints in the Sunbury and Ballarat areas through the construction of the Sunbury Loop at a cost of $13.5 million ($2012) as a first stage in completing the proposed WORM project. This expenditure replaced the proposed works on compressors 11, 13 and 14 at the Brooklyn Compressor Station.</w:t>
      </w:r>
      <w:r>
        <w:rPr>
          <w:rStyle w:val="FootnoteReference"/>
        </w:rPr>
        <w:footnoteReference w:id="116"/>
      </w:r>
      <w:r>
        <w:t xml:space="preserve"> The AER considers APA GasNet's decision to alleviate the constraints in the Sunbury and Ballarat areas by developing the Sunbury Loop to be prudent. </w:t>
      </w:r>
    </w:p>
    <w:p w:rsidR="007C1F9F" w:rsidRDefault="007C1F9F" w:rsidP="007C1F9F">
      <w:pPr>
        <w:pStyle w:val="AERbodytext"/>
      </w:pPr>
      <w:r>
        <w:t>The AER has reviewed the other refurbishment and upgrade projects that APA GasNet submits were impacted by the GFC, and to a lesser extent changing pipeline operation and dynamics. These projects include expenditure on gas heating facilities, pipeline upgrades, safety and security systems and work on other compressor stations. The AER considers APA GasNet's decision to defer expenditure on these projects was prudent. The AER considers that it was reasonable for APA GasNet to defer some maintenance, overhaul and replacement works as scheduled where risk assessments showed that deferral of that work would not be detrimental to safety and security of supply.</w:t>
      </w:r>
    </w:p>
    <w:p w:rsidR="007C1F9F" w:rsidRDefault="007C1F9F" w:rsidP="007C1F9F">
      <w:pPr>
        <w:pStyle w:val="AERbodytext"/>
      </w:pPr>
      <w:r>
        <w:t xml:space="preserve">On the basis of its review of APA GasNet's refurbishment and upgrade expenditure during the </w:t>
      </w:r>
      <w:r w:rsidR="00202065">
        <w:t>2008–12</w:t>
      </w:r>
      <w:r>
        <w:t xml:space="preserve"> access arrangement period, the AER considers that this expenditure is conforming capex under r. 79 of the NGR. </w:t>
      </w:r>
    </w:p>
    <w:p w:rsidR="007C1F9F" w:rsidRPr="00342AD4" w:rsidRDefault="007C1F9F" w:rsidP="007C1F9F">
      <w:pPr>
        <w:pStyle w:val="AERheading4"/>
      </w:pPr>
      <w:r w:rsidRPr="00342AD4">
        <w:t xml:space="preserve">Non-system capex </w:t>
      </w:r>
    </w:p>
    <w:p w:rsidR="007C1F9F" w:rsidRDefault="007C1F9F" w:rsidP="007C1F9F">
      <w:pPr>
        <w:pStyle w:val="AERbodytext"/>
      </w:pPr>
      <w:r>
        <w:t xml:space="preserve">Although non-system capex of $13.5 million ($2012) during the </w:t>
      </w:r>
      <w:r w:rsidR="00202065">
        <w:t>2008–12</w:t>
      </w:r>
      <w:r>
        <w:t xml:space="preserve"> access arrangement period was significantly greater than the forecast level of $3.9 million ($2012), the AER considers that unforseen IT systems expenditure of $9.7 million is justified on the grounds submitted by APA GasNet. These include the need for</w:t>
      </w:r>
      <w:r>
        <w:rPr>
          <w:rStyle w:val="FootnoteReference"/>
        </w:rPr>
        <w:footnoteReference w:id="117"/>
      </w:r>
      <w:r>
        <w:t>:</w:t>
      </w:r>
    </w:p>
    <w:p w:rsidR="007C1F9F" w:rsidRDefault="007C1F9F" w:rsidP="007C1F9F">
      <w:pPr>
        <w:pStyle w:val="AERbulletlistfirststyle"/>
      </w:pPr>
      <w:r w:rsidRPr="00F146B5">
        <w:t>robust</w:t>
      </w:r>
      <w:r>
        <w:t xml:space="preserve"> financial management and reporting</w:t>
      </w:r>
    </w:p>
    <w:p w:rsidR="007C1F9F" w:rsidRDefault="007C1F9F" w:rsidP="007C1F9F">
      <w:pPr>
        <w:pStyle w:val="AERbulletlistfirststyle"/>
      </w:pPr>
      <w:r>
        <w:t>sophisticated project and cost management</w:t>
      </w:r>
    </w:p>
    <w:p w:rsidR="007C1F9F" w:rsidRDefault="007C1F9F" w:rsidP="007C1F9F">
      <w:pPr>
        <w:pStyle w:val="AERbulletlistfirststyle"/>
      </w:pPr>
      <w:r>
        <w:t>secure and reliable access to SCADA data</w:t>
      </w:r>
    </w:p>
    <w:p w:rsidR="007C1F9F" w:rsidRDefault="007C1F9F" w:rsidP="007C1F9F">
      <w:pPr>
        <w:pStyle w:val="AERbulletlistfirststyle"/>
      </w:pPr>
      <w:r>
        <w:t>access to robust and reliable integrity data.</w:t>
      </w:r>
    </w:p>
    <w:p w:rsidR="007C1F9F" w:rsidRDefault="007C1F9F" w:rsidP="007C1F9F">
      <w:pPr>
        <w:pStyle w:val="AERbodytext"/>
      </w:pPr>
      <w:r>
        <w:t>The AER has considered the Energy Users Coalition of Victoria's submission that the IT systems expenditure was not prudent as APA GasNet was operating successfully without the need to harmonise its operations with the APA Group.</w:t>
      </w:r>
      <w:r>
        <w:rPr>
          <w:rStyle w:val="FootnoteReference"/>
        </w:rPr>
        <w:footnoteReference w:id="118"/>
      </w:r>
      <w:r>
        <w:t xml:space="preserve"> However, based on its review of IT systems expenditure, the AER considers that APA GasNet has justified this expenditure. Each IT system was necessary to address a variety of operational needs as well as reducing the risks to APA GasNet. In particular, the AER considers that:</w:t>
      </w:r>
    </w:p>
    <w:p w:rsidR="007C1F9F" w:rsidRDefault="007C1F9F" w:rsidP="007C1F9F">
      <w:pPr>
        <w:pStyle w:val="AERbulletlistfirststyle"/>
      </w:pPr>
      <w:r>
        <w:t xml:space="preserve">APA GasNet's project management will benefit from having consistent and aligned methods and portfolio reporting across the APA Group </w:t>
      </w:r>
    </w:p>
    <w:p w:rsidR="007C1F9F" w:rsidRDefault="007C1F9F" w:rsidP="007C1F9F">
      <w:pPr>
        <w:pStyle w:val="AERbulletlistfirststyle"/>
      </w:pPr>
      <w:r>
        <w:t xml:space="preserve">APA GasNet's previous IT systems were becoming obsolete and updated IT systems provide more effective solutions for the management of its assets and data </w:t>
      </w:r>
    </w:p>
    <w:p w:rsidR="007C1F9F" w:rsidRDefault="007C1F9F" w:rsidP="007C1F9F">
      <w:pPr>
        <w:pStyle w:val="AERbulletlistfirststyle"/>
      </w:pPr>
      <w:r>
        <w:t>there are likely to be some economies of scale where the allocation to the VTS of the cost of APA Group IT systems are less than the stand-alone cost of the systems.</w:t>
      </w:r>
    </w:p>
    <w:p w:rsidR="007C1F9F" w:rsidRDefault="007C1F9F" w:rsidP="007C1F9F">
      <w:pPr>
        <w:pStyle w:val="AERbodytext"/>
      </w:pPr>
      <w:r>
        <w:t xml:space="preserve">The AER also considers that APA GasNet's decision to deviate from the proposed works program for its Dandenong office in 2011 and 2012 was prudent given that the replacement of the Dandenong office buildings is included as part of its capex program for the </w:t>
      </w:r>
      <w:r w:rsidR="00202065">
        <w:t>2013–17</w:t>
      </w:r>
      <w:r>
        <w:t xml:space="preserve"> access arrangement period. There are a number of problems with the current facility which made it necessary for APA GasNet to consider demolishing the existing buildings and redeveloping the site. The AER considers it was prudent for APA GasNet to not invest in repair, maintenance and capital works for the Dandenong office buildings in 2011 and 2012 as proposed when replacement of the buildings is scheduled for 2013 and 2014. Further discussion on the proposed redevelopment of the Dandenong site is provided in section </w:t>
      </w:r>
      <w:r w:rsidR="00DE0D6A">
        <w:fldChar w:fldCharType="begin"/>
      </w:r>
      <w:r>
        <w:instrText xml:space="preserve"> REF _Ref331601815 \r \h </w:instrText>
      </w:r>
      <w:r w:rsidR="00DE0D6A">
        <w:fldChar w:fldCharType="separate"/>
      </w:r>
      <w:r>
        <w:t>3.4.2</w:t>
      </w:r>
      <w:r w:rsidR="00DE0D6A">
        <w:fldChar w:fldCharType="end"/>
      </w:r>
      <w:r>
        <w:t>.</w:t>
      </w:r>
    </w:p>
    <w:p w:rsidR="007C1F9F" w:rsidRDefault="007C1F9F" w:rsidP="007C1F9F">
      <w:pPr>
        <w:pStyle w:val="AERbodytext"/>
      </w:pPr>
      <w:r>
        <w:t xml:space="preserve">The AER considers that APA GasNet's non-system capex expenditure during the </w:t>
      </w:r>
      <w:r w:rsidR="00202065">
        <w:t>2008–12</w:t>
      </w:r>
      <w:r>
        <w:t xml:space="preserve"> access arrangement period is conforming capex under r. 79 of the NGR.</w:t>
      </w:r>
    </w:p>
    <w:p w:rsidR="007C1F9F" w:rsidRPr="009A2E65" w:rsidRDefault="007C1F9F" w:rsidP="007C1F9F">
      <w:pPr>
        <w:pStyle w:val="AERheading3"/>
        <w:numPr>
          <w:ilvl w:val="2"/>
          <w:numId w:val="7"/>
        </w:numPr>
        <w:tabs>
          <w:tab w:val="clear" w:pos="-357"/>
          <w:tab w:val="num" w:pos="0"/>
        </w:tabs>
        <w:ind w:left="0" w:hanging="714"/>
      </w:pPr>
      <w:bookmarkStart w:id="45" w:name="_Ref331601815"/>
      <w:r>
        <w:t xml:space="preserve">Conforming capital expenditure for the </w:t>
      </w:r>
      <w:r w:rsidR="00202065">
        <w:t>2013–17</w:t>
      </w:r>
      <w:r>
        <w:t xml:space="preserve"> access arrangement period</w:t>
      </w:r>
      <w:bookmarkEnd w:id="45"/>
    </w:p>
    <w:p w:rsidR="007C1F9F" w:rsidRDefault="007C1F9F" w:rsidP="007C1F9F">
      <w:pPr>
        <w:pStyle w:val="AERbodytext"/>
      </w:pPr>
      <w:r w:rsidRPr="008B23B3">
        <w:t xml:space="preserve">The AER </w:t>
      </w:r>
      <w:r w:rsidRPr="005C74B9">
        <w:t>approves $153.</w:t>
      </w:r>
      <w:r>
        <w:t>8</w:t>
      </w:r>
      <w:r w:rsidRPr="005C74B9">
        <w:t xml:space="preserve"> million</w:t>
      </w:r>
      <w:r>
        <w:t xml:space="preserve"> ($2012) of APA GasNet's proposed $340.8 million </w:t>
      </w:r>
      <w:r w:rsidR="00186172">
        <w:t xml:space="preserve">($2012) </w:t>
      </w:r>
      <w:r>
        <w:t xml:space="preserve">total forecast capex for the </w:t>
      </w:r>
      <w:r w:rsidR="00202065">
        <w:t>2013–17</w:t>
      </w:r>
      <w:r>
        <w:t xml:space="preserve"> access arrangement period. </w:t>
      </w:r>
      <w:r w:rsidR="00DE0D6A">
        <w:fldChar w:fldCharType="begin"/>
      </w:r>
      <w:r>
        <w:instrText xml:space="preserve"> REF _Ref330899288 \r \h </w:instrText>
      </w:r>
      <w:r w:rsidR="00DE0D6A">
        <w:fldChar w:fldCharType="separate"/>
      </w:r>
      <w:r w:rsidR="0018730D">
        <w:t>Figure 3.5</w:t>
      </w:r>
      <w:r w:rsidR="00DE0D6A">
        <w:fldChar w:fldCharType="end"/>
      </w:r>
      <w:r>
        <w:t xml:space="preserve"> shows the major capex components of the total proposed capex in each year of the </w:t>
      </w:r>
      <w:r w:rsidR="00202065">
        <w:t>2013–17</w:t>
      </w:r>
      <w:r>
        <w:t xml:space="preserve"> access arrangement period. </w:t>
      </w:r>
    </w:p>
    <w:p w:rsidR="007C1F9F" w:rsidRPr="00AB6746" w:rsidRDefault="007C1F9F" w:rsidP="007C1F9F">
      <w:pPr>
        <w:pStyle w:val="AERfigureheading"/>
      </w:pPr>
      <w:bookmarkStart w:id="46" w:name="_Ref330899288"/>
      <w:r>
        <w:t xml:space="preserve">Total proposed capex over the </w:t>
      </w:r>
      <w:r w:rsidR="00202065">
        <w:t>2013–17</w:t>
      </w:r>
      <w:r>
        <w:t xml:space="preserve"> access arrangement period</w:t>
      </w:r>
      <w:r w:rsidRPr="00AB6746">
        <w:t xml:space="preserve"> by component</w:t>
      </w:r>
      <w:bookmarkEnd w:id="46"/>
    </w:p>
    <w:p w:rsidR="007C1F9F" w:rsidRDefault="00AB287B" w:rsidP="007C1F9F">
      <w:pPr>
        <w:pStyle w:val="AERbodytext"/>
      </w:pPr>
      <w:r>
        <w:pict>
          <v:shape id="Chart 4" o:spid="_x0000_i1029" type="#_x0000_t75" style="width:418.6pt;height:34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HeAPj3gAAAAUBAAAPAAAAZHJzL2Rvd25y&#10;ZXYueG1sTI9LS8RAEITvgv9haMGbO/GxSYiZLLIgCqLi7oJ77GTaPMz0hMxsNv57Ry96aSiqqPo6&#10;X82mFxONrrWs4HIRgSCurG65VrDb3l+kIJxH1thbJgVf5GBVnJ7kmGl75DeaNr4WoYRdhgoa74dM&#10;Slc1ZNAt7EAcvA87GvRBjrXUIx5DuenlVRTF0mDLYaHBgdYNVZ+bg1HQ7eOHbnq9fsTn5p3X+5en&#10;zselUudn890tCE+z/wvDD35AhyIwlfbA2oleQXjE/97gpUmyBFEqSG7SJcgil//pi2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">
            <v:imagedata r:id="rId24" o:title="" croptop="-436f" cropbottom="-1979f" cropleft="-621f" cropright="-4570f"/>
            <o:lock v:ext="edit" aspectratio="f"/>
          </v:shape>
        </w:pict>
      </w:r>
    </w:p>
    <w:p w:rsidR="007C1F9F" w:rsidRDefault="007C1F9F" w:rsidP="007C1F9F">
      <w:pPr>
        <w:pStyle w:val="AERtablesource"/>
      </w:pPr>
      <w:r w:rsidRPr="00CD3149">
        <w:t>Source:</w:t>
      </w:r>
      <w:r w:rsidRPr="00CD3149">
        <w:tab/>
      </w:r>
      <w:r>
        <w:t xml:space="preserve">APA GasNet, </w:t>
      </w:r>
      <w:r w:rsidRPr="005C7F6C">
        <w:rPr>
          <w:rStyle w:val="AERtextitalic"/>
        </w:rPr>
        <w:t>VTSAACapexForecastFINAL120706.xls</w:t>
      </w:r>
      <w:r>
        <w:t xml:space="preserve">, 6 July 2012. </w:t>
      </w:r>
    </w:p>
    <w:p w:rsidR="007C1F9F" w:rsidRPr="00142A46" w:rsidRDefault="007C1F9F" w:rsidP="007C1F9F">
      <w:pPr>
        <w:pStyle w:val="AERbodytext"/>
      </w:pPr>
      <w:r>
        <w:t xml:space="preserve">The AER </w:t>
      </w:r>
      <w:r w:rsidRPr="008B23B3">
        <w:t xml:space="preserve">does not accept a significant component of APA GasNet's proposed augmentation capex as it does not conform with the </w:t>
      </w:r>
      <w:r>
        <w:t xml:space="preserve">new </w:t>
      </w:r>
      <w:r w:rsidRPr="008B23B3">
        <w:t>capital expenditure criteria in r. 79 of the NGR. The</w:t>
      </w:r>
      <w:r>
        <w:t xml:space="preserve"> AER </w:t>
      </w:r>
      <w:r w:rsidRPr="000D1DCA">
        <w:t xml:space="preserve">accepts </w:t>
      </w:r>
      <w:r>
        <w:t>that APA GasNet's proposed</w:t>
      </w:r>
      <w:r w:rsidRPr="000D1DCA">
        <w:t xml:space="preserve"> </w:t>
      </w:r>
      <w:r>
        <w:t xml:space="preserve">refurbishment and upgrade program and non-system capex is necessary to maintain the safety, reliability and integrity of the VTS. The AER also does not accept APA GasNet's proposed labour cost escalators. </w:t>
      </w:r>
      <w:r w:rsidRPr="009D728A">
        <w:t xml:space="preserve">The AER does not approve APA GasNet's proposed labour cost escalators because the </w:t>
      </w:r>
      <w:r>
        <w:t xml:space="preserve">AER considers that the </w:t>
      </w:r>
      <w:r w:rsidRPr="009D728A">
        <w:t xml:space="preserve">labour price index provides a better measure of labour cost changes than </w:t>
      </w:r>
      <w:r>
        <w:t xml:space="preserve">APA GasNet's proposed </w:t>
      </w:r>
      <w:r w:rsidRPr="009D728A">
        <w:t xml:space="preserve">AWOTE. </w:t>
      </w:r>
      <w:r>
        <w:t>The AER considers that r</w:t>
      </w:r>
      <w:r w:rsidRPr="009D728A">
        <w:t xml:space="preserve">eal labour cost escalations should not be productivity adjusted </w:t>
      </w:r>
      <w:r>
        <w:t>because of</w:t>
      </w:r>
      <w:r w:rsidRPr="009D728A">
        <w:t xml:space="preserve"> issues in </w:t>
      </w:r>
      <w:r>
        <w:t xml:space="preserve">regards to </w:t>
      </w:r>
      <w:r w:rsidRPr="009D728A">
        <w:t>measuring and forecasting productivity. The AER’s consideration of the real cost escalators proposed by APA GasNet is in a</w:t>
      </w:r>
      <w:r>
        <w:t xml:space="preserve">ppendix C. </w:t>
      </w:r>
      <w:r w:rsidRPr="000D1DCA">
        <w:t xml:space="preserve">The AER requires </w:t>
      </w:r>
      <w:r>
        <w:t xml:space="preserve">APA GasNet </w:t>
      </w:r>
      <w:r w:rsidRPr="000D1DCA">
        <w:t xml:space="preserve">to amend its access arrangement proposal as </w:t>
      </w:r>
      <w:r>
        <w:rPr>
          <w:rStyle w:val="AERbody"/>
        </w:rPr>
        <w:t xml:space="preserve">set out in </w:t>
      </w:r>
      <w:r>
        <w:t>revision</w:t>
      </w:r>
      <w:r w:rsidRPr="00142A46">
        <w:t xml:space="preserve"> 3</w:t>
      </w:r>
      <w:r>
        <w:t>.1</w:t>
      </w:r>
      <w:r w:rsidRPr="00142A46">
        <w:t xml:space="preserve"> </w:t>
      </w:r>
    </w:p>
    <w:p w:rsidR="007C1F9F" w:rsidRDefault="007C1F9F" w:rsidP="007C1F9F">
      <w:pPr>
        <w:pStyle w:val="AERheading4"/>
      </w:pPr>
      <w:r>
        <w:t>Augmentation capital expenditure</w:t>
      </w:r>
    </w:p>
    <w:p w:rsidR="007C1F9F" w:rsidRDefault="007C1F9F" w:rsidP="007C1F9F">
      <w:pPr>
        <w:pStyle w:val="AERheading5"/>
      </w:pPr>
      <w:r>
        <w:t>Gas to Culcairn</w:t>
      </w:r>
    </w:p>
    <w:p w:rsidR="007C1F9F" w:rsidRPr="00B44203" w:rsidRDefault="007C1F9F" w:rsidP="007C1F9F">
      <w:pPr>
        <w:pStyle w:val="AERbodytext"/>
      </w:pPr>
      <w:r>
        <w:t>The AER considers the forecast incremental gas volumes relating to the Gas to Culcairn project have not been arrived at on a reasonable basis and do not represent the best forecast possible in the circumstances.</w:t>
      </w:r>
      <w:r>
        <w:rPr>
          <w:rStyle w:val="FootnoteReference"/>
        </w:rPr>
        <w:footnoteReference w:id="119"/>
      </w:r>
      <w:r>
        <w:t xml:space="preserve"> Given the unrealistic volume forecasts underpinning APA GasNet's proposal, the proposed capex is not such as would be incurred by a prudent service provider acting efficiently.</w:t>
      </w:r>
      <w:r>
        <w:rPr>
          <w:rStyle w:val="FootnoteReference"/>
        </w:rPr>
        <w:footnoteReference w:id="120"/>
      </w:r>
      <w:r>
        <w:t xml:space="preserve"> Further, the AER is not satisfied that the expenditure proposed by APA GasNet will result in a positive overall economic value.</w:t>
      </w:r>
      <w:r>
        <w:rPr>
          <w:rStyle w:val="FootnoteReference"/>
        </w:rPr>
        <w:footnoteReference w:id="121"/>
      </w:r>
      <w:r>
        <w:t xml:space="preserve"> Consequently, the AER considers that the proposed capex on the Gas to Culcairn project is not conforming capex for the purposes of r. 79 </w:t>
      </w:r>
      <w:r w:rsidRPr="00B44203">
        <w:t xml:space="preserve">of the NGR. The AER requires amendments to the scope of the project, and considers capex </w:t>
      </w:r>
      <w:r w:rsidRPr="005C74B9">
        <w:t>of $68.6 million</w:t>
      </w:r>
      <w:r>
        <w:t xml:space="preserve"> </w:t>
      </w:r>
      <w:r w:rsidR="00186172">
        <w:t xml:space="preserve">($2012) </w:t>
      </w:r>
      <w:r>
        <w:t>for the Gas to Culcairn project is conforming capex in accordance with r. 74(2) and r. 79 of the NGR</w:t>
      </w:r>
      <w:r w:rsidRPr="00B44203">
        <w:t xml:space="preserve">. </w:t>
      </w:r>
    </w:p>
    <w:p w:rsidR="007C1F9F" w:rsidRDefault="007C1F9F" w:rsidP="007C1F9F">
      <w:pPr>
        <w:pStyle w:val="AERbodytext"/>
      </w:pPr>
      <w:r>
        <w:t>APA GasNet proposed the Gas to Culcairn project to augment the capacity of the South West Pipeline and the VTS Northern zone to transport an additional 45 TJ/day from Iona for export through Culcairn.</w:t>
      </w:r>
      <w:r>
        <w:rPr>
          <w:rStyle w:val="FootnoteReference"/>
        </w:rPr>
        <w:footnoteReference w:id="122"/>
      </w:r>
      <w:r>
        <w:t xml:space="preserve"> Total project capex for the Gas to Culcairn project as proposed was $157.5 million ($2012).</w:t>
      </w:r>
      <w:r>
        <w:rPr>
          <w:rStyle w:val="FootnoteReference"/>
        </w:rPr>
        <w:footnoteReference w:id="123"/>
      </w:r>
      <w:r>
        <w:t xml:space="preserve"> The AER reviewed the business case submitted by APA GasNet in support of the project, and sought advice from Sleeman Consulting concerning the prudence and efficiency of the proposed expenditure. The AER also sought further advice from APA GasNet and directly from gas shippers to substantiate the forecast incremental gas volumes and likely economic benefits to be delivered by the project.</w:t>
      </w:r>
    </w:p>
    <w:p w:rsidR="007C1F9F" w:rsidRDefault="007C1F9F" w:rsidP="007C1F9F">
      <w:pPr>
        <w:pStyle w:val="AERbodytext"/>
      </w:pPr>
      <w:r>
        <w:t>Information provided to the AER by APA GasNet and gas shippers does not substantiate the forecast incremental gas volumes driving the scope of the Gas to Culcairn project.</w:t>
      </w:r>
      <w:r>
        <w:rPr>
          <w:rStyle w:val="FootnoteReference"/>
        </w:rPr>
        <w:footnoteReference w:id="124"/>
      </w:r>
      <w:r>
        <w:t xml:space="preserve"> The forecast incremental gas volumes to be facilitated by the Gas to Culcairn project are discussed further </w:t>
      </w:r>
      <w:r w:rsidRPr="00A236E2">
        <w:t xml:space="preserve">in </w:t>
      </w:r>
      <w:r>
        <w:t xml:space="preserve">confidential </w:t>
      </w:r>
      <w:r w:rsidRPr="00A236E2">
        <w:t>appendix A.</w:t>
      </w:r>
      <w:r>
        <w:t xml:space="preserve"> In summary:</w:t>
      </w:r>
    </w:p>
    <w:p w:rsidR="007C1F9F" w:rsidRDefault="007C1F9F" w:rsidP="007C1F9F">
      <w:pPr>
        <w:pStyle w:val="AERbulletlistfirststyle"/>
      </w:pPr>
      <w:r>
        <w:t>APA GasNet did not provide evidence to support the forecast incremental Culcairn export volumes</w:t>
      </w:r>
      <w:r>
        <w:rPr>
          <w:rStyle w:val="FootnoteReference"/>
        </w:rPr>
        <w:footnoteReference w:id="125"/>
      </w:r>
    </w:p>
    <w:p w:rsidR="007C1F9F" w:rsidRDefault="007C1F9F" w:rsidP="007C1F9F">
      <w:pPr>
        <w:pStyle w:val="AERbulletlistfirststyle"/>
      </w:pPr>
      <w:r>
        <w:t>AGL submitted that the volume forecast prepared by APA GasNet is not an accurate representation of AGL's demand, in that:</w:t>
      </w:r>
    </w:p>
    <w:p w:rsidR="007C1F9F" w:rsidRDefault="007C1F9F" w:rsidP="007C1F9F">
      <w:pPr>
        <w:pStyle w:val="AERbulletlistsecondstyle"/>
      </w:pPr>
      <w:r>
        <w:t xml:space="preserve">the identified capacity requirement for the South West Pipeline represents a contracting requirement for </w:t>
      </w:r>
      <w:r w:rsidRPr="004721CA">
        <w:t xml:space="preserve">Authorised Maximum Daily Quantity </w:t>
      </w:r>
      <w:r>
        <w:t>(AMDQ) only, and is not a requirement for incremental volume on the South West Pipeline</w:t>
      </w:r>
    </w:p>
    <w:p w:rsidR="007C1F9F" w:rsidRDefault="007C1F9F" w:rsidP="007C1F9F">
      <w:pPr>
        <w:pStyle w:val="AERbulletlistsecondstyle"/>
      </w:pPr>
      <w:r>
        <w:t>AGL does not support the allocation of incremental Iona capacity for export through Culcairn, as all of AGL's capacity should be deliverable to the Victorian market</w:t>
      </w:r>
    </w:p>
    <w:p w:rsidR="007C1F9F" w:rsidRDefault="007C1F9F" w:rsidP="007C1F9F">
      <w:pPr>
        <w:pStyle w:val="AERbulletlistsecondstyle"/>
      </w:pPr>
      <w:r>
        <w:t xml:space="preserve">AGL does not support an expansion of the Northern network in the </w:t>
      </w:r>
      <w:r w:rsidR="00202065">
        <w:t>2013–17</w:t>
      </w:r>
      <w:r>
        <w:t xml:space="preserve"> access arrangement period.</w:t>
      </w:r>
      <w:r>
        <w:rPr>
          <w:rStyle w:val="FootnoteReference"/>
        </w:rPr>
        <w:footnoteReference w:id="126"/>
      </w:r>
    </w:p>
    <w:p w:rsidR="007C1F9F" w:rsidRPr="00A236E2" w:rsidRDefault="007C1F9F" w:rsidP="007C1F9F">
      <w:pPr>
        <w:pStyle w:val="AERbodytext"/>
      </w:pPr>
      <w:r>
        <w:t>The AER also received a submission from TRUenergy which supported the Gas to Culcairn project, arguing that the project provides economic benefits to shippers on the VTS.</w:t>
      </w:r>
      <w:r>
        <w:rPr>
          <w:rStyle w:val="FootnoteReference"/>
        </w:rPr>
        <w:footnoteReference w:id="127"/>
      </w:r>
      <w:r>
        <w:t xml:space="preserve"> Confidential information provided by TRUenergy in relation to possible economic benefits of the Gas to Culcairn project to VTS shippers is discussed further </w:t>
      </w:r>
      <w:r w:rsidRPr="00A236E2">
        <w:t xml:space="preserve">in </w:t>
      </w:r>
      <w:r>
        <w:t xml:space="preserve">confidential </w:t>
      </w:r>
      <w:r w:rsidRPr="00A236E2">
        <w:t>appendix A.</w:t>
      </w:r>
    </w:p>
    <w:p w:rsidR="007C1F9F" w:rsidRDefault="007C1F9F" w:rsidP="007C1F9F">
      <w:pPr>
        <w:pStyle w:val="AERbodytext"/>
      </w:pPr>
      <w:r>
        <w:t>Based on the information provided by APA GasNet, AGL and TRUenergy discussed above, the AER is satisfied that some augmentation of the VTS to facilitate incremental gas volumes for export via Culcairn is justified. However, the forecast incremental gas volumes identified by APA GasNet are overstated. The gas volume forecasts have not been arrived at on a reasonable basis, and do not represent the best forecast possible in the circumstances.</w:t>
      </w:r>
      <w:r>
        <w:rPr>
          <w:rStyle w:val="FootnoteReference"/>
        </w:rPr>
        <w:footnoteReference w:id="128"/>
      </w:r>
      <w:r>
        <w:t xml:space="preserve"> As a result, the scope of the Gas to Culcairn project proposed by APA GasNet is not prudent. The economic benefits of the project identified by APA GasNet are overstated, and the project as proposed is unlikely to have a positive overall economic value.</w:t>
      </w:r>
      <w:r>
        <w:rPr>
          <w:rStyle w:val="FootnoteReference"/>
        </w:rPr>
        <w:footnoteReference w:id="129"/>
      </w:r>
      <w:r>
        <w:t xml:space="preserve"> The AER considers the proposed Gas to Culcairn capex is not conforming capex in accordance with r. 79 of the NGR.</w:t>
      </w:r>
    </w:p>
    <w:p w:rsidR="007C1F9F" w:rsidRDefault="007C1F9F" w:rsidP="007C1F9F">
      <w:pPr>
        <w:pStyle w:val="AERbodytext"/>
      </w:pPr>
      <w:r>
        <w:t>The AER sought advice from Sleeman Consulting regarding the prudence and efficiency of the Gas to Culcairn project.</w:t>
      </w:r>
      <w:r>
        <w:rPr>
          <w:rStyle w:val="FootnoteReference"/>
        </w:rPr>
        <w:footnoteReference w:id="130"/>
      </w:r>
      <w:r>
        <w:t xml:space="preserve"> Sleeman Consulting concluded that:</w:t>
      </w:r>
    </w:p>
    <w:p w:rsidR="007C1F9F" w:rsidRDefault="007C1F9F" w:rsidP="007C1F9F">
      <w:pPr>
        <w:pStyle w:val="AERbulletlistfirststyle"/>
      </w:pPr>
      <w:r>
        <w:t>the proposed works would deliver the stated capacity increases, and the project costs are reasonable for the scope of work proposed</w:t>
      </w:r>
      <w:r>
        <w:rPr>
          <w:rStyle w:val="FootnoteReference"/>
        </w:rPr>
        <w:footnoteReference w:id="131"/>
      </w:r>
    </w:p>
    <w:p w:rsidR="007C1F9F" w:rsidRDefault="007C1F9F" w:rsidP="007C1F9F">
      <w:pPr>
        <w:pStyle w:val="AERbulletlistfirststyle"/>
      </w:pPr>
      <w:r>
        <w:t>given the gas volume information submitted by AGL, the proposed augmentation works are excessive</w:t>
      </w:r>
      <w:r>
        <w:rPr>
          <w:rStyle w:val="FootnoteReference"/>
        </w:rPr>
        <w:footnoteReference w:id="132"/>
      </w:r>
    </w:p>
    <w:p w:rsidR="007C1F9F" w:rsidRDefault="007C1F9F" w:rsidP="007C1F9F">
      <w:pPr>
        <w:pStyle w:val="AERbulletlistfirststyle"/>
      </w:pPr>
      <w:r>
        <w:t>a Centaur 50 (C50) compressor should be installed at Winchelsea, or between Winchelsea and Iona, to expand the capacity of the South West Pipeline</w:t>
      </w:r>
    </w:p>
    <w:p w:rsidR="007C1F9F" w:rsidRDefault="007C1F9F" w:rsidP="007C1F9F">
      <w:pPr>
        <w:pStyle w:val="AERbulletlistfirststyle"/>
      </w:pPr>
      <w:r>
        <w:t xml:space="preserve">the augmentation requirement for the Northern zone is 27.2 km of 450 mm diameter pipeline looping between Wollert and Wandong  </w:t>
      </w:r>
    </w:p>
    <w:p w:rsidR="007C1F9F" w:rsidRDefault="007C1F9F" w:rsidP="007C1F9F">
      <w:pPr>
        <w:pStyle w:val="AERbulletlistfirststyle"/>
      </w:pPr>
      <w:r>
        <w:t>consideration should be given to re-rating the maximum allowable operating pressure of Pipeline Vic:101 to the north of Euroa.</w:t>
      </w:r>
      <w:r>
        <w:rPr>
          <w:rStyle w:val="FootnoteReference"/>
        </w:rPr>
        <w:footnoteReference w:id="133"/>
      </w:r>
    </w:p>
    <w:p w:rsidR="007C1F9F" w:rsidRDefault="007C1F9F" w:rsidP="007C1F9F">
      <w:pPr>
        <w:pStyle w:val="AERbodytext"/>
      </w:pPr>
      <w:r>
        <w:t>The AER considers the scope of the Gas to Culcairn project should be amended to reflect the best available estimate of forecast incremental capacity requirements. The project scope which the AER considers to be prudent and consistent with achieving the lowest sustainable cost of providing services is:</w:t>
      </w:r>
    </w:p>
    <w:p w:rsidR="007C1F9F" w:rsidRDefault="007C1F9F" w:rsidP="007C1F9F">
      <w:pPr>
        <w:pStyle w:val="AERbulletlistfirststyle"/>
      </w:pPr>
      <w:r>
        <w:t>augmentation of the South West Pipeline through construction of a bi-directional C50 compressor station at Winchelsea (or between Winchelsea and Iona)</w:t>
      </w:r>
    </w:p>
    <w:p w:rsidR="007C1F9F" w:rsidRDefault="007C1F9F" w:rsidP="007C1F9F">
      <w:pPr>
        <w:pStyle w:val="AERbulletlistfirststyle"/>
      </w:pPr>
      <w:r>
        <w:t>augmentation of the Northern network through the construction of approximately 27.2 km of 450 mm pipeline looping between Wollert and Wandong.</w:t>
      </w:r>
    </w:p>
    <w:p w:rsidR="007C1F9F" w:rsidRDefault="007C1F9F" w:rsidP="007C1F9F">
      <w:pPr>
        <w:pStyle w:val="AERbodytext"/>
      </w:pPr>
      <w:r>
        <w:t>In relation to augmentation of the South West Pipeline, the AER considers APA GasNet's proposal to construct a Taurus 60 (T60) compressor at Stonehaven is neither prudent nor efficient for the following reasons:</w:t>
      </w:r>
    </w:p>
    <w:p w:rsidR="007C1F9F" w:rsidRPr="00A236E2" w:rsidRDefault="007C1F9F" w:rsidP="007C1F9F">
      <w:pPr>
        <w:pStyle w:val="AERbulletlistfirststyle"/>
      </w:pPr>
      <w:r>
        <w:t>the lead time to secure a compressor site, easement and approvals is not a critical consideration, as suggested by APA GasNet.</w:t>
      </w:r>
      <w:r>
        <w:rPr>
          <w:rStyle w:val="FootnoteReference"/>
        </w:rPr>
        <w:footnoteReference w:id="134"/>
      </w:r>
      <w:r>
        <w:t xml:space="preserve"> This issue is discussed further in confidential </w:t>
      </w:r>
      <w:r w:rsidRPr="00A236E2">
        <w:t>appendix A</w:t>
      </w:r>
    </w:p>
    <w:p w:rsidR="007C1F9F" w:rsidRDefault="007C1F9F" w:rsidP="007C1F9F">
      <w:pPr>
        <w:pStyle w:val="AERbulletlistfirststyle"/>
      </w:pPr>
      <w:r>
        <w:t>while the location of Stonehaven is more optimal for west bound flows, Winchelsea provides significantly greater capacity for flows to Melbourne/Culcairn (at least 20 TJ/day for the same compressor size), with associated security of supply benefits in the event of an outage at Longford</w:t>
      </w:r>
      <w:r>
        <w:rPr>
          <w:rStyle w:val="FootnoteReference"/>
        </w:rPr>
        <w:footnoteReference w:id="135"/>
      </w:r>
    </w:p>
    <w:p w:rsidR="007C1F9F" w:rsidRDefault="007C1F9F" w:rsidP="007C1F9F">
      <w:pPr>
        <w:pStyle w:val="AERbulletlistfirststyle"/>
      </w:pPr>
      <w:r>
        <w:t>the smaller C50 compressor at Winchelsea can be constructed at lower cost than the Stonehaven T60 option.</w:t>
      </w:r>
      <w:r>
        <w:rPr>
          <w:rStyle w:val="FootnoteReference"/>
        </w:rPr>
        <w:footnoteReference w:id="136"/>
      </w:r>
    </w:p>
    <w:p w:rsidR="007C1F9F" w:rsidRPr="00A236E2" w:rsidRDefault="007C1F9F" w:rsidP="007C1F9F">
      <w:pPr>
        <w:pStyle w:val="AERbodytext"/>
      </w:pPr>
      <w:r>
        <w:t>In relation to the need for augmentation of the Northern zone, the AER considers APA GasNet's proposed capex to loop 104.1 km of pipeline between Wollert and Barnawartha would not be incurred by a prudent service provider. The extent of looping proposed is excessive due to the overstated forecast of Culcairn export demand assumed by APA GasNet. Sleeman Consulting advised that only 27.2</w:t>
      </w:r>
      <w:r w:rsidR="00186172">
        <w:t xml:space="preserve"> </w:t>
      </w:r>
      <w:r>
        <w:t>km of 450</w:t>
      </w:r>
      <w:r w:rsidR="00186172">
        <w:t xml:space="preserve"> </w:t>
      </w:r>
      <w:r>
        <w:t>mm pipeline looping to the north of Wollert is required to deliver the necessary capacity augmentation.</w:t>
      </w:r>
      <w:r>
        <w:rPr>
          <w:rStyle w:val="FootnoteReference"/>
        </w:rPr>
        <w:footnoteReference w:id="137"/>
      </w:r>
      <w:r>
        <w:t xml:space="preserve"> The AER considers this reduced scope of work to be prudent and consistent with achieving the lowest sustainable cost of providing services. Further, the AER considers the overall economic value of the amended Gas to Culcairn expenditure is positive, when benefits to APA GasNet and gas shippers are considered. This issue is discussed </w:t>
      </w:r>
      <w:r w:rsidRPr="00A236E2">
        <w:t xml:space="preserve">further in </w:t>
      </w:r>
      <w:r>
        <w:t xml:space="preserve">confidential </w:t>
      </w:r>
      <w:r w:rsidRPr="00A236E2">
        <w:t>appendix A.</w:t>
      </w:r>
    </w:p>
    <w:p w:rsidR="007C1F9F" w:rsidRDefault="007C1F9F" w:rsidP="007C1F9F">
      <w:pPr>
        <w:pStyle w:val="AERbodytext"/>
      </w:pPr>
      <w:r>
        <w:t>The AER has not made any allowance for capex associated with re-rating the maximum allowable operating pressure of Pipeline Vic:101 to the north of Euroa.</w:t>
      </w:r>
      <w:r>
        <w:rPr>
          <w:rStyle w:val="FootnoteReference"/>
        </w:rPr>
        <w:footnoteReference w:id="138"/>
      </w:r>
      <w:r>
        <w:t xml:space="preserve"> APA GasNet may wish to consider the benefits of re-rating the maximum allowable operating pressure of Pipeline Vic:101 to the north of Euroa in preparing its revised access arrangement proposal.</w:t>
      </w:r>
    </w:p>
    <w:p w:rsidR="007C1F9F" w:rsidRDefault="007C1F9F" w:rsidP="007C1F9F">
      <w:pPr>
        <w:pStyle w:val="AERbodytext"/>
      </w:pPr>
      <w:r>
        <w:t xml:space="preserve">Accounting for the amended project scope outlined above, the AER's estimate of conforming capex for the Gas to Culcairn project </w:t>
      </w:r>
      <w:r w:rsidRPr="0048771C">
        <w:t>is $68.6 million ($</w:t>
      </w:r>
      <w:r>
        <w:t>2012). This estimate is based on APA GasNet's proposed costs for the Winchelsea compressor,</w:t>
      </w:r>
      <w:r>
        <w:rPr>
          <w:rStyle w:val="FootnoteReference"/>
        </w:rPr>
        <w:footnoteReference w:id="139"/>
      </w:r>
      <w:r>
        <w:t xml:space="preserve"> and a pro-rata scaling of proposed looping costs.</w:t>
      </w:r>
      <w:r>
        <w:rPr>
          <w:rStyle w:val="FootnoteReference"/>
        </w:rPr>
        <w:footnoteReference w:id="140"/>
      </w:r>
      <w:r>
        <w:t xml:space="preserve"> In preparing its revised access arrangement proposal, the AER considers APA GasNet should apply its standard basis of project estimation to identify the conforming capex associated with the revised looping requirement.</w:t>
      </w:r>
    </w:p>
    <w:p w:rsidR="007C1F9F" w:rsidRDefault="007C1F9F" w:rsidP="007C1F9F">
      <w:pPr>
        <w:pStyle w:val="AERheading5"/>
      </w:pPr>
      <w:r>
        <w:t>Western Outer Ring Main</w:t>
      </w:r>
    </w:p>
    <w:p w:rsidR="007C1F9F" w:rsidRDefault="007C1F9F" w:rsidP="007C1F9F">
      <w:pPr>
        <w:pStyle w:val="AERbodytext"/>
      </w:pPr>
      <w:r>
        <w:t xml:space="preserve">The AER considers the proposed augmentation capex for the WORM project is not conforming capex in accordance with r. 79 of the NGR. </w:t>
      </w:r>
      <w:r w:rsidRPr="004238A0">
        <w:t>The purported security of supply benefits provided by the project are not supported by A</w:t>
      </w:r>
      <w:r>
        <w:t>PA GasNet’s proposal, and may in any case</w:t>
      </w:r>
      <w:r w:rsidRPr="004238A0">
        <w:t xml:space="preserve"> be realisable without the project proceeding. The pr</w:t>
      </w:r>
      <w:r>
        <w:t>oject is therefore not justifiable</w:t>
      </w:r>
      <w:r w:rsidRPr="004238A0">
        <w:t xml:space="preserve"> in accordance with r. 79(1)(b).</w:t>
      </w:r>
      <w:r>
        <w:t xml:space="preserve"> </w:t>
      </w:r>
      <w:r w:rsidRPr="004238A0">
        <w:t xml:space="preserve">Neither the proposed WORM project nor the significant alternative expenditure at the Brooklyn compressor station is required </w:t>
      </w:r>
      <w:r>
        <w:t xml:space="preserve">in the </w:t>
      </w:r>
      <w:r w:rsidR="00202065">
        <w:t>2013–17</w:t>
      </w:r>
      <w:r>
        <w:t xml:space="preserve"> access arrangement period </w:t>
      </w:r>
      <w:r w:rsidRPr="004238A0">
        <w:t xml:space="preserve">for the continued provision of pipeline services. The proposed capital expenditure would not be incurred by a prudent service provider, and is not consistent with achieving the lowest sustainable cost of </w:t>
      </w:r>
      <w:r>
        <w:t>providing services</w:t>
      </w:r>
      <w:r w:rsidRPr="004238A0">
        <w:t>.</w:t>
      </w:r>
      <w:r>
        <w:t xml:space="preserve"> The proposed capex is therefore not consistent with r. 79(1)(a) of the NGR.</w:t>
      </w:r>
    </w:p>
    <w:p w:rsidR="007C1F9F" w:rsidRDefault="007C1F9F" w:rsidP="007C1F9F">
      <w:pPr>
        <w:pStyle w:val="AERbodytext"/>
      </w:pPr>
      <w:r>
        <w:t>The proposed WORM project (stages 2 and 3) provides a large diameter, high pressure interconnection to complete the gas transmission ring main to the west of Melbourne. APA GasNet proposed to complete the project in 2014, at a cost of $93.4 million ($2012). The AER sought advice from Sleeman Consulting regarding the prudence and efficiency of the WORM project.</w:t>
      </w:r>
      <w:r>
        <w:rPr>
          <w:rStyle w:val="FootnoteReference"/>
        </w:rPr>
        <w:footnoteReference w:id="141"/>
      </w:r>
      <w:r>
        <w:t xml:space="preserve"> </w:t>
      </w:r>
    </w:p>
    <w:p w:rsidR="007C1F9F" w:rsidRDefault="007C1F9F" w:rsidP="007C1F9F">
      <w:pPr>
        <w:pStyle w:val="AERbodytext"/>
      </w:pPr>
      <w:r>
        <w:t>APA GasNet submitted that the need for the WORM project is driven by an unacceptable level of security of supply in the event of a major gas plant outage at Longford.</w:t>
      </w:r>
      <w:r>
        <w:rPr>
          <w:rStyle w:val="FootnoteReference"/>
        </w:rPr>
        <w:footnoteReference w:id="142"/>
      </w:r>
      <w:r>
        <w:t xml:space="preserve"> APA GasNet provided an independent risk study prepared by R2A Pty Ltd as evidence of the security of supply benefits provided by the WORM project. The R2A report concluded that, in the event of a supply failure from Longford, the WORM:</w:t>
      </w:r>
      <w:r>
        <w:rPr>
          <w:rStyle w:val="FootnoteReference"/>
        </w:rPr>
        <w:footnoteReference w:id="143"/>
      </w:r>
    </w:p>
    <w:p w:rsidR="007C1F9F" w:rsidRDefault="007C1F9F" w:rsidP="007C1F9F">
      <w:pPr>
        <w:pStyle w:val="AERbulletlistfirststyle"/>
      </w:pPr>
      <w:r>
        <w:t>has minimal benefits in summer</w:t>
      </w:r>
    </w:p>
    <w:p w:rsidR="007C1F9F" w:rsidRDefault="007C1F9F" w:rsidP="007C1F9F">
      <w:pPr>
        <w:pStyle w:val="AERbulletlistfirststyle"/>
      </w:pPr>
      <w:r>
        <w:t>provides major benefits in the shoulder seasons (spring and autumn) to all existing customers</w:t>
      </w:r>
    </w:p>
    <w:p w:rsidR="007C1F9F" w:rsidRDefault="007C1F9F" w:rsidP="007C1F9F">
      <w:pPr>
        <w:pStyle w:val="AERbulletlistfirststyle"/>
      </w:pPr>
      <w:r>
        <w:t>substantially reduces a winter disruption, particularly to domestic customers and essential services, if industrial and commercial loads are dropped off.</w:t>
      </w:r>
    </w:p>
    <w:p w:rsidR="007C1F9F" w:rsidRDefault="007C1F9F" w:rsidP="007C1F9F">
      <w:pPr>
        <w:pStyle w:val="AERbodytext"/>
      </w:pPr>
      <w:r>
        <w:t xml:space="preserve">The AER does not consider the R2A analysis supports the WORM project as proposed by APA GasNet. </w:t>
      </w:r>
      <w:r w:rsidRPr="00A3002A">
        <w:t xml:space="preserve">The </w:t>
      </w:r>
      <w:r>
        <w:t>R2A analysis</w:t>
      </w:r>
      <w:r w:rsidRPr="00A3002A">
        <w:t xml:space="preserve"> purports to quantify the economic benefits of the WORM, while in fact quantifying the combined benefits of both the WORM and the installation of a compressor station </w:t>
      </w:r>
      <w:r>
        <w:t>at Stonehaven on the South West Pipeline</w:t>
      </w:r>
      <w:r w:rsidRPr="00A3002A">
        <w:t>.</w:t>
      </w:r>
      <w:r>
        <w:t xml:space="preserve"> R2A states:</w:t>
      </w:r>
      <w:r>
        <w:rPr>
          <w:rStyle w:val="FootnoteReference"/>
        </w:rPr>
        <w:footnoteReference w:id="144"/>
      </w:r>
    </w:p>
    <w:p w:rsidR="007C1F9F" w:rsidRDefault="007C1F9F" w:rsidP="007C1F9F">
      <w:pPr>
        <w:pStyle w:val="AERquote"/>
      </w:pPr>
      <w:r>
        <w:t>The WORM Project consists of a pipeline between Wollert and Rockbank and compressor upgrades at Wollert and Stonehaven at a net capital cost of $39.4 million.</w:t>
      </w:r>
    </w:p>
    <w:p w:rsidR="007C1F9F" w:rsidRDefault="007C1F9F" w:rsidP="007C1F9F">
      <w:pPr>
        <w:pStyle w:val="AERbodytext"/>
      </w:pPr>
      <w:r>
        <w:t xml:space="preserve">In fact, the WORM project scope and the $39.4 million </w:t>
      </w:r>
      <w:r w:rsidR="00186172">
        <w:t xml:space="preserve">($2012) </w:t>
      </w:r>
      <w:r>
        <w:t>net cost referred to by R2A do not include the installation of the Stonehaven compressor.</w:t>
      </w:r>
      <w:r>
        <w:rPr>
          <w:rStyle w:val="FootnoteReference"/>
        </w:rPr>
        <w:footnoteReference w:id="145"/>
      </w:r>
      <w:r>
        <w:t xml:space="preserve"> Operation of the Stonehaven compressor is assumed under the 'post-WORM' scenario modelled by R2A, but not under the 'pre-WORM' scenario.</w:t>
      </w:r>
      <w:r>
        <w:rPr>
          <w:rStyle w:val="FootnoteReference"/>
        </w:rPr>
        <w:footnoteReference w:id="146"/>
      </w:r>
      <w:r>
        <w:t xml:space="preserve"> Comparing the two scenarios cannot accurately quantify the security of supply benefits of the proposed WORM project. This error has the effect of overstating the incremental gas availability provided by the WORM in the event of a Longford outage, and therefore the security of supply benefits of the WORM project. </w:t>
      </w:r>
    </w:p>
    <w:p w:rsidR="007C1F9F" w:rsidRDefault="007C1F9F" w:rsidP="007C1F9F">
      <w:pPr>
        <w:pStyle w:val="AERbodytext"/>
      </w:pPr>
      <w:r>
        <w:t>Further to the AER's conclusion that the purported security of supply benefits of the WORM are not well supported, Sleeman Consulting advised that development of the WORM is not necessary for security of supply benefits to be realised.</w:t>
      </w:r>
      <w:r>
        <w:rPr>
          <w:rStyle w:val="FootnoteReference"/>
        </w:rPr>
        <w:footnoteReference w:id="147"/>
      </w:r>
      <w:r>
        <w:t xml:space="preserve"> The WORM is not required to deliver gas from Iona to the Melbourne Zone in the event of a Longford outage. The key limiting factor on gas availability from Iona to Melbourne in the event of a Longford outage is the capacity of the South West Pipeline.</w:t>
      </w:r>
      <w:r>
        <w:rPr>
          <w:rStyle w:val="FootnoteReference"/>
        </w:rPr>
        <w:footnoteReference w:id="148"/>
      </w:r>
      <w:r>
        <w:t xml:space="preserve"> The AER considers that the majority of the security of supply benefits identified by APA GasNet as provided by the WORM project are in fact attributable to the installation of a compressor station on the South West Pipeline. The AER is therefore not satisfied that the capex proposed for the WORM project is justifiable in accordance with r. 79(2) of the NGR. The proposed capex does not provide the system security benefits identified by APA GasNet, and is not required to maintain the integrity of services. </w:t>
      </w:r>
    </w:p>
    <w:p w:rsidR="007C1F9F" w:rsidRDefault="007C1F9F" w:rsidP="007C1F9F">
      <w:pPr>
        <w:pStyle w:val="AERbodytext"/>
      </w:pPr>
      <w:r>
        <w:t>APA GasNet submitted that the WORM project provides a number of other benefits in addition to the security of supply benefits, including:</w:t>
      </w:r>
    </w:p>
    <w:p w:rsidR="007C1F9F" w:rsidRDefault="007C1F9F" w:rsidP="007C1F9F">
      <w:pPr>
        <w:pStyle w:val="AERbulletlistfirststyle"/>
      </w:pPr>
      <w:r>
        <w:t>simplicity of operation and increased system reliability</w:t>
      </w:r>
    </w:p>
    <w:p w:rsidR="007C1F9F" w:rsidRDefault="007C1F9F" w:rsidP="007C1F9F">
      <w:pPr>
        <w:pStyle w:val="AERbulletlistfirststyle"/>
      </w:pPr>
      <w:r>
        <w:t>avoidance of sub-optimal capex and reducing opex costs</w:t>
      </w:r>
    </w:p>
    <w:p w:rsidR="007C1F9F" w:rsidRDefault="007C1F9F" w:rsidP="007C1F9F">
      <w:pPr>
        <w:pStyle w:val="AERbulletlistfirststyle"/>
      </w:pPr>
      <w:r>
        <w:t>provision for future growth.</w:t>
      </w:r>
    </w:p>
    <w:p w:rsidR="007C1F9F" w:rsidRDefault="007C1F9F" w:rsidP="007C1F9F">
      <w:pPr>
        <w:pStyle w:val="AERbodytext"/>
      </w:pPr>
      <w:r>
        <w:t>The AER agrees that development of the WORM would provide some operational benefits, for example through enhanced linepack management and simpler east-west flows. However, the AER agrees with the Energy Users Coalition of Victoria and Sleeman Consulting that, while these are desirable outcomes, such benefits are not easily quantifiable and do not of themselves justify the proposed expenditure.</w:t>
      </w:r>
      <w:r>
        <w:rPr>
          <w:rStyle w:val="FootnoteReference"/>
        </w:rPr>
        <w:footnoteReference w:id="149"/>
      </w:r>
      <w:r>
        <w:t xml:space="preserve"> Similarly, the possible contribution of the WORM project to meeting unspecified future growth requirements does not justify the project in accordance with r. 79(2) of the NGR.</w:t>
      </w:r>
    </w:p>
    <w:p w:rsidR="007C1F9F" w:rsidRDefault="007C1F9F" w:rsidP="007C1F9F">
      <w:pPr>
        <w:pStyle w:val="AERbodytext"/>
      </w:pPr>
      <w:r>
        <w:t>APA GasNet has proposed that, if the WORM project does not proceed, significant capex will be required at the Brooklyn compressor station. APA GasNet considers this capex is sub-optimal as the Brooklyn site is already congested, and the expenditure will not contribute to security of supply or the capacity of the VTS to accommodate future growth.</w:t>
      </w:r>
      <w:r>
        <w:rPr>
          <w:rStyle w:val="FootnoteReference"/>
        </w:rPr>
        <w:footnoteReference w:id="150"/>
      </w:r>
      <w:r>
        <w:t xml:space="preserve"> The AER recognises that APA GasNet's long term strategy is to downgrade the Brooklyn compressor site.</w:t>
      </w:r>
      <w:r>
        <w:rPr>
          <w:rStyle w:val="FootnoteReference"/>
        </w:rPr>
        <w:footnoteReference w:id="151"/>
      </w:r>
      <w:r>
        <w:t xml:space="preserve"> However, the AER does not consider that construction of the WORM in the </w:t>
      </w:r>
      <w:r w:rsidR="00202065">
        <w:t>2013–17</w:t>
      </w:r>
      <w:r>
        <w:t xml:space="preserve"> access arrangement period is required to facilitate this strategy. Sleeman Consulting (and AEMO) has advised that major upgrading of the Brooklyn compressor station should not be required if the WORM is not developed.</w:t>
      </w:r>
      <w:r>
        <w:rPr>
          <w:rStyle w:val="FootnoteReference"/>
        </w:rPr>
        <w:footnoteReference w:id="152"/>
      </w:r>
      <w:r>
        <w:t xml:space="preserve"> Specifically, Sleeman Consulting concluded:</w:t>
      </w:r>
      <w:r>
        <w:rPr>
          <w:rStyle w:val="FootnoteReference"/>
        </w:rPr>
        <w:footnoteReference w:id="153"/>
      </w:r>
    </w:p>
    <w:p w:rsidR="007C1F9F" w:rsidRPr="008B23B3" w:rsidRDefault="007C1F9F" w:rsidP="007C1F9F">
      <w:pPr>
        <w:pStyle w:val="AERbulletlistfirststyle"/>
      </w:pPr>
      <w:r w:rsidRPr="008B23B3">
        <w:t xml:space="preserve">construction of the Sunbury loop, to be completed in 2012, was integral to APA GasNet's decision not to proceed with the redevelopment of the Brooklyn compressor station in the </w:t>
      </w:r>
      <w:r w:rsidR="00202065">
        <w:t>2008–12</w:t>
      </w:r>
      <w:r>
        <w:t xml:space="preserve"> access</w:t>
      </w:r>
      <w:r w:rsidRPr="008B23B3">
        <w:t xml:space="preserve"> arrangement period</w:t>
      </w:r>
    </w:p>
    <w:p w:rsidR="007C1F9F" w:rsidRDefault="007C1F9F" w:rsidP="007C1F9F">
      <w:pPr>
        <w:pStyle w:val="AERbulletlistfirststyle"/>
      </w:pPr>
      <w:r>
        <w:t>if the South West Pipeline (with compression installed) can be used to support gas delivery to Ballarat, the Brooklyn compressor station can be rationalised as proposed by APA GasNet</w:t>
      </w:r>
    </w:p>
    <w:p w:rsidR="007C1F9F" w:rsidRDefault="007C1F9F" w:rsidP="007C1F9F">
      <w:pPr>
        <w:pStyle w:val="AERbulletlistfirststyle"/>
      </w:pPr>
      <w:r>
        <w:t>alternatively, with the Sunbury loop in place the three existing Centaur compressors at Brooklyn should be capable of satisfying compression requirements. The Brooklyn compressor station will need to remain in service, but the major upgrades proposed by APA GasNet do not appear to be required, and some rationalisation may still be possible</w:t>
      </w:r>
    </w:p>
    <w:p w:rsidR="007C1F9F" w:rsidRDefault="007C1F9F" w:rsidP="007C1F9F">
      <w:pPr>
        <w:pStyle w:val="AERbulletlistfirststyle"/>
      </w:pPr>
      <w:r>
        <w:t>it is not apparent that major redevelopment of the Brooklyn compressor station is required, or would be justified, if the WORM is not developed.</w:t>
      </w:r>
    </w:p>
    <w:p w:rsidR="007C1F9F" w:rsidRDefault="007C1F9F" w:rsidP="007C1F9F">
      <w:pPr>
        <w:pStyle w:val="AERbodytext"/>
      </w:pPr>
      <w:r>
        <w:t xml:space="preserve">Given this advice, and noting the capex for stage 1 of the WORM and compression on the South West Pipeline allowed in this decision, the AER is satisfied that significant expenditure on the Brooklyn compressor station will not be required in the </w:t>
      </w:r>
      <w:r w:rsidR="00202065">
        <w:t>2013–17</w:t>
      </w:r>
      <w:r>
        <w:t xml:space="preserve"> access arrangement period.</w:t>
      </w:r>
      <w:r w:rsidR="00186172">
        <w:rPr>
          <w:rStyle w:val="FootnoteReference"/>
        </w:rPr>
        <w:footnoteReference w:id="154"/>
      </w:r>
      <w:r>
        <w:t xml:space="preserve"> This is the case regardless of whether the WORM project proceeds. To the extent that APA GasNet has sought to justify the WORM project on the basis of avoiding alternative expenditure, the AER considers that justification is not supported.</w:t>
      </w:r>
      <w:r w:rsidR="00186172">
        <w:rPr>
          <w:rStyle w:val="FootnoteReference"/>
        </w:rPr>
        <w:footnoteReference w:id="155"/>
      </w:r>
      <w:r>
        <w:t xml:space="preserve"> Neither the proposed WORM expenditure nor the alternative expenditure at Brooklyn is required in the </w:t>
      </w:r>
      <w:r w:rsidR="00202065">
        <w:t>2013–17</w:t>
      </w:r>
      <w:r>
        <w:t xml:space="preserve"> access arrangement period. </w:t>
      </w:r>
      <w:r w:rsidRPr="004238A0">
        <w:t xml:space="preserve">The proposed capital expenditure would not be incurred by a prudent service provider, and is not consistent with </w:t>
      </w:r>
      <w:r>
        <w:t xml:space="preserve">acting efficiently to </w:t>
      </w:r>
      <w:r w:rsidRPr="004238A0">
        <w:t>achiev</w:t>
      </w:r>
      <w:r>
        <w:t>e</w:t>
      </w:r>
      <w:r w:rsidRPr="004238A0">
        <w:t xml:space="preserve"> the lowest sustainable cost of </w:t>
      </w:r>
      <w:r>
        <w:t>providing services</w:t>
      </w:r>
      <w:r w:rsidRPr="004238A0">
        <w:t>.</w:t>
      </w:r>
    </w:p>
    <w:p w:rsidR="007C1F9F" w:rsidRDefault="007C1F9F" w:rsidP="007C1F9F">
      <w:pPr>
        <w:pStyle w:val="AERbodytext"/>
      </w:pPr>
      <w:r>
        <w:t>In not accepting the majority of proposed capex for the WORM project, the AER has not concluded that the WORM project might not, in the future, prove to be a prudent response to</w:t>
      </w:r>
      <w:r w:rsidRPr="00190191">
        <w:t xml:space="preserve"> </w:t>
      </w:r>
      <w:r>
        <w:t xml:space="preserve">the augmentation needs of the VTS in the longer term. The AER's technical </w:t>
      </w:r>
      <w:r w:rsidRPr="0048771C">
        <w:t>consultant and AEMO ha</w:t>
      </w:r>
      <w:r>
        <w:t>ve</w:t>
      </w:r>
      <w:r w:rsidRPr="0048771C">
        <w:t xml:space="preserve"> confirmed that the completion of the outer ring main around Melbourne h</w:t>
      </w:r>
      <w:r>
        <w:t>as merit from a technical perspective.</w:t>
      </w:r>
      <w:r>
        <w:rPr>
          <w:rStyle w:val="FootnoteReference"/>
        </w:rPr>
        <w:footnoteReference w:id="156"/>
      </w:r>
      <w:r>
        <w:t xml:space="preserve"> However, the proposed expenditure has not been demonstrated to be required or justifiable in the </w:t>
      </w:r>
      <w:r w:rsidR="00202065">
        <w:t>2013–17</w:t>
      </w:r>
      <w:r>
        <w:t xml:space="preserve"> access arrangement period. The proposed capex is therefore non-conforming in accordance with r. 79 of the NGR.</w:t>
      </w:r>
    </w:p>
    <w:p w:rsidR="007C1F9F" w:rsidRPr="00D84C79" w:rsidRDefault="007C1F9F" w:rsidP="007C1F9F">
      <w:pPr>
        <w:pStyle w:val="AERbodytext"/>
      </w:pPr>
      <w:r>
        <w:t xml:space="preserve">The AER has considered the level of capex associated with the WORM project which is required in the </w:t>
      </w:r>
      <w:r w:rsidR="00202065">
        <w:t>2013–17</w:t>
      </w:r>
      <w:r>
        <w:t xml:space="preserve"> access arrangement period, and is conforming capex under the NGR. Sleeman Consulting identified a number of minor projects which will be required in the absence of the WORM project.</w:t>
      </w:r>
      <w:r>
        <w:rPr>
          <w:rStyle w:val="FootnoteReference"/>
        </w:rPr>
        <w:footnoteReference w:id="157"/>
      </w:r>
      <w:r>
        <w:t xml:space="preserve"> Assuming the installation of compression on the South West Pipeline as part of the Gas to Culcairn project, the total cost of alternative projects is </w:t>
      </w:r>
      <w:r w:rsidRPr="0048771C">
        <w:t>approximately $0.9 million ($2012). This</w:t>
      </w:r>
      <w:r w:rsidRPr="00D84C79">
        <w:t xml:space="preserve"> excludes </w:t>
      </w:r>
      <w:r>
        <w:t xml:space="preserve">costs related to </w:t>
      </w:r>
      <w:r w:rsidRPr="00D84C79">
        <w:t>the Rockbank</w:t>
      </w:r>
      <w:r>
        <w:t xml:space="preserve"> pressure reduction station and Brooklyn GEA upgrade, which have been allowed as part of the refurbishment and upgrade capex, and the Kalkallo lateral project, which the AER has determined is not required in the </w:t>
      </w:r>
      <w:r w:rsidR="00202065">
        <w:t>2013–17</w:t>
      </w:r>
      <w:r>
        <w:t xml:space="preserve"> access arrangement period.</w:t>
      </w:r>
    </w:p>
    <w:p w:rsidR="007C1F9F" w:rsidRDefault="007C1F9F" w:rsidP="007C1F9F">
      <w:pPr>
        <w:pStyle w:val="AERheading5"/>
      </w:pPr>
      <w:r>
        <w:t>Anglesea pipeline extension</w:t>
      </w:r>
    </w:p>
    <w:p w:rsidR="007C1F9F" w:rsidRDefault="007C1F9F" w:rsidP="007C1F9F">
      <w:pPr>
        <w:pStyle w:val="AERbodytext"/>
      </w:pPr>
      <w:r>
        <w:t xml:space="preserve">The AER considers the proposed augmentation capex for the Anglesea pipeline extension is conforming capex in accordance with r. 79 of the NGR. The project is required to maintain the integrity of services to users, and is therefore justifiable under r. 79(2)(c) of the NGR. </w:t>
      </w:r>
    </w:p>
    <w:p w:rsidR="007C1F9F" w:rsidRDefault="007C1F9F" w:rsidP="007C1F9F">
      <w:pPr>
        <w:pStyle w:val="AERbodytext"/>
      </w:pPr>
      <w:r>
        <w:t xml:space="preserve">The Anglesea pipeline extension provides a second transmission supply point to the Geelong and Bellarine area distribution system currently served by the Corio city gate station. APA GasNet proposed augmentation capital expenditure of $12.8 million </w:t>
      </w:r>
      <w:r w:rsidR="00186172">
        <w:t xml:space="preserve">($2012) </w:t>
      </w:r>
      <w:r>
        <w:t>for a 15 km pipeline extension from the South West Pipeline to a new city gate station at Waurn Ponds. The project is driven by a request from the distribution network service provider to supply the new city gate station.</w:t>
      </w:r>
      <w:r>
        <w:rPr>
          <w:rStyle w:val="FootnoteReference"/>
        </w:rPr>
        <w:footnoteReference w:id="158"/>
      </w:r>
    </w:p>
    <w:p w:rsidR="007C1F9F" w:rsidRDefault="007C1F9F" w:rsidP="007C1F9F">
      <w:pPr>
        <w:pStyle w:val="AERbodytext"/>
      </w:pPr>
      <w:r>
        <w:t>In a separate decision, the AER has approved the distribution network capex proposal for a new city gate station at Waurn Ponds in 2015.</w:t>
      </w:r>
      <w:r>
        <w:rPr>
          <w:rStyle w:val="FootnoteReference"/>
        </w:rPr>
        <w:footnoteReference w:id="159"/>
      </w:r>
      <w:r>
        <w:t xml:space="preserve"> The need for, and timing of, upstream transmission network expenditure to supply the new city gate station is established by this distribution augmentation project. The AER considers the Anglesea pipeline extension is therefore justifiable under r. 79(2)(c) as the capex is necessary to maintain the integrity of services to gas users.</w:t>
      </w:r>
    </w:p>
    <w:p w:rsidR="007C1F9F" w:rsidRDefault="007C1F9F" w:rsidP="007C1F9F">
      <w:pPr>
        <w:pStyle w:val="AERbodytext"/>
      </w:pPr>
      <w:r>
        <w:t>The AER reviewed the relevant business case submitted by APA GasNet, as well as additional costing information sought by the AER and the project assessment undertaken by JP Kenny.</w:t>
      </w:r>
      <w:r>
        <w:rPr>
          <w:rStyle w:val="FootnoteReference"/>
        </w:rPr>
        <w:footnoteReference w:id="160"/>
      </w:r>
      <w:r>
        <w:t xml:space="preserve"> Forecast costs have been estimated in accordance with APA GasNet's standard basis of estimation for growth projects, which the AER considers to be reasonable for the purposes of establishing base project cost estimates.</w:t>
      </w:r>
      <w:r>
        <w:rPr>
          <w:rStyle w:val="FootnoteReference"/>
        </w:rPr>
        <w:footnoteReference w:id="161"/>
      </w:r>
      <w:r>
        <w:t xml:space="preserve"> Based on the information provided, the AER considers the c</w:t>
      </w:r>
      <w:r w:rsidRPr="00BB312E">
        <w:t xml:space="preserve">ost </w:t>
      </w:r>
      <w:r>
        <w:t>estimates for the project are</w:t>
      </w:r>
      <w:r w:rsidRPr="00BB312E">
        <w:t xml:space="preserve"> efficient and consistent with </w:t>
      </w:r>
      <w:r>
        <w:t xml:space="preserve">achieving the </w:t>
      </w:r>
      <w:r w:rsidRPr="00BB312E">
        <w:t>lowest sustainable cost of providing services</w:t>
      </w:r>
      <w:r>
        <w:t xml:space="preserve">. </w:t>
      </w:r>
    </w:p>
    <w:p w:rsidR="007C1F9F" w:rsidRDefault="007C1F9F" w:rsidP="007C1F9F">
      <w:pPr>
        <w:pStyle w:val="AERbodytext"/>
      </w:pPr>
      <w:r>
        <w:t>The AER is satisfied that the capex proposed for the Anglesea pipeline extension is conforming capex for the purposes of r. 79 of the NGR.</w:t>
      </w:r>
      <w:r>
        <w:rPr>
          <w:rStyle w:val="FootnoteReference"/>
        </w:rPr>
        <w:footnoteReference w:id="162"/>
      </w:r>
    </w:p>
    <w:p w:rsidR="007C1F9F" w:rsidRDefault="007C1F9F" w:rsidP="007C1F9F">
      <w:pPr>
        <w:pStyle w:val="AERheading5"/>
      </w:pPr>
      <w:r>
        <w:t>Kalkallo lateral</w:t>
      </w:r>
    </w:p>
    <w:p w:rsidR="007C1F9F" w:rsidRDefault="007C1F9F" w:rsidP="007C1F9F">
      <w:pPr>
        <w:pStyle w:val="AERbodytext"/>
      </w:pPr>
      <w:r>
        <w:t xml:space="preserve">The AER considers the proposed augmentation capex for the Kalkallo lateral is not conforming capex in accordance with r. 79 of the NGR. The AER has not approved capex proposed by the downstream distribution network service provider for a new city gate in the Kalkallo area. The proposed mains extension capex to supply the new city gate would therefore not be incurred by a prudent service provider acting efficiently. </w:t>
      </w:r>
    </w:p>
    <w:p w:rsidR="007C1F9F" w:rsidRDefault="007C1F9F" w:rsidP="007C1F9F">
      <w:pPr>
        <w:pStyle w:val="AERbodytext"/>
      </w:pPr>
      <w:r>
        <w:t>The Kalkallo lateral project provides a transmission connection to a proposed new city gate station to serve a significant housing and industrial development at Kalkallo. The need for the project is therefore driven by the need and timing to supply the new city gate station.</w:t>
      </w:r>
      <w:r>
        <w:rPr>
          <w:rStyle w:val="FootnoteReference"/>
        </w:rPr>
        <w:footnoteReference w:id="163"/>
      </w:r>
    </w:p>
    <w:p w:rsidR="007C1F9F" w:rsidRDefault="007C1F9F" w:rsidP="007C1F9F">
      <w:pPr>
        <w:pStyle w:val="AERbodytext"/>
      </w:pPr>
      <w:r>
        <w:t>The AER has not accepted the distribution network capex proposal for a new city gate station to supply the development near Kalkallo (known as Merrifield) in 2014. The need for, and timing of, upstream transmission network expenditure to supply the new city gate station is therefore not established. In the absence of the new city gate station, the proposed mains extension capex would not be incurred by a prudent service provider. The AER is therefore not satisfied that the capex proposed for the Kalkallo lateral conforms with r. 79(1)(a) of the NGR.</w:t>
      </w:r>
    </w:p>
    <w:p w:rsidR="007C1F9F" w:rsidRDefault="007C1F9F" w:rsidP="007C1F9F">
      <w:pPr>
        <w:pStyle w:val="AERbodytext"/>
      </w:pPr>
      <w:r>
        <w:t>Nevertheless, the AER sought to assess the proposed costs of the project, and reviewed the business case submitted by APA GasNet, as well as additional costing information sought by the AER and the project assessment undertaken by JP Kenny.</w:t>
      </w:r>
      <w:r>
        <w:rPr>
          <w:rStyle w:val="FootnoteReference"/>
        </w:rPr>
        <w:footnoteReference w:id="164"/>
      </w:r>
      <w:r>
        <w:t xml:space="preserve"> Forecast costs have been estimated in accordance with APA GasNet's standard basis of estimation for growth projects, which the AER considers to be reasonable for the purposes of establishing base project cost estimates.</w:t>
      </w:r>
      <w:r>
        <w:rPr>
          <w:rStyle w:val="FootnoteReference"/>
        </w:rPr>
        <w:footnoteReference w:id="165"/>
      </w:r>
      <w:r>
        <w:t xml:space="preserve"> Based on the information provided, the AER considers the c</w:t>
      </w:r>
      <w:r w:rsidRPr="00BB312E">
        <w:t xml:space="preserve">ost </w:t>
      </w:r>
      <w:r>
        <w:t>estimates for the project are</w:t>
      </w:r>
      <w:r w:rsidRPr="00BB312E">
        <w:t xml:space="preserve"> efficient</w:t>
      </w:r>
      <w:r>
        <w:t xml:space="preserve"> and consistent with r. 74(2).</w:t>
      </w:r>
    </w:p>
    <w:p w:rsidR="007C1F9F" w:rsidRDefault="007C1F9F" w:rsidP="007C1F9F">
      <w:pPr>
        <w:pStyle w:val="AERbodytext"/>
      </w:pPr>
      <w:r>
        <w:t>The AER also considered whether the project as proposed is justifiable under r. 79(2) of the NGR. The AER assessed the Net Present Value (NPV) analysis provided by APA GasNet in support of the Kalkallo project. The NPV analysis shows that, at the prevailing tariff on the assumed incremental gas volumes, the present value of the expected incremental revenue to be generated by the project exceeds the present value of the proposed capex.</w:t>
      </w:r>
      <w:r>
        <w:rPr>
          <w:rStyle w:val="FootnoteReference"/>
        </w:rPr>
        <w:footnoteReference w:id="166"/>
      </w:r>
      <w:r>
        <w:t xml:space="preserve"> The AER therefore considers the proposed capex would be justifiable in accordance with r. 79(2)(b) of the NGR.</w:t>
      </w:r>
    </w:p>
    <w:p w:rsidR="007C1F9F" w:rsidRPr="007518B7" w:rsidRDefault="007C1F9F" w:rsidP="007C1F9F">
      <w:pPr>
        <w:pStyle w:val="AERbodytext"/>
      </w:pPr>
      <w:r>
        <w:t xml:space="preserve">However, the AER notes that the scope and cost of the Kalkallo lateral is influenced by the timing and location of the WORM project. The AER has not approved capex proposed for the WORM project as conforming capex in the </w:t>
      </w:r>
      <w:r w:rsidR="00202065">
        <w:t>2013–17</w:t>
      </w:r>
      <w:r>
        <w:t xml:space="preserve"> access arrangement period. In the absence of the WORM project, the required length and cost of the Kalkallo lateral is significantly increased.</w:t>
      </w:r>
      <w:r>
        <w:rPr>
          <w:rStyle w:val="FootnoteReference"/>
        </w:rPr>
        <w:footnoteReference w:id="167"/>
      </w:r>
      <w:r>
        <w:t xml:space="preserve"> In those circumstances, were the Kalkallo project found to be prudent, the recoverable portion of the capex costs would be dependent on the level of the prevailing tariff. Should the recoverable amount not cover the total cost of the investment, APA GasNet would have the option under r. 83 of the NGR to seek approval from the AER to levy a surcharge to recover this shortfall. </w:t>
      </w:r>
    </w:p>
    <w:p w:rsidR="007C1F9F" w:rsidRDefault="007C1F9F" w:rsidP="007C1F9F">
      <w:pPr>
        <w:pStyle w:val="AERheading5"/>
      </w:pPr>
      <w:r>
        <w:t>Warragul loop</w:t>
      </w:r>
    </w:p>
    <w:p w:rsidR="007C1F9F" w:rsidRDefault="007C1F9F" w:rsidP="007C1F9F">
      <w:pPr>
        <w:pStyle w:val="AERbodytext"/>
      </w:pPr>
      <w:r>
        <w:t xml:space="preserve">The AER considers the proposed augmentation capex for the Warragul loop is conforming capex in accordance with r. 79 of the NGR. The forecast incremental gas volumes relating to the project have been arrived at on a reasonable basis and represent the best forecast possible in the circumstances. The incremental revenue provided by the project has a positive net present value, and the project is therefore justifiable under r. 79(2)(b) of the NGR. </w:t>
      </w:r>
    </w:p>
    <w:p w:rsidR="007C1F9F" w:rsidRDefault="007C1F9F" w:rsidP="007C1F9F">
      <w:pPr>
        <w:pStyle w:val="AERbodytext"/>
      </w:pPr>
      <w:r>
        <w:t xml:space="preserve">Looping of the Warragul lateral pipeline was proposed by APA GasNet in the </w:t>
      </w:r>
      <w:r w:rsidR="00202065">
        <w:t>2008–12</w:t>
      </w:r>
      <w:r>
        <w:t xml:space="preserve"> access arrangement period, and a partial recovery of project costs allowed by the ACCC.</w:t>
      </w:r>
      <w:r>
        <w:rPr>
          <w:rStyle w:val="FootnoteReference"/>
        </w:rPr>
        <w:footnoteReference w:id="168"/>
      </w:r>
      <w:r>
        <w:t xml:space="preserve"> However, the expected load increase did not eventuate and APA GasNet did not undertake the project. APA GasNet now forecast that the Warragul city gate will breach the required minimum pressure by winter 2014.</w:t>
      </w:r>
      <w:r>
        <w:rPr>
          <w:rStyle w:val="FootnoteReference"/>
        </w:rPr>
        <w:footnoteReference w:id="169"/>
      </w:r>
    </w:p>
    <w:p w:rsidR="007C1F9F" w:rsidRDefault="007C1F9F" w:rsidP="007C1F9F">
      <w:pPr>
        <w:pStyle w:val="AERbodytext"/>
      </w:pPr>
      <w:r>
        <w:t>To ensure the forecast load growth for the Warragul city gate submitted by APA GasNet was reasonable and the best forecast possible in the circumstances, the AER sought to confirm the quantum and timing of load increases forecast by a major industrial customer in the Warragul area. Information provided by the industrial customer confirmed the expected load increases as forecast by APA GasNet.</w:t>
      </w:r>
      <w:r>
        <w:rPr>
          <w:rStyle w:val="FootnoteReference"/>
        </w:rPr>
        <w:footnoteReference w:id="170"/>
      </w:r>
      <w:r>
        <w:t xml:space="preserve"> The AER therefore considers that the need and timing of the proposed augmentation is established.</w:t>
      </w:r>
    </w:p>
    <w:p w:rsidR="007C1F9F" w:rsidRDefault="007C1F9F" w:rsidP="007C1F9F">
      <w:pPr>
        <w:pStyle w:val="AERbodytext"/>
      </w:pPr>
      <w:r>
        <w:t>APA GasNet undertook a thorough analysis of possible augmentation options. The AER agrees that the proposed 150mm pipeline looping option is the most prudent and efficient option available to provide the necessary capacity augmentation by 2014, while also catering for future growth.</w:t>
      </w:r>
    </w:p>
    <w:p w:rsidR="007C1F9F" w:rsidRDefault="007C1F9F" w:rsidP="007C1F9F">
      <w:pPr>
        <w:pStyle w:val="AERbodytext"/>
      </w:pPr>
      <w:r>
        <w:t>The AER reviewed the relevant business case submitted by APA GasNet, as well as additional costing information sought by the AER and the project assessment undertaken by JP Kenny.</w:t>
      </w:r>
      <w:r>
        <w:rPr>
          <w:rStyle w:val="FootnoteReference"/>
        </w:rPr>
        <w:footnoteReference w:id="171"/>
      </w:r>
      <w:r>
        <w:t xml:space="preserve"> Forecast costs have been estimated in accordance with APA GasNet's standard basis of estimation for growth projects, which the AER considers to be reasonable for the purposes of establishing base project cost estimates.</w:t>
      </w:r>
      <w:r>
        <w:rPr>
          <w:rStyle w:val="FootnoteReference"/>
        </w:rPr>
        <w:footnoteReference w:id="172"/>
      </w:r>
      <w:r>
        <w:t xml:space="preserve"> Based on the information provided, the AER considers the c</w:t>
      </w:r>
      <w:r w:rsidRPr="00BB312E">
        <w:t xml:space="preserve">ost </w:t>
      </w:r>
      <w:r>
        <w:t>estimates for the project are</w:t>
      </w:r>
      <w:r w:rsidRPr="00BB312E">
        <w:t xml:space="preserve"> efficient and consistent with </w:t>
      </w:r>
      <w:r>
        <w:t xml:space="preserve">achieving the </w:t>
      </w:r>
      <w:r w:rsidRPr="00BB312E">
        <w:t>lowest sustainable cost of providing services</w:t>
      </w:r>
      <w:r>
        <w:t xml:space="preserve">. </w:t>
      </w:r>
    </w:p>
    <w:p w:rsidR="007C1F9F" w:rsidRDefault="007C1F9F" w:rsidP="007C1F9F">
      <w:pPr>
        <w:pStyle w:val="AERbodytext"/>
      </w:pPr>
      <w:r>
        <w:t>The AER assessed the NPV analysis provided by APA GasNet in support of the Warragul looping project. The NPV analysis shows that, at the prevailing tariff, the present value of the expected incremental revenue to be generated by the project exceeds the present value of the proposed capex.</w:t>
      </w:r>
      <w:r>
        <w:rPr>
          <w:rStyle w:val="FootnoteReference"/>
        </w:rPr>
        <w:footnoteReference w:id="173"/>
      </w:r>
      <w:r>
        <w:t xml:space="preserve"> The AER therefore considers the proposed capex is justifiable in accordance with r. 79(2)(b) of the NGR.</w:t>
      </w:r>
    </w:p>
    <w:p w:rsidR="007C1F9F" w:rsidRDefault="007C1F9F" w:rsidP="007C1F9F">
      <w:pPr>
        <w:pStyle w:val="AERbodytext"/>
      </w:pPr>
      <w:r>
        <w:t>The AER is satisfied that the capex proposed for the Warragul loop is conforming capex for the purposes of r. 79 of the NGR.</w:t>
      </w:r>
      <w:r>
        <w:rPr>
          <w:rStyle w:val="FootnoteReference"/>
        </w:rPr>
        <w:footnoteReference w:id="174"/>
      </w:r>
    </w:p>
    <w:p w:rsidR="007C1F9F" w:rsidRDefault="007C1F9F" w:rsidP="007C1F9F">
      <w:pPr>
        <w:pStyle w:val="AERheading4"/>
      </w:pPr>
      <w:r>
        <w:t>Refurbishment and upgrade capital expenditure</w:t>
      </w:r>
    </w:p>
    <w:p w:rsidR="007C1F9F" w:rsidRDefault="007C1F9F" w:rsidP="007C1F9F">
      <w:pPr>
        <w:pStyle w:val="AERbodytext"/>
      </w:pPr>
      <w:r>
        <w:t xml:space="preserve">APA GasNet has forecast $54.2 million ($2012) of refurbishment and upgrade capex over the </w:t>
      </w:r>
      <w:r w:rsidR="00202065">
        <w:t>2013–17</w:t>
      </w:r>
      <w:r>
        <w:t xml:space="preserve"> access arrangement period.</w:t>
      </w:r>
      <w:r>
        <w:rPr>
          <w:rStyle w:val="FootnoteReference"/>
        </w:rPr>
        <w:footnoteReference w:id="175"/>
      </w:r>
      <w:r>
        <w:t xml:space="preserve"> The AER </w:t>
      </w:r>
      <w:r w:rsidRPr="0048771C">
        <w:t>approves $53.2 million ($2012) of APA GasNet's proposed refurbishment and upgrade capex</w:t>
      </w:r>
      <w:r w:rsidRPr="006F0ED6">
        <w:t xml:space="preserve"> </w:t>
      </w:r>
      <w:r>
        <w:t>because the AER does not accept APA GasNet's proposed labour cost escalators.</w:t>
      </w:r>
      <w:r w:rsidRPr="0048771C">
        <w:t xml:space="preserve"> The AER considers $53.2</w:t>
      </w:r>
      <w:r>
        <w:t xml:space="preserve"> million ($2012) is sufficient for APA GasNet to maintain the safety, reliability and integrity of the VTS over the </w:t>
      </w:r>
      <w:r w:rsidR="00202065">
        <w:t>2013–17</w:t>
      </w:r>
      <w:r>
        <w:t xml:space="preserve"> access arrangement period.</w:t>
      </w:r>
      <w:r>
        <w:rPr>
          <w:rStyle w:val="FootnoteReference"/>
        </w:rPr>
        <w:footnoteReference w:id="176"/>
      </w:r>
      <w:r>
        <w:t xml:space="preserve"> The AER also considers that this amount is prudent and efficient.</w:t>
      </w:r>
      <w:r>
        <w:rPr>
          <w:rStyle w:val="FootnoteReference"/>
        </w:rPr>
        <w:footnoteReference w:id="177"/>
      </w:r>
      <w:r>
        <w:t xml:space="preserve"> </w:t>
      </w:r>
    </w:p>
    <w:p w:rsidR="007C1F9F" w:rsidRDefault="00DE0D6A" w:rsidP="007C1F9F">
      <w:pPr>
        <w:pStyle w:val="AERbodytext"/>
      </w:pPr>
      <w:r>
        <w:fldChar w:fldCharType="begin"/>
      </w:r>
      <w:r w:rsidR="007C1F9F">
        <w:instrText xml:space="preserve"> REF _Ref331409800 \r \h </w:instrText>
      </w:r>
      <w:r>
        <w:fldChar w:fldCharType="separate"/>
      </w:r>
      <w:r w:rsidR="007C1F9F">
        <w:t>Table 3.7</w:t>
      </w:r>
      <w:r>
        <w:fldChar w:fldCharType="end"/>
      </w:r>
      <w:r w:rsidR="007C1F9F">
        <w:t xml:space="preserve"> provides a summary of the significant refurbishment and upgrade projects and the costs forecast by APA GasNet. The highest forecast refurbishment and upgrade project cost is $8.6 million ($2012) for the installation of pig traps with the next highest at $4.0 million ($2012) for the actuation of mainline valves project. APA GasNet has provided business cases for each of the refurbishment and upgrade projects over $0.5 million ($2012) outlining the requirement and justification of each project. The AER has reviewed the business cases submitted by APA GasNet and assessed its proposed refurbishment and upgrade capex program on the basis of whether the key project drivers identified by APA GasNet comply with the conforming capital expenditure criteria in r. 79 of the NGR. In particular, the AER considers:</w:t>
      </w:r>
    </w:p>
    <w:p w:rsidR="007C1F9F" w:rsidRDefault="007C1F9F" w:rsidP="007C1F9F">
      <w:pPr>
        <w:pStyle w:val="AERbulletlistfirststyle"/>
      </w:pPr>
      <w:r>
        <w:t>the proposed Capacity Management expenditure is necessary to maintain or increase the flexibility and utilisation of existing assets. The AER considers that the proposed expenditure on the Rockbank Pressure Reduction Station, Iona Compressor Station Control System and Springhurst Compressor Station Cooler Upgrade is required to maintain appropriate gas flows throughout the VTS</w:t>
      </w:r>
    </w:p>
    <w:p w:rsidR="007C1F9F" w:rsidRDefault="007C1F9F" w:rsidP="007C1F9F">
      <w:pPr>
        <w:pStyle w:val="AERbulletlistfirststyle"/>
      </w:pPr>
      <w:r>
        <w:t>the proposed Replacement expenditure is necessary to replace assets or components that are unable to be maintained, perform poorly or are no longer required. The AER considers it prudent that APA GasNet replace assets that no longer perform effectively or have</w:t>
      </w:r>
      <w:r w:rsidR="00186172">
        <w:t xml:space="preserve"> become obsolete</w:t>
      </w:r>
    </w:p>
    <w:p w:rsidR="007C1F9F" w:rsidRDefault="007C1F9F" w:rsidP="007C1F9F">
      <w:pPr>
        <w:pStyle w:val="AERbulletlistfirststyle"/>
      </w:pPr>
      <w:r>
        <w:t>a gas transmission business is required to maintain the structural integrity of its high pressure pipelines. The AER considers that APA GasNet's proposed Pipeline Integrity expenditure is necessary to mitigate the associated safety and reliability risks in operating high pressure pipelines. In particular, the AER considers that the investment proposed by APA GasNet in relation to its in-line inspection pigging program and installation of pig traps is prudent given the physical environment its coated steel pipes are exposed to. This is consist</w:t>
      </w:r>
      <w:r w:rsidR="00186172">
        <w:t>ent with good industry practice</w:t>
      </w:r>
    </w:p>
    <w:p w:rsidR="007C1F9F" w:rsidRDefault="007C1F9F" w:rsidP="007C1F9F">
      <w:pPr>
        <w:pStyle w:val="AERbulletlistfirststyle"/>
      </w:pPr>
      <w:r>
        <w:t>a gas transmission business is also required to mitigate the risks faced by its facilities and pipelines to expected hazards. The AER considers that APA GasNet's proposed Facilities Integrity capex program effectively reduces known risks faced by its facilities and pipelines. The AER considers that investing in upgrades to its facilities and pipelines to mitigate known hazards rather t</w:t>
      </w:r>
      <w:r w:rsidR="00186172">
        <w:t>hat replacing assets is prudent</w:t>
      </w:r>
    </w:p>
    <w:p w:rsidR="007C1F9F" w:rsidRDefault="007C1F9F" w:rsidP="007C1F9F">
      <w:pPr>
        <w:pStyle w:val="AERbulletlistfirststyle"/>
      </w:pPr>
      <w:r>
        <w:t>APA GasNet's proposed Risk Mitigation expenditure to reduce system wide risk or to increase the level of protection is prudent. In particular, the AER considers expenditure to install anti-surge and fast stop valves, fire protection systems and automated mainline valves necessary for the safe operation of the VTS. This is consist</w:t>
      </w:r>
      <w:r w:rsidR="00186172">
        <w:t>ent with good industry practice</w:t>
      </w:r>
    </w:p>
    <w:p w:rsidR="007C1F9F" w:rsidRDefault="007C1F9F" w:rsidP="007C1F9F">
      <w:pPr>
        <w:pStyle w:val="AERbulletlistfirststyle"/>
      </w:pPr>
      <w:r>
        <w:t>APA GasNet's proposed provision of Emergency inventory in the form of emergency pipe and fittings and equipment to ensure the safety of its workers and the local community is necessary to manage emergency risks. The AER considers that there are potential operational benefits of APA GasNet owning safety equipment rather than relying on hire companies and contractors as is the current situation.</w:t>
      </w:r>
    </w:p>
    <w:p w:rsidR="007C1F9F" w:rsidRPr="0045145B" w:rsidRDefault="007C1F9F" w:rsidP="007C1F9F">
      <w:pPr>
        <w:pStyle w:val="AERbodytext"/>
      </w:pPr>
      <w:r>
        <w:t>On the basis of its review, the AER is satisfied that the refurbishment and upgrade projects are necessary to maintain the safety, reliability and integrity of the VTS.</w:t>
      </w:r>
      <w:r>
        <w:rPr>
          <w:rStyle w:val="FootnoteReference"/>
        </w:rPr>
        <w:footnoteReference w:id="178"/>
      </w:r>
      <w:r>
        <w:t xml:space="preserve">  The AER considers that this is consistent with observations made by the Energy Users Coalition of Victoria that although the drivers for the underspend during the </w:t>
      </w:r>
      <w:r w:rsidR="00202065">
        <w:t>2008–12</w:t>
      </w:r>
      <w:r>
        <w:t xml:space="preserve"> access arrangement period remain essentially unchanged, the forecast refurbishment and upgrade program at about $10 million per year appears to be reasonable when considering APA GasNet's expenditure for the past five years averages this amount.</w:t>
      </w:r>
      <w:r>
        <w:rPr>
          <w:rStyle w:val="FootnoteReference"/>
        </w:rPr>
        <w:footnoteReference w:id="179"/>
      </w:r>
    </w:p>
    <w:p w:rsidR="007C1F9F" w:rsidRDefault="007C1F9F" w:rsidP="007C1F9F">
      <w:pPr>
        <w:pStyle w:val="AERbodytext"/>
      </w:pPr>
      <w:r>
        <w:t xml:space="preserve">The AER considers that although APA GasNet's proposed refurbishment and upgrade capex program is necessary to maintain the safety, reliability and integrity of the VTS, it does not </w:t>
      </w:r>
      <w:r w:rsidRPr="0063410A">
        <w:rPr>
          <w:rStyle w:val="AERbody"/>
        </w:rPr>
        <w:t>compl</w:t>
      </w:r>
      <w:r>
        <w:rPr>
          <w:rStyle w:val="AERbody"/>
        </w:rPr>
        <w:t>y</w:t>
      </w:r>
      <w:r>
        <w:t xml:space="preserve"> with r. 74(2) of the NGR because the AER does not accept APA GasNet's proposed labour cost escalators.</w:t>
      </w:r>
    </w:p>
    <w:p w:rsidR="007C1F9F" w:rsidRPr="00BA5D5B" w:rsidRDefault="007C1F9F" w:rsidP="007C1F9F">
      <w:pPr>
        <w:pStyle w:val="AERheading4"/>
      </w:pPr>
      <w:r>
        <w:t>Non-system capital expenditure</w:t>
      </w:r>
    </w:p>
    <w:p w:rsidR="007C1F9F" w:rsidRDefault="007C1F9F" w:rsidP="007C1F9F">
      <w:pPr>
        <w:pStyle w:val="AERbodytext"/>
      </w:pPr>
      <w:r>
        <w:t xml:space="preserve">The AER </w:t>
      </w:r>
      <w:r w:rsidRPr="005E52FF">
        <w:rPr>
          <w:rStyle w:val="AERbody"/>
        </w:rPr>
        <w:t>does not approve</w:t>
      </w:r>
      <w:r>
        <w:t xml:space="preserve"> APA GasNet's forecast of $16.4 million ($2012) for non-system capex </w:t>
      </w:r>
      <w:r w:rsidRPr="00BD0916">
        <w:t>to support the VTS and ensure the provision of pipeline services to AEMO. The AER approves $16.2 million ($2012</w:t>
      </w:r>
      <w:r>
        <w:t xml:space="preserve">) of APA GasNet's proposed non-system capex because the AER does not approve APA GasNet's proposed labour cost escalators. </w:t>
      </w:r>
    </w:p>
    <w:p w:rsidR="007C1F9F" w:rsidRDefault="007C1F9F" w:rsidP="007C1F9F">
      <w:pPr>
        <w:pStyle w:val="AERbodytext"/>
      </w:pPr>
      <w:r>
        <w:t>APA GasNet has allocated a forecast cost of $9.2 million ($2012) for the redevelopment of its Dandenong office facility.</w:t>
      </w:r>
      <w:r>
        <w:rPr>
          <w:rStyle w:val="FootnoteReference"/>
        </w:rPr>
        <w:footnoteReference w:id="180"/>
      </w:r>
      <w:r>
        <w:t xml:space="preserve"> APA GasNet has justified this expenditure on the basis that the investment will provide APA GasNet with a purpose built development on 68 hectares of land that will include an operations building, storage shed, office building and significant gas transmission infrastructure.</w:t>
      </w:r>
      <w:r>
        <w:rPr>
          <w:rStyle w:val="FootnoteReference"/>
        </w:rPr>
        <w:footnoteReference w:id="181"/>
      </w:r>
      <w:r>
        <w:t xml:space="preserve"> APA GasNet has identified a number of problems with the current facility including a lack of space, inappropriate building materials (including asbestos cladding), ongoing repair and maintenance and no scope for business growth.</w:t>
      </w:r>
      <w:r>
        <w:rPr>
          <w:rStyle w:val="FootnoteReference"/>
        </w:rPr>
        <w:footnoteReference w:id="182"/>
      </w:r>
      <w:r>
        <w:t xml:space="preserve"> APA GasNet's allocation of the total forecast cost of $11.5 million ($2012) for the Dandenong redevelopment is based on the VTS's use of the building.</w:t>
      </w:r>
      <w:r>
        <w:rPr>
          <w:rStyle w:val="FootnoteReference"/>
        </w:rPr>
        <w:footnoteReference w:id="183"/>
      </w:r>
    </w:p>
    <w:p w:rsidR="007C1F9F" w:rsidRDefault="007C1F9F" w:rsidP="007C1F9F">
      <w:pPr>
        <w:pStyle w:val="AERbodytext"/>
      </w:pPr>
      <w:r>
        <w:t>The AER considers that the redevelopment of the Dandenong office facility is necessary for APA GasNet to maintain the integrity of its services.</w:t>
      </w:r>
      <w:r>
        <w:rPr>
          <w:rStyle w:val="FootnoteReference"/>
        </w:rPr>
        <w:footnoteReference w:id="184"/>
      </w:r>
      <w:r>
        <w:t xml:space="preserve"> The AER accepts that the current site at Dandenong has shortfalls that impede APA GasNet's operating efficiency and exposes APA GasNet to risks associated with non-compliance of OHS requirements. The AER has reviewed the forecast cost of the redevelopment provided by a quantity surveyor, which included detailed </w:t>
      </w:r>
      <w:r w:rsidRPr="00DA5659">
        <w:t>estimates</w:t>
      </w:r>
      <w:r>
        <w:t xml:space="preserve"> for the design, engineering and construction costs of the proposed new building.</w:t>
      </w:r>
      <w:r>
        <w:rPr>
          <w:rStyle w:val="FootnoteReference"/>
        </w:rPr>
        <w:footnoteReference w:id="185"/>
      </w:r>
      <w:r>
        <w:t xml:space="preserve"> Cost estimates that were not included in the quantity surveyors estimates were developed by APA GasNet based on its knowledge of comparable work at other APA Group locations. The AER considers the forecast cost of the redevelopment represents an efficient cost and is consistent with r. 79(1)(a) and r. 74(2) of the NGR.</w:t>
      </w:r>
    </w:p>
    <w:p w:rsidR="007C1F9F" w:rsidRDefault="007C1F9F" w:rsidP="007C1F9F">
      <w:pPr>
        <w:pStyle w:val="AERbodytext"/>
      </w:pPr>
      <w:r>
        <w:t xml:space="preserve">The AER considers the apportionment of $9.2 million ($2012) (80 per cent of the total forecast cost to the regulated portion of the VTS) by APA GasNet to the VTS for the redevelopment of the APA Group's Dandenong office facility is reasonable. The AER considers APA GasNet's approach to apportioning the total redevelopment costs to the VTS is appropriate. APA GasNet based its allocation on the proportion of staff assigned to VTS-specific functions to be located in the new Dandenong office and the floor space they would occupy over a five year period. The AER also considers there are likely to be some scale economies in building design and construction costs to APA GasNet by including non-VTS APA Group staff at the Dandenong office facility. </w:t>
      </w:r>
    </w:p>
    <w:p w:rsidR="007C1F9F" w:rsidRDefault="007C1F9F" w:rsidP="007C1F9F">
      <w:pPr>
        <w:pStyle w:val="AERbodytext"/>
      </w:pPr>
      <w:r>
        <w:t>The Energy Users Coalition of Victoria challenged the need for the proposed new buildings at the APA GasNet site and submitted that the buildings could be leased at a lower cost and included as an operating expense.</w:t>
      </w:r>
      <w:r>
        <w:rPr>
          <w:rStyle w:val="FootnoteReference"/>
        </w:rPr>
        <w:footnoteReference w:id="186"/>
      </w:r>
      <w:r>
        <w:t xml:space="preserve"> The AER has considered the Energy Users Coalition of Victoria's submission but is satisfied that the operational requirements of APA GasNet's business are such that the proposed buildings are required to be consolidated in a single location together with APA GasNet's other operational infrastructure. The AER also considers it unlikely that APA GasNet would be able to locate a suitable single site to lease.</w:t>
      </w:r>
    </w:p>
    <w:p w:rsidR="007C1F9F" w:rsidRDefault="007C1F9F" w:rsidP="007C1F9F">
      <w:pPr>
        <w:pStyle w:val="AERbodytext"/>
      </w:pPr>
      <w:r>
        <w:t>The other major driver for forecast non-system capex is an upgrade and migration of APA GasNet's SCADA system to the APA Group's ClearSCADA system at a forecast cost of $3.8 million ($2012). APA GasNet submitted that this expenditure is justified because the gradual migration to a common SCADA platform would mean that the APA Group could access significant economies of scale in its SCADA operations and maintenance and reduce key personnel and other risks associated with specialist SCADA knowledge requirements across its business.</w:t>
      </w:r>
      <w:r>
        <w:rPr>
          <w:rStyle w:val="FootnoteReference"/>
        </w:rPr>
        <w:footnoteReference w:id="187"/>
      </w:r>
      <w:r>
        <w:t xml:space="preserve"> The AER considers that APA GasNet's proposed SCADA system upgrade is prudent in that it would allow the efficient and effective monitoring of asset performance and diagnosis of initial asset faults in the VTS. By having a standard platform and in-house support, the AER considers that the SCADA system upgrade project will increase APA GasNet's ability to maintain and modify the system, reduce operational risks and improve reliability and operational performance. </w:t>
      </w:r>
    </w:p>
    <w:p w:rsidR="007C1F9F" w:rsidRDefault="007C1F9F" w:rsidP="007C1F9F">
      <w:pPr>
        <w:pStyle w:val="AERbodytext"/>
      </w:pPr>
      <w:r>
        <w:t>The Energy Users Coalition of Victoria submitted that APA GasNet's existing IT systems have been adequate for service provision and that regulated revenue should not include costs for APA GasNet to harmonise its IT systems with that of the APA Group.</w:t>
      </w:r>
      <w:r>
        <w:rPr>
          <w:rStyle w:val="FootnoteReference"/>
        </w:rPr>
        <w:footnoteReference w:id="188"/>
      </w:r>
      <w:r>
        <w:t xml:space="preserve"> The AER does not accept the Energy Users Coalition of Victoria's proposition as the AER considers that there are likely to be ongoing maintenance and operational issues with APA GasNet's existing SCADA system and that APA GasNet's SCADA performance would benefit from this investment. The AER considers that APA GasNet's proposed SCADA upgrade expenditure complies with the conforming capital expenditure criteria in r. 79 of the NGR and should therefore be included in the projected capital base under r. 78 of the NGR.</w:t>
      </w:r>
      <w:r>
        <w:rPr>
          <w:rStyle w:val="FootnoteReference"/>
        </w:rPr>
        <w:footnoteReference w:id="189"/>
      </w:r>
    </w:p>
    <w:p w:rsidR="007C1F9F" w:rsidRDefault="007C1F9F" w:rsidP="007C1F9F">
      <w:pPr>
        <w:pStyle w:val="AERbodytext"/>
      </w:pPr>
      <w:r>
        <w:t>The AER considers that although APA GasNet's proposed non-system capex</w:t>
      </w:r>
      <w:r w:rsidRPr="00980F71">
        <w:t xml:space="preserve"> </w:t>
      </w:r>
      <w:r>
        <w:t xml:space="preserve">is necessary to maintain the safety, reliability and integrity of the VTS, it does not </w:t>
      </w:r>
      <w:r w:rsidRPr="0063410A">
        <w:rPr>
          <w:rStyle w:val="AERbody"/>
        </w:rPr>
        <w:t>compl</w:t>
      </w:r>
      <w:r>
        <w:rPr>
          <w:rStyle w:val="AERbody"/>
        </w:rPr>
        <w:t>y</w:t>
      </w:r>
      <w:r>
        <w:t xml:space="preserve"> with r. 74(2) of the NGR because the AER does not accept APA GasNet's proposed labour cost escalators.</w:t>
      </w:r>
    </w:p>
    <w:p w:rsidR="007C1F9F" w:rsidRDefault="007C1F9F" w:rsidP="007C1F9F">
      <w:pPr>
        <w:pStyle w:val="AERheading3"/>
        <w:numPr>
          <w:ilvl w:val="2"/>
          <w:numId w:val="7"/>
        </w:numPr>
        <w:tabs>
          <w:tab w:val="clear" w:pos="-357"/>
          <w:tab w:val="num" w:pos="0"/>
        </w:tabs>
        <w:ind w:left="0" w:hanging="714"/>
      </w:pPr>
      <w:bookmarkStart w:id="47" w:name="_Ref331506796"/>
      <w:r>
        <w:t>Adjustments to labour cost escalation</w:t>
      </w:r>
      <w:bookmarkEnd w:id="47"/>
    </w:p>
    <w:p w:rsidR="007C1F9F" w:rsidRPr="007E3923" w:rsidRDefault="007C1F9F" w:rsidP="007C1F9F">
      <w:pPr>
        <w:pStyle w:val="AERbodytext"/>
        <w:rPr>
          <w:rFonts w:eastAsia="Calibri"/>
        </w:rPr>
      </w:pPr>
      <w:r w:rsidRPr="007E3923">
        <w:rPr>
          <w:rFonts w:eastAsia="Calibri"/>
        </w:rPr>
        <w:t xml:space="preserve">As shown in </w:t>
      </w:r>
      <w:r w:rsidR="00DE0D6A" w:rsidRPr="007E3923">
        <w:rPr>
          <w:rFonts w:eastAsia="Calibri"/>
        </w:rPr>
        <w:fldChar w:fldCharType="begin"/>
      </w:r>
      <w:r w:rsidRPr="007E3923">
        <w:rPr>
          <w:rFonts w:eastAsia="Calibri"/>
        </w:rPr>
        <w:instrText xml:space="preserve"> REF _Ref331666800 \r \h </w:instrText>
      </w:r>
      <w:r w:rsidR="00DE0D6A" w:rsidRPr="007E3923">
        <w:rPr>
          <w:rFonts w:eastAsia="Calibri"/>
        </w:rPr>
      </w:r>
      <w:r w:rsidR="00DE0D6A" w:rsidRPr="007E3923">
        <w:rPr>
          <w:rFonts w:eastAsia="Calibri"/>
        </w:rPr>
        <w:fldChar w:fldCharType="separate"/>
      </w:r>
      <w:r>
        <w:rPr>
          <w:rFonts w:eastAsia="Calibri"/>
        </w:rPr>
        <w:t>Table 3.8</w:t>
      </w:r>
      <w:r w:rsidR="00DE0D6A" w:rsidRPr="007E3923">
        <w:rPr>
          <w:rFonts w:eastAsia="Calibri"/>
        </w:rPr>
        <w:fldChar w:fldCharType="end"/>
      </w:r>
      <w:r w:rsidRPr="007E3923">
        <w:rPr>
          <w:rFonts w:eastAsia="Calibri"/>
        </w:rPr>
        <w:t xml:space="preserve">, the AER has revised down the labour cost escalation that was proposed by APA GasNet. </w:t>
      </w:r>
    </w:p>
    <w:p w:rsidR="007C1F9F" w:rsidRDefault="007C1F9F" w:rsidP="007C1F9F">
      <w:pPr>
        <w:pStyle w:val="AERtabletitle"/>
      </w:pPr>
      <w:bookmarkStart w:id="48" w:name="_Ref331666800"/>
      <w:r>
        <w:t>APA GasNet proposed and AER approved labour cost escalation rates</w:t>
      </w:r>
      <w:bookmarkEnd w:id="48"/>
      <w:r>
        <w:t xml:space="preserve"> (%)</w:t>
      </w:r>
    </w:p>
    <w:tbl>
      <w:tblPr>
        <w:tblW w:w="0" w:type="auto"/>
        <w:tblBorders>
          <w:top w:val="single" w:sz="4" w:space="0" w:color="auto"/>
          <w:bottom w:val="single" w:sz="4" w:space="0" w:color="auto"/>
        </w:tblBorders>
        <w:tblLook w:val="0020"/>
      </w:tblPr>
      <w:tblGrid>
        <w:gridCol w:w="1421"/>
        <w:gridCol w:w="1421"/>
        <w:gridCol w:w="1421"/>
        <w:gridCol w:w="1421"/>
        <w:gridCol w:w="1422"/>
        <w:gridCol w:w="1422"/>
      </w:tblGrid>
      <w:tr w:rsidR="007C1F9F" w:rsidTr="00186172">
        <w:tc>
          <w:tcPr>
            <w:tcW w:w="142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2017</w:t>
            </w:r>
          </w:p>
        </w:tc>
      </w:tr>
      <w:tr w:rsidR="007C1F9F" w:rsidTr="00186172">
        <w:tc>
          <w:tcPr>
            <w:tcW w:w="1421" w:type="dxa"/>
            <w:shd w:val="clear" w:color="auto" w:fill="auto"/>
            <w:noWrap/>
            <w:tcMar>
              <w:top w:w="0" w:type="dxa"/>
              <w:bottom w:w="0" w:type="dxa"/>
            </w:tcMar>
            <w:vAlign w:val="center"/>
          </w:tcPr>
          <w:p w:rsidR="007C1F9F" w:rsidRPr="009E7D34" w:rsidRDefault="007C1F9F" w:rsidP="00186172">
            <w:pPr>
              <w:pStyle w:val="AERtabletext"/>
              <w:rPr>
                <w:rStyle w:val="AERtextbold"/>
              </w:rPr>
            </w:pPr>
            <w:r w:rsidRPr="009E7D34">
              <w:rPr>
                <w:rStyle w:val="AERtextbold"/>
              </w:rPr>
              <w:t>APA GasNet proposed internal labour</w:t>
            </w:r>
          </w:p>
        </w:tc>
        <w:tc>
          <w:tcPr>
            <w:tcW w:w="1421" w:type="dxa"/>
            <w:shd w:val="clear" w:color="auto" w:fill="auto"/>
            <w:noWrap/>
            <w:tcMar>
              <w:top w:w="0" w:type="dxa"/>
              <w:bottom w:w="0" w:type="dxa"/>
            </w:tcMar>
            <w:vAlign w:val="center"/>
          </w:tcPr>
          <w:p w:rsidR="007C1F9F" w:rsidRPr="009E7D34" w:rsidRDefault="007C1F9F" w:rsidP="00186172">
            <w:pPr>
              <w:pStyle w:val="AERtabletext-numbers"/>
            </w:pPr>
            <w:r w:rsidRPr="009E7D34">
              <w:t>-0.22</w:t>
            </w:r>
          </w:p>
        </w:tc>
        <w:tc>
          <w:tcPr>
            <w:tcW w:w="1421" w:type="dxa"/>
            <w:shd w:val="clear" w:color="auto" w:fill="auto"/>
            <w:noWrap/>
            <w:tcMar>
              <w:top w:w="0" w:type="dxa"/>
              <w:bottom w:w="0" w:type="dxa"/>
            </w:tcMar>
            <w:vAlign w:val="center"/>
          </w:tcPr>
          <w:p w:rsidR="007C1F9F" w:rsidRPr="009E7D34" w:rsidRDefault="007C1F9F" w:rsidP="00186172">
            <w:pPr>
              <w:pStyle w:val="AERtabletext-numbers"/>
            </w:pPr>
            <w:r w:rsidRPr="009E7D34">
              <w:t>7.38</w:t>
            </w:r>
          </w:p>
        </w:tc>
        <w:tc>
          <w:tcPr>
            <w:tcW w:w="1421" w:type="dxa"/>
            <w:shd w:val="clear" w:color="auto" w:fill="auto"/>
            <w:noWrap/>
            <w:tcMar>
              <w:top w:w="0" w:type="dxa"/>
              <w:bottom w:w="0" w:type="dxa"/>
            </w:tcMar>
            <w:vAlign w:val="center"/>
          </w:tcPr>
          <w:p w:rsidR="007C1F9F" w:rsidRPr="009E7D34" w:rsidRDefault="007C1F9F" w:rsidP="00186172">
            <w:pPr>
              <w:pStyle w:val="AERtabletext-numbers"/>
            </w:pPr>
            <w:r w:rsidRPr="009E7D34">
              <w:t>5.39</w:t>
            </w:r>
          </w:p>
        </w:tc>
        <w:tc>
          <w:tcPr>
            <w:tcW w:w="1422" w:type="dxa"/>
            <w:shd w:val="clear" w:color="auto" w:fill="auto"/>
            <w:noWrap/>
            <w:tcMar>
              <w:top w:w="0" w:type="dxa"/>
              <w:bottom w:w="0" w:type="dxa"/>
            </w:tcMar>
            <w:vAlign w:val="center"/>
          </w:tcPr>
          <w:p w:rsidR="007C1F9F" w:rsidRPr="009E7D34" w:rsidRDefault="007C1F9F" w:rsidP="00186172">
            <w:pPr>
              <w:pStyle w:val="AERtabletext-numbers"/>
            </w:pPr>
            <w:r w:rsidRPr="009E7D34">
              <w:t>1.27</w:t>
            </w:r>
          </w:p>
        </w:tc>
        <w:tc>
          <w:tcPr>
            <w:tcW w:w="1422" w:type="dxa"/>
            <w:shd w:val="clear" w:color="auto" w:fill="auto"/>
            <w:noWrap/>
            <w:tcMar>
              <w:top w:w="0" w:type="dxa"/>
              <w:bottom w:w="0" w:type="dxa"/>
            </w:tcMar>
            <w:vAlign w:val="center"/>
          </w:tcPr>
          <w:p w:rsidR="007C1F9F" w:rsidRPr="009E7D34" w:rsidRDefault="007C1F9F" w:rsidP="00186172">
            <w:pPr>
              <w:pStyle w:val="AERtabletext-numbers"/>
            </w:pPr>
            <w:r w:rsidRPr="009E7D34">
              <w:t>0.13</w:t>
            </w:r>
          </w:p>
        </w:tc>
      </w:tr>
      <w:tr w:rsidR="007C1F9F" w:rsidTr="00186172">
        <w:tc>
          <w:tcPr>
            <w:tcW w:w="1421" w:type="dxa"/>
            <w:shd w:val="clear" w:color="auto" w:fill="F8B47C"/>
            <w:noWrap/>
            <w:tcMar>
              <w:top w:w="0" w:type="dxa"/>
              <w:bottom w:w="0" w:type="dxa"/>
            </w:tcMar>
            <w:vAlign w:val="center"/>
          </w:tcPr>
          <w:p w:rsidR="007C1F9F" w:rsidRPr="009E7D34" w:rsidRDefault="007C1F9F" w:rsidP="00186172">
            <w:pPr>
              <w:pStyle w:val="AERtabletext"/>
              <w:rPr>
                <w:rStyle w:val="AERtextbold"/>
              </w:rPr>
            </w:pPr>
            <w:r w:rsidRPr="009E7D34">
              <w:rPr>
                <w:rStyle w:val="AERtextbold"/>
              </w:rPr>
              <w:t>AER approved internal labour</w:t>
            </w:r>
          </w:p>
        </w:tc>
        <w:tc>
          <w:tcPr>
            <w:tcW w:w="1421" w:type="dxa"/>
            <w:shd w:val="clear" w:color="auto" w:fill="F8B47C"/>
            <w:noWrap/>
            <w:tcMar>
              <w:top w:w="0" w:type="dxa"/>
              <w:bottom w:w="0" w:type="dxa"/>
            </w:tcMar>
            <w:vAlign w:val="center"/>
          </w:tcPr>
          <w:p w:rsidR="007C1F9F" w:rsidRPr="009E7D34" w:rsidRDefault="007C1F9F" w:rsidP="00186172">
            <w:pPr>
              <w:pStyle w:val="AERtabletext-numbers"/>
            </w:pPr>
            <w:r w:rsidRPr="009E7D34">
              <w:t>1.1</w:t>
            </w:r>
          </w:p>
        </w:tc>
        <w:tc>
          <w:tcPr>
            <w:tcW w:w="1421" w:type="dxa"/>
            <w:shd w:val="clear" w:color="auto" w:fill="F8B47C"/>
            <w:noWrap/>
            <w:tcMar>
              <w:top w:w="0" w:type="dxa"/>
              <w:bottom w:w="0" w:type="dxa"/>
            </w:tcMar>
            <w:vAlign w:val="center"/>
          </w:tcPr>
          <w:p w:rsidR="007C1F9F" w:rsidRPr="009E7D34" w:rsidRDefault="007C1F9F" w:rsidP="00186172">
            <w:pPr>
              <w:pStyle w:val="AERtabletext-numbers"/>
            </w:pPr>
            <w:r w:rsidRPr="009E7D34">
              <w:t>1.1</w:t>
            </w:r>
          </w:p>
        </w:tc>
        <w:tc>
          <w:tcPr>
            <w:tcW w:w="1421" w:type="dxa"/>
            <w:shd w:val="clear" w:color="auto" w:fill="F8B47C"/>
            <w:noWrap/>
            <w:tcMar>
              <w:top w:w="0" w:type="dxa"/>
              <w:bottom w:w="0" w:type="dxa"/>
            </w:tcMar>
            <w:vAlign w:val="center"/>
          </w:tcPr>
          <w:p w:rsidR="007C1F9F" w:rsidRPr="009E7D34" w:rsidRDefault="007C1F9F" w:rsidP="00186172">
            <w:pPr>
              <w:pStyle w:val="AERtabletext-numbers"/>
            </w:pPr>
            <w:r w:rsidRPr="009E7D34">
              <w:t>1.2</w:t>
            </w:r>
          </w:p>
        </w:tc>
        <w:tc>
          <w:tcPr>
            <w:tcW w:w="1422" w:type="dxa"/>
            <w:shd w:val="clear" w:color="auto" w:fill="F8B47C"/>
            <w:noWrap/>
            <w:tcMar>
              <w:top w:w="0" w:type="dxa"/>
              <w:bottom w:w="0" w:type="dxa"/>
            </w:tcMar>
            <w:vAlign w:val="center"/>
          </w:tcPr>
          <w:p w:rsidR="007C1F9F" w:rsidRPr="009E7D34" w:rsidRDefault="007C1F9F" w:rsidP="00186172">
            <w:pPr>
              <w:pStyle w:val="AERtabletext-numbers"/>
            </w:pPr>
            <w:r w:rsidRPr="009E7D34">
              <w:t>0.9</w:t>
            </w:r>
          </w:p>
        </w:tc>
        <w:tc>
          <w:tcPr>
            <w:tcW w:w="1422" w:type="dxa"/>
            <w:shd w:val="clear" w:color="auto" w:fill="F8B47C"/>
            <w:noWrap/>
            <w:tcMar>
              <w:top w:w="0" w:type="dxa"/>
              <w:bottom w:w="0" w:type="dxa"/>
            </w:tcMar>
            <w:vAlign w:val="center"/>
          </w:tcPr>
          <w:p w:rsidR="007C1F9F" w:rsidRPr="009E7D34" w:rsidRDefault="007C1F9F" w:rsidP="00186172">
            <w:pPr>
              <w:pStyle w:val="AERtabletext-numbers"/>
            </w:pPr>
            <w:r w:rsidRPr="009E7D34">
              <w:t>1.1</w:t>
            </w:r>
          </w:p>
        </w:tc>
      </w:tr>
      <w:tr w:rsidR="007C1F9F" w:rsidTr="00186172">
        <w:tc>
          <w:tcPr>
            <w:tcW w:w="1421" w:type="dxa"/>
            <w:shd w:val="clear" w:color="auto" w:fill="auto"/>
            <w:noWrap/>
            <w:tcMar>
              <w:top w:w="0" w:type="dxa"/>
              <w:bottom w:w="0" w:type="dxa"/>
            </w:tcMar>
            <w:vAlign w:val="center"/>
          </w:tcPr>
          <w:p w:rsidR="007C1F9F" w:rsidRPr="009E7D34" w:rsidRDefault="007C1F9F" w:rsidP="00186172">
            <w:pPr>
              <w:pStyle w:val="AERtabletext"/>
              <w:rPr>
                <w:rStyle w:val="AERtextbold"/>
              </w:rPr>
            </w:pPr>
            <w:r w:rsidRPr="009E7D34">
              <w:rPr>
                <w:rStyle w:val="AERtextbold"/>
              </w:rPr>
              <w:t>APA GasNet proposed external contracted labour</w:t>
            </w:r>
          </w:p>
        </w:tc>
        <w:tc>
          <w:tcPr>
            <w:tcW w:w="1421" w:type="dxa"/>
            <w:shd w:val="clear" w:color="auto" w:fill="auto"/>
            <w:noWrap/>
            <w:tcMar>
              <w:top w:w="0" w:type="dxa"/>
              <w:bottom w:w="0" w:type="dxa"/>
            </w:tcMar>
            <w:vAlign w:val="center"/>
          </w:tcPr>
          <w:p w:rsidR="007C1F9F" w:rsidRPr="009E7D34" w:rsidRDefault="007C1F9F" w:rsidP="00186172">
            <w:pPr>
              <w:pStyle w:val="AERtabletext-numbers"/>
            </w:pPr>
            <w:r w:rsidRPr="009E7D34">
              <w:t>4.5</w:t>
            </w:r>
          </w:p>
        </w:tc>
        <w:tc>
          <w:tcPr>
            <w:tcW w:w="1421" w:type="dxa"/>
            <w:shd w:val="clear" w:color="auto" w:fill="auto"/>
            <w:noWrap/>
            <w:tcMar>
              <w:top w:w="0" w:type="dxa"/>
              <w:bottom w:w="0" w:type="dxa"/>
            </w:tcMar>
            <w:vAlign w:val="center"/>
          </w:tcPr>
          <w:p w:rsidR="007C1F9F" w:rsidRPr="009E7D34" w:rsidRDefault="007C1F9F" w:rsidP="00186172">
            <w:pPr>
              <w:pStyle w:val="AERtabletext-numbers"/>
            </w:pPr>
            <w:r w:rsidRPr="009E7D34">
              <w:t>2.1</w:t>
            </w:r>
          </w:p>
        </w:tc>
        <w:tc>
          <w:tcPr>
            <w:tcW w:w="1421" w:type="dxa"/>
            <w:shd w:val="clear" w:color="auto" w:fill="auto"/>
            <w:noWrap/>
            <w:tcMar>
              <w:top w:w="0" w:type="dxa"/>
              <w:bottom w:w="0" w:type="dxa"/>
            </w:tcMar>
            <w:vAlign w:val="center"/>
          </w:tcPr>
          <w:p w:rsidR="007C1F9F" w:rsidRPr="009E7D34" w:rsidRDefault="007C1F9F" w:rsidP="00186172">
            <w:pPr>
              <w:pStyle w:val="AERtabletext-numbers"/>
            </w:pPr>
            <w:r w:rsidRPr="009E7D34">
              <w:t>1.1</w:t>
            </w:r>
          </w:p>
        </w:tc>
        <w:tc>
          <w:tcPr>
            <w:tcW w:w="1422" w:type="dxa"/>
            <w:shd w:val="clear" w:color="auto" w:fill="auto"/>
            <w:noWrap/>
            <w:tcMar>
              <w:top w:w="0" w:type="dxa"/>
              <w:bottom w:w="0" w:type="dxa"/>
            </w:tcMar>
            <w:vAlign w:val="center"/>
          </w:tcPr>
          <w:p w:rsidR="007C1F9F" w:rsidRPr="009E7D34" w:rsidRDefault="007C1F9F" w:rsidP="00186172">
            <w:pPr>
              <w:pStyle w:val="AERtabletext-numbers"/>
            </w:pPr>
            <w:r w:rsidRPr="009E7D34">
              <w:t>0.2</w:t>
            </w:r>
          </w:p>
        </w:tc>
        <w:tc>
          <w:tcPr>
            <w:tcW w:w="1422" w:type="dxa"/>
            <w:shd w:val="clear" w:color="auto" w:fill="auto"/>
            <w:noWrap/>
            <w:tcMar>
              <w:top w:w="0" w:type="dxa"/>
              <w:bottom w:w="0" w:type="dxa"/>
            </w:tcMar>
            <w:vAlign w:val="center"/>
          </w:tcPr>
          <w:p w:rsidR="007C1F9F" w:rsidRPr="009E7D34" w:rsidRDefault="007C1F9F" w:rsidP="00186172">
            <w:pPr>
              <w:pStyle w:val="AERtabletext-numbers"/>
            </w:pPr>
            <w:r w:rsidRPr="009E7D34">
              <w:t>2.1</w:t>
            </w:r>
          </w:p>
        </w:tc>
      </w:tr>
      <w:tr w:rsidR="007C1F9F" w:rsidTr="00186172">
        <w:tc>
          <w:tcPr>
            <w:tcW w:w="1421" w:type="dxa"/>
            <w:shd w:val="clear" w:color="auto" w:fill="F8B47C"/>
            <w:noWrap/>
            <w:tcMar>
              <w:top w:w="0" w:type="dxa"/>
              <w:bottom w:w="0" w:type="dxa"/>
            </w:tcMar>
            <w:vAlign w:val="center"/>
          </w:tcPr>
          <w:p w:rsidR="007C1F9F" w:rsidRPr="009E7D34" w:rsidRDefault="007C1F9F" w:rsidP="00186172">
            <w:pPr>
              <w:pStyle w:val="AERtabletext"/>
              <w:rPr>
                <w:rStyle w:val="AERtextbold"/>
              </w:rPr>
            </w:pPr>
            <w:r w:rsidRPr="009E7D34">
              <w:rPr>
                <w:rStyle w:val="AERtextbold"/>
              </w:rPr>
              <w:t>AER approved external contracted labour</w:t>
            </w:r>
          </w:p>
        </w:tc>
        <w:tc>
          <w:tcPr>
            <w:tcW w:w="1421" w:type="dxa"/>
            <w:shd w:val="clear" w:color="auto" w:fill="F8B47C"/>
            <w:noWrap/>
            <w:tcMar>
              <w:top w:w="0" w:type="dxa"/>
              <w:bottom w:w="0" w:type="dxa"/>
            </w:tcMar>
            <w:vAlign w:val="center"/>
          </w:tcPr>
          <w:p w:rsidR="007C1F9F" w:rsidRPr="009E7D34" w:rsidRDefault="007C1F9F" w:rsidP="00186172">
            <w:pPr>
              <w:pStyle w:val="AERtabletext-numbers"/>
            </w:pPr>
            <w:r w:rsidRPr="009E7D34">
              <w:t>0.6</w:t>
            </w:r>
          </w:p>
        </w:tc>
        <w:tc>
          <w:tcPr>
            <w:tcW w:w="1421" w:type="dxa"/>
            <w:shd w:val="clear" w:color="auto" w:fill="F8B47C"/>
            <w:noWrap/>
            <w:tcMar>
              <w:top w:w="0" w:type="dxa"/>
              <w:bottom w:w="0" w:type="dxa"/>
            </w:tcMar>
            <w:vAlign w:val="center"/>
          </w:tcPr>
          <w:p w:rsidR="007C1F9F" w:rsidRPr="009E7D34" w:rsidRDefault="007C1F9F" w:rsidP="00186172">
            <w:pPr>
              <w:pStyle w:val="AERtabletext-numbers"/>
            </w:pPr>
            <w:r w:rsidRPr="009E7D34">
              <w:t>0.8</w:t>
            </w:r>
          </w:p>
        </w:tc>
        <w:tc>
          <w:tcPr>
            <w:tcW w:w="1421" w:type="dxa"/>
            <w:shd w:val="clear" w:color="auto" w:fill="F8B47C"/>
            <w:noWrap/>
            <w:tcMar>
              <w:top w:w="0" w:type="dxa"/>
              <w:bottom w:w="0" w:type="dxa"/>
            </w:tcMar>
            <w:vAlign w:val="center"/>
          </w:tcPr>
          <w:p w:rsidR="007C1F9F" w:rsidRPr="009E7D34" w:rsidRDefault="007C1F9F" w:rsidP="00186172">
            <w:pPr>
              <w:pStyle w:val="AERtabletext-numbers"/>
            </w:pPr>
            <w:r w:rsidRPr="009E7D34">
              <w:t>1.0</w:t>
            </w:r>
          </w:p>
        </w:tc>
        <w:tc>
          <w:tcPr>
            <w:tcW w:w="1422" w:type="dxa"/>
            <w:shd w:val="clear" w:color="auto" w:fill="F8B47C"/>
            <w:noWrap/>
            <w:tcMar>
              <w:top w:w="0" w:type="dxa"/>
              <w:bottom w:w="0" w:type="dxa"/>
            </w:tcMar>
            <w:vAlign w:val="center"/>
          </w:tcPr>
          <w:p w:rsidR="007C1F9F" w:rsidRPr="009E7D34" w:rsidRDefault="007C1F9F" w:rsidP="00186172">
            <w:pPr>
              <w:pStyle w:val="AERtabletext-numbers"/>
            </w:pPr>
            <w:r w:rsidRPr="009E7D34">
              <w:t>0.4</w:t>
            </w:r>
          </w:p>
        </w:tc>
        <w:tc>
          <w:tcPr>
            <w:tcW w:w="1422" w:type="dxa"/>
            <w:shd w:val="clear" w:color="auto" w:fill="F8B47C"/>
            <w:noWrap/>
            <w:tcMar>
              <w:top w:w="0" w:type="dxa"/>
              <w:bottom w:w="0" w:type="dxa"/>
            </w:tcMar>
            <w:vAlign w:val="center"/>
          </w:tcPr>
          <w:p w:rsidR="007C1F9F" w:rsidRPr="009E7D34" w:rsidRDefault="007C1F9F" w:rsidP="00186172">
            <w:pPr>
              <w:pStyle w:val="AERtabletext-numbers"/>
            </w:pPr>
            <w:r w:rsidRPr="009E7D34">
              <w:t>0.9</w:t>
            </w:r>
          </w:p>
        </w:tc>
      </w:tr>
    </w:tbl>
    <w:p w:rsidR="007C1F9F" w:rsidRDefault="007C1F9F" w:rsidP="00186172">
      <w:pPr>
        <w:pStyle w:val="FootnoteText"/>
      </w:pPr>
      <w:r>
        <w:t>Source:</w:t>
      </w:r>
      <w:r>
        <w:tab/>
        <w:t xml:space="preserve"> BIS Shrapnel, </w:t>
      </w:r>
      <w:r>
        <w:rPr>
          <w:rStyle w:val="AERtextitalic"/>
        </w:rPr>
        <w:t xml:space="preserve">Final Report prepared for APA Group: Real cost escalation forecasts to 2017 - Australia and Victoria, </w:t>
      </w:r>
      <w:r w:rsidRPr="00186172">
        <w:rPr>
          <w:rStyle w:val="AERtextitalic"/>
          <w:i w:val="0"/>
        </w:rPr>
        <w:t>March 2012 and AER analysis</w:t>
      </w:r>
      <w:r w:rsidRPr="00186172">
        <w:t>.</w:t>
      </w:r>
    </w:p>
    <w:p w:rsidR="007C1F9F" w:rsidRDefault="007C1F9F" w:rsidP="007C1F9F">
      <w:pPr>
        <w:pStyle w:val="FootnoteText"/>
      </w:pPr>
    </w:p>
    <w:p w:rsidR="007C1F9F" w:rsidRPr="007E3923" w:rsidRDefault="007C1F9F" w:rsidP="007C1F9F">
      <w:pPr>
        <w:pStyle w:val="AERbodytext"/>
        <w:rPr>
          <w:rFonts w:eastAsia="Calibri"/>
        </w:rPr>
      </w:pPr>
      <w:r w:rsidRPr="007E3923">
        <w:rPr>
          <w:rStyle w:val="AERbody"/>
          <w:rFonts w:eastAsia="Calibri"/>
        </w:rPr>
        <w:t>De</w:t>
      </w:r>
      <w:r w:rsidRPr="007E3923">
        <w:rPr>
          <w:rFonts w:eastAsia="Calibri"/>
        </w:rPr>
        <w:t>tails of the AER's assessment of APA GasNet's labour cost escalators is discussed in appendix </w:t>
      </w:r>
      <w:r>
        <w:rPr>
          <w:rFonts w:eastAsia="Calibri"/>
        </w:rPr>
        <w:t>C</w:t>
      </w:r>
      <w:r w:rsidRPr="007E3923">
        <w:rPr>
          <w:rFonts w:eastAsia="Calibri"/>
        </w:rPr>
        <w:t xml:space="preserve">. The impact of the amendment to APA GasNet's proposed labour cost escalators is shown in </w:t>
      </w:r>
      <w:fldSimple w:instr=" REF _Ref330494505 \r \h  \* MERGEFORMAT ">
        <w:r>
          <w:rPr>
            <w:rFonts w:eastAsia="Calibri"/>
          </w:rPr>
          <w:t>Table 3.9</w:t>
        </w:r>
      </w:fldSimple>
      <w:r w:rsidRPr="007E3923">
        <w:rPr>
          <w:rFonts w:eastAsia="Calibri"/>
        </w:rPr>
        <w:t>.</w:t>
      </w:r>
    </w:p>
    <w:p w:rsidR="007C1F9F" w:rsidRPr="007E3923" w:rsidRDefault="007C1F9F" w:rsidP="007C1F9F">
      <w:pPr>
        <w:pStyle w:val="AERtabletitle"/>
        <w:rPr>
          <w:rFonts w:eastAsia="Calibri"/>
        </w:rPr>
      </w:pPr>
      <w:bookmarkStart w:id="49" w:name="_Ref330494505"/>
      <w:r w:rsidRPr="007E3923">
        <w:rPr>
          <w:rFonts w:eastAsia="Calibri"/>
        </w:rPr>
        <w:t xml:space="preserve">Comparison of APA GasNet proposed and AER approved capex including labour cost escalation adjustment over the </w:t>
      </w:r>
      <w:r w:rsidR="00202065">
        <w:rPr>
          <w:rFonts w:eastAsia="Calibri"/>
        </w:rPr>
        <w:t>2013–17</w:t>
      </w:r>
      <w:r w:rsidRPr="007E3923">
        <w:rPr>
          <w:rFonts w:eastAsia="Calibri"/>
        </w:rPr>
        <w:t xml:space="preserve"> access arrangement period </w:t>
      </w:r>
      <w:bookmarkEnd w:id="49"/>
    </w:p>
    <w:tbl>
      <w:tblPr>
        <w:tblW w:w="0" w:type="auto"/>
        <w:tblBorders>
          <w:top w:val="single" w:sz="4" w:space="0" w:color="auto"/>
          <w:bottom w:val="single" w:sz="4" w:space="0" w:color="auto"/>
        </w:tblBorders>
        <w:tblLayout w:type="fixed"/>
        <w:tblLook w:val="01E0"/>
      </w:tblPr>
      <w:tblGrid>
        <w:gridCol w:w="1694"/>
        <w:gridCol w:w="1391"/>
        <w:gridCol w:w="1701"/>
        <w:gridCol w:w="1701"/>
        <w:gridCol w:w="1985"/>
      </w:tblGrid>
      <w:tr w:rsidR="007C1F9F" w:rsidTr="00186172">
        <w:tc>
          <w:tcPr>
            <w:tcW w:w="169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1516EC" w:rsidRDefault="007C1F9F" w:rsidP="00186172">
            <w:pPr>
              <w:pStyle w:val="AERtabletextheading"/>
            </w:pPr>
          </w:p>
        </w:tc>
        <w:tc>
          <w:tcPr>
            <w:tcW w:w="139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516EC" w:rsidRDefault="007C1F9F" w:rsidP="00186172">
            <w:pPr>
              <w:pStyle w:val="AERtabletextheadingright"/>
            </w:pPr>
            <w:r>
              <w:t>APA GasNet proposal (</w:t>
            </w:r>
            <w:r w:rsidR="00186172">
              <w:t xml:space="preserve">million </w:t>
            </w:r>
            <w:r>
              <w:t>$2012)</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516EC" w:rsidRDefault="007C1F9F" w:rsidP="00186172">
            <w:pPr>
              <w:pStyle w:val="AERtabletextheadingright"/>
            </w:pPr>
            <w:r>
              <w:t>AER approved excluding AER labour escalation adjustments</w:t>
            </w:r>
            <w:r w:rsidR="00186172">
              <w:t xml:space="preserve"> (million $2012)</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516EC" w:rsidRDefault="007C1F9F" w:rsidP="00186172">
            <w:pPr>
              <w:pStyle w:val="AERtabletextheadingright"/>
            </w:pPr>
            <w:r>
              <w:t>AER approved including AER labour escalation adjustments</w:t>
            </w:r>
            <w:r w:rsidR="00186172">
              <w:t xml:space="preserve"> ($million 2012)</w:t>
            </w:r>
          </w:p>
        </w:tc>
        <w:tc>
          <w:tcPr>
            <w:tcW w:w="198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1516EC" w:rsidRDefault="007C1F9F" w:rsidP="00186172">
            <w:pPr>
              <w:pStyle w:val="AERtabletextheadingright"/>
            </w:pPr>
            <w:r>
              <w:t>Variance between APA GasNet proposed and AER approved including labour escalation adjustment</w:t>
            </w:r>
            <w:r w:rsidR="00186172">
              <w:t xml:space="preserve"> (per cent)</w:t>
            </w:r>
          </w:p>
        </w:tc>
      </w:tr>
      <w:tr w:rsidR="007C1F9F" w:rsidTr="00186172">
        <w:tc>
          <w:tcPr>
            <w:tcW w:w="1694" w:type="dxa"/>
            <w:shd w:val="clear" w:color="auto" w:fill="auto"/>
            <w:noWrap/>
            <w:tcMar>
              <w:top w:w="0" w:type="dxa"/>
              <w:bottom w:w="0" w:type="dxa"/>
            </w:tcMar>
            <w:vAlign w:val="center"/>
          </w:tcPr>
          <w:p w:rsidR="007C1F9F" w:rsidRPr="00BA5D5B" w:rsidRDefault="007C1F9F" w:rsidP="00186172">
            <w:pPr>
              <w:pStyle w:val="AERtabletextheading"/>
            </w:pPr>
            <w:r>
              <w:t>Augmentation</w:t>
            </w:r>
          </w:p>
        </w:tc>
        <w:tc>
          <w:tcPr>
            <w:tcW w:w="1391" w:type="dxa"/>
            <w:shd w:val="clear" w:color="auto" w:fill="auto"/>
            <w:noWrap/>
            <w:tcMar>
              <w:top w:w="0" w:type="dxa"/>
              <w:bottom w:w="0" w:type="dxa"/>
            </w:tcMar>
            <w:vAlign w:val="center"/>
          </w:tcPr>
          <w:p w:rsidR="007C1F9F" w:rsidRPr="00C90A5E" w:rsidRDefault="007C1F9F" w:rsidP="00186172">
            <w:pPr>
              <w:pStyle w:val="AERtabletext-numbers"/>
            </w:pPr>
            <w:r>
              <w:t>270.3</w:t>
            </w:r>
          </w:p>
        </w:tc>
        <w:tc>
          <w:tcPr>
            <w:tcW w:w="1701" w:type="dxa"/>
            <w:shd w:val="clear" w:color="auto" w:fill="auto"/>
            <w:noWrap/>
            <w:tcMar>
              <w:top w:w="0" w:type="dxa"/>
              <w:bottom w:w="0" w:type="dxa"/>
            </w:tcMar>
            <w:vAlign w:val="center"/>
          </w:tcPr>
          <w:p w:rsidR="007C1F9F" w:rsidRPr="00C90A5E" w:rsidRDefault="007C1F9F" w:rsidP="00186172">
            <w:pPr>
              <w:pStyle w:val="AERtabletext-numbers"/>
            </w:pPr>
            <w:r>
              <w:t>85.2</w:t>
            </w:r>
          </w:p>
        </w:tc>
        <w:tc>
          <w:tcPr>
            <w:tcW w:w="1701" w:type="dxa"/>
            <w:shd w:val="clear" w:color="auto" w:fill="auto"/>
            <w:noWrap/>
            <w:tcMar>
              <w:top w:w="0" w:type="dxa"/>
              <w:bottom w:w="0" w:type="dxa"/>
            </w:tcMar>
            <w:vAlign w:val="center"/>
          </w:tcPr>
          <w:p w:rsidR="007C1F9F" w:rsidRPr="00DF5521" w:rsidRDefault="007C1F9F" w:rsidP="00186172">
            <w:pPr>
              <w:pStyle w:val="AERtabletext-numbers"/>
            </w:pPr>
            <w:r>
              <w:t>84.5</w:t>
            </w:r>
          </w:p>
        </w:tc>
        <w:tc>
          <w:tcPr>
            <w:tcW w:w="1985" w:type="dxa"/>
            <w:shd w:val="clear" w:color="auto" w:fill="auto"/>
            <w:noWrap/>
            <w:tcMar>
              <w:top w:w="0" w:type="dxa"/>
              <w:bottom w:w="0" w:type="dxa"/>
            </w:tcMar>
            <w:vAlign w:val="center"/>
          </w:tcPr>
          <w:p w:rsidR="007C1F9F" w:rsidRPr="00DF5521" w:rsidRDefault="007C1F9F" w:rsidP="00186172">
            <w:pPr>
              <w:pStyle w:val="AERtabletext-numbers"/>
            </w:pPr>
            <w:r>
              <w:t>68.7%</w:t>
            </w:r>
          </w:p>
        </w:tc>
      </w:tr>
      <w:tr w:rsidR="007C1F9F" w:rsidTr="00186172">
        <w:tc>
          <w:tcPr>
            <w:tcW w:w="1694" w:type="dxa"/>
            <w:shd w:val="clear" w:color="auto" w:fill="F8B47C"/>
            <w:noWrap/>
            <w:tcMar>
              <w:top w:w="0" w:type="dxa"/>
              <w:bottom w:w="0" w:type="dxa"/>
            </w:tcMar>
            <w:vAlign w:val="center"/>
          </w:tcPr>
          <w:p w:rsidR="007C1F9F" w:rsidRPr="00BA5D5B" w:rsidRDefault="007C1F9F" w:rsidP="00186172">
            <w:pPr>
              <w:pStyle w:val="AERtabletextheading"/>
            </w:pPr>
            <w:r>
              <w:t>Refurbishment and upgrade</w:t>
            </w:r>
          </w:p>
        </w:tc>
        <w:tc>
          <w:tcPr>
            <w:tcW w:w="1391" w:type="dxa"/>
            <w:shd w:val="clear" w:color="auto" w:fill="F8B47C"/>
            <w:noWrap/>
            <w:tcMar>
              <w:top w:w="0" w:type="dxa"/>
              <w:bottom w:w="0" w:type="dxa"/>
            </w:tcMar>
            <w:vAlign w:val="center"/>
          </w:tcPr>
          <w:p w:rsidR="007C1F9F" w:rsidRPr="00C90A5E" w:rsidRDefault="007C1F9F" w:rsidP="00186172">
            <w:pPr>
              <w:pStyle w:val="AERtabletext-numbers"/>
            </w:pPr>
            <w:r>
              <w:t>54.2</w:t>
            </w:r>
          </w:p>
        </w:tc>
        <w:tc>
          <w:tcPr>
            <w:tcW w:w="1701" w:type="dxa"/>
            <w:shd w:val="clear" w:color="auto" w:fill="F8B47C"/>
            <w:noWrap/>
            <w:tcMar>
              <w:top w:w="0" w:type="dxa"/>
              <w:bottom w:w="0" w:type="dxa"/>
            </w:tcMar>
            <w:vAlign w:val="center"/>
          </w:tcPr>
          <w:p w:rsidR="007C1F9F" w:rsidRPr="00C90A5E" w:rsidRDefault="007C1F9F" w:rsidP="00186172">
            <w:pPr>
              <w:pStyle w:val="AERtabletext-numbers"/>
            </w:pPr>
            <w:r>
              <w:t>54.2</w:t>
            </w:r>
          </w:p>
        </w:tc>
        <w:tc>
          <w:tcPr>
            <w:tcW w:w="1701" w:type="dxa"/>
            <w:shd w:val="clear" w:color="auto" w:fill="F8B47C"/>
            <w:noWrap/>
            <w:tcMar>
              <w:top w:w="0" w:type="dxa"/>
              <w:bottom w:w="0" w:type="dxa"/>
            </w:tcMar>
            <w:vAlign w:val="center"/>
          </w:tcPr>
          <w:p w:rsidR="007C1F9F" w:rsidRPr="00DF5521" w:rsidRDefault="007C1F9F" w:rsidP="00186172">
            <w:pPr>
              <w:pStyle w:val="AERtabletext-numbers"/>
            </w:pPr>
            <w:r>
              <w:t>53.2</w:t>
            </w:r>
          </w:p>
        </w:tc>
        <w:tc>
          <w:tcPr>
            <w:tcW w:w="1985" w:type="dxa"/>
            <w:shd w:val="clear" w:color="auto" w:fill="F8B47C"/>
            <w:noWrap/>
            <w:tcMar>
              <w:top w:w="0" w:type="dxa"/>
              <w:bottom w:w="0" w:type="dxa"/>
            </w:tcMar>
            <w:vAlign w:val="center"/>
          </w:tcPr>
          <w:p w:rsidR="007C1F9F" w:rsidRPr="00DF5521" w:rsidRDefault="007C1F9F" w:rsidP="00186172">
            <w:pPr>
              <w:pStyle w:val="AERtabletext-numbers"/>
            </w:pPr>
            <w:r>
              <w:t>1.8%</w:t>
            </w:r>
          </w:p>
        </w:tc>
      </w:tr>
      <w:tr w:rsidR="007C1F9F" w:rsidTr="00186172">
        <w:tc>
          <w:tcPr>
            <w:tcW w:w="1694" w:type="dxa"/>
            <w:shd w:val="clear" w:color="auto" w:fill="auto"/>
            <w:noWrap/>
            <w:tcMar>
              <w:top w:w="0" w:type="dxa"/>
              <w:bottom w:w="0" w:type="dxa"/>
            </w:tcMar>
            <w:vAlign w:val="center"/>
          </w:tcPr>
          <w:p w:rsidR="007C1F9F" w:rsidRPr="00BA5D5B" w:rsidRDefault="007C1F9F" w:rsidP="00186172">
            <w:pPr>
              <w:pStyle w:val="AERtabletextheading"/>
            </w:pPr>
            <w:r>
              <w:t>Non-system</w:t>
            </w:r>
          </w:p>
        </w:tc>
        <w:tc>
          <w:tcPr>
            <w:tcW w:w="1391" w:type="dxa"/>
            <w:shd w:val="clear" w:color="auto" w:fill="auto"/>
            <w:noWrap/>
            <w:tcMar>
              <w:top w:w="0" w:type="dxa"/>
              <w:bottom w:w="0" w:type="dxa"/>
            </w:tcMar>
            <w:vAlign w:val="center"/>
          </w:tcPr>
          <w:p w:rsidR="007C1F9F" w:rsidRPr="00C90A5E" w:rsidRDefault="007C1F9F" w:rsidP="00186172">
            <w:pPr>
              <w:pStyle w:val="AERtabletext-numbers"/>
            </w:pPr>
            <w:r>
              <w:t>16.4</w:t>
            </w:r>
          </w:p>
        </w:tc>
        <w:tc>
          <w:tcPr>
            <w:tcW w:w="1701" w:type="dxa"/>
            <w:shd w:val="clear" w:color="auto" w:fill="auto"/>
            <w:noWrap/>
            <w:tcMar>
              <w:top w:w="0" w:type="dxa"/>
              <w:bottom w:w="0" w:type="dxa"/>
            </w:tcMar>
            <w:vAlign w:val="center"/>
          </w:tcPr>
          <w:p w:rsidR="007C1F9F" w:rsidRPr="00C90A5E" w:rsidRDefault="007C1F9F" w:rsidP="00186172">
            <w:pPr>
              <w:pStyle w:val="AERtabletext-numbers"/>
            </w:pPr>
            <w:r>
              <w:t>16.4</w:t>
            </w:r>
          </w:p>
        </w:tc>
        <w:tc>
          <w:tcPr>
            <w:tcW w:w="1701" w:type="dxa"/>
            <w:shd w:val="clear" w:color="auto" w:fill="auto"/>
            <w:noWrap/>
            <w:tcMar>
              <w:top w:w="0" w:type="dxa"/>
              <w:bottom w:w="0" w:type="dxa"/>
            </w:tcMar>
            <w:vAlign w:val="center"/>
          </w:tcPr>
          <w:p w:rsidR="007C1F9F" w:rsidRPr="00DF5521" w:rsidRDefault="007C1F9F" w:rsidP="00186172">
            <w:pPr>
              <w:pStyle w:val="AERtabletext-numbers"/>
            </w:pPr>
            <w:r>
              <w:t>16.2</w:t>
            </w:r>
          </w:p>
        </w:tc>
        <w:tc>
          <w:tcPr>
            <w:tcW w:w="1985" w:type="dxa"/>
            <w:shd w:val="clear" w:color="auto" w:fill="auto"/>
            <w:noWrap/>
            <w:tcMar>
              <w:top w:w="0" w:type="dxa"/>
              <w:bottom w:w="0" w:type="dxa"/>
            </w:tcMar>
            <w:vAlign w:val="center"/>
          </w:tcPr>
          <w:p w:rsidR="007C1F9F" w:rsidRPr="00DF5521" w:rsidRDefault="007C1F9F" w:rsidP="00186172">
            <w:pPr>
              <w:pStyle w:val="AERtabletext-numbers"/>
            </w:pPr>
            <w:r>
              <w:t>1.2%</w:t>
            </w:r>
          </w:p>
        </w:tc>
      </w:tr>
      <w:tr w:rsidR="007C1F9F" w:rsidTr="00186172">
        <w:tc>
          <w:tcPr>
            <w:tcW w:w="1694" w:type="dxa"/>
            <w:shd w:val="clear" w:color="auto" w:fill="F8B47C"/>
            <w:noWrap/>
            <w:tcMar>
              <w:top w:w="0" w:type="dxa"/>
              <w:bottom w:w="0" w:type="dxa"/>
            </w:tcMar>
            <w:vAlign w:val="center"/>
          </w:tcPr>
          <w:p w:rsidR="007C1F9F" w:rsidRPr="00BA5D5B" w:rsidRDefault="007C1F9F" w:rsidP="00186172">
            <w:pPr>
              <w:pStyle w:val="AERtabletextheading"/>
            </w:pPr>
            <w:r>
              <w:t>Total capital expenditure</w:t>
            </w:r>
          </w:p>
        </w:tc>
        <w:tc>
          <w:tcPr>
            <w:tcW w:w="1391" w:type="dxa"/>
            <w:shd w:val="clear" w:color="auto" w:fill="F8B47C"/>
            <w:noWrap/>
            <w:tcMar>
              <w:top w:w="0" w:type="dxa"/>
              <w:bottom w:w="0" w:type="dxa"/>
            </w:tcMar>
            <w:vAlign w:val="center"/>
          </w:tcPr>
          <w:p w:rsidR="007C1F9F" w:rsidRPr="00122600" w:rsidRDefault="007C1F9F" w:rsidP="00186172">
            <w:pPr>
              <w:pStyle w:val="AERtabletext-numbers"/>
            </w:pPr>
            <w:r w:rsidRPr="00122600">
              <w:t>340.</w:t>
            </w:r>
            <w:r>
              <w:t>8</w:t>
            </w:r>
          </w:p>
        </w:tc>
        <w:tc>
          <w:tcPr>
            <w:tcW w:w="1701" w:type="dxa"/>
            <w:shd w:val="clear" w:color="auto" w:fill="F8B47C"/>
            <w:noWrap/>
            <w:tcMar>
              <w:top w:w="0" w:type="dxa"/>
              <w:bottom w:w="0" w:type="dxa"/>
            </w:tcMar>
            <w:vAlign w:val="center"/>
          </w:tcPr>
          <w:p w:rsidR="007C1F9F" w:rsidRPr="00122600" w:rsidRDefault="007C1F9F" w:rsidP="00186172">
            <w:pPr>
              <w:pStyle w:val="AERtabletext-numbers"/>
            </w:pPr>
            <w:r w:rsidRPr="00122600">
              <w:t>155.</w:t>
            </w:r>
            <w:r>
              <w:t>7</w:t>
            </w:r>
          </w:p>
        </w:tc>
        <w:tc>
          <w:tcPr>
            <w:tcW w:w="1701" w:type="dxa"/>
            <w:shd w:val="clear" w:color="auto" w:fill="F8B47C"/>
            <w:noWrap/>
            <w:tcMar>
              <w:top w:w="0" w:type="dxa"/>
              <w:bottom w:w="0" w:type="dxa"/>
            </w:tcMar>
            <w:vAlign w:val="center"/>
          </w:tcPr>
          <w:p w:rsidR="007C1F9F" w:rsidRPr="00122600" w:rsidRDefault="007C1F9F" w:rsidP="00186172">
            <w:pPr>
              <w:pStyle w:val="AERtabletext-numbers"/>
            </w:pPr>
            <w:r>
              <w:t>153.8</w:t>
            </w:r>
          </w:p>
        </w:tc>
        <w:tc>
          <w:tcPr>
            <w:tcW w:w="1985" w:type="dxa"/>
            <w:shd w:val="clear" w:color="auto" w:fill="F8B47C"/>
            <w:noWrap/>
            <w:tcMar>
              <w:top w:w="0" w:type="dxa"/>
              <w:bottom w:w="0" w:type="dxa"/>
            </w:tcMar>
            <w:vAlign w:val="center"/>
          </w:tcPr>
          <w:p w:rsidR="007C1F9F" w:rsidRPr="00122600" w:rsidRDefault="007C1F9F" w:rsidP="00186172">
            <w:pPr>
              <w:pStyle w:val="AERtabletext-numbers"/>
            </w:pPr>
            <w:r w:rsidRPr="00122600">
              <w:t>5</w:t>
            </w:r>
            <w:r>
              <w:t>4</w:t>
            </w:r>
            <w:r w:rsidRPr="00122600">
              <w:t>.9%</w:t>
            </w:r>
          </w:p>
        </w:tc>
      </w:tr>
    </w:tbl>
    <w:p w:rsidR="007C1F9F" w:rsidRPr="007E3923" w:rsidRDefault="007C1F9F" w:rsidP="007C1F9F">
      <w:pPr>
        <w:pStyle w:val="AERtablesource"/>
        <w:rPr>
          <w:rFonts w:eastAsia="Calibri"/>
        </w:rPr>
      </w:pPr>
      <w:r w:rsidRPr="007E3923">
        <w:rPr>
          <w:rFonts w:eastAsia="Calibri"/>
        </w:rPr>
        <w:t>Source: AER analysis</w:t>
      </w:r>
      <w:r w:rsidR="00186172">
        <w:rPr>
          <w:rFonts w:eastAsia="Calibri"/>
        </w:rPr>
        <w:t>.</w:t>
      </w:r>
    </w:p>
    <w:p w:rsidR="007C1F9F" w:rsidRDefault="007C1F9F" w:rsidP="007C1F9F">
      <w:pPr>
        <w:pStyle w:val="AERheading3"/>
        <w:numPr>
          <w:ilvl w:val="2"/>
          <w:numId w:val="7"/>
        </w:numPr>
        <w:tabs>
          <w:tab w:val="clear" w:pos="-357"/>
          <w:tab w:val="num" w:pos="0"/>
        </w:tabs>
        <w:ind w:left="0" w:hanging="714"/>
      </w:pPr>
      <w:r>
        <w:t>Equity raising costs</w:t>
      </w:r>
    </w:p>
    <w:p w:rsidR="007C1F9F" w:rsidRDefault="007C1F9F" w:rsidP="007C1F9F">
      <w:pPr>
        <w:pStyle w:val="AERbodytext"/>
      </w:pPr>
      <w:r>
        <w:t>Equity raising costs are incurred when network service providers are required to raise equity. The AER's equity raising cost benchmark allowance allows for costs in the form of dividend reinvestment plan costs and seasoned equity offerings. Equity raising costs</w:t>
      </w:r>
      <w:r w:rsidRPr="0034216F">
        <w:t xml:space="preserve"> would be incurred by a prudent service provider acting efficiently. Accordingly, the AER provides an allowance to recover an efficient amount of </w:t>
      </w:r>
      <w:r>
        <w:t>equity</w:t>
      </w:r>
      <w:r w:rsidRPr="0034216F">
        <w:t xml:space="preserve"> raising costs</w:t>
      </w:r>
      <w:r>
        <w:t xml:space="preserve"> where a service provider's capex forecast is large enough to require an external equity injection (to maintain the benchmark 60 per cent gearing level).</w:t>
      </w:r>
    </w:p>
    <w:p w:rsidR="007C1F9F" w:rsidRPr="008D210C" w:rsidRDefault="007C1F9F" w:rsidP="007C1F9F">
      <w:pPr>
        <w:pStyle w:val="AERbodytext"/>
      </w:pPr>
      <w:r w:rsidRPr="008D210C">
        <w:t xml:space="preserve">To determine benchmark equity raising costs the AER relies on a method that was initially discussed in </w:t>
      </w:r>
      <w:r>
        <w:t>a</w:t>
      </w:r>
      <w:r w:rsidRPr="008D210C">
        <w:t xml:space="preserve"> 200</w:t>
      </w:r>
      <w:r>
        <w:t>7</w:t>
      </w:r>
      <w:r w:rsidRPr="008D210C">
        <w:t xml:space="preserve"> Allen Consulting Group (ACG) report.</w:t>
      </w:r>
      <w:r>
        <w:rPr>
          <w:rStyle w:val="FootnoteReference"/>
        </w:rPr>
        <w:footnoteReference w:id="190"/>
      </w:r>
      <w:r w:rsidRPr="008D210C">
        <w:t xml:space="preserve"> This method was amended in the AER's decisions for the ACT, NSW and Tasmanian electricity service providers.</w:t>
      </w:r>
      <w:r>
        <w:rPr>
          <w:rStyle w:val="FootnoteReference"/>
        </w:rPr>
        <w:footnoteReference w:id="191"/>
      </w:r>
      <w:r w:rsidRPr="008D210C">
        <w:t xml:space="preserve"> The AER has applied this method in subsequent decisions for other electri</w:t>
      </w:r>
      <w:r>
        <w:t>city and gas service providers.</w:t>
      </w:r>
      <w:r>
        <w:rPr>
          <w:rStyle w:val="FootnoteReference"/>
        </w:rPr>
        <w:footnoteReference w:id="192"/>
      </w:r>
      <w:r>
        <w:t xml:space="preserve"> This approach has recently been further refined, a</w:t>
      </w:r>
      <w:r w:rsidRPr="008D210C">
        <w:t>s discussed</w:t>
      </w:r>
      <w:r>
        <w:t xml:space="preserve"> and applied in the Powerlink final decision and in this draft decision</w:t>
      </w:r>
      <w:r w:rsidRPr="008D210C">
        <w:t>.</w:t>
      </w:r>
      <w:r w:rsidRPr="00952201">
        <w:rPr>
          <w:rStyle w:val="FootnoteReference"/>
        </w:rPr>
        <w:footnoteReference w:id="193"/>
      </w:r>
      <w:r w:rsidRPr="00952201">
        <w:t xml:space="preserve"> </w:t>
      </w:r>
      <w:r w:rsidRPr="008D210C">
        <w:t xml:space="preserve"> </w:t>
      </w:r>
    </w:p>
    <w:p w:rsidR="007C1F9F" w:rsidRPr="008D210C" w:rsidRDefault="007C1F9F" w:rsidP="007C1F9F">
      <w:pPr>
        <w:pStyle w:val="AERbodytext"/>
      </w:pPr>
      <w:r w:rsidRPr="008D210C">
        <w:t>Broadly, the AER's method applies the cash flow analysis in the post–tax revenue model (PTRM) to determine the required benchmark equity raising cost associated with forecast capex. This involves identifying a hierarchy of three methods for equity raising, with differing equity raising costs and availability for each method</w:t>
      </w:r>
      <w:r>
        <w:t>. This approach adopts the "pecking order" theory of capital structure. This theory predicts that an efficient service provider will seek to raise capital starting from the lowest cost forms and moving to higher cost forms as the lower cost forms are exhausted.</w:t>
      </w:r>
      <w:r>
        <w:rPr>
          <w:rStyle w:val="FootnoteReference"/>
        </w:rPr>
        <w:footnoteReference w:id="194"/>
      </w:r>
      <w:r w:rsidRPr="008D210C">
        <w:t xml:space="preserve"> </w:t>
      </w:r>
      <w:r>
        <w:t xml:space="preserve">Specifically, the AER's application of this approach involves </w:t>
      </w:r>
    </w:p>
    <w:p w:rsidR="007C1F9F" w:rsidRPr="008D210C" w:rsidRDefault="007C1F9F" w:rsidP="007C1F9F">
      <w:pPr>
        <w:pStyle w:val="AERbulletlistfirststyle"/>
      </w:pPr>
      <w:r w:rsidRPr="008D210C">
        <w:t xml:space="preserve">First, </w:t>
      </w:r>
      <w:r>
        <w:t>service providers</w:t>
      </w:r>
      <w:r w:rsidRPr="008D210C">
        <w:t xml:space="preserve"> use retained earnings as a source of equity: </w:t>
      </w:r>
    </w:p>
    <w:p w:rsidR="007C1F9F" w:rsidRPr="008D210C" w:rsidRDefault="007C1F9F" w:rsidP="007C1F9F">
      <w:pPr>
        <w:pStyle w:val="AERbulletlistsecondstyle"/>
      </w:pPr>
      <w:r w:rsidRPr="008D210C">
        <w:t xml:space="preserve">Annual retained earnings are calculated as the residual of internal cash flows less dividends to shareholders. Retained earnings for each year are converted to real dollar terms and totalled to determine retained earnings for the entire </w:t>
      </w:r>
      <w:r>
        <w:t>access arrangement period</w:t>
      </w:r>
      <w:r w:rsidRPr="008D210C">
        <w:t xml:space="preserve"> </w:t>
      </w:r>
    </w:p>
    <w:p w:rsidR="007C1F9F" w:rsidRPr="00115A3E" w:rsidRDefault="007C1F9F" w:rsidP="007C1F9F">
      <w:pPr>
        <w:pStyle w:val="AERbulletlistsecondstyle"/>
      </w:pPr>
      <w:r w:rsidRPr="008D210C">
        <w:t>Dividends are set to be just sufficient to match the distribution of imputation credits consistent w</w:t>
      </w:r>
      <w:r w:rsidRPr="00115A3E">
        <w:t xml:space="preserve">ith the AER's gamma assumptions. For gas </w:t>
      </w:r>
      <w:r>
        <w:t>service providers</w:t>
      </w:r>
      <w:r w:rsidRPr="00115A3E">
        <w:t xml:space="preserve">, </w:t>
      </w:r>
      <w:r>
        <w:t xml:space="preserve">the AER adopts </w:t>
      </w:r>
      <w:r w:rsidRPr="00115A3E">
        <w:t xml:space="preserve">a payout ratio of 70 per </w:t>
      </w:r>
      <w:r w:rsidR="00D257E7">
        <w:t>cent</w:t>
      </w:r>
      <w:r w:rsidRPr="00115A3E">
        <w:t xml:space="preserve"> </w:t>
      </w:r>
    </w:p>
    <w:p w:rsidR="007C1F9F" w:rsidRPr="008D210C" w:rsidRDefault="007C1F9F" w:rsidP="007C1F9F">
      <w:pPr>
        <w:pStyle w:val="AERbulletlistsecondstyle"/>
      </w:pPr>
      <w:r w:rsidRPr="008D210C">
        <w:t xml:space="preserve">The assumed debt component of forecast capex is equal to 60 per cent </w:t>
      </w:r>
      <w:r w:rsidR="00D257E7">
        <w:t>of the annual change in the RAB</w:t>
      </w:r>
      <w:r w:rsidRPr="008D210C">
        <w:t xml:space="preserve"> </w:t>
      </w:r>
    </w:p>
    <w:p w:rsidR="007C1F9F" w:rsidRPr="00115A3E" w:rsidRDefault="007C1F9F" w:rsidP="007C1F9F">
      <w:pPr>
        <w:pStyle w:val="AERbulletlistsecondstyle"/>
      </w:pPr>
      <w:r w:rsidRPr="008D210C">
        <w:t>The equity component of forecast capex for each year is calculated as the residual of the total forecast capex and the assumed debt component. Similar to retained earnings, the equity component of forecast capex for each year is converted to real</w:t>
      </w:r>
      <w:r w:rsidRPr="00115A3E">
        <w:t xml:space="preserve"> dollar terms and totalled to determine the equity component for the entire </w:t>
      </w:r>
      <w:r>
        <w:t>access arrangement period</w:t>
      </w:r>
      <w:r w:rsidRPr="00115A3E">
        <w:t xml:space="preserve">. </w:t>
      </w:r>
    </w:p>
    <w:p w:rsidR="007C1F9F" w:rsidRPr="00115A3E" w:rsidRDefault="007C1F9F" w:rsidP="007C1F9F">
      <w:pPr>
        <w:pStyle w:val="AERbulletlistfirststyle"/>
      </w:pPr>
      <w:r w:rsidRPr="00115A3E">
        <w:t xml:space="preserve">Second, </w:t>
      </w:r>
      <w:r>
        <w:t>service providers</w:t>
      </w:r>
      <w:r w:rsidRPr="00115A3E">
        <w:t xml:space="preserve"> use dividends reinvestment plans: </w:t>
      </w:r>
    </w:p>
    <w:p w:rsidR="007C1F9F" w:rsidRPr="008D210C" w:rsidRDefault="007C1F9F" w:rsidP="007C1F9F">
      <w:pPr>
        <w:pStyle w:val="AERbulletlistsecondstyle"/>
      </w:pPr>
      <w:r w:rsidRPr="008D210C">
        <w:t xml:space="preserve">The amount of equity raised in this manner is capped. It is assumed that a maximum of 30 per cent of dividends paid are returned to the </w:t>
      </w:r>
      <w:r>
        <w:t>service provider</w:t>
      </w:r>
      <w:r w:rsidRPr="008D210C">
        <w:t xml:space="preserve"> via a dividend reinvestment plan. The total of reinvested dividends required for the </w:t>
      </w:r>
      <w:r>
        <w:t>access arrangement period</w:t>
      </w:r>
      <w:r w:rsidRPr="008D210C">
        <w:t>, therefore, is determined as the minimum of the sum of the real reinvested dividends for each year and the shortfall in retained earnings required to</w:t>
      </w:r>
      <w:r>
        <w:t xml:space="preserve"> </w:t>
      </w:r>
      <w:r w:rsidRPr="00115A3E">
        <w:t xml:space="preserve">fund the equity component of forecast capex. </w:t>
      </w:r>
    </w:p>
    <w:p w:rsidR="007C1F9F" w:rsidRPr="008D210C" w:rsidRDefault="007C1F9F" w:rsidP="007C1F9F">
      <w:pPr>
        <w:pStyle w:val="AERbulletlistfirststyle"/>
      </w:pPr>
      <w:r w:rsidRPr="008D210C">
        <w:t xml:space="preserve">Third, </w:t>
      </w:r>
      <w:r>
        <w:t>service providers</w:t>
      </w:r>
      <w:r w:rsidRPr="008D210C">
        <w:t xml:space="preserve"> use seasoned equity offerings encompassing both rights issues and placements</w:t>
      </w:r>
      <w:r w:rsidR="00D257E7">
        <w:t>.</w:t>
      </w:r>
      <w:r w:rsidRPr="008D210C">
        <w:t xml:space="preserve"> </w:t>
      </w:r>
    </w:p>
    <w:p w:rsidR="007C1F9F" w:rsidRPr="008D210C" w:rsidRDefault="007C1F9F" w:rsidP="007C1F9F">
      <w:pPr>
        <w:pStyle w:val="AERbodytext"/>
      </w:pPr>
      <w:r w:rsidRPr="008D210C">
        <w:t>The requirement for external equity funding via seasoned equity offerings is the shortfall, if any, in retained earnings required to</w:t>
      </w:r>
      <w:r>
        <w:t xml:space="preserve"> </w:t>
      </w:r>
      <w:r w:rsidRPr="008D210C">
        <w:t xml:space="preserve">fund the equity component of forecast capex and the total of reinvested dividends. </w:t>
      </w:r>
    </w:p>
    <w:p w:rsidR="007C1F9F" w:rsidRPr="008D210C" w:rsidRDefault="007C1F9F" w:rsidP="007C1F9F">
      <w:pPr>
        <w:pStyle w:val="AERbodytext"/>
      </w:pPr>
      <w:r w:rsidRPr="008D210C">
        <w:t xml:space="preserve">Based on the need for any dividend reinvestment plans and seasoned equity offerings, the AER assigns transaction unit costs for each form of equity funding. These figures are based on the AER's empirical review in assessing the benchmark costs for raising equity finance: </w:t>
      </w:r>
    </w:p>
    <w:p w:rsidR="007C1F9F" w:rsidRPr="008D210C" w:rsidRDefault="007C1F9F" w:rsidP="007C1F9F">
      <w:pPr>
        <w:pStyle w:val="AERbulletlistfirststyle"/>
      </w:pPr>
      <w:r w:rsidRPr="008D210C">
        <w:t xml:space="preserve">Retained earnings – 0 per cent </w:t>
      </w:r>
    </w:p>
    <w:p w:rsidR="007C1F9F" w:rsidRPr="008D210C" w:rsidRDefault="007C1F9F" w:rsidP="007C1F9F">
      <w:pPr>
        <w:pStyle w:val="AERbulletlistfirststyle"/>
      </w:pPr>
      <w:r w:rsidRPr="008D210C">
        <w:t xml:space="preserve">Dividend reinvestment plans – 1 per cent of total dividends reinvested </w:t>
      </w:r>
    </w:p>
    <w:p w:rsidR="007C1F9F" w:rsidRPr="008D210C" w:rsidRDefault="007C1F9F" w:rsidP="007C1F9F">
      <w:pPr>
        <w:pStyle w:val="AERbulletlistfirststyle"/>
      </w:pPr>
      <w:r w:rsidRPr="008D210C">
        <w:t xml:space="preserve">Seasoned equity offerings – 3 per cent of total external equity required. </w:t>
      </w:r>
    </w:p>
    <w:p w:rsidR="007C1F9F" w:rsidRPr="008D210C" w:rsidRDefault="007C1F9F" w:rsidP="007C1F9F">
      <w:pPr>
        <w:pStyle w:val="AERbodytext"/>
      </w:pPr>
      <w:r w:rsidRPr="00AC6E5A">
        <w:t>The AER considers that these unit costs represent the efficient costs required to raise equity in current market conditions. This is because they have been suitably estimated by the AER</w:t>
      </w:r>
      <w:r w:rsidRPr="00AC6E5A">
        <w:rPr>
          <w:rStyle w:val="FootnoteReference"/>
        </w:rPr>
        <w:footnoteReference w:id="195"/>
      </w:r>
      <w:r w:rsidRPr="00AC6E5A">
        <w:t xml:space="preserve"> and ACG</w:t>
      </w:r>
      <w:r>
        <w:t>,</w:t>
      </w:r>
      <w:r w:rsidRPr="00AC6E5A">
        <w:rPr>
          <w:rStyle w:val="FootnoteReference"/>
        </w:rPr>
        <w:footnoteReference w:id="196"/>
      </w:r>
      <w:r w:rsidRPr="00AC6E5A">
        <w:t xml:space="preserve"> and </w:t>
      </w:r>
      <w:r>
        <w:t>subsequently reviewed.</w:t>
      </w:r>
      <w:r>
        <w:rPr>
          <w:rStyle w:val="FootnoteReference"/>
        </w:rPr>
        <w:footnoteReference w:id="197"/>
      </w:r>
      <w:r>
        <w:t xml:space="preserve">  </w:t>
      </w:r>
    </w:p>
    <w:p w:rsidR="007C1F9F" w:rsidRDefault="007C1F9F" w:rsidP="007C1F9F">
      <w:pPr>
        <w:pStyle w:val="AERbodytext"/>
      </w:pPr>
      <w:r w:rsidRPr="008D210C">
        <w:t xml:space="preserve">The total benchmark equity raising cost is then amortised over the weighted average standard asset life of </w:t>
      </w:r>
      <w:r>
        <w:t>APA GasNet's</w:t>
      </w:r>
      <w:r w:rsidRPr="008D210C">
        <w:t xml:space="preserve"> RAB to provide the equity raising cost allowance associated with forecast capex in the </w:t>
      </w:r>
      <w:r>
        <w:t>2013–</w:t>
      </w:r>
      <w:r w:rsidRPr="0023112C">
        <w:t xml:space="preserve">17 </w:t>
      </w:r>
      <w:r>
        <w:t>access arrangement</w:t>
      </w:r>
      <w:r w:rsidRPr="0023112C">
        <w:t xml:space="preserve">.  </w:t>
      </w:r>
    </w:p>
    <w:p w:rsidR="007C1F9F" w:rsidRDefault="007C1F9F" w:rsidP="007C1F9F">
      <w:pPr>
        <w:pStyle w:val="AERbodytext"/>
      </w:pPr>
      <w:r w:rsidRPr="0023112C">
        <w:t>The AER</w:t>
      </w:r>
      <w:r>
        <w:t xml:space="preserve"> </w:t>
      </w:r>
      <w:r w:rsidRPr="0023112C">
        <w:t>considers that this method represents the approach that a</w:t>
      </w:r>
      <w:r w:rsidRPr="0058389D">
        <w:t xml:space="preserve"> </w:t>
      </w:r>
      <w:r>
        <w:t>prudent service provider acting efficiently</w:t>
      </w:r>
      <w:r w:rsidRPr="0023112C">
        <w:t xml:space="preserve"> would apply in raising equity, given its particular capital raising requirements. </w:t>
      </w:r>
      <w:r>
        <w:t>This is because the</w:t>
      </w:r>
      <w:r w:rsidRPr="0023112C">
        <w:t xml:space="preserve"> method</w:t>
      </w:r>
      <w:r>
        <w:t>:</w:t>
      </w:r>
    </w:p>
    <w:p w:rsidR="007C1F9F" w:rsidRDefault="007C1F9F" w:rsidP="007C1F9F">
      <w:pPr>
        <w:pStyle w:val="AERbulletlistfirststyle"/>
      </w:pPr>
      <w:r>
        <w:t>assumes that service providers first use the cheapest sources of equity</w:t>
      </w:r>
    </w:p>
    <w:p w:rsidR="007C1F9F" w:rsidRDefault="007C1F9F" w:rsidP="007C1F9F">
      <w:pPr>
        <w:pStyle w:val="AERbulletlistfirststyle"/>
      </w:pPr>
      <w:r>
        <w:t xml:space="preserve">takes account of all the likely sources of equity </w:t>
      </w:r>
    </w:p>
    <w:p w:rsidR="007C1F9F" w:rsidRPr="00115A3E" w:rsidRDefault="007C1F9F" w:rsidP="007C1F9F">
      <w:pPr>
        <w:pStyle w:val="AERbulletlistfirststyle"/>
      </w:pPr>
      <w:r>
        <w:t xml:space="preserve">takes account of the requirements of a </w:t>
      </w:r>
      <w:r w:rsidRPr="00CF7E57">
        <w:t>prudent service provider acting efficiently</w:t>
      </w:r>
      <w:r>
        <w:t>,</w:t>
      </w:r>
      <w:r w:rsidRPr="00C30DDF">
        <w:t xml:space="preserve"> </w:t>
      </w:r>
      <w:r w:rsidRPr="00115A3E">
        <w:t>by using the inputs and outputs of the PTRM as found by the AER to be efficient</w:t>
      </w:r>
      <w:r>
        <w:t>.</w:t>
      </w:r>
    </w:p>
    <w:p w:rsidR="007C1F9F" w:rsidRDefault="007C1F9F" w:rsidP="007C1F9F">
      <w:pPr>
        <w:pStyle w:val="AERbodytext"/>
      </w:pPr>
      <w:r w:rsidRPr="006C7533">
        <w:t xml:space="preserve">The AER has applied the </w:t>
      </w:r>
      <w:r>
        <w:t xml:space="preserve">updated </w:t>
      </w:r>
      <w:r w:rsidRPr="006C7533">
        <w:t>ACG equity raising method to estimate the indicative costs and total</w:t>
      </w:r>
      <w:r>
        <w:t xml:space="preserve"> </w:t>
      </w:r>
      <w:r w:rsidRPr="006C7533">
        <w:t xml:space="preserve">allowance for </w:t>
      </w:r>
      <w:r>
        <w:t xml:space="preserve">APA GasNet, shown in </w:t>
      </w:r>
      <w:r w:rsidR="00DE0D6A">
        <w:fldChar w:fldCharType="begin"/>
      </w:r>
      <w:r>
        <w:instrText xml:space="preserve"> REF  _Ref333997597 \* Lower \h \r </w:instrText>
      </w:r>
      <w:r w:rsidR="00DE0D6A">
        <w:fldChar w:fldCharType="separate"/>
      </w:r>
      <w:r>
        <w:t>table 3.11</w:t>
      </w:r>
      <w:r w:rsidR="00DE0D6A">
        <w:fldChar w:fldCharType="end"/>
      </w:r>
      <w:r w:rsidRPr="009E0ED7">
        <w:t>.</w:t>
      </w:r>
      <w:r w:rsidRPr="006C7533">
        <w:t xml:space="preserve"> The AER will update this analysis again for the</w:t>
      </w:r>
      <w:r>
        <w:t xml:space="preserve"> final decision </w:t>
      </w:r>
      <w:r w:rsidRPr="006C7533">
        <w:t>based on the final capex allowance to be determined at that time.</w:t>
      </w:r>
    </w:p>
    <w:p w:rsidR="007C1F9F" w:rsidRDefault="007C1F9F" w:rsidP="007C1F9F">
      <w:pPr>
        <w:pStyle w:val="AERbodytext"/>
      </w:pPr>
      <w:r>
        <w:t>APA GasNet</w:t>
      </w:r>
      <w:r w:rsidRPr="00861920">
        <w:t xml:space="preserve"> did not propose equity raising costs in its initial proposal.</w:t>
      </w:r>
      <w:r>
        <w:rPr>
          <w:rStyle w:val="FootnoteReference"/>
        </w:rPr>
        <w:footnoteReference w:id="198"/>
      </w:r>
      <w:r w:rsidRPr="00861920">
        <w:t xml:space="preserve"> </w:t>
      </w:r>
      <w:r>
        <w:t>However, in response to an AER information request, APA GasNet stated that this was an oversight.</w:t>
      </w:r>
      <w:r>
        <w:rPr>
          <w:rStyle w:val="FootnoteReference"/>
        </w:rPr>
        <w:footnoteReference w:id="199"/>
      </w:r>
      <w:r>
        <w:t xml:space="preserve"> Subsequently, in a late submission to the AER, APA GasNet proposed equity raising costs of $2.71m (real, 2012) over the access arrangement period.</w:t>
      </w:r>
      <w:r>
        <w:rPr>
          <w:rStyle w:val="FootnoteReference"/>
        </w:rPr>
        <w:footnoteReference w:id="200"/>
      </w:r>
      <w:r>
        <w:t xml:space="preserve"> </w:t>
      </w:r>
      <w:r w:rsidRPr="00861920">
        <w:t>The method us</w:t>
      </w:r>
      <w:r>
        <w:t>ed by APA GasNet</w:t>
      </w:r>
      <w:r w:rsidRPr="00861920">
        <w:t xml:space="preserve"> did not incorporate the adjustments that the AER made to the equity raising cost method in the April 2012 Powerlink final decision (the final decision was not available at the time of APA </w:t>
      </w:r>
      <w:r>
        <w:t>GasNet</w:t>
      </w:r>
      <w:r w:rsidRPr="00861920">
        <w:t>'s initial proposal).</w:t>
      </w:r>
    </w:p>
    <w:p w:rsidR="007C1F9F" w:rsidRDefault="007C1F9F" w:rsidP="007C1F9F">
      <w:pPr>
        <w:pStyle w:val="AERbodytext"/>
      </w:pPr>
      <w:r>
        <w:t xml:space="preserve">The AER has determined APA GasNet's efficient benchmark equity raising costs and in so doing has taken account of APA GasNet's late submission. The submission calculated equity raising costs broadly in accordance with </w:t>
      </w:r>
      <w:r w:rsidRPr="00971A57">
        <w:t xml:space="preserve">the AER’s </w:t>
      </w:r>
      <w:r>
        <w:t>preferred method, however;</w:t>
      </w:r>
    </w:p>
    <w:p w:rsidR="007C1F9F" w:rsidRPr="00FC1792" w:rsidRDefault="007C1F9F" w:rsidP="00FC1792">
      <w:pPr>
        <w:pStyle w:val="AERnumberedlistfirststyle"/>
      </w:pPr>
      <w:r w:rsidRPr="00FC1792">
        <w:t>APA GasNet modified the calculation of dividends by excluding tax depreciation from the calculation</w:t>
      </w:r>
      <w:r w:rsidRPr="00FC1792">
        <w:rPr>
          <w:rStyle w:val="FootnoteReference"/>
          <w:vertAlign w:val="baseline"/>
        </w:rPr>
        <w:footnoteReference w:id="201"/>
      </w:r>
      <w:r w:rsidRPr="00FC1792">
        <w:t xml:space="preserve"> </w:t>
      </w:r>
    </w:p>
    <w:p w:rsidR="007C1F9F" w:rsidRPr="00FC1792" w:rsidRDefault="007C1F9F" w:rsidP="00FC1792">
      <w:pPr>
        <w:pStyle w:val="AERnumberedlistfirststyle"/>
      </w:pPr>
      <w:r w:rsidRPr="00FC1792">
        <w:t xml:space="preserve">The proposal did not use the AER's updated calculation method, which was made in the AER's April 2012 Powerlink decision. </w:t>
      </w:r>
    </w:p>
    <w:p w:rsidR="007C1F9F" w:rsidRDefault="007C1F9F" w:rsidP="007C1F9F">
      <w:pPr>
        <w:pStyle w:val="AERbodytext"/>
      </w:pPr>
      <w:r>
        <w:t>On the first of these issues, the AER does not agree with</w:t>
      </w:r>
      <w:r w:rsidRPr="00A54902">
        <w:t xml:space="preserve"> </w:t>
      </w:r>
      <w:r>
        <w:t>APA GasNet's modified equity raising cost calculation method. APA GasNet submitted that tax depreciation should be excluded in the dividend calculation because tax depreciation is a non-cash item.</w:t>
      </w:r>
      <w:r>
        <w:rPr>
          <w:rStyle w:val="FootnoteReference"/>
        </w:rPr>
        <w:footnoteReference w:id="202"/>
      </w:r>
      <w:r>
        <w:t xml:space="preserve"> APA GasNet's argument appears misconceived. The dividend calculation is based on after-tax cash flows. Tax depreciation is an input into determining the level of tax. Tax is a cash item. Therefore, tax depreciation (which is a non-cash item) is required because it is an input into the tax calculation (which is a cash item), and tax is an input into the dividend calculation. Therefore, the AER does not accept that a modification to its standard method is necessary based on APA GasNet's justification that tax depreciation is a non-cash item. </w:t>
      </w:r>
    </w:p>
    <w:p w:rsidR="007C1F9F" w:rsidRDefault="007C1F9F" w:rsidP="007C1F9F">
      <w:pPr>
        <w:pStyle w:val="AERbodytext"/>
      </w:pPr>
      <w:r>
        <w:t xml:space="preserve">Regarding the second issue, after </w:t>
      </w:r>
      <w:r w:rsidRPr="004B5FAE">
        <w:t>considering the equity raising costs propose</w:t>
      </w:r>
      <w:r>
        <w:t>d by APA GasNet for its 2012–1</w:t>
      </w:r>
      <w:r w:rsidRPr="004B5FAE">
        <w:t xml:space="preserve">7 access </w:t>
      </w:r>
      <w:r>
        <w:t>arrangement</w:t>
      </w:r>
      <w:r w:rsidRPr="004B5FAE">
        <w:t xml:space="preserve">, the AER modified </w:t>
      </w:r>
      <w:r>
        <w:t xml:space="preserve">its </w:t>
      </w:r>
      <w:r w:rsidRPr="004B5FAE">
        <w:t xml:space="preserve">estimation method so that it accommodated the netting of future equity raising surpluses against prior deficits. The AER made this adjustment because it is reasonable to assess equity raising costs over the entire </w:t>
      </w:r>
      <w:r>
        <w:t>access arranging</w:t>
      </w:r>
      <w:r w:rsidRPr="004B5FAE">
        <w:t xml:space="preserve"> period. This reflects management control over the timing of equity offerings (if required). T</w:t>
      </w:r>
      <w:r>
        <w:t>o</w:t>
      </w:r>
      <w:r w:rsidRPr="004B5FAE">
        <w:t xml:space="preserve"> achieve this, the AER </w:t>
      </w:r>
      <w:r>
        <w:t xml:space="preserve">converted </w:t>
      </w:r>
      <w:r w:rsidRPr="004B5FAE">
        <w:t>retained cash flows, the equity portion of the capex</w:t>
      </w:r>
      <w:r>
        <w:t xml:space="preserve"> </w:t>
      </w:r>
      <w:r w:rsidRPr="004B5FAE">
        <w:t>funding requirements and reinvested dividends from nominal dollar term estimates to real dollar term estimates.</w:t>
      </w:r>
      <w:r>
        <w:t xml:space="preserve"> </w:t>
      </w:r>
      <w:r w:rsidRPr="004B5FAE">
        <w:t xml:space="preserve">The AER then determined the subsequent requirement for equity raising costs across the entire </w:t>
      </w:r>
      <w:r>
        <w:t>access arrangement</w:t>
      </w:r>
      <w:r w:rsidRPr="004B5FAE">
        <w:t xml:space="preserve"> period</w:t>
      </w:r>
      <w:r>
        <w:t>.</w:t>
      </w:r>
      <w:r>
        <w:rPr>
          <w:rStyle w:val="FootnoteReference"/>
        </w:rPr>
        <w:footnoteReference w:id="203"/>
      </w:r>
      <w:r w:rsidRPr="004B5FAE">
        <w:t xml:space="preserve"> This approach removes the need for implicit assumptions regarding the timing of equity raisings. It also ensures that the allowance for equity raising costs for the </w:t>
      </w:r>
      <w:r>
        <w:t>access arrangement</w:t>
      </w:r>
      <w:r w:rsidRPr="004B5FAE">
        <w:t xml:space="preserve"> period reflects the external equity that is forecast to be required.</w:t>
      </w:r>
      <w:r>
        <w:rPr>
          <w:rStyle w:val="FootnoteReference"/>
        </w:rPr>
        <w:footnoteReference w:id="204"/>
      </w:r>
      <w:r>
        <w:t xml:space="preserve"> The AER considers this updated method more appropriate and provides a better benchmark for equity raising costs. The AER will therefore require APA GasNet to incorporate this adjustment into its access arrangement. </w:t>
      </w:r>
    </w:p>
    <w:p w:rsidR="007C1F9F" w:rsidRDefault="007C1F9F" w:rsidP="007C1F9F">
      <w:pPr>
        <w:pStyle w:val="AERbodytext"/>
      </w:pPr>
      <w:r w:rsidRPr="004D51A5">
        <w:t xml:space="preserve">Based on the AER’s method, the cash flow analysis calculated in the PTRM for </w:t>
      </w:r>
      <w:r>
        <w:t xml:space="preserve">APA GasNet's </w:t>
      </w:r>
      <w:r w:rsidRPr="004D51A5">
        <w:t>benchmark equity raising cost is shown in</w:t>
      </w:r>
      <w:r>
        <w:t xml:space="preserve"> </w:t>
      </w:r>
      <w:r w:rsidR="00DE0D6A">
        <w:fldChar w:fldCharType="begin"/>
      </w:r>
      <w:r>
        <w:instrText xml:space="preserve"> REF  _Ref333997557 \* Lower \h \r </w:instrText>
      </w:r>
      <w:r w:rsidR="00DE0D6A">
        <w:fldChar w:fldCharType="separate"/>
      </w:r>
      <w:r>
        <w:t>table 3.10</w:t>
      </w:r>
      <w:r w:rsidR="00DE0D6A">
        <w:fldChar w:fldCharType="end"/>
      </w:r>
      <w:r>
        <w:t xml:space="preserve"> and </w:t>
      </w:r>
      <w:r w:rsidR="00DE0D6A">
        <w:fldChar w:fldCharType="begin"/>
      </w:r>
      <w:r>
        <w:instrText xml:space="preserve"> REF  _Ref333997597 \* Lower \h \r </w:instrText>
      </w:r>
      <w:r w:rsidR="00DE0D6A">
        <w:fldChar w:fldCharType="separate"/>
      </w:r>
      <w:r>
        <w:t>table 3.11</w:t>
      </w:r>
      <w:r w:rsidR="00DE0D6A">
        <w:fldChar w:fldCharType="end"/>
      </w:r>
      <w:r w:rsidRPr="004D51A5">
        <w:t>.</w:t>
      </w:r>
      <w:r>
        <w:t xml:space="preserve"> </w:t>
      </w:r>
      <w:r w:rsidR="00DE0D6A">
        <w:rPr>
          <w:rStyle w:val="AERtexthighlight"/>
        </w:rPr>
        <w:fldChar w:fldCharType="begin"/>
      </w:r>
      <w:r>
        <w:instrText xml:space="preserve"> REF _Ref333997557 \r \h </w:instrText>
      </w:r>
      <w:r w:rsidR="00DE0D6A">
        <w:rPr>
          <w:rStyle w:val="AERtexthighlight"/>
        </w:rPr>
      </w:r>
      <w:r w:rsidR="00DE0D6A">
        <w:rPr>
          <w:rStyle w:val="AERtexthighlight"/>
        </w:rPr>
        <w:fldChar w:fldCharType="separate"/>
      </w:r>
      <w:r>
        <w:t>Table 3.10</w:t>
      </w:r>
      <w:r w:rsidR="00DE0D6A">
        <w:rPr>
          <w:rStyle w:val="AERtexthighlight"/>
        </w:rPr>
        <w:fldChar w:fldCharType="end"/>
      </w:r>
      <w:r>
        <w:t xml:space="preserve"> </w:t>
      </w:r>
      <w:r w:rsidRPr="004D51A5">
        <w:t xml:space="preserve">sets out (in nominal terms) the derivation of the required new equity for the </w:t>
      </w:r>
      <w:r>
        <w:t>network service provider</w:t>
      </w:r>
      <w:r w:rsidRPr="004D51A5">
        <w:t xml:space="preserve">. The second part of the cashflow analysis (in real terms) derives the benchmark allowance for raising this equity and is set out in </w:t>
      </w:r>
      <w:r w:rsidR="00DE0D6A">
        <w:fldChar w:fldCharType="begin"/>
      </w:r>
      <w:r>
        <w:instrText xml:space="preserve"> REF  _Ref333997597 \* Lower \h \r </w:instrText>
      </w:r>
      <w:r w:rsidR="00DE0D6A">
        <w:fldChar w:fldCharType="separate"/>
      </w:r>
      <w:r>
        <w:t>table 3.11</w:t>
      </w:r>
      <w:r w:rsidR="00DE0D6A">
        <w:fldChar w:fldCharType="end"/>
      </w:r>
      <w:r w:rsidRPr="004D51A5">
        <w:t>.</w:t>
      </w:r>
      <w:r>
        <w:t xml:space="preserve"> These tables demonstrate that APA GasNet does not require an equity raising cost allowance based on the level of forecast capex.</w:t>
      </w:r>
    </w:p>
    <w:p w:rsidR="007C1F9F" w:rsidRPr="00EC3FDD" w:rsidRDefault="007C1F9F" w:rsidP="007C1F9F">
      <w:pPr>
        <w:pStyle w:val="AERheading4"/>
      </w:pPr>
      <w:r w:rsidRPr="00EC3FDD">
        <w:t xml:space="preserve">Benchmark </w:t>
      </w:r>
      <w:r>
        <w:t>equity raising costs</w:t>
      </w:r>
    </w:p>
    <w:p w:rsidR="007C1F9F" w:rsidRDefault="007C1F9F" w:rsidP="007C1F9F">
      <w:pPr>
        <w:pStyle w:val="AERbodytext"/>
      </w:pPr>
      <w:r>
        <w:t>The AER has applied its updated equity raising costs method along with the updated PTRM inputs and outputs to determine that APA GasNet requires no benchmark equity raising costs.</w:t>
      </w:r>
    </w:p>
    <w:p w:rsidR="007C1F9F" w:rsidRDefault="007C1F9F" w:rsidP="007C1F9F">
      <w:pPr>
        <w:pStyle w:val="AERbodytext"/>
      </w:pPr>
    </w:p>
    <w:p w:rsidR="007C1F9F" w:rsidRPr="0046534E" w:rsidRDefault="007C1F9F" w:rsidP="007C1F9F">
      <w:pPr>
        <w:pStyle w:val="AERtabletitle"/>
      </w:pPr>
      <w:bookmarkStart w:id="50" w:name="_Ref321301715"/>
      <w:bookmarkStart w:id="51" w:name="_Ref333997557"/>
      <w:r w:rsidRPr="00220847">
        <w:t xml:space="preserve">AER’s </w:t>
      </w:r>
      <w:r>
        <w:t xml:space="preserve">final decision </w:t>
      </w:r>
      <w:r w:rsidRPr="00220847">
        <w:t xml:space="preserve">cash flow analysis for </w:t>
      </w:r>
      <w:r>
        <w:t>APA GasNet's</w:t>
      </w:r>
      <w:r w:rsidRPr="00861920">
        <w:t xml:space="preserve"> </w:t>
      </w:r>
      <w:r>
        <w:t xml:space="preserve">benchmark </w:t>
      </w:r>
      <w:r w:rsidRPr="00220847">
        <w:t>equity raising cost</w:t>
      </w:r>
      <w:bookmarkEnd w:id="50"/>
      <w:r w:rsidRPr="00220847">
        <w:t xml:space="preserve"> </w:t>
      </w:r>
      <w:r>
        <w:t>($million, nominal)</w:t>
      </w:r>
      <w:bookmarkEnd w:id="51"/>
    </w:p>
    <w:tbl>
      <w:tblPr>
        <w:tblW w:w="0" w:type="auto"/>
        <w:tblBorders>
          <w:top w:val="single" w:sz="4" w:space="0" w:color="auto"/>
          <w:bottom w:val="single" w:sz="4" w:space="0" w:color="auto"/>
        </w:tblBorders>
        <w:tblLook w:val="01E0"/>
      </w:tblPr>
      <w:tblGrid>
        <w:gridCol w:w="3794"/>
        <w:gridCol w:w="1843"/>
        <w:gridCol w:w="2885"/>
      </w:tblGrid>
      <w:tr w:rsidR="007C1F9F" w:rsidTr="00186172">
        <w:tc>
          <w:tcPr>
            <w:tcW w:w="379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4E63AB" w:rsidRDefault="007C1F9F" w:rsidP="00186172">
            <w:pPr>
              <w:pStyle w:val="AERtabletextheading"/>
            </w:pPr>
            <w:r w:rsidRPr="00144B07">
              <w:t>Cash flow analysis</w:t>
            </w:r>
          </w:p>
        </w:tc>
        <w:tc>
          <w:tcPr>
            <w:tcW w:w="184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4E63AB" w:rsidRDefault="007C1F9F" w:rsidP="00186172">
            <w:pPr>
              <w:pStyle w:val="AERtabletextheadingright"/>
            </w:pPr>
            <w:r w:rsidRPr="00144B07">
              <w:t>Total ($million, nominal)</w:t>
            </w:r>
          </w:p>
        </w:tc>
        <w:tc>
          <w:tcPr>
            <w:tcW w:w="288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4E63AB" w:rsidRDefault="007C1F9F" w:rsidP="00186172">
            <w:pPr>
              <w:pStyle w:val="AERtabletextheading"/>
            </w:pPr>
            <w:r w:rsidRPr="00144B07">
              <w:t>Notes</w:t>
            </w:r>
          </w:p>
        </w:tc>
      </w:tr>
      <w:tr w:rsidR="007C1F9F" w:rsidTr="00186172">
        <w:tc>
          <w:tcPr>
            <w:tcW w:w="3794" w:type="dxa"/>
            <w:shd w:val="clear" w:color="auto" w:fill="auto"/>
            <w:noWrap/>
            <w:tcMar>
              <w:top w:w="0" w:type="dxa"/>
              <w:bottom w:w="0" w:type="dxa"/>
            </w:tcMar>
            <w:vAlign w:val="center"/>
          </w:tcPr>
          <w:p w:rsidR="007C1F9F" w:rsidRPr="004E63AB" w:rsidRDefault="007C1F9F" w:rsidP="00186172">
            <w:pPr>
              <w:pStyle w:val="AERtabletextheading"/>
            </w:pPr>
            <w:r w:rsidRPr="00220847">
              <w:t>Dividends</w:t>
            </w:r>
          </w:p>
        </w:tc>
        <w:tc>
          <w:tcPr>
            <w:tcW w:w="1843" w:type="dxa"/>
            <w:shd w:val="clear" w:color="auto" w:fill="auto"/>
            <w:noWrap/>
            <w:tcMar>
              <w:top w:w="0" w:type="dxa"/>
              <w:bottom w:w="0" w:type="dxa"/>
            </w:tcMar>
            <w:vAlign w:val="center"/>
          </w:tcPr>
          <w:p w:rsidR="007C1F9F" w:rsidRPr="004E63AB" w:rsidRDefault="007C1F9F" w:rsidP="00186172">
            <w:pPr>
              <w:pStyle w:val="AERtabletext-numbers"/>
            </w:pPr>
            <w:r w:rsidRPr="009D579D">
              <w:t>34.16</w:t>
            </w:r>
          </w:p>
        </w:tc>
        <w:tc>
          <w:tcPr>
            <w:tcW w:w="2885" w:type="dxa"/>
            <w:shd w:val="clear" w:color="auto" w:fill="auto"/>
            <w:noWrap/>
            <w:tcMar>
              <w:top w:w="0" w:type="dxa"/>
              <w:bottom w:w="0" w:type="dxa"/>
            </w:tcMar>
            <w:vAlign w:val="center"/>
          </w:tcPr>
          <w:p w:rsidR="007C1F9F" w:rsidRPr="004E63AB" w:rsidRDefault="007C1F9F" w:rsidP="00186172">
            <w:pPr>
              <w:pStyle w:val="AERtabletext"/>
            </w:pPr>
            <w:r w:rsidRPr="00220847">
              <w:t>Set to distribute imputation credits assumed in the PTRM (</w:t>
            </w:r>
            <w:r w:rsidRPr="004E63AB">
              <w:t>70 per cent).</w:t>
            </w:r>
          </w:p>
        </w:tc>
      </w:tr>
      <w:tr w:rsidR="007C1F9F" w:rsidTr="00186172">
        <w:tc>
          <w:tcPr>
            <w:tcW w:w="3794" w:type="dxa"/>
            <w:shd w:val="clear" w:color="auto" w:fill="F8B47C"/>
            <w:noWrap/>
            <w:tcMar>
              <w:top w:w="0" w:type="dxa"/>
              <w:bottom w:w="0" w:type="dxa"/>
            </w:tcMar>
            <w:vAlign w:val="center"/>
          </w:tcPr>
          <w:p w:rsidR="007C1F9F" w:rsidRPr="004E63AB" w:rsidRDefault="007C1F9F" w:rsidP="00186172">
            <w:pPr>
              <w:pStyle w:val="AERtabletextheading"/>
            </w:pPr>
            <w:r w:rsidRPr="00220847">
              <w:t>Dividends reinvested</w:t>
            </w:r>
          </w:p>
        </w:tc>
        <w:tc>
          <w:tcPr>
            <w:tcW w:w="1843" w:type="dxa"/>
            <w:shd w:val="clear" w:color="auto" w:fill="F8B47C"/>
            <w:noWrap/>
            <w:tcMar>
              <w:top w:w="0" w:type="dxa"/>
              <w:bottom w:w="0" w:type="dxa"/>
            </w:tcMar>
            <w:vAlign w:val="center"/>
          </w:tcPr>
          <w:p w:rsidR="007C1F9F" w:rsidRPr="004E63AB" w:rsidRDefault="007C1F9F" w:rsidP="00186172">
            <w:pPr>
              <w:pStyle w:val="AERtabletext-numbers"/>
            </w:pPr>
            <w:r w:rsidRPr="009D579D">
              <w:t>10.25</w:t>
            </w:r>
          </w:p>
        </w:tc>
        <w:tc>
          <w:tcPr>
            <w:tcW w:w="2885" w:type="dxa"/>
            <w:shd w:val="clear" w:color="auto" w:fill="F8B47C"/>
            <w:noWrap/>
            <w:tcMar>
              <w:top w:w="0" w:type="dxa"/>
              <w:bottom w:w="0" w:type="dxa"/>
            </w:tcMar>
            <w:vAlign w:val="center"/>
          </w:tcPr>
          <w:p w:rsidR="007C1F9F" w:rsidRPr="004E63AB" w:rsidRDefault="007C1F9F" w:rsidP="00231F3C">
            <w:pPr>
              <w:pStyle w:val="AERtabletext"/>
            </w:pPr>
            <w:r w:rsidRPr="00220847">
              <w:t>Availability of reinvested dividends, capped at 30</w:t>
            </w:r>
            <w:r w:rsidR="00231F3C">
              <w:t xml:space="preserve"> per cent</w:t>
            </w:r>
            <w:r w:rsidRPr="00220847">
              <w:t xml:space="preserve"> dividends paid.</w:t>
            </w:r>
          </w:p>
        </w:tc>
      </w:tr>
      <w:tr w:rsidR="007C1F9F" w:rsidTr="00186172">
        <w:tc>
          <w:tcPr>
            <w:tcW w:w="3794" w:type="dxa"/>
            <w:shd w:val="clear" w:color="auto" w:fill="auto"/>
            <w:noWrap/>
            <w:tcMar>
              <w:top w:w="0" w:type="dxa"/>
              <w:bottom w:w="0" w:type="dxa"/>
            </w:tcMar>
            <w:vAlign w:val="center"/>
          </w:tcPr>
          <w:p w:rsidR="007C1F9F" w:rsidRPr="004E63AB" w:rsidRDefault="007C1F9F" w:rsidP="00186172">
            <w:pPr>
              <w:pStyle w:val="AERtabletextheading"/>
            </w:pPr>
            <w:r w:rsidRPr="00220847">
              <w:t>Capex funding requirement</w:t>
            </w:r>
          </w:p>
        </w:tc>
        <w:tc>
          <w:tcPr>
            <w:tcW w:w="1843" w:type="dxa"/>
            <w:shd w:val="clear" w:color="auto" w:fill="auto"/>
            <w:noWrap/>
            <w:tcMar>
              <w:top w:w="0" w:type="dxa"/>
              <w:bottom w:w="0" w:type="dxa"/>
            </w:tcMar>
            <w:vAlign w:val="center"/>
          </w:tcPr>
          <w:p w:rsidR="007C1F9F" w:rsidRPr="004E63AB" w:rsidRDefault="007C1F9F" w:rsidP="00186172">
            <w:pPr>
              <w:pStyle w:val="AERtabletext-numbers"/>
            </w:pPr>
            <w:r w:rsidRPr="009D579D">
              <w:t>161.1</w:t>
            </w:r>
            <w:r w:rsidR="003018A6">
              <w:t>1</w:t>
            </w:r>
          </w:p>
        </w:tc>
        <w:tc>
          <w:tcPr>
            <w:tcW w:w="2885" w:type="dxa"/>
            <w:shd w:val="clear" w:color="auto" w:fill="auto"/>
            <w:noWrap/>
            <w:tcMar>
              <w:top w:w="0" w:type="dxa"/>
              <w:bottom w:w="0" w:type="dxa"/>
            </w:tcMar>
            <w:vAlign w:val="center"/>
          </w:tcPr>
          <w:p w:rsidR="007C1F9F" w:rsidRPr="004E63AB" w:rsidRDefault="007C1F9F" w:rsidP="00186172">
            <w:pPr>
              <w:pStyle w:val="AERtabletext"/>
            </w:pPr>
            <w:r w:rsidRPr="00220847">
              <w:t>Forecast capex funding requirement (including half year WACC adjustment).</w:t>
            </w:r>
          </w:p>
        </w:tc>
      </w:tr>
      <w:tr w:rsidR="007C1F9F" w:rsidTr="00186172">
        <w:trPr>
          <w:trHeight w:val="730"/>
        </w:trPr>
        <w:tc>
          <w:tcPr>
            <w:tcW w:w="3794" w:type="dxa"/>
            <w:shd w:val="clear" w:color="auto" w:fill="F8B47C"/>
            <w:noWrap/>
            <w:tcMar>
              <w:top w:w="0" w:type="dxa"/>
              <w:bottom w:w="0" w:type="dxa"/>
            </w:tcMar>
            <w:vAlign w:val="center"/>
          </w:tcPr>
          <w:p w:rsidR="007C1F9F" w:rsidRPr="004E63AB" w:rsidRDefault="007C1F9F" w:rsidP="00186172">
            <w:pPr>
              <w:pStyle w:val="AERtabletextheading"/>
            </w:pPr>
            <w:r w:rsidRPr="00220847">
              <w:t>Debt component</w:t>
            </w:r>
          </w:p>
        </w:tc>
        <w:tc>
          <w:tcPr>
            <w:tcW w:w="1843" w:type="dxa"/>
            <w:shd w:val="clear" w:color="auto" w:fill="F8B47C"/>
            <w:noWrap/>
            <w:tcMar>
              <w:top w:w="0" w:type="dxa"/>
              <w:bottom w:w="0" w:type="dxa"/>
            </w:tcMar>
            <w:vAlign w:val="center"/>
          </w:tcPr>
          <w:p w:rsidR="007C1F9F" w:rsidRPr="004E63AB" w:rsidRDefault="007C1F9F" w:rsidP="00186172">
            <w:pPr>
              <w:pStyle w:val="AERtabletext-numbers"/>
            </w:pPr>
            <w:r w:rsidRPr="009D579D">
              <w:t>66.</w:t>
            </w:r>
            <w:r w:rsidR="003018A6">
              <w:t>36</w:t>
            </w:r>
          </w:p>
        </w:tc>
        <w:tc>
          <w:tcPr>
            <w:tcW w:w="2885" w:type="dxa"/>
            <w:shd w:val="clear" w:color="auto" w:fill="F8B47C"/>
            <w:noWrap/>
            <w:tcMar>
              <w:top w:w="0" w:type="dxa"/>
              <w:bottom w:w="0" w:type="dxa"/>
            </w:tcMar>
            <w:vAlign w:val="center"/>
          </w:tcPr>
          <w:p w:rsidR="007C1F9F" w:rsidRPr="004E63AB" w:rsidRDefault="007C1F9F" w:rsidP="00231F3C">
            <w:pPr>
              <w:pStyle w:val="AERtabletext"/>
            </w:pPr>
            <w:r w:rsidRPr="00220847">
              <w:t>Set to equal 60</w:t>
            </w:r>
            <w:r w:rsidR="00231F3C">
              <w:t xml:space="preserve"> per cent</w:t>
            </w:r>
            <w:r w:rsidRPr="00220847">
              <w:t xml:space="preserve"> of annual change in RAB.</w:t>
            </w:r>
          </w:p>
        </w:tc>
      </w:tr>
      <w:tr w:rsidR="007C1F9F" w:rsidTr="00186172">
        <w:tc>
          <w:tcPr>
            <w:tcW w:w="3794" w:type="dxa"/>
            <w:shd w:val="clear" w:color="auto" w:fill="auto"/>
            <w:noWrap/>
            <w:tcMar>
              <w:top w:w="0" w:type="dxa"/>
              <w:bottom w:w="0" w:type="dxa"/>
            </w:tcMar>
            <w:vAlign w:val="center"/>
          </w:tcPr>
          <w:p w:rsidR="007C1F9F" w:rsidRPr="004E63AB" w:rsidRDefault="007C1F9F" w:rsidP="00186172">
            <w:pPr>
              <w:pStyle w:val="AERtabletextheading"/>
            </w:pPr>
            <w:r w:rsidRPr="00220847">
              <w:t xml:space="preserve">Equity </w:t>
            </w:r>
            <w:r w:rsidRPr="004E63AB">
              <w:t>component</w:t>
            </w:r>
          </w:p>
        </w:tc>
        <w:tc>
          <w:tcPr>
            <w:tcW w:w="1843" w:type="dxa"/>
            <w:shd w:val="clear" w:color="auto" w:fill="auto"/>
            <w:noWrap/>
            <w:tcMar>
              <w:top w:w="0" w:type="dxa"/>
              <w:bottom w:w="0" w:type="dxa"/>
            </w:tcMar>
            <w:vAlign w:val="center"/>
          </w:tcPr>
          <w:p w:rsidR="007C1F9F" w:rsidRPr="004E63AB" w:rsidRDefault="007C1F9F" w:rsidP="00186172">
            <w:pPr>
              <w:pStyle w:val="AERtabletext-numbers"/>
            </w:pPr>
            <w:r w:rsidRPr="009D579D">
              <w:t>94.7</w:t>
            </w:r>
            <w:r w:rsidR="003018A6">
              <w:t>5</w:t>
            </w:r>
          </w:p>
        </w:tc>
        <w:tc>
          <w:tcPr>
            <w:tcW w:w="2885" w:type="dxa"/>
            <w:shd w:val="clear" w:color="auto" w:fill="auto"/>
            <w:noWrap/>
            <w:tcMar>
              <w:top w:w="0" w:type="dxa"/>
              <w:bottom w:w="0" w:type="dxa"/>
            </w:tcMar>
            <w:vAlign w:val="center"/>
          </w:tcPr>
          <w:p w:rsidR="007C1F9F" w:rsidRPr="004E63AB" w:rsidRDefault="007C1F9F" w:rsidP="00186172">
            <w:pPr>
              <w:pStyle w:val="AERtabletext"/>
            </w:pPr>
            <w:r w:rsidRPr="00220847">
              <w:t>Residual of capex funding requirement and debt component.</w:t>
            </w:r>
          </w:p>
        </w:tc>
      </w:tr>
      <w:tr w:rsidR="007C1F9F" w:rsidTr="00186172">
        <w:tc>
          <w:tcPr>
            <w:tcW w:w="3794" w:type="dxa"/>
            <w:shd w:val="clear" w:color="auto" w:fill="F8B47C"/>
            <w:noWrap/>
            <w:tcMar>
              <w:top w:w="0" w:type="dxa"/>
              <w:bottom w:w="0" w:type="dxa"/>
            </w:tcMar>
            <w:vAlign w:val="center"/>
          </w:tcPr>
          <w:p w:rsidR="007C1F9F" w:rsidRPr="004E63AB" w:rsidRDefault="007C1F9F" w:rsidP="00186172">
            <w:pPr>
              <w:pStyle w:val="AERtabletextheading"/>
            </w:pPr>
            <w:r w:rsidRPr="00220847">
              <w:t>Retained cash flow available for reinvestment</w:t>
            </w:r>
          </w:p>
        </w:tc>
        <w:tc>
          <w:tcPr>
            <w:tcW w:w="1843" w:type="dxa"/>
            <w:shd w:val="clear" w:color="auto" w:fill="F8B47C"/>
            <w:noWrap/>
            <w:tcMar>
              <w:top w:w="0" w:type="dxa"/>
              <w:bottom w:w="0" w:type="dxa"/>
            </w:tcMar>
            <w:vAlign w:val="center"/>
          </w:tcPr>
          <w:p w:rsidR="007C1F9F" w:rsidRPr="004E63AB" w:rsidRDefault="003018A6" w:rsidP="00186172">
            <w:pPr>
              <w:pStyle w:val="AERtabletext-numbers"/>
            </w:pPr>
            <w:r>
              <w:t>116.29</w:t>
            </w:r>
          </w:p>
        </w:tc>
        <w:tc>
          <w:tcPr>
            <w:tcW w:w="2885" w:type="dxa"/>
            <w:shd w:val="clear" w:color="auto" w:fill="F8B47C"/>
            <w:noWrap/>
            <w:tcMar>
              <w:top w:w="0" w:type="dxa"/>
              <w:bottom w:w="0" w:type="dxa"/>
            </w:tcMar>
            <w:vAlign w:val="center"/>
          </w:tcPr>
          <w:p w:rsidR="007C1F9F" w:rsidRPr="004E63AB" w:rsidRDefault="007C1F9F" w:rsidP="00186172">
            <w:pPr>
              <w:pStyle w:val="AERtabletext"/>
            </w:pPr>
            <w:r w:rsidRPr="00220847">
              <w:t>Exclude dividends reinvested.</w:t>
            </w:r>
          </w:p>
        </w:tc>
      </w:tr>
      <w:tr w:rsidR="007C1F9F" w:rsidTr="00186172">
        <w:tc>
          <w:tcPr>
            <w:tcW w:w="3794" w:type="dxa"/>
            <w:shd w:val="clear" w:color="auto" w:fill="auto"/>
            <w:noWrap/>
            <w:tcMar>
              <w:top w:w="0" w:type="dxa"/>
              <w:bottom w:w="0" w:type="dxa"/>
            </w:tcMar>
            <w:vAlign w:val="center"/>
          </w:tcPr>
          <w:p w:rsidR="007C1F9F" w:rsidRPr="004E63AB" w:rsidRDefault="007C1F9F" w:rsidP="00186172">
            <w:pPr>
              <w:pStyle w:val="AERtabletextheading"/>
            </w:pPr>
            <w:r w:rsidRPr="00220847">
              <w:t>Equity required</w:t>
            </w:r>
          </w:p>
        </w:tc>
        <w:tc>
          <w:tcPr>
            <w:tcW w:w="1843" w:type="dxa"/>
            <w:shd w:val="clear" w:color="auto" w:fill="auto"/>
            <w:noWrap/>
            <w:tcMar>
              <w:top w:w="0" w:type="dxa"/>
              <w:bottom w:w="0" w:type="dxa"/>
            </w:tcMar>
            <w:vAlign w:val="center"/>
          </w:tcPr>
          <w:p w:rsidR="007C1F9F" w:rsidRPr="004E63AB" w:rsidRDefault="003018A6" w:rsidP="00186172">
            <w:pPr>
              <w:pStyle w:val="AERtabletext-numbers"/>
            </w:pPr>
            <w:r>
              <w:t>21.55</w:t>
            </w:r>
          </w:p>
        </w:tc>
        <w:tc>
          <w:tcPr>
            <w:tcW w:w="2885" w:type="dxa"/>
            <w:shd w:val="clear" w:color="auto" w:fill="auto"/>
            <w:noWrap/>
            <w:tcMar>
              <w:top w:w="0" w:type="dxa"/>
              <w:bottom w:w="0" w:type="dxa"/>
            </w:tcMar>
            <w:vAlign w:val="center"/>
          </w:tcPr>
          <w:p w:rsidR="007C1F9F" w:rsidRPr="004E63AB" w:rsidRDefault="007C1F9F" w:rsidP="00186172">
            <w:pPr>
              <w:pStyle w:val="AERtabletext"/>
            </w:pPr>
            <w:r w:rsidRPr="00220847">
              <w:t>Equals equity component less retained cash flows.</w:t>
            </w:r>
          </w:p>
        </w:tc>
      </w:tr>
    </w:tbl>
    <w:p w:rsidR="007C1F9F" w:rsidRDefault="007C1F9F" w:rsidP="007C1F9F">
      <w:pPr>
        <w:pStyle w:val="AERtablesource"/>
      </w:pPr>
      <w:r w:rsidRPr="00220847">
        <w:t xml:space="preserve">Source: </w:t>
      </w:r>
      <w:r w:rsidRPr="00220847">
        <w:tab/>
        <w:t>AER analysis.</w:t>
      </w:r>
    </w:p>
    <w:p w:rsidR="007C1F9F" w:rsidRPr="0046534E" w:rsidRDefault="007C1F9F" w:rsidP="007C1F9F">
      <w:pPr>
        <w:pStyle w:val="AERtabletitle"/>
      </w:pPr>
      <w:bookmarkStart w:id="52" w:name="_Ref333997597"/>
      <w:r w:rsidRPr="00220847">
        <w:t xml:space="preserve">AER’s </w:t>
      </w:r>
      <w:r>
        <w:t xml:space="preserve">final decision </w:t>
      </w:r>
      <w:r w:rsidRPr="00220847">
        <w:t xml:space="preserve">cash flow analysis for </w:t>
      </w:r>
      <w:r>
        <w:t>APA GasNet's</w:t>
      </w:r>
      <w:r w:rsidRPr="00861920">
        <w:t xml:space="preserve"> </w:t>
      </w:r>
      <w:r>
        <w:t xml:space="preserve">benchmark </w:t>
      </w:r>
      <w:r w:rsidRPr="00220847">
        <w:t>equity raising cost</w:t>
      </w:r>
      <w:r>
        <w:t xml:space="preserve"> ($million, 2012–13)</w:t>
      </w:r>
      <w:bookmarkEnd w:id="52"/>
    </w:p>
    <w:tbl>
      <w:tblPr>
        <w:tblW w:w="0" w:type="auto"/>
        <w:tblBorders>
          <w:top w:val="single" w:sz="4" w:space="0" w:color="auto"/>
          <w:bottom w:val="single" w:sz="4" w:space="0" w:color="auto"/>
        </w:tblBorders>
        <w:tblLook w:val="01E0"/>
      </w:tblPr>
      <w:tblGrid>
        <w:gridCol w:w="3652"/>
        <w:gridCol w:w="2126"/>
        <w:gridCol w:w="2744"/>
      </w:tblGrid>
      <w:tr w:rsidR="007C1F9F" w:rsidRPr="000D58CD" w:rsidTr="00186172">
        <w:tc>
          <w:tcPr>
            <w:tcW w:w="3652"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4E63AB" w:rsidRDefault="007C1F9F" w:rsidP="00186172">
            <w:pPr>
              <w:pStyle w:val="AERtabletextheading"/>
            </w:pPr>
            <w:r w:rsidRPr="00837EFB">
              <w:t>Cash flow analysis</w:t>
            </w:r>
          </w:p>
        </w:tc>
        <w:tc>
          <w:tcPr>
            <w:tcW w:w="212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4E63AB" w:rsidRDefault="007C1F9F" w:rsidP="00186172">
            <w:pPr>
              <w:pStyle w:val="AERtabletextheadingright"/>
            </w:pPr>
            <w:r>
              <w:t>Total ($million, 2012</w:t>
            </w:r>
            <w:r w:rsidRPr="004E63AB">
              <w:t>–13)</w:t>
            </w:r>
          </w:p>
        </w:tc>
        <w:tc>
          <w:tcPr>
            <w:tcW w:w="274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4E63AB" w:rsidRDefault="007C1F9F" w:rsidP="00186172">
            <w:pPr>
              <w:pStyle w:val="AERtabletext"/>
              <w:rPr>
                <w:rStyle w:val="AERtextbold"/>
              </w:rPr>
            </w:pPr>
            <w:r w:rsidRPr="00837EFB">
              <w:rPr>
                <w:rStyle w:val="AERtextbold"/>
              </w:rPr>
              <w:t>Notes</w:t>
            </w:r>
          </w:p>
        </w:tc>
      </w:tr>
      <w:tr w:rsidR="007C1F9F" w:rsidRPr="000D58CD" w:rsidTr="00186172">
        <w:tc>
          <w:tcPr>
            <w:tcW w:w="3652" w:type="dxa"/>
            <w:shd w:val="clear" w:color="auto" w:fill="auto"/>
            <w:noWrap/>
            <w:tcMar>
              <w:top w:w="0" w:type="dxa"/>
              <w:bottom w:w="0" w:type="dxa"/>
            </w:tcMar>
            <w:vAlign w:val="center"/>
          </w:tcPr>
          <w:p w:rsidR="007C1F9F" w:rsidRPr="004E63AB" w:rsidRDefault="007C1F9F" w:rsidP="00186172">
            <w:pPr>
              <w:pStyle w:val="AERtabletextheading"/>
            </w:pPr>
            <w:r w:rsidRPr="00837EFB">
              <w:t>Equity component</w:t>
            </w:r>
          </w:p>
        </w:tc>
        <w:tc>
          <w:tcPr>
            <w:tcW w:w="2126" w:type="dxa"/>
            <w:shd w:val="clear" w:color="auto" w:fill="auto"/>
            <w:noWrap/>
            <w:tcMar>
              <w:top w:w="0" w:type="dxa"/>
              <w:bottom w:w="0" w:type="dxa"/>
            </w:tcMar>
            <w:vAlign w:val="center"/>
          </w:tcPr>
          <w:p w:rsidR="007C1F9F" w:rsidRPr="004E63AB" w:rsidRDefault="007C1F9F" w:rsidP="00186172">
            <w:pPr>
              <w:pStyle w:val="AERtabletext-numbers"/>
            </w:pPr>
            <w:r w:rsidRPr="009D579D">
              <w:t>88.7</w:t>
            </w:r>
            <w:r w:rsidR="003018A6">
              <w:t>7</w:t>
            </w:r>
          </w:p>
        </w:tc>
        <w:tc>
          <w:tcPr>
            <w:tcW w:w="2744" w:type="dxa"/>
            <w:shd w:val="clear" w:color="auto" w:fill="auto"/>
            <w:noWrap/>
            <w:tcMar>
              <w:top w:w="0" w:type="dxa"/>
              <w:bottom w:w="0" w:type="dxa"/>
            </w:tcMar>
            <w:vAlign w:val="center"/>
          </w:tcPr>
          <w:p w:rsidR="007C1F9F" w:rsidRPr="004E63AB" w:rsidRDefault="007C1F9F" w:rsidP="00186172">
            <w:pPr>
              <w:pStyle w:val="AERtabletext"/>
            </w:pPr>
            <w:r w:rsidRPr="000D58CD">
              <w:t>Residual of capex funding requirement and debt component.</w:t>
            </w:r>
          </w:p>
        </w:tc>
      </w:tr>
      <w:tr w:rsidR="007C1F9F" w:rsidRPr="000D58CD" w:rsidTr="00186172">
        <w:tc>
          <w:tcPr>
            <w:tcW w:w="3652" w:type="dxa"/>
            <w:shd w:val="clear" w:color="auto" w:fill="F8B47C"/>
            <w:noWrap/>
            <w:tcMar>
              <w:top w:w="0" w:type="dxa"/>
              <w:bottom w:w="0" w:type="dxa"/>
            </w:tcMar>
            <w:vAlign w:val="center"/>
          </w:tcPr>
          <w:p w:rsidR="007C1F9F" w:rsidRPr="004E63AB" w:rsidRDefault="007C1F9F" w:rsidP="00186172">
            <w:pPr>
              <w:pStyle w:val="AERtabletextheading"/>
            </w:pPr>
            <w:r w:rsidRPr="00837EFB">
              <w:t xml:space="preserve">Retained </w:t>
            </w:r>
            <w:r w:rsidRPr="004E63AB">
              <w:t>cash flow available for reinvestment</w:t>
            </w:r>
          </w:p>
        </w:tc>
        <w:tc>
          <w:tcPr>
            <w:tcW w:w="2126" w:type="dxa"/>
            <w:shd w:val="clear" w:color="auto" w:fill="F8B47C"/>
            <w:noWrap/>
            <w:tcMar>
              <w:top w:w="0" w:type="dxa"/>
              <w:bottom w:w="0" w:type="dxa"/>
            </w:tcMar>
            <w:vAlign w:val="center"/>
          </w:tcPr>
          <w:p w:rsidR="007C1F9F" w:rsidRPr="004E63AB" w:rsidRDefault="003018A6" w:rsidP="00186172">
            <w:pPr>
              <w:pStyle w:val="AERtabletext-numbers"/>
            </w:pPr>
            <w:r>
              <w:t>108.05</w:t>
            </w:r>
          </w:p>
        </w:tc>
        <w:tc>
          <w:tcPr>
            <w:tcW w:w="2744" w:type="dxa"/>
            <w:shd w:val="clear" w:color="auto" w:fill="F8B47C"/>
            <w:noWrap/>
            <w:tcMar>
              <w:top w:w="0" w:type="dxa"/>
              <w:bottom w:w="0" w:type="dxa"/>
            </w:tcMar>
            <w:vAlign w:val="center"/>
          </w:tcPr>
          <w:p w:rsidR="007C1F9F" w:rsidRPr="004E63AB" w:rsidRDefault="007C1F9F" w:rsidP="00186172">
            <w:pPr>
              <w:pStyle w:val="AERtabletext"/>
            </w:pPr>
            <w:r w:rsidRPr="000D58CD">
              <w:t>Exclude dividends reinvested.</w:t>
            </w:r>
          </w:p>
        </w:tc>
      </w:tr>
      <w:tr w:rsidR="007C1F9F" w:rsidRPr="000D58CD" w:rsidTr="00186172">
        <w:tc>
          <w:tcPr>
            <w:tcW w:w="3652" w:type="dxa"/>
            <w:shd w:val="clear" w:color="auto" w:fill="auto"/>
            <w:noWrap/>
            <w:tcMar>
              <w:top w:w="0" w:type="dxa"/>
              <w:bottom w:w="0" w:type="dxa"/>
            </w:tcMar>
            <w:vAlign w:val="center"/>
          </w:tcPr>
          <w:p w:rsidR="007C1F9F" w:rsidRPr="004E63AB" w:rsidRDefault="007C1F9F" w:rsidP="00186172">
            <w:pPr>
              <w:pStyle w:val="AERtabletextheading"/>
            </w:pPr>
            <w:r w:rsidRPr="00837EFB">
              <w:t>Equity required</w:t>
            </w:r>
          </w:p>
        </w:tc>
        <w:tc>
          <w:tcPr>
            <w:tcW w:w="2126" w:type="dxa"/>
            <w:shd w:val="clear" w:color="auto" w:fill="auto"/>
            <w:noWrap/>
            <w:tcMar>
              <w:top w:w="0" w:type="dxa"/>
              <w:bottom w:w="0" w:type="dxa"/>
            </w:tcMar>
            <w:vAlign w:val="center"/>
          </w:tcPr>
          <w:p w:rsidR="007C1F9F" w:rsidRPr="004E63AB" w:rsidRDefault="003018A6" w:rsidP="00186172">
            <w:pPr>
              <w:pStyle w:val="AERtabletext-numbers"/>
            </w:pPr>
            <w:r>
              <w:t>19.28</w:t>
            </w:r>
          </w:p>
        </w:tc>
        <w:tc>
          <w:tcPr>
            <w:tcW w:w="2744" w:type="dxa"/>
            <w:shd w:val="clear" w:color="auto" w:fill="auto"/>
            <w:noWrap/>
            <w:tcMar>
              <w:top w:w="0" w:type="dxa"/>
              <w:bottom w:w="0" w:type="dxa"/>
            </w:tcMar>
            <w:vAlign w:val="center"/>
          </w:tcPr>
          <w:p w:rsidR="007C1F9F" w:rsidRPr="004E63AB" w:rsidRDefault="007C1F9F" w:rsidP="00186172">
            <w:pPr>
              <w:pStyle w:val="AERtabletext"/>
            </w:pPr>
            <w:r w:rsidRPr="000D58CD">
              <w:t>Equals equity component less retained cash flows.</w:t>
            </w:r>
          </w:p>
        </w:tc>
      </w:tr>
      <w:tr w:rsidR="007C1F9F" w:rsidRPr="000D58CD" w:rsidTr="00186172">
        <w:tc>
          <w:tcPr>
            <w:tcW w:w="3652" w:type="dxa"/>
            <w:shd w:val="clear" w:color="auto" w:fill="F8B47C"/>
            <w:noWrap/>
            <w:tcMar>
              <w:top w:w="0" w:type="dxa"/>
              <w:bottom w:w="0" w:type="dxa"/>
            </w:tcMar>
            <w:vAlign w:val="center"/>
          </w:tcPr>
          <w:p w:rsidR="007C1F9F" w:rsidRPr="004E63AB" w:rsidRDefault="007C1F9F" w:rsidP="00186172">
            <w:pPr>
              <w:pStyle w:val="AERtabletextheading"/>
            </w:pPr>
            <w:r w:rsidRPr="00837EFB">
              <w:t>Dividends reinvested</w:t>
            </w:r>
          </w:p>
        </w:tc>
        <w:tc>
          <w:tcPr>
            <w:tcW w:w="2126" w:type="dxa"/>
            <w:shd w:val="clear" w:color="auto" w:fill="F8B47C"/>
            <w:noWrap/>
            <w:tcMar>
              <w:top w:w="0" w:type="dxa"/>
              <w:bottom w:w="0" w:type="dxa"/>
            </w:tcMar>
            <w:vAlign w:val="center"/>
          </w:tcPr>
          <w:p w:rsidR="007C1F9F" w:rsidRPr="004E63AB" w:rsidRDefault="007C1F9F" w:rsidP="00186172">
            <w:pPr>
              <w:pStyle w:val="AERtabletext-numbers"/>
            </w:pPr>
            <w:r w:rsidRPr="009D579D">
              <w:t>9.54</w:t>
            </w:r>
          </w:p>
        </w:tc>
        <w:tc>
          <w:tcPr>
            <w:tcW w:w="2744" w:type="dxa"/>
            <w:shd w:val="clear" w:color="auto" w:fill="F8B47C"/>
            <w:noWrap/>
            <w:tcMar>
              <w:top w:w="0" w:type="dxa"/>
              <w:bottom w:w="0" w:type="dxa"/>
            </w:tcMar>
            <w:vAlign w:val="center"/>
          </w:tcPr>
          <w:p w:rsidR="007C1F9F" w:rsidRPr="004E63AB" w:rsidRDefault="007C1F9F" w:rsidP="00231F3C">
            <w:pPr>
              <w:pStyle w:val="AERtabletext"/>
            </w:pPr>
            <w:r w:rsidRPr="000D58CD">
              <w:t>Availability of reinvested dividends, capped at 30</w:t>
            </w:r>
            <w:r w:rsidR="00231F3C">
              <w:t xml:space="preserve"> per cent</w:t>
            </w:r>
            <w:r w:rsidRPr="000D58CD">
              <w:t xml:space="preserve"> dividends paid.</w:t>
            </w:r>
          </w:p>
        </w:tc>
      </w:tr>
      <w:tr w:rsidR="007C1F9F" w:rsidRPr="000D58CD" w:rsidTr="00186172">
        <w:tc>
          <w:tcPr>
            <w:tcW w:w="3652" w:type="dxa"/>
            <w:shd w:val="clear" w:color="auto" w:fill="auto"/>
            <w:noWrap/>
            <w:tcMar>
              <w:top w:w="0" w:type="dxa"/>
              <w:bottom w:w="0" w:type="dxa"/>
            </w:tcMar>
            <w:vAlign w:val="center"/>
          </w:tcPr>
          <w:p w:rsidR="007C1F9F" w:rsidRPr="004E63AB" w:rsidRDefault="007C1F9F" w:rsidP="00186172">
            <w:pPr>
              <w:pStyle w:val="AERtabletextheading"/>
            </w:pPr>
            <w:r w:rsidRPr="00837EFB">
              <w:t xml:space="preserve">Dividend </w:t>
            </w:r>
            <w:r w:rsidRPr="004E63AB">
              <w:t>reinvestment plan required</w:t>
            </w:r>
          </w:p>
        </w:tc>
        <w:tc>
          <w:tcPr>
            <w:tcW w:w="2126" w:type="dxa"/>
            <w:shd w:val="clear" w:color="auto" w:fill="auto"/>
            <w:noWrap/>
            <w:tcMar>
              <w:top w:w="0" w:type="dxa"/>
              <w:bottom w:w="0" w:type="dxa"/>
            </w:tcMar>
            <w:vAlign w:val="center"/>
          </w:tcPr>
          <w:p w:rsidR="007C1F9F" w:rsidRPr="004E63AB" w:rsidRDefault="007C1F9F" w:rsidP="00186172">
            <w:pPr>
              <w:pStyle w:val="AERtabletext-numbers"/>
            </w:pPr>
            <w:r w:rsidRPr="009D579D">
              <w:t>0.00</w:t>
            </w:r>
          </w:p>
        </w:tc>
        <w:tc>
          <w:tcPr>
            <w:tcW w:w="2744" w:type="dxa"/>
            <w:shd w:val="clear" w:color="auto" w:fill="auto"/>
            <w:noWrap/>
            <w:tcMar>
              <w:top w:w="0" w:type="dxa"/>
              <w:bottom w:w="0" w:type="dxa"/>
            </w:tcMar>
            <w:vAlign w:val="center"/>
          </w:tcPr>
          <w:p w:rsidR="007C1F9F" w:rsidRPr="004E63AB" w:rsidRDefault="007C1F9F" w:rsidP="00186172">
            <w:pPr>
              <w:pStyle w:val="AERtabletext"/>
            </w:pPr>
            <w:r w:rsidRPr="000D58CD">
              <w:t>Required reinvested dividends.</w:t>
            </w:r>
          </w:p>
        </w:tc>
      </w:tr>
      <w:tr w:rsidR="007C1F9F" w:rsidRPr="000D58CD" w:rsidTr="00186172">
        <w:tc>
          <w:tcPr>
            <w:tcW w:w="3652" w:type="dxa"/>
            <w:shd w:val="clear" w:color="auto" w:fill="F8B47C"/>
            <w:noWrap/>
            <w:tcMar>
              <w:top w:w="0" w:type="dxa"/>
              <w:bottom w:w="0" w:type="dxa"/>
            </w:tcMar>
            <w:vAlign w:val="center"/>
          </w:tcPr>
          <w:p w:rsidR="007C1F9F" w:rsidRPr="004E63AB" w:rsidRDefault="007C1F9F" w:rsidP="00186172">
            <w:pPr>
              <w:pStyle w:val="AERtabletextheading"/>
            </w:pPr>
            <w:r w:rsidRPr="00837EFB">
              <w:t>Seasoned equity offerings required</w:t>
            </w:r>
          </w:p>
        </w:tc>
        <w:tc>
          <w:tcPr>
            <w:tcW w:w="2126" w:type="dxa"/>
            <w:shd w:val="clear" w:color="auto" w:fill="F8B47C"/>
            <w:noWrap/>
            <w:tcMar>
              <w:top w:w="0" w:type="dxa"/>
              <w:bottom w:w="0" w:type="dxa"/>
            </w:tcMar>
            <w:vAlign w:val="center"/>
          </w:tcPr>
          <w:p w:rsidR="007C1F9F" w:rsidRPr="004E63AB" w:rsidRDefault="007C1F9F" w:rsidP="00186172">
            <w:pPr>
              <w:pStyle w:val="AERtabletext-numbers"/>
            </w:pPr>
            <w:r w:rsidRPr="009D579D">
              <w:t>0.00</w:t>
            </w:r>
          </w:p>
        </w:tc>
        <w:tc>
          <w:tcPr>
            <w:tcW w:w="2744" w:type="dxa"/>
            <w:shd w:val="clear" w:color="auto" w:fill="F8B47C"/>
            <w:noWrap/>
            <w:tcMar>
              <w:top w:w="0" w:type="dxa"/>
              <w:bottom w:w="0" w:type="dxa"/>
            </w:tcMar>
            <w:vAlign w:val="center"/>
          </w:tcPr>
          <w:p w:rsidR="007C1F9F" w:rsidRPr="004E63AB" w:rsidRDefault="007C1F9F" w:rsidP="00186172">
            <w:pPr>
              <w:pStyle w:val="AERtabletext"/>
            </w:pPr>
            <w:r w:rsidRPr="000D58CD">
              <w:t>Required seasoned equity offerings (SEOs).</w:t>
            </w:r>
          </w:p>
        </w:tc>
      </w:tr>
      <w:tr w:rsidR="007C1F9F" w:rsidRPr="000D58CD" w:rsidTr="00186172">
        <w:tc>
          <w:tcPr>
            <w:tcW w:w="3652" w:type="dxa"/>
            <w:shd w:val="clear" w:color="auto" w:fill="auto"/>
            <w:noWrap/>
            <w:tcMar>
              <w:top w:w="0" w:type="dxa"/>
              <w:bottom w:w="0" w:type="dxa"/>
            </w:tcMar>
            <w:vAlign w:val="center"/>
          </w:tcPr>
          <w:p w:rsidR="007C1F9F" w:rsidRPr="004E63AB" w:rsidRDefault="007C1F9F" w:rsidP="00186172">
            <w:pPr>
              <w:pStyle w:val="AERtabletextheading"/>
            </w:pPr>
            <w:r w:rsidRPr="00837EFB">
              <w:t>Cost of dividend reinvestment plan</w:t>
            </w:r>
          </w:p>
        </w:tc>
        <w:tc>
          <w:tcPr>
            <w:tcW w:w="2126" w:type="dxa"/>
            <w:shd w:val="clear" w:color="auto" w:fill="auto"/>
            <w:noWrap/>
            <w:tcMar>
              <w:top w:w="0" w:type="dxa"/>
              <w:bottom w:w="0" w:type="dxa"/>
            </w:tcMar>
            <w:vAlign w:val="center"/>
          </w:tcPr>
          <w:p w:rsidR="007C1F9F" w:rsidRPr="004E63AB" w:rsidRDefault="007C1F9F" w:rsidP="00186172">
            <w:pPr>
              <w:pStyle w:val="AERtabletext-numbers"/>
            </w:pPr>
            <w:r w:rsidRPr="009D579D">
              <w:t>0.00</w:t>
            </w:r>
          </w:p>
        </w:tc>
        <w:tc>
          <w:tcPr>
            <w:tcW w:w="2744" w:type="dxa"/>
            <w:shd w:val="clear" w:color="auto" w:fill="auto"/>
            <w:noWrap/>
            <w:tcMar>
              <w:top w:w="0" w:type="dxa"/>
              <w:bottom w:w="0" w:type="dxa"/>
            </w:tcMar>
            <w:vAlign w:val="center"/>
          </w:tcPr>
          <w:p w:rsidR="007C1F9F" w:rsidRPr="004E63AB" w:rsidRDefault="007C1F9F" w:rsidP="00186172">
            <w:pPr>
              <w:pStyle w:val="AERtabletext"/>
            </w:pPr>
            <w:r w:rsidRPr="000D58CD">
              <w:t>Required reinvested dividen</w:t>
            </w:r>
            <w:r w:rsidRPr="004E63AB">
              <w:t>ds multiplied by benchmark cost.</w:t>
            </w:r>
          </w:p>
        </w:tc>
      </w:tr>
      <w:tr w:rsidR="007C1F9F" w:rsidRPr="000D58CD" w:rsidTr="00186172">
        <w:tc>
          <w:tcPr>
            <w:tcW w:w="3652" w:type="dxa"/>
            <w:shd w:val="clear" w:color="auto" w:fill="F8B47C"/>
            <w:noWrap/>
            <w:tcMar>
              <w:top w:w="0" w:type="dxa"/>
              <w:bottom w:w="0" w:type="dxa"/>
            </w:tcMar>
            <w:vAlign w:val="center"/>
          </w:tcPr>
          <w:p w:rsidR="007C1F9F" w:rsidRPr="004E63AB" w:rsidRDefault="007C1F9F" w:rsidP="00186172">
            <w:pPr>
              <w:pStyle w:val="AERtabletextheading"/>
            </w:pPr>
            <w:r w:rsidRPr="00837EFB">
              <w:t xml:space="preserve">Cost of seasoned equity offerings </w:t>
            </w:r>
          </w:p>
        </w:tc>
        <w:tc>
          <w:tcPr>
            <w:tcW w:w="2126" w:type="dxa"/>
            <w:shd w:val="clear" w:color="auto" w:fill="F8B47C"/>
            <w:noWrap/>
            <w:tcMar>
              <w:top w:w="0" w:type="dxa"/>
              <w:bottom w:w="0" w:type="dxa"/>
            </w:tcMar>
            <w:vAlign w:val="center"/>
          </w:tcPr>
          <w:p w:rsidR="007C1F9F" w:rsidRPr="004E63AB" w:rsidRDefault="007C1F9F" w:rsidP="00186172">
            <w:pPr>
              <w:pStyle w:val="AERtabletext-numbers"/>
            </w:pPr>
            <w:r w:rsidRPr="009D579D">
              <w:t>0.00</w:t>
            </w:r>
          </w:p>
        </w:tc>
        <w:tc>
          <w:tcPr>
            <w:tcW w:w="2744" w:type="dxa"/>
            <w:shd w:val="clear" w:color="auto" w:fill="F8B47C"/>
            <w:noWrap/>
            <w:tcMar>
              <w:top w:w="0" w:type="dxa"/>
              <w:bottom w:w="0" w:type="dxa"/>
            </w:tcMar>
            <w:vAlign w:val="center"/>
          </w:tcPr>
          <w:p w:rsidR="007C1F9F" w:rsidRPr="004E63AB" w:rsidRDefault="007C1F9F" w:rsidP="00186172">
            <w:pPr>
              <w:pStyle w:val="AERtabletext"/>
            </w:pPr>
            <w:r w:rsidRPr="000D58CD">
              <w:t>Required SEOs multiplied by the benchmark cost.</w:t>
            </w:r>
          </w:p>
        </w:tc>
      </w:tr>
      <w:tr w:rsidR="007C1F9F" w:rsidRPr="000D58CD" w:rsidTr="00186172">
        <w:tc>
          <w:tcPr>
            <w:tcW w:w="3652" w:type="dxa"/>
            <w:shd w:val="clear" w:color="auto" w:fill="auto"/>
            <w:noWrap/>
            <w:tcMar>
              <w:top w:w="0" w:type="dxa"/>
              <w:bottom w:w="0" w:type="dxa"/>
            </w:tcMar>
            <w:vAlign w:val="center"/>
          </w:tcPr>
          <w:p w:rsidR="007C1F9F" w:rsidRPr="004E63AB" w:rsidRDefault="007C1F9F" w:rsidP="00186172">
            <w:pPr>
              <w:pStyle w:val="AERtabletextheading"/>
            </w:pPr>
            <w:r w:rsidRPr="00837EFB">
              <w:t>Total equity raising costs</w:t>
            </w:r>
          </w:p>
        </w:tc>
        <w:tc>
          <w:tcPr>
            <w:tcW w:w="2126" w:type="dxa"/>
            <w:shd w:val="clear" w:color="auto" w:fill="auto"/>
            <w:noWrap/>
            <w:tcMar>
              <w:top w:w="0" w:type="dxa"/>
              <w:bottom w:w="0" w:type="dxa"/>
            </w:tcMar>
            <w:vAlign w:val="center"/>
          </w:tcPr>
          <w:p w:rsidR="007C1F9F" w:rsidRPr="004E63AB" w:rsidRDefault="007C1F9F" w:rsidP="00186172">
            <w:pPr>
              <w:pStyle w:val="AERtabletext-numbers"/>
            </w:pPr>
            <w:r w:rsidRPr="009D579D">
              <w:t>0.00</w:t>
            </w:r>
          </w:p>
        </w:tc>
        <w:tc>
          <w:tcPr>
            <w:tcW w:w="2744" w:type="dxa"/>
            <w:shd w:val="clear" w:color="auto" w:fill="auto"/>
            <w:noWrap/>
            <w:tcMar>
              <w:top w:w="0" w:type="dxa"/>
              <w:bottom w:w="0" w:type="dxa"/>
            </w:tcMar>
            <w:vAlign w:val="center"/>
          </w:tcPr>
          <w:p w:rsidR="007C1F9F" w:rsidRPr="004E63AB" w:rsidRDefault="007C1F9F" w:rsidP="00186172">
            <w:pPr>
              <w:pStyle w:val="AERtabletext"/>
            </w:pPr>
            <w:r w:rsidRPr="000D58CD">
              <w:t xml:space="preserve">Sum of costs of dividend reinvestment plan and SEOs. To be added to the RAB at the start of the </w:t>
            </w:r>
            <w:r>
              <w:t>access arrangement period</w:t>
            </w:r>
            <w:r w:rsidRPr="000D58CD">
              <w:t>.</w:t>
            </w:r>
          </w:p>
        </w:tc>
      </w:tr>
    </w:tbl>
    <w:p w:rsidR="007C1F9F" w:rsidRDefault="007C1F9F" w:rsidP="007C1F9F">
      <w:pPr>
        <w:pStyle w:val="AERtablesource"/>
      </w:pPr>
      <w:r>
        <w:t>Source:</w:t>
      </w:r>
      <w:r>
        <w:tab/>
        <w:t>AER analysis</w:t>
      </w:r>
    </w:p>
    <w:p w:rsidR="007C1F9F" w:rsidRDefault="007C1F9F" w:rsidP="007C1F9F">
      <w:pPr>
        <w:pStyle w:val="AERheading3"/>
        <w:numPr>
          <w:ilvl w:val="2"/>
          <w:numId w:val="7"/>
        </w:numPr>
        <w:tabs>
          <w:tab w:val="clear" w:pos="-357"/>
          <w:tab w:val="num" w:pos="0"/>
        </w:tabs>
        <w:ind w:left="0" w:hanging="714"/>
      </w:pPr>
      <w:r>
        <w:t>Speculative capital expenditure account</w:t>
      </w:r>
    </w:p>
    <w:p w:rsidR="007C1F9F" w:rsidRPr="00545890" w:rsidRDefault="007C1F9F" w:rsidP="007C1F9F">
      <w:pPr>
        <w:pStyle w:val="AERbodytext"/>
      </w:pPr>
      <w:r w:rsidRPr="00545890">
        <w:t>APA GasNet has included a provision allowing for non-conforming capex that is not recovered through a capital contribution or surcharge to be included in a speculative capital expenditure account in accordance with r. 84</w:t>
      </w:r>
      <w:r w:rsidR="00231F3C">
        <w:t xml:space="preserve"> of the NGR</w:t>
      </w:r>
      <w:r w:rsidRPr="00545890">
        <w:t>.</w:t>
      </w:r>
      <w:r>
        <w:rPr>
          <w:rStyle w:val="FootnoteReference"/>
        </w:rPr>
        <w:footnoteReference w:id="205"/>
      </w:r>
    </w:p>
    <w:p w:rsidR="007C1F9F" w:rsidRPr="00545890" w:rsidRDefault="007C1F9F" w:rsidP="007C1F9F">
      <w:pPr>
        <w:pStyle w:val="AERbodytext"/>
      </w:pPr>
      <w:r w:rsidRPr="00545890">
        <w:t xml:space="preserve">APA GasNet has not proposed or identified any speculative capital expenditure that would be included in such an account or set out any particular </w:t>
      </w:r>
      <w:r>
        <w:t>justification for the account.</w:t>
      </w:r>
      <w:r>
        <w:rPr>
          <w:rStyle w:val="FootnoteReference"/>
        </w:rPr>
        <w:footnoteReference w:id="206"/>
      </w:r>
    </w:p>
    <w:p w:rsidR="007C1F9F" w:rsidRPr="00545890" w:rsidRDefault="007C1F9F" w:rsidP="007C1F9F">
      <w:pPr>
        <w:pStyle w:val="AERbodytext"/>
      </w:pPr>
      <w:r w:rsidRPr="00545890">
        <w:t>The discussion in this attachment does not cover the application of a rate of return to expenditure in a speculative capital expenditure account. This is considered in attachment 4 of this draft decision.</w:t>
      </w:r>
    </w:p>
    <w:p w:rsidR="007C1F9F" w:rsidRPr="00545890" w:rsidRDefault="007C1F9F" w:rsidP="007C1F9F">
      <w:pPr>
        <w:pStyle w:val="AERbodytext"/>
      </w:pPr>
      <w:r w:rsidRPr="00545890">
        <w:t>The AER considered submissions on the operation of a speculative capital expenditure account from BHP Billiton (BHPB) and the Energy Users Coalition of Victoria (EUCV). These submissions focused on the proposed rate of return to apply to the account, and are discussed in attachment 4.</w:t>
      </w:r>
    </w:p>
    <w:p w:rsidR="007C1F9F" w:rsidRPr="00545890" w:rsidRDefault="007C1F9F" w:rsidP="007C1F9F">
      <w:pPr>
        <w:pStyle w:val="AERbodytext"/>
      </w:pPr>
      <w:r w:rsidRPr="00545890">
        <w:t xml:space="preserve">The AER considers that under r. 84(1) </w:t>
      </w:r>
      <w:r w:rsidR="00231F3C">
        <w:t xml:space="preserve">of the NGR </w:t>
      </w:r>
      <w:r w:rsidRPr="00545890">
        <w:t>any non-conforming capex assessed by the AER, once made, could be added to a speculative capital expenditure account where such non-conforming capex is not to be recovered through a surcharge or capital contribution</w:t>
      </w:r>
      <w:r w:rsidR="00231F3C">
        <w:rPr>
          <w:rStyle w:val="FootnoteReference"/>
        </w:rPr>
        <w:footnoteReference w:id="207"/>
      </w:r>
      <w:r w:rsidRPr="00545890">
        <w:t xml:space="preserve">. </w:t>
      </w:r>
    </w:p>
    <w:p w:rsidR="007C1F9F" w:rsidRPr="00545890" w:rsidRDefault="007C1F9F" w:rsidP="007C1F9F">
      <w:pPr>
        <w:pStyle w:val="AERbodytext"/>
      </w:pPr>
      <w:r w:rsidRPr="00545890">
        <w:t>Recovery by means of a surcharge or capital contribution may be preferable options to the use of a speculative capital expenditure account, depending on the type or volume of expenditure and the circumstances.</w:t>
      </w:r>
    </w:p>
    <w:p w:rsidR="007C1F9F" w:rsidRDefault="007C1F9F" w:rsidP="007C1F9F">
      <w:pPr>
        <w:pStyle w:val="AERbodytext"/>
      </w:pPr>
      <w:r w:rsidRPr="00545890">
        <w:t>The AER considers that an example of speculative capex may be where a service provider considers that increases in capacity at the time of construction of new assets is warranted but the AER determines that it is non-conforming capital expenditure</w:t>
      </w:r>
      <w:r>
        <w:t xml:space="preserve"> because it is not justified by demand</w:t>
      </w:r>
      <w:r w:rsidRPr="00545890">
        <w:t>. The service provider may proceed with the construction because it considers that demand growth in the area will be considerably higher than the demand growth that the AER considers will occur. In such an event, the difference between the expenditure considered by the AER to be conforming capex and the cost of the pipe laid by the service provider may be speculative capex if the expenditure is not recovered through a surcharge or capital contribution.</w:t>
      </w:r>
    </w:p>
    <w:p w:rsidR="007C1F9F" w:rsidRPr="00545890" w:rsidRDefault="007C1F9F" w:rsidP="007C1F9F">
      <w:pPr>
        <w:pStyle w:val="AERbodytext"/>
      </w:pPr>
      <w:r w:rsidRPr="00545890">
        <w:t>Subsequently, it may become evident that due to changes in the type or volume of services, the extension becomes conforming capex, as assessed by the AER under r</w:t>
      </w:r>
      <w:r>
        <w:t>. </w:t>
      </w:r>
      <w:r w:rsidRPr="00545890">
        <w:t>84(3)</w:t>
      </w:r>
      <w:r w:rsidR="00231F3C">
        <w:t xml:space="preserve"> of the NGR</w:t>
      </w:r>
      <w:r w:rsidRPr="00545890">
        <w:t>. In this situation, the relevant portion of the expenditure that was previously non-conforming capex may be rolled into the capital base at the commencement of the next access arrangement period, together with the return accrued to the expenditure during the period that it was in the fund. The service provider, however, takes on the risk that such expenditure may never become conforming capex.</w:t>
      </w:r>
    </w:p>
    <w:p w:rsidR="007C1F9F" w:rsidRPr="00545890" w:rsidRDefault="007C1F9F" w:rsidP="007C1F9F">
      <w:pPr>
        <w:pStyle w:val="AERbodytext"/>
      </w:pPr>
      <w:r w:rsidRPr="00545890">
        <w:t>The rate of return, whether this is the rate used to determine the reference tariff or a different rate, may affect whether a service provider would seek to have non-conforming capex entered into the speculative capex account.</w:t>
      </w:r>
    </w:p>
    <w:p w:rsidR="007C1F9F" w:rsidRPr="00545890" w:rsidRDefault="007C1F9F" w:rsidP="007C1F9F">
      <w:pPr>
        <w:pStyle w:val="AERbodytext"/>
      </w:pPr>
      <w:r w:rsidRPr="00545890">
        <w:t>The AER also considers that should capex be added to a speculative capital expenditure account, it would be necessary for a service provider to record when that capex is added to the account and the nature of the capex including the amount. Such information will be relevant to the AER's assessment should it consider whether such capex has become conforming capex and should be rolled into the capital base under r. 84(3)</w:t>
      </w:r>
      <w:r w:rsidR="00231F3C">
        <w:t xml:space="preserve"> of the NGR</w:t>
      </w:r>
      <w:r w:rsidRPr="00545890">
        <w:t xml:space="preserve">. Any determination made by the AER on non-conforming capex during the course of a reset and under r. 80 </w:t>
      </w:r>
      <w:r w:rsidR="00231F3C">
        <w:t xml:space="preserve">of the NGR </w:t>
      </w:r>
      <w:r w:rsidRPr="00545890">
        <w:t xml:space="preserve">may also be relevant to such an assessment. </w:t>
      </w:r>
    </w:p>
    <w:p w:rsidR="007C1F9F" w:rsidRPr="00545890" w:rsidRDefault="007C1F9F" w:rsidP="007C1F9F">
      <w:pPr>
        <w:pStyle w:val="AERbodytext"/>
      </w:pPr>
      <w:r w:rsidRPr="00545890">
        <w:t>Consistent with the inclusion</w:t>
      </w:r>
      <w:r>
        <w:t xml:space="preserve"> of a provision in the </w:t>
      </w:r>
      <w:r w:rsidR="00202065">
        <w:t>2008–12</w:t>
      </w:r>
      <w:r>
        <w:t xml:space="preserve"> access a</w:t>
      </w:r>
      <w:r w:rsidRPr="00545890">
        <w:t>rrangement for the establishment of a speculative capex account, the AER considers provision for a speculativ</w:t>
      </w:r>
      <w:r>
        <w:t xml:space="preserve">e capex account in the </w:t>
      </w:r>
      <w:r w:rsidR="00202065">
        <w:t>2013–17</w:t>
      </w:r>
      <w:r>
        <w:t xml:space="preserve"> access a</w:t>
      </w:r>
      <w:r w:rsidRPr="00545890">
        <w:t>rrangement is appropriate. Such an account, however, should be consistent with the r</w:t>
      </w:r>
      <w:r>
        <w:t>. </w:t>
      </w:r>
      <w:r w:rsidRPr="00545890">
        <w:t xml:space="preserve">84 </w:t>
      </w:r>
      <w:r w:rsidR="00231F3C">
        <w:t xml:space="preserve">of the NGR </w:t>
      </w:r>
      <w:r w:rsidRPr="00545890">
        <w:t>provisions and not promote the construction of non-prudent investment. The AER therefore considers that APA GasNet should amend its access arrangement to reflect the following:</w:t>
      </w:r>
    </w:p>
    <w:p w:rsidR="007C1F9F" w:rsidRDefault="007C1F9F" w:rsidP="007C1F9F">
      <w:pPr>
        <w:pStyle w:val="AERbodytext"/>
      </w:pPr>
      <w:r>
        <w:t>Consistent with r. </w:t>
      </w:r>
      <w:r w:rsidRPr="00545890">
        <w:t>84</w:t>
      </w:r>
      <w:r w:rsidR="0015517D">
        <w:t xml:space="preserve"> of the NGR</w:t>
      </w:r>
      <w:r w:rsidRPr="00545890">
        <w:t>, in order for capex to be added to a speculative capex account, after the capex has been made, the service provider must inform the AER that the capex is:</w:t>
      </w:r>
    </w:p>
    <w:p w:rsidR="007C1F9F" w:rsidRPr="007E3923" w:rsidRDefault="007C1F9F" w:rsidP="007C1F9F">
      <w:pPr>
        <w:pStyle w:val="AERnumberedlistfirststyle"/>
        <w:numPr>
          <w:ilvl w:val="0"/>
          <w:numId w:val="11"/>
        </w:numPr>
      </w:pPr>
      <w:r>
        <w:t>n</w:t>
      </w:r>
      <w:r w:rsidRPr="007E3923">
        <w:t>ot to be recovered through a surcharge or a capital contribution</w:t>
      </w:r>
    </w:p>
    <w:p w:rsidR="007C1F9F" w:rsidRPr="007E3923" w:rsidRDefault="007C1F9F" w:rsidP="007C1F9F">
      <w:pPr>
        <w:pStyle w:val="AERnumberedlistfirststyle"/>
      </w:pPr>
      <w:r>
        <w:t>o</w:t>
      </w:r>
      <w:r w:rsidRPr="007E3923">
        <w:t>therwise conforming but for the type or volume of the service associated with the capex.</w:t>
      </w:r>
    </w:p>
    <w:p w:rsidR="007C1F9F" w:rsidRPr="00545890" w:rsidRDefault="007C1F9F" w:rsidP="007C1F9F">
      <w:pPr>
        <w:pStyle w:val="AERbodytext"/>
      </w:pPr>
      <w:r w:rsidRPr="00545890">
        <w:t>At that time, the AER will determine the rate of return on the speculative capex account, based on the risk associated with that particular investment, as discussed in attachment 4.</w:t>
      </w:r>
    </w:p>
    <w:p w:rsidR="007C1F9F" w:rsidRPr="00545890" w:rsidRDefault="007C1F9F" w:rsidP="007C1F9F">
      <w:pPr>
        <w:pStyle w:val="AERbodytext"/>
      </w:pPr>
      <w:r w:rsidRPr="00545890">
        <w:t>Capex that is non-conforming capex only because of the type or volume of the service may become conforming capex should the type or volume of services related to such capex change.  Such a decision will be made by the AER in accordance with r. 84(3).</w:t>
      </w:r>
    </w:p>
    <w:p w:rsidR="007C1F9F" w:rsidRPr="00545890" w:rsidRDefault="007C1F9F" w:rsidP="007C1F9F">
      <w:pPr>
        <w:pStyle w:val="AERbodytext"/>
      </w:pPr>
      <w:r w:rsidRPr="00545890">
        <w:t>The regulatory framework should not discourage prudent investment. As set out in the NGO, prudent investment is in the long term interests of end users. The AER recognises there is a possibility that some expenditure may be prudent when made, but not recoverable from reference tariff users for some time (if at all) because it does not pass r</w:t>
      </w:r>
      <w:r w:rsidR="0015517D">
        <w:t>.</w:t>
      </w:r>
      <w:r>
        <w:t> </w:t>
      </w:r>
      <w:r w:rsidRPr="00545890">
        <w:t xml:space="preserve">79(2) </w:t>
      </w:r>
      <w:r w:rsidR="0015517D">
        <w:t xml:space="preserve">of the NGR </w:t>
      </w:r>
      <w:r w:rsidRPr="00545890">
        <w:t>when made. That is, the capex would be prudent but non-conforming capex. Placing prudent non-conforming capex in the speculative capex account until such time as it becomes conforming is in the interests of consumers. On the other hand, the regulatory regime should not encourage investment which is not prudent when made. Imprudent investment is not in the long term interests of end users. Accordingly, the cost of such expenditure is appropriately borne by a service provider’s shareholders. The AER’s proposed amendments to APA GasNet’s access arrangement seek to promote this balance.</w:t>
      </w:r>
    </w:p>
    <w:p w:rsidR="007C1F9F" w:rsidRPr="00545890" w:rsidRDefault="007C1F9F" w:rsidP="007C1F9F">
      <w:pPr>
        <w:pStyle w:val="AERbodytext"/>
      </w:pPr>
      <w:r w:rsidRPr="00545890">
        <w:t>As noted above, the AER considers in order for the AER to conduct an assessment under r.</w:t>
      </w:r>
      <w:r>
        <w:t> </w:t>
      </w:r>
      <w:r w:rsidRPr="00545890">
        <w:t>84(3)</w:t>
      </w:r>
      <w:r w:rsidR="0015517D">
        <w:t xml:space="preserve"> of the NGR</w:t>
      </w:r>
      <w:r w:rsidRPr="00545890">
        <w:t>, information on the timing and nature of any capex added to a speculative capital expenditure account must be provided to the AER at the time of that assessment</w:t>
      </w:r>
      <w:r>
        <w:t>.</w:t>
      </w:r>
    </w:p>
    <w:p w:rsidR="007C1F9F" w:rsidRPr="000D1DCA" w:rsidRDefault="007C1F9F" w:rsidP="007C1F9F">
      <w:pPr>
        <w:pStyle w:val="AERheading2"/>
        <w:numPr>
          <w:ilvl w:val="1"/>
          <w:numId w:val="7"/>
        </w:numPr>
        <w:tabs>
          <w:tab w:val="clear" w:pos="4317"/>
          <w:tab w:val="num" w:pos="0"/>
        </w:tabs>
        <w:ind w:left="0" w:hanging="720"/>
      </w:pPr>
      <w:bookmarkStart w:id="53" w:name="_Toc334543765"/>
      <w:r>
        <w:t>Revisions</w:t>
      </w:r>
      <w:bookmarkEnd w:id="53"/>
    </w:p>
    <w:p w:rsidR="007C1F9F" w:rsidRPr="00A13DB4" w:rsidRDefault="007C1F9F" w:rsidP="007C1F9F">
      <w:pPr>
        <w:pStyle w:val="AERbodytext"/>
      </w:pPr>
      <w:r>
        <w:t>The AER requires the following revisions to make the access arrangement proposal acceptable</w:t>
      </w:r>
      <w:r w:rsidRPr="00A13DB4">
        <w:t>:</w:t>
      </w:r>
    </w:p>
    <w:p w:rsidR="007C1F9F" w:rsidRPr="0019054C" w:rsidRDefault="007C1F9F" w:rsidP="007C1F9F">
      <w:pPr>
        <w:pStyle w:val="AERrevisionbox"/>
      </w:pPr>
      <w:r w:rsidRPr="003E58DE">
        <w:rPr>
          <w:rStyle w:val="AERtextbold"/>
        </w:rPr>
        <w:t>Revision 3.</w:t>
      </w:r>
      <w:r>
        <w:rPr>
          <w:rStyle w:val="AERtextbold"/>
        </w:rPr>
        <w:t>1</w:t>
      </w:r>
      <w:r>
        <w:t xml:space="preserve"> Make all necessary amendments to reflect the AER’s draft decision on conforming capital expenditure for the </w:t>
      </w:r>
      <w:r w:rsidR="00202065">
        <w:t>2013–17</w:t>
      </w:r>
      <w:r>
        <w:t xml:space="preserve"> access arrangement period, as set out in </w:t>
      </w:r>
      <w:r w:rsidR="00DE0D6A">
        <w:fldChar w:fldCharType="begin"/>
      </w:r>
      <w:r>
        <w:instrText xml:space="preserve"> REF _Ref330897244 \r \h </w:instrText>
      </w:r>
      <w:r w:rsidR="00DE0D6A">
        <w:fldChar w:fldCharType="separate"/>
      </w:r>
      <w:r>
        <w:t>Table 3.2</w:t>
      </w:r>
      <w:r w:rsidR="00DE0D6A">
        <w:fldChar w:fldCharType="end"/>
      </w:r>
      <w:r>
        <w:t>.</w:t>
      </w:r>
    </w:p>
    <w:p w:rsidR="007C1F9F" w:rsidRDefault="007C1F9F" w:rsidP="007C1F9F">
      <w:pPr>
        <w:pStyle w:val="AERrevisionbox"/>
      </w:pPr>
      <w:r w:rsidRPr="00AB7C16">
        <w:rPr>
          <w:rStyle w:val="AERtextbold"/>
        </w:rPr>
        <w:t>Revision 3.</w:t>
      </w:r>
      <w:r>
        <w:rPr>
          <w:rStyle w:val="AERtextbold"/>
        </w:rPr>
        <w:t>2</w:t>
      </w:r>
      <w:r w:rsidRPr="00AB7C16">
        <w:t xml:space="preserve"> </w:t>
      </w:r>
      <w:r>
        <w:t>Amend section 3.2 of the access arrangement to reflect the AER's draft decision on the operation of the speculative capital expenditure account to ensure that:</w:t>
      </w:r>
    </w:p>
    <w:p w:rsidR="007C1F9F" w:rsidRDefault="007C1F9F" w:rsidP="007C1F9F">
      <w:pPr>
        <w:pStyle w:val="AERrevisionbox"/>
      </w:pPr>
      <w:r>
        <w:t>Consistent with r. 84</w:t>
      </w:r>
      <w:r w:rsidR="0015517D">
        <w:t xml:space="preserve"> of the NGR</w:t>
      </w:r>
      <w:r>
        <w:t>, in order for capex to be added to the speculative capital expenditure account, after the capex is made, APA GasNet must inform the AER that the capex is:</w:t>
      </w:r>
    </w:p>
    <w:p w:rsidR="007C1F9F" w:rsidRPr="00AB7C16" w:rsidRDefault="007C1F9F" w:rsidP="007C1F9F">
      <w:pPr>
        <w:pStyle w:val="AERrevisionbox"/>
      </w:pPr>
      <w:r>
        <w:t xml:space="preserve">1. </w:t>
      </w:r>
      <w:r w:rsidRPr="00AB7C16">
        <w:t>not to be recovered through a surcharge or a capital contribution</w:t>
      </w:r>
    </w:p>
    <w:p w:rsidR="007C1F9F" w:rsidRPr="00AB7C16" w:rsidRDefault="007C1F9F" w:rsidP="007C1F9F">
      <w:pPr>
        <w:pStyle w:val="AERrevisionbox"/>
      </w:pPr>
      <w:r>
        <w:t xml:space="preserve">2. </w:t>
      </w:r>
      <w:r w:rsidRPr="00AB7C16">
        <w:t>otherwise conforming but for the type or volume of the service associated with the capex.</w:t>
      </w:r>
    </w:p>
    <w:p w:rsidR="007C1F9F" w:rsidRDefault="007C1F9F" w:rsidP="007C1F9F">
      <w:pPr>
        <w:pStyle w:val="AERheading1"/>
        <w:numPr>
          <w:ilvl w:val="0"/>
          <w:numId w:val="7"/>
        </w:numPr>
        <w:tabs>
          <w:tab w:val="clear" w:pos="-357"/>
          <w:tab w:val="num" w:pos="0"/>
        </w:tabs>
      </w:pPr>
      <w:bookmarkStart w:id="54" w:name="_Toc334543766"/>
      <w:bookmarkStart w:id="55" w:name="_Ref308171124"/>
      <w:r>
        <w:t>Rate of return</w:t>
      </w:r>
      <w:bookmarkEnd w:id="54"/>
    </w:p>
    <w:p w:rsidR="007E742F" w:rsidRPr="007E742F" w:rsidRDefault="007E742F" w:rsidP="007E742F">
      <w:pPr>
        <w:pStyle w:val="AERbodytext"/>
      </w:pPr>
      <w:r w:rsidRPr="007E742F">
        <w:t>The rate of return is an input to the building block approach that the Australian Energy Regulator (AER) uses to determine total revenue for each regulatory year of the access arrangement period. The rate of return is to be commensurate with prevailing conditions in the market for funds and the risks involved in providing reference services.</w:t>
      </w:r>
      <w:r w:rsidRPr="007E742F">
        <w:rPr>
          <w:rStyle w:val="FootnoteReference"/>
        </w:rPr>
        <w:footnoteReference w:id="208"/>
      </w:r>
    </w:p>
    <w:p w:rsidR="007E742F" w:rsidRPr="007E742F" w:rsidRDefault="007E742F" w:rsidP="007E742F">
      <w:pPr>
        <w:pStyle w:val="AERbodytext"/>
      </w:pPr>
      <w:r w:rsidRPr="007E742F">
        <w:t>The AER calculated APA GasNet's return on capital building block by multiplying the rate of return with the value of its projected capital base. Consistent with APA GasNet's access arrangement proposal and previous AER gas decisions, the AER adopted a rate of return that is based on a nominal vanilla weighted average cost of capital (WACC) formulation.</w:t>
      </w:r>
    </w:p>
    <w:p w:rsidR="007E742F" w:rsidRPr="007E742F" w:rsidRDefault="007E742F" w:rsidP="007E742F">
      <w:pPr>
        <w:pStyle w:val="AERheading2"/>
      </w:pPr>
      <w:r w:rsidRPr="007E742F">
        <w:t>Draft decision</w:t>
      </w:r>
    </w:p>
    <w:p w:rsidR="007E742F" w:rsidRPr="007E742F" w:rsidRDefault="007E742F" w:rsidP="007E742F">
      <w:pPr>
        <w:pStyle w:val="AERbodytext"/>
      </w:pPr>
      <w:r w:rsidRPr="007E742F">
        <w:t>The AER does not approve APA GasNet's proposed (indicative) rate of return of 9.06 per cent. The AER withholds its approval because, in the AER's opinion, 7.16 per cent (subject to updating) is a preferable alternative that is commensurate with prevailing conditions in the market for funds and the risks involved in providing reference services.</w:t>
      </w:r>
      <w:r w:rsidRPr="007E742F">
        <w:rPr>
          <w:rStyle w:val="FootnoteReference"/>
        </w:rPr>
        <w:footnoteReference w:id="209"/>
      </w:r>
    </w:p>
    <w:p w:rsidR="007E742F" w:rsidRPr="007E742F" w:rsidRDefault="007E742F" w:rsidP="007E742F">
      <w:pPr>
        <w:pStyle w:val="AERbodytext"/>
      </w:pPr>
      <w:r w:rsidRPr="007E742F">
        <w:t>APA GasNet's proposed rate of 9.06 per cent is based on market data from November-December 2011. The AER's draft decision rate of 7.16 per cent is based on market data from July-August 2012. APA GasNet's proposed rate of return method, if also applied to market data from July-August 2011, would result in a proposed rate of 7.99 per cent.</w:t>
      </w:r>
    </w:p>
    <w:p w:rsidR="007E742F" w:rsidRPr="007E742F" w:rsidRDefault="007E742F" w:rsidP="007E742F">
      <w:pPr>
        <w:pStyle w:val="AERbodytext"/>
      </w:pPr>
      <w:r w:rsidRPr="007E742F">
        <w:t>Both APA GasNet's proposed rate of return method, and the AER's draft decision method, are to be applied using market data for the risk free rate and debt risk premium (DRP) updated closer to the time of the final decision.</w:t>
      </w:r>
    </w:p>
    <w:p w:rsidR="007E742F" w:rsidRPr="007E742F" w:rsidRDefault="007E742F" w:rsidP="007E742F">
      <w:pPr>
        <w:pStyle w:val="AERbodytext"/>
      </w:pPr>
      <w:r w:rsidRPr="007E742F">
        <w:t>The AER considers a 7.16 per cent rate of return (subject to updating) provides APA GasNet with a reasonable opportunity to recover at least the efficient costs of capital financing. Consequently, the AER expects APA GasNet will be able to attract funds to support the efficient investment in, and efficient operation and use of, natural gas services for the long term interests of consumers.</w:t>
      </w:r>
    </w:p>
    <w:p w:rsidR="007E742F" w:rsidRPr="007E742F" w:rsidRDefault="007E742F" w:rsidP="007E742F">
      <w:pPr>
        <w:pStyle w:val="AERbodytext"/>
      </w:pPr>
      <w:r w:rsidRPr="007E742F">
        <w:t>The AER agrees with the following aspects of APA GasNet's proposed rate of return method:</w:t>
      </w:r>
    </w:p>
    <w:p w:rsidR="007E742F" w:rsidRPr="007E742F" w:rsidRDefault="007E742F" w:rsidP="007E742F">
      <w:pPr>
        <w:pStyle w:val="AERbulletlistfirststyle"/>
      </w:pPr>
      <w:r w:rsidRPr="007E742F">
        <w:t>adopting the capital asset pricing model (CAPM) to calculate the cost of equity</w:t>
      </w:r>
    </w:p>
    <w:p w:rsidR="007E742F" w:rsidRPr="007E742F" w:rsidRDefault="007E742F" w:rsidP="007E742F">
      <w:pPr>
        <w:pStyle w:val="AERbulletlistfirststyle"/>
      </w:pPr>
      <w:r w:rsidRPr="007E742F">
        <w:t>adopting the yield on 10 year Commonwealth Government Securities (CGS) as the proxy for the risk free rate</w:t>
      </w:r>
    </w:p>
    <w:p w:rsidR="007E742F" w:rsidRPr="007E742F" w:rsidRDefault="007E742F" w:rsidP="007E742F">
      <w:pPr>
        <w:pStyle w:val="AERbulletlistfirststyle"/>
      </w:pPr>
      <w:r w:rsidRPr="007E742F">
        <w:t>adopting an equity beta of 0.8.</w:t>
      </w:r>
    </w:p>
    <w:p w:rsidR="007E742F" w:rsidRPr="007E742F" w:rsidRDefault="007E742F" w:rsidP="007E742F">
      <w:pPr>
        <w:pStyle w:val="AERbulletlistfirststyle"/>
      </w:pPr>
      <w:r w:rsidRPr="007E742F">
        <w:t>specifying the cost of debt as the debt risk premium over the risk free rate</w:t>
      </w:r>
    </w:p>
    <w:p w:rsidR="007E742F" w:rsidRPr="007E742F" w:rsidRDefault="007E742F" w:rsidP="007E742F">
      <w:pPr>
        <w:pStyle w:val="AERbulletlistfirststyle"/>
      </w:pPr>
      <w:r w:rsidRPr="007E742F">
        <w:t>determining the debt risk premium by defining the benchmark bond as a 10 year Australian corporate bond with a BBB+ credit rating and measuring the benchmark bond rate using the extrapolated Bloomberg BBB rated seven year fair value curve</w:t>
      </w:r>
    </w:p>
    <w:p w:rsidR="007E742F" w:rsidRPr="007E742F" w:rsidRDefault="007E742F" w:rsidP="007E742F">
      <w:pPr>
        <w:pStyle w:val="AERbulletlistfirststyle"/>
      </w:pPr>
      <w:r w:rsidRPr="007E742F">
        <w:t>extrapolating the Bloomberg BBB rated seven year fair value curve to a 10 year maturity (consistent with the definition of the benchmark bond) using paired bond analysis</w:t>
      </w:r>
      <w:r w:rsidRPr="007E742F">
        <w:rPr>
          <w:rStyle w:val="FootnoteReference"/>
        </w:rPr>
        <w:footnoteReference w:id="210"/>
      </w:r>
    </w:p>
    <w:p w:rsidR="007E742F" w:rsidRPr="007E742F" w:rsidRDefault="007E742F" w:rsidP="007E742F">
      <w:pPr>
        <w:pStyle w:val="AERbulletlistfirststyle"/>
      </w:pPr>
      <w:r w:rsidRPr="007E742F">
        <w:t>adopting a 60 per cent gearing ratio</w:t>
      </w:r>
    </w:p>
    <w:p w:rsidR="007E742F" w:rsidRPr="007E742F" w:rsidRDefault="007E742F" w:rsidP="007E742F">
      <w:pPr>
        <w:pStyle w:val="AERbulletlistfirststyle"/>
      </w:pPr>
      <w:r w:rsidRPr="007E742F">
        <w:rPr>
          <w:rFonts w:eastAsia="Calibri"/>
        </w:rPr>
        <w:t>adopting the inflation forecasting method based on short term Reserve Bank of Australia (RBA) forecasts and the mid-point of the RBA's inflation targeting band</w:t>
      </w:r>
    </w:p>
    <w:p w:rsidR="007E742F" w:rsidRPr="007E742F" w:rsidRDefault="007E742F" w:rsidP="007E742F">
      <w:pPr>
        <w:pStyle w:val="AERbodytext"/>
      </w:pPr>
      <w:r w:rsidRPr="007E742F">
        <w:t>But the AER does not agree with the following aspects of APA GasNet's proposal:</w:t>
      </w:r>
    </w:p>
    <w:p w:rsidR="007E742F" w:rsidRPr="007E742F" w:rsidRDefault="007E742F" w:rsidP="007E742F">
      <w:pPr>
        <w:pStyle w:val="AERbulletlistfirststyle"/>
      </w:pPr>
      <w:r w:rsidRPr="007E742F">
        <w:t xml:space="preserve">the value for the market risk premium (MRP). The AER adopts a MRP of 6 per cent instead of APA GasNet's proposal of 8.5 per cent, as explained in section </w:t>
      </w:r>
      <w:r w:rsidR="00DE0D6A" w:rsidRPr="007E742F">
        <w:fldChar w:fldCharType="begin"/>
      </w:r>
      <w:r w:rsidRPr="007E742F">
        <w:instrText xml:space="preserve"> REF _Ref333916669 \r \h </w:instrText>
      </w:r>
      <w:r w:rsidR="00DE0D6A" w:rsidRPr="007E742F">
        <w:fldChar w:fldCharType="separate"/>
      </w:r>
      <w:r w:rsidRPr="007E742F">
        <w:t>4.3.3</w:t>
      </w:r>
      <w:r w:rsidR="00DE0D6A" w:rsidRPr="007E742F">
        <w:fldChar w:fldCharType="end"/>
      </w:r>
      <w:r w:rsidR="00DE0D6A" w:rsidRPr="007E742F">
        <w:fldChar w:fldCharType="begin"/>
      </w:r>
      <w:r w:rsidRPr="007E742F">
        <w:instrText xml:space="preserve"> REF _Ref333505596 \r \h </w:instrText>
      </w:r>
      <w:r w:rsidR="00DE0D6A" w:rsidRPr="007E742F">
        <w:fldChar w:fldCharType="end"/>
      </w:r>
      <w:r w:rsidRPr="007E742F">
        <w:t>.</w:t>
      </w:r>
    </w:p>
    <w:p w:rsidR="007E742F" w:rsidRPr="007E742F" w:rsidRDefault="007E742F" w:rsidP="007E742F">
      <w:pPr>
        <w:pStyle w:val="AERbulletlistfirststyle"/>
      </w:pPr>
      <w:r w:rsidRPr="007E742F">
        <w:t xml:space="preserve">the value of the equity beta in the rate applied to APA GasNet's speculative capex account. The AER will not set a rate of return on the speculative capex account at this time, as explained in section </w:t>
      </w:r>
      <w:r w:rsidR="00DE0D6A" w:rsidRPr="007E742F">
        <w:fldChar w:fldCharType="begin"/>
      </w:r>
      <w:r w:rsidRPr="007E742F">
        <w:instrText xml:space="preserve"> REF _Ref334788093 \r \h </w:instrText>
      </w:r>
      <w:r w:rsidR="00DE0D6A" w:rsidRPr="007E742F">
        <w:fldChar w:fldCharType="separate"/>
      </w:r>
      <w:r w:rsidRPr="007E742F">
        <w:t>4.3.10</w:t>
      </w:r>
      <w:r w:rsidR="00DE0D6A" w:rsidRPr="007E742F">
        <w:fldChar w:fldCharType="end"/>
      </w:r>
      <w:r w:rsidRPr="007E742F">
        <w:t>.</w:t>
      </w:r>
    </w:p>
    <w:p w:rsidR="007E742F" w:rsidRPr="007E742F" w:rsidRDefault="00DE0D6A" w:rsidP="007E742F">
      <w:pPr>
        <w:pStyle w:val="AERbodytext"/>
      </w:pPr>
      <w:r w:rsidRPr="007E742F">
        <w:fldChar w:fldCharType="begin"/>
      </w:r>
      <w:r w:rsidR="007E742F" w:rsidRPr="007E742F">
        <w:instrText xml:space="preserve"> REF _Ref332977123 \r \h </w:instrText>
      </w:r>
      <w:r w:rsidRPr="007E742F">
        <w:fldChar w:fldCharType="separate"/>
      </w:r>
      <w:r w:rsidR="007E742F" w:rsidRPr="007E742F">
        <w:t>Table 4.1</w:t>
      </w:r>
      <w:r w:rsidRPr="007E742F">
        <w:fldChar w:fldCharType="end"/>
      </w:r>
      <w:r w:rsidR="007E742F" w:rsidRPr="007E742F">
        <w:t xml:space="preserve"> sets out the individual WACC parameters and consequent (indicative) rate of return determined by the AER.</w:t>
      </w:r>
    </w:p>
    <w:p w:rsidR="007E742F" w:rsidRPr="007E742F" w:rsidRDefault="007E742F" w:rsidP="007E742F">
      <w:pPr>
        <w:pStyle w:val="AERtabletitle"/>
      </w:pPr>
      <w:bookmarkStart w:id="56" w:name="_Ref332977123"/>
      <w:bookmarkStart w:id="57" w:name="_Ref334132286"/>
      <w:r w:rsidRPr="007E742F">
        <w:t>AER's draft decision on APA GasNet's rate of return (nominal)</w:t>
      </w:r>
      <w:bookmarkEnd w:id="56"/>
      <w:bookmarkEnd w:id="57"/>
    </w:p>
    <w:tbl>
      <w:tblPr>
        <w:tblW w:w="5000" w:type="pct"/>
        <w:tblLook w:val="04A0"/>
      </w:tblPr>
      <w:tblGrid>
        <w:gridCol w:w="2404"/>
        <w:gridCol w:w="2041"/>
        <w:gridCol w:w="2041"/>
        <w:gridCol w:w="2042"/>
      </w:tblGrid>
      <w:tr w:rsidR="007E742F" w:rsidRPr="0031009A" w:rsidTr="006E1CEF">
        <w:trPr>
          <w:cantSplit/>
          <w:trHeight w:val="675"/>
        </w:trPr>
        <w:tc>
          <w:tcPr>
            <w:tcW w:w="1369" w:type="pct"/>
            <w:tcBorders>
              <w:top w:val="single" w:sz="4" w:space="0" w:color="auto"/>
              <w:left w:val="single" w:sz="4" w:space="0" w:color="auto"/>
              <w:bottom w:val="single" w:sz="4" w:space="0" w:color="auto"/>
            </w:tcBorders>
            <w:shd w:val="clear" w:color="000000" w:fill="E46D0A"/>
            <w:noWrap/>
            <w:vAlign w:val="center"/>
          </w:tcPr>
          <w:p w:rsidR="007E742F" w:rsidRPr="007E742F" w:rsidRDefault="007E742F" w:rsidP="007E742F">
            <w:pPr>
              <w:pStyle w:val="AERtabletext"/>
            </w:pPr>
            <w:r w:rsidRPr="007E742F">
              <w:t> Parameter</w:t>
            </w:r>
          </w:p>
        </w:tc>
        <w:tc>
          <w:tcPr>
            <w:tcW w:w="1210" w:type="pct"/>
            <w:tcBorders>
              <w:top w:val="single" w:sz="4" w:space="0" w:color="auto"/>
              <w:bottom w:val="single" w:sz="4" w:space="0" w:color="auto"/>
            </w:tcBorders>
            <w:shd w:val="clear" w:color="000000" w:fill="E46D0A"/>
            <w:vAlign w:val="center"/>
          </w:tcPr>
          <w:p w:rsidR="007E742F" w:rsidRPr="007E742F" w:rsidRDefault="007E742F" w:rsidP="007E742F">
            <w:pPr>
              <w:pStyle w:val="AERtabletext"/>
            </w:pPr>
            <w:r w:rsidRPr="007E742F">
              <w:t>Previous ACCC decision</w:t>
            </w:r>
          </w:p>
        </w:tc>
        <w:tc>
          <w:tcPr>
            <w:tcW w:w="1210" w:type="pct"/>
            <w:tcBorders>
              <w:top w:val="single" w:sz="4" w:space="0" w:color="auto"/>
              <w:bottom w:val="single" w:sz="4" w:space="0" w:color="auto"/>
            </w:tcBorders>
            <w:shd w:val="clear" w:color="000000" w:fill="E46D0A"/>
            <w:noWrap/>
            <w:vAlign w:val="center"/>
          </w:tcPr>
          <w:p w:rsidR="007E742F" w:rsidRPr="007E742F" w:rsidRDefault="007E742F" w:rsidP="007E742F">
            <w:pPr>
              <w:pStyle w:val="AERtabletext"/>
            </w:pPr>
            <w:r w:rsidRPr="007E742F">
              <w:t>APA GasNet proposal</w:t>
            </w:r>
          </w:p>
        </w:tc>
        <w:tc>
          <w:tcPr>
            <w:tcW w:w="1210" w:type="pct"/>
            <w:tcBorders>
              <w:top w:val="single" w:sz="4" w:space="0" w:color="auto"/>
              <w:bottom w:val="single" w:sz="4" w:space="0" w:color="auto"/>
            </w:tcBorders>
            <w:shd w:val="clear" w:color="000000" w:fill="E46D0A"/>
            <w:vAlign w:val="center"/>
          </w:tcPr>
          <w:p w:rsidR="007E742F" w:rsidRPr="007E742F" w:rsidRDefault="007E742F" w:rsidP="007E742F">
            <w:pPr>
              <w:pStyle w:val="AERtabletext"/>
            </w:pPr>
            <w:r w:rsidRPr="007E742F">
              <w:t>AER draft decision</w:t>
            </w:r>
          </w:p>
        </w:tc>
      </w:tr>
      <w:tr w:rsidR="007E742F" w:rsidRPr="0031009A" w:rsidTr="006E1CEF">
        <w:trPr>
          <w:cantSplit/>
          <w:trHeight w:val="300"/>
        </w:trPr>
        <w:tc>
          <w:tcPr>
            <w:tcW w:w="1369" w:type="pct"/>
            <w:tcBorders>
              <w:top w:val="single" w:sz="4" w:space="0" w:color="auto"/>
            </w:tcBorders>
            <w:shd w:val="clear" w:color="auto" w:fill="auto"/>
            <w:noWrap/>
            <w:vAlign w:val="center"/>
          </w:tcPr>
          <w:p w:rsidR="007E742F" w:rsidRPr="007E742F" w:rsidRDefault="007E742F" w:rsidP="007E742F">
            <w:pPr>
              <w:pStyle w:val="AERtabletext"/>
            </w:pPr>
            <w:r w:rsidRPr="007E742F">
              <w:t>Nominal risk free rate</w:t>
            </w:r>
          </w:p>
        </w:tc>
        <w:tc>
          <w:tcPr>
            <w:tcW w:w="1210" w:type="pct"/>
            <w:tcBorders>
              <w:top w:val="single" w:sz="4" w:space="0" w:color="auto"/>
            </w:tcBorders>
            <w:vAlign w:val="center"/>
          </w:tcPr>
          <w:p w:rsidR="007E742F" w:rsidRPr="0018730D" w:rsidRDefault="007E742F" w:rsidP="0018730D">
            <w:pPr>
              <w:pStyle w:val="AERtabletextheadingright"/>
              <w:rPr>
                <w:rStyle w:val="AERtextbold"/>
              </w:rPr>
            </w:pPr>
            <w:r w:rsidRPr="0018730D">
              <w:rPr>
                <w:rStyle w:val="AERtextbold"/>
              </w:rPr>
              <w:t>6.29%</w:t>
            </w:r>
          </w:p>
        </w:tc>
        <w:tc>
          <w:tcPr>
            <w:tcW w:w="1210" w:type="pct"/>
            <w:tcBorders>
              <w:top w:val="single" w:sz="4" w:space="0" w:color="auto"/>
            </w:tcBorders>
            <w:shd w:val="clear" w:color="auto" w:fill="auto"/>
            <w:noWrap/>
            <w:vAlign w:val="center"/>
          </w:tcPr>
          <w:p w:rsidR="007E742F" w:rsidRPr="0018730D" w:rsidRDefault="007E742F" w:rsidP="0018730D">
            <w:pPr>
              <w:pStyle w:val="AERtabletextheadingright"/>
              <w:rPr>
                <w:rStyle w:val="AERtextbold"/>
              </w:rPr>
            </w:pPr>
            <w:r w:rsidRPr="0018730D">
              <w:rPr>
                <w:rStyle w:val="AERtextbold"/>
              </w:rPr>
              <w:t>3.99%a</w:t>
            </w:r>
          </w:p>
        </w:tc>
        <w:tc>
          <w:tcPr>
            <w:tcW w:w="1210" w:type="pct"/>
            <w:tcBorders>
              <w:top w:val="single" w:sz="4" w:space="0" w:color="auto"/>
            </w:tcBorders>
            <w:shd w:val="clear" w:color="auto" w:fill="auto"/>
            <w:noWrap/>
            <w:vAlign w:val="center"/>
          </w:tcPr>
          <w:p w:rsidR="007E742F" w:rsidRPr="0018730D" w:rsidRDefault="007E742F" w:rsidP="0018730D">
            <w:pPr>
              <w:pStyle w:val="AERtabletextheadingright"/>
              <w:rPr>
                <w:rStyle w:val="AERtextbold"/>
              </w:rPr>
            </w:pPr>
            <w:r w:rsidRPr="0018730D">
              <w:rPr>
                <w:rStyle w:val="AERtextbold"/>
              </w:rPr>
              <w:t xml:space="preserve">2.98% </w:t>
            </w:r>
            <w:r w:rsidRPr="0018730D">
              <w:rPr>
                <w:rStyle w:val="AERsuperscript"/>
              </w:rPr>
              <w:t>a</w:t>
            </w:r>
          </w:p>
        </w:tc>
      </w:tr>
      <w:tr w:rsidR="007E742F" w:rsidRPr="0031009A" w:rsidTr="006E1CEF">
        <w:trPr>
          <w:cantSplit/>
          <w:trHeight w:val="300"/>
        </w:trPr>
        <w:tc>
          <w:tcPr>
            <w:tcW w:w="1369" w:type="pct"/>
            <w:shd w:val="clear" w:color="000000" w:fill="FAC090"/>
            <w:noWrap/>
            <w:vAlign w:val="center"/>
          </w:tcPr>
          <w:p w:rsidR="007E742F" w:rsidRPr="007E742F" w:rsidRDefault="007E742F" w:rsidP="007E742F">
            <w:pPr>
              <w:pStyle w:val="AERtabletext"/>
            </w:pPr>
            <w:r w:rsidRPr="007E742F">
              <w:t>Equity beta</w:t>
            </w:r>
          </w:p>
        </w:tc>
        <w:tc>
          <w:tcPr>
            <w:tcW w:w="1210" w:type="pct"/>
            <w:shd w:val="clear" w:color="000000" w:fill="FAC090"/>
            <w:vAlign w:val="center"/>
          </w:tcPr>
          <w:p w:rsidR="007E742F" w:rsidRPr="0018730D" w:rsidRDefault="007E742F" w:rsidP="0018730D">
            <w:pPr>
              <w:pStyle w:val="AERtabletextheadingright"/>
              <w:rPr>
                <w:rStyle w:val="AERtextbold"/>
              </w:rPr>
            </w:pPr>
            <w:r w:rsidRPr="0018730D">
              <w:rPr>
                <w:rStyle w:val="AERtextbold"/>
              </w:rPr>
              <w:t>1.0</w:t>
            </w:r>
          </w:p>
        </w:tc>
        <w:tc>
          <w:tcPr>
            <w:tcW w:w="1210" w:type="pct"/>
            <w:shd w:val="clear" w:color="000000" w:fill="FAC090"/>
            <w:noWrap/>
            <w:vAlign w:val="center"/>
          </w:tcPr>
          <w:p w:rsidR="007E742F" w:rsidRPr="0018730D" w:rsidRDefault="007E742F" w:rsidP="0018730D">
            <w:pPr>
              <w:pStyle w:val="AERtabletextheadingright"/>
              <w:rPr>
                <w:rStyle w:val="AERtextbold"/>
              </w:rPr>
            </w:pPr>
            <w:r w:rsidRPr="0018730D">
              <w:rPr>
                <w:rStyle w:val="AERtextbold"/>
              </w:rPr>
              <w:t>0.8</w:t>
            </w:r>
          </w:p>
        </w:tc>
        <w:tc>
          <w:tcPr>
            <w:tcW w:w="1210" w:type="pct"/>
            <w:shd w:val="clear" w:color="000000" w:fill="FAC090"/>
            <w:noWrap/>
            <w:vAlign w:val="center"/>
          </w:tcPr>
          <w:p w:rsidR="007E742F" w:rsidRPr="0018730D" w:rsidRDefault="007E742F" w:rsidP="0018730D">
            <w:pPr>
              <w:pStyle w:val="AERtabletextheadingright"/>
              <w:rPr>
                <w:rStyle w:val="AERtextbold"/>
              </w:rPr>
            </w:pPr>
            <w:r w:rsidRPr="0018730D">
              <w:rPr>
                <w:rStyle w:val="AERtextbold"/>
              </w:rPr>
              <w:t>0.8</w:t>
            </w:r>
          </w:p>
        </w:tc>
      </w:tr>
      <w:tr w:rsidR="007E742F" w:rsidRPr="0031009A" w:rsidTr="006E1CEF">
        <w:trPr>
          <w:cantSplit/>
          <w:trHeight w:val="300"/>
        </w:trPr>
        <w:tc>
          <w:tcPr>
            <w:tcW w:w="1369" w:type="pct"/>
            <w:shd w:val="clear" w:color="auto" w:fill="auto"/>
            <w:noWrap/>
            <w:vAlign w:val="center"/>
          </w:tcPr>
          <w:p w:rsidR="007E742F" w:rsidRPr="007E742F" w:rsidRDefault="007E742F" w:rsidP="007E742F">
            <w:pPr>
              <w:pStyle w:val="AERtabletext"/>
            </w:pPr>
            <w:r w:rsidRPr="007E742F">
              <w:t>Market risk premium</w:t>
            </w:r>
          </w:p>
        </w:tc>
        <w:tc>
          <w:tcPr>
            <w:tcW w:w="1210" w:type="pct"/>
            <w:vAlign w:val="center"/>
          </w:tcPr>
          <w:p w:rsidR="007E742F" w:rsidRPr="0018730D" w:rsidRDefault="007E742F" w:rsidP="0018730D">
            <w:pPr>
              <w:pStyle w:val="AERtabletextheadingright"/>
              <w:rPr>
                <w:rStyle w:val="AERtextbold"/>
              </w:rPr>
            </w:pPr>
            <w:r w:rsidRPr="0018730D">
              <w:rPr>
                <w:rStyle w:val="AERtextbold"/>
              </w:rPr>
              <w:t>6%</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8.5%</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6%</w:t>
            </w:r>
          </w:p>
        </w:tc>
      </w:tr>
      <w:tr w:rsidR="007E742F" w:rsidRPr="0031009A" w:rsidTr="006E1CEF">
        <w:trPr>
          <w:cantSplit/>
          <w:trHeight w:val="300"/>
        </w:trPr>
        <w:tc>
          <w:tcPr>
            <w:tcW w:w="1369" w:type="pct"/>
            <w:shd w:val="clear" w:color="000000" w:fill="FAC090"/>
            <w:noWrap/>
            <w:vAlign w:val="center"/>
          </w:tcPr>
          <w:p w:rsidR="007E742F" w:rsidRPr="007E742F" w:rsidRDefault="007E742F" w:rsidP="007E742F">
            <w:pPr>
              <w:pStyle w:val="AERtabletext"/>
            </w:pPr>
            <w:r w:rsidRPr="007E742F">
              <w:t>Debt risk premium</w:t>
            </w:r>
          </w:p>
        </w:tc>
        <w:tc>
          <w:tcPr>
            <w:tcW w:w="1210" w:type="pct"/>
            <w:shd w:val="clear" w:color="000000" w:fill="FAC090"/>
            <w:vAlign w:val="center"/>
          </w:tcPr>
          <w:p w:rsidR="007E742F" w:rsidRPr="0018730D" w:rsidRDefault="007E742F" w:rsidP="0018730D">
            <w:pPr>
              <w:pStyle w:val="AERtabletextheadingright"/>
              <w:rPr>
                <w:rStyle w:val="AERtextbold"/>
              </w:rPr>
            </w:pPr>
            <w:r w:rsidRPr="0018730D">
              <w:rPr>
                <w:rStyle w:val="AERtextbold"/>
              </w:rPr>
              <w:t>3.09%</w:t>
            </w:r>
          </w:p>
        </w:tc>
        <w:tc>
          <w:tcPr>
            <w:tcW w:w="1210" w:type="pct"/>
            <w:shd w:val="clear" w:color="000000" w:fill="FAC090"/>
            <w:noWrap/>
            <w:vAlign w:val="center"/>
          </w:tcPr>
          <w:p w:rsidR="007E742F" w:rsidRPr="0018730D" w:rsidRDefault="007E742F" w:rsidP="0018730D">
            <w:pPr>
              <w:pStyle w:val="AERtabletextheadingright"/>
              <w:rPr>
                <w:rStyle w:val="AERtextbold"/>
              </w:rPr>
            </w:pPr>
            <w:r w:rsidRPr="0018730D">
              <w:rPr>
                <w:rStyle w:val="AERtextbold"/>
              </w:rPr>
              <w:t xml:space="preserve">3.92% </w:t>
            </w:r>
            <w:r w:rsidRPr="0018730D">
              <w:rPr>
                <w:rStyle w:val="AERsuperscript"/>
              </w:rPr>
              <w:t>a</w:t>
            </w:r>
          </w:p>
        </w:tc>
        <w:tc>
          <w:tcPr>
            <w:tcW w:w="1210" w:type="pct"/>
            <w:shd w:val="clear" w:color="000000" w:fill="FAC090"/>
            <w:noWrap/>
            <w:vAlign w:val="center"/>
          </w:tcPr>
          <w:p w:rsidR="007E742F" w:rsidRPr="0018730D" w:rsidRDefault="007E742F" w:rsidP="0018730D">
            <w:pPr>
              <w:pStyle w:val="AERtabletextheadingright"/>
              <w:rPr>
                <w:rStyle w:val="AERtextbold"/>
              </w:rPr>
            </w:pPr>
            <w:r w:rsidRPr="0018730D">
              <w:rPr>
                <w:rStyle w:val="AERtextbold"/>
              </w:rPr>
              <w:t xml:space="preserve">3.76% </w:t>
            </w:r>
            <w:r w:rsidRPr="0018730D">
              <w:rPr>
                <w:rStyle w:val="AERsuperscript"/>
              </w:rPr>
              <w:t>a</w:t>
            </w:r>
          </w:p>
        </w:tc>
      </w:tr>
      <w:tr w:rsidR="007E742F" w:rsidRPr="0031009A" w:rsidTr="006E1CEF">
        <w:trPr>
          <w:cantSplit/>
          <w:trHeight w:val="300"/>
        </w:trPr>
        <w:tc>
          <w:tcPr>
            <w:tcW w:w="1369" w:type="pct"/>
            <w:shd w:val="clear" w:color="auto" w:fill="auto"/>
            <w:noWrap/>
            <w:vAlign w:val="center"/>
          </w:tcPr>
          <w:p w:rsidR="007E742F" w:rsidRPr="007E742F" w:rsidRDefault="007E742F" w:rsidP="007E742F">
            <w:pPr>
              <w:pStyle w:val="AERtabletext"/>
            </w:pPr>
            <w:r w:rsidRPr="007E742F">
              <w:t>Gearing level</w:t>
            </w:r>
          </w:p>
        </w:tc>
        <w:tc>
          <w:tcPr>
            <w:tcW w:w="1210" w:type="pct"/>
            <w:vAlign w:val="center"/>
          </w:tcPr>
          <w:p w:rsidR="007E742F" w:rsidRPr="0018730D" w:rsidRDefault="007E742F" w:rsidP="0018730D">
            <w:pPr>
              <w:pStyle w:val="AERtabletextheadingright"/>
              <w:rPr>
                <w:rStyle w:val="AERtextbold"/>
              </w:rPr>
            </w:pPr>
            <w:r w:rsidRPr="0018730D">
              <w:rPr>
                <w:rStyle w:val="AERtextbold"/>
              </w:rPr>
              <w:t>60%</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60%</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60%</w:t>
            </w:r>
          </w:p>
        </w:tc>
      </w:tr>
      <w:tr w:rsidR="007E742F" w:rsidRPr="0031009A" w:rsidTr="006E1CEF">
        <w:trPr>
          <w:cantSplit/>
          <w:trHeight w:val="300"/>
        </w:trPr>
        <w:tc>
          <w:tcPr>
            <w:tcW w:w="1369" w:type="pct"/>
            <w:shd w:val="clear" w:color="auto" w:fill="FABF8F"/>
            <w:noWrap/>
            <w:vAlign w:val="center"/>
          </w:tcPr>
          <w:p w:rsidR="007E742F" w:rsidRPr="007E742F" w:rsidRDefault="007E742F" w:rsidP="007E742F">
            <w:pPr>
              <w:pStyle w:val="AERtabletext"/>
            </w:pPr>
            <w:r w:rsidRPr="007E742F">
              <w:t>Inflation forecast</w:t>
            </w:r>
          </w:p>
        </w:tc>
        <w:tc>
          <w:tcPr>
            <w:tcW w:w="1210" w:type="pct"/>
            <w:shd w:val="clear" w:color="auto" w:fill="FABF8F"/>
            <w:vAlign w:val="center"/>
          </w:tcPr>
          <w:p w:rsidR="007E742F" w:rsidRPr="0018730D" w:rsidRDefault="007E742F" w:rsidP="0018730D">
            <w:pPr>
              <w:pStyle w:val="AERtabletextheadingright"/>
              <w:rPr>
                <w:rStyle w:val="AERtextbold"/>
              </w:rPr>
            </w:pPr>
            <w:r w:rsidRPr="0018730D">
              <w:rPr>
                <w:rStyle w:val="AERtextbold"/>
              </w:rPr>
              <w:t>2.68%</w:t>
            </w:r>
          </w:p>
        </w:tc>
        <w:tc>
          <w:tcPr>
            <w:tcW w:w="1210" w:type="pct"/>
            <w:shd w:val="clear" w:color="auto" w:fill="FABF8F"/>
            <w:noWrap/>
            <w:vAlign w:val="center"/>
          </w:tcPr>
          <w:p w:rsidR="007E742F" w:rsidRPr="0018730D" w:rsidRDefault="007E742F" w:rsidP="0018730D">
            <w:pPr>
              <w:pStyle w:val="AERtabletextheadingright"/>
              <w:rPr>
                <w:rStyle w:val="AERtextbold"/>
              </w:rPr>
            </w:pPr>
            <w:r w:rsidRPr="0018730D">
              <w:rPr>
                <w:rStyle w:val="AERtextbold"/>
              </w:rPr>
              <w:t xml:space="preserve">2.5% </w:t>
            </w:r>
            <w:r w:rsidRPr="0018730D">
              <w:rPr>
                <w:rStyle w:val="AERsuperscript"/>
              </w:rPr>
              <w:t>a</w:t>
            </w:r>
          </w:p>
        </w:tc>
        <w:tc>
          <w:tcPr>
            <w:tcW w:w="1210" w:type="pct"/>
            <w:shd w:val="clear" w:color="auto" w:fill="FABF8F"/>
            <w:noWrap/>
            <w:vAlign w:val="center"/>
          </w:tcPr>
          <w:p w:rsidR="007E742F" w:rsidRPr="0018730D" w:rsidRDefault="007E742F" w:rsidP="0018730D">
            <w:pPr>
              <w:pStyle w:val="AERtabletextheadingright"/>
              <w:rPr>
                <w:rStyle w:val="AERtextbold"/>
              </w:rPr>
            </w:pPr>
            <w:r w:rsidRPr="0018730D">
              <w:rPr>
                <w:rStyle w:val="AERtextbold"/>
              </w:rPr>
              <w:t xml:space="preserve">2.5% </w:t>
            </w:r>
            <w:r w:rsidRPr="0018730D">
              <w:rPr>
                <w:rStyle w:val="AERsuperscript"/>
              </w:rPr>
              <w:t>a</w:t>
            </w:r>
          </w:p>
        </w:tc>
      </w:tr>
      <w:tr w:rsidR="007E742F" w:rsidRPr="0031009A" w:rsidTr="006E1CEF">
        <w:trPr>
          <w:cantSplit/>
          <w:trHeight w:val="300"/>
        </w:trPr>
        <w:tc>
          <w:tcPr>
            <w:tcW w:w="1369" w:type="pct"/>
            <w:shd w:val="clear" w:color="auto" w:fill="auto"/>
            <w:noWrap/>
            <w:vAlign w:val="center"/>
          </w:tcPr>
          <w:p w:rsidR="007E742F" w:rsidRPr="007E742F" w:rsidRDefault="007E742F" w:rsidP="007E742F">
            <w:pPr>
              <w:pStyle w:val="AERtabletext"/>
            </w:pPr>
            <w:r w:rsidRPr="007E742F">
              <w:t>Gamma</w:t>
            </w:r>
          </w:p>
        </w:tc>
        <w:tc>
          <w:tcPr>
            <w:tcW w:w="1210" w:type="pct"/>
            <w:vAlign w:val="center"/>
          </w:tcPr>
          <w:p w:rsidR="007E742F" w:rsidRPr="0018730D" w:rsidRDefault="007E742F" w:rsidP="0018730D">
            <w:pPr>
              <w:pStyle w:val="AERtabletextheadingright"/>
              <w:rPr>
                <w:rStyle w:val="AERtextbold"/>
              </w:rPr>
            </w:pPr>
            <w:r w:rsidRPr="0018730D">
              <w:rPr>
                <w:rStyle w:val="AERtextbold"/>
              </w:rPr>
              <w:t>0.50</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0.25</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0.25</w:t>
            </w:r>
          </w:p>
        </w:tc>
      </w:tr>
      <w:tr w:rsidR="007E742F" w:rsidRPr="0031009A" w:rsidTr="006E1CEF">
        <w:trPr>
          <w:cantSplit/>
          <w:trHeight w:val="300"/>
        </w:trPr>
        <w:tc>
          <w:tcPr>
            <w:tcW w:w="1369" w:type="pct"/>
            <w:shd w:val="clear" w:color="auto" w:fill="FABF8F"/>
            <w:noWrap/>
            <w:vAlign w:val="center"/>
          </w:tcPr>
          <w:p w:rsidR="007E742F" w:rsidRPr="007E742F" w:rsidRDefault="007E742F" w:rsidP="007E742F">
            <w:pPr>
              <w:pStyle w:val="AERtabletext"/>
            </w:pPr>
            <w:r w:rsidRPr="007E742F">
              <w:t>Nominal post-tax cost of equity</w:t>
            </w:r>
          </w:p>
        </w:tc>
        <w:tc>
          <w:tcPr>
            <w:tcW w:w="1210" w:type="pct"/>
            <w:shd w:val="clear" w:color="auto" w:fill="FABF8F"/>
            <w:vAlign w:val="center"/>
          </w:tcPr>
          <w:p w:rsidR="007E742F" w:rsidRPr="0018730D" w:rsidRDefault="007E742F" w:rsidP="0018730D">
            <w:pPr>
              <w:pStyle w:val="AERtabletextheadingright"/>
              <w:rPr>
                <w:rStyle w:val="AERtextbold"/>
              </w:rPr>
            </w:pPr>
            <w:r w:rsidRPr="0018730D">
              <w:rPr>
                <w:rStyle w:val="AERtextbold"/>
              </w:rPr>
              <w:t>12.29%</w:t>
            </w:r>
          </w:p>
        </w:tc>
        <w:tc>
          <w:tcPr>
            <w:tcW w:w="1210" w:type="pct"/>
            <w:shd w:val="clear" w:color="auto" w:fill="FABF8F"/>
            <w:noWrap/>
            <w:vAlign w:val="center"/>
          </w:tcPr>
          <w:p w:rsidR="007E742F" w:rsidRPr="0018730D" w:rsidRDefault="007E742F" w:rsidP="0018730D">
            <w:pPr>
              <w:pStyle w:val="AERtabletextheadingright"/>
              <w:rPr>
                <w:rStyle w:val="AERtextbold"/>
              </w:rPr>
            </w:pPr>
            <w:r w:rsidRPr="0018730D">
              <w:rPr>
                <w:rStyle w:val="AERtextbold"/>
              </w:rPr>
              <w:t xml:space="preserve">10.79% </w:t>
            </w:r>
            <w:r w:rsidRPr="0018730D">
              <w:rPr>
                <w:rStyle w:val="AERsuperscript"/>
              </w:rPr>
              <w:t>a</w:t>
            </w:r>
          </w:p>
        </w:tc>
        <w:tc>
          <w:tcPr>
            <w:tcW w:w="1210" w:type="pct"/>
            <w:shd w:val="clear" w:color="auto" w:fill="FABF8F"/>
            <w:noWrap/>
            <w:vAlign w:val="center"/>
          </w:tcPr>
          <w:p w:rsidR="007E742F" w:rsidRPr="0018730D" w:rsidRDefault="007E742F" w:rsidP="0018730D">
            <w:pPr>
              <w:pStyle w:val="AERtabletextheadingright"/>
              <w:rPr>
                <w:rStyle w:val="AERtextbold"/>
              </w:rPr>
            </w:pPr>
            <w:r w:rsidRPr="0018730D">
              <w:rPr>
                <w:rStyle w:val="AERtextbold"/>
              </w:rPr>
              <w:t xml:space="preserve">7.78% </w:t>
            </w:r>
            <w:r w:rsidRPr="0018730D">
              <w:rPr>
                <w:rStyle w:val="AERsuperscript"/>
              </w:rPr>
              <w:t>a</w:t>
            </w:r>
          </w:p>
        </w:tc>
      </w:tr>
      <w:tr w:rsidR="007E742F" w:rsidRPr="0031009A" w:rsidTr="006E1CEF">
        <w:trPr>
          <w:cantSplit/>
          <w:trHeight w:val="300"/>
        </w:trPr>
        <w:tc>
          <w:tcPr>
            <w:tcW w:w="1369" w:type="pct"/>
            <w:shd w:val="clear" w:color="auto" w:fill="auto"/>
            <w:noWrap/>
            <w:vAlign w:val="center"/>
          </w:tcPr>
          <w:p w:rsidR="007E742F" w:rsidRPr="007E742F" w:rsidRDefault="007E742F" w:rsidP="007E742F">
            <w:pPr>
              <w:pStyle w:val="AERtabletext"/>
            </w:pPr>
            <w:r w:rsidRPr="007E742F">
              <w:t>Nominal pre-tax cost of debt</w:t>
            </w:r>
          </w:p>
        </w:tc>
        <w:tc>
          <w:tcPr>
            <w:tcW w:w="1210" w:type="pct"/>
            <w:vAlign w:val="center"/>
          </w:tcPr>
          <w:p w:rsidR="007E742F" w:rsidRPr="0018730D" w:rsidRDefault="007E742F" w:rsidP="0018730D">
            <w:pPr>
              <w:pStyle w:val="AERtabletextheadingright"/>
              <w:rPr>
                <w:rStyle w:val="AERtextbold"/>
              </w:rPr>
            </w:pPr>
            <w:r w:rsidRPr="0018730D">
              <w:rPr>
                <w:rStyle w:val="AERtextbold"/>
              </w:rPr>
              <w:t>9.38%</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 xml:space="preserve">7.91% </w:t>
            </w:r>
            <w:r w:rsidRPr="0018730D">
              <w:rPr>
                <w:rStyle w:val="AERsuperscript"/>
              </w:rPr>
              <w:t>a</w:t>
            </w:r>
          </w:p>
        </w:tc>
        <w:tc>
          <w:tcPr>
            <w:tcW w:w="1210" w:type="pct"/>
            <w:shd w:val="clear" w:color="auto" w:fill="auto"/>
            <w:noWrap/>
            <w:vAlign w:val="center"/>
          </w:tcPr>
          <w:p w:rsidR="007E742F" w:rsidRPr="0018730D" w:rsidRDefault="007E742F" w:rsidP="0018730D">
            <w:pPr>
              <w:pStyle w:val="AERtabletextheadingright"/>
              <w:rPr>
                <w:rStyle w:val="AERtextbold"/>
              </w:rPr>
            </w:pPr>
            <w:r w:rsidRPr="0018730D">
              <w:rPr>
                <w:rStyle w:val="AERtextbold"/>
              </w:rPr>
              <w:t xml:space="preserve">6.74% </w:t>
            </w:r>
            <w:r w:rsidRPr="0018730D">
              <w:rPr>
                <w:rStyle w:val="AERsuperscript"/>
              </w:rPr>
              <w:t>a</w:t>
            </w:r>
          </w:p>
        </w:tc>
      </w:tr>
      <w:tr w:rsidR="007E742F" w:rsidRPr="0031009A" w:rsidTr="006E1CEF">
        <w:trPr>
          <w:cantSplit/>
          <w:trHeight w:val="300"/>
        </w:trPr>
        <w:tc>
          <w:tcPr>
            <w:tcW w:w="1369" w:type="pct"/>
            <w:tcBorders>
              <w:bottom w:val="single" w:sz="4" w:space="0" w:color="auto"/>
            </w:tcBorders>
            <w:shd w:val="clear" w:color="auto" w:fill="FABF8F"/>
            <w:noWrap/>
            <w:vAlign w:val="center"/>
          </w:tcPr>
          <w:p w:rsidR="007E742F" w:rsidRPr="007E742F" w:rsidRDefault="007E742F" w:rsidP="007E742F">
            <w:pPr>
              <w:pStyle w:val="AERtabletext"/>
            </w:pPr>
            <w:r w:rsidRPr="007E742F">
              <w:t>Nominal vanilla WACC</w:t>
            </w:r>
          </w:p>
        </w:tc>
        <w:tc>
          <w:tcPr>
            <w:tcW w:w="1210" w:type="pct"/>
            <w:tcBorders>
              <w:bottom w:val="single" w:sz="4" w:space="0" w:color="auto"/>
            </w:tcBorders>
            <w:shd w:val="clear" w:color="auto" w:fill="FABF8F"/>
            <w:vAlign w:val="center"/>
          </w:tcPr>
          <w:p w:rsidR="007E742F" w:rsidRPr="0018730D" w:rsidRDefault="007E742F" w:rsidP="0018730D">
            <w:pPr>
              <w:pStyle w:val="AERtabletextheadingright"/>
              <w:rPr>
                <w:rStyle w:val="AERtextbold"/>
              </w:rPr>
            </w:pPr>
            <w:r w:rsidRPr="0018730D">
              <w:rPr>
                <w:rStyle w:val="AERtextbold"/>
              </w:rPr>
              <w:t>10.55%</w:t>
            </w:r>
          </w:p>
        </w:tc>
        <w:tc>
          <w:tcPr>
            <w:tcW w:w="1210" w:type="pct"/>
            <w:tcBorders>
              <w:bottom w:val="single" w:sz="4" w:space="0" w:color="auto"/>
            </w:tcBorders>
            <w:shd w:val="clear" w:color="auto" w:fill="FABF8F"/>
            <w:noWrap/>
            <w:vAlign w:val="center"/>
          </w:tcPr>
          <w:p w:rsidR="007E742F" w:rsidRPr="0018730D" w:rsidRDefault="007E742F" w:rsidP="0018730D">
            <w:pPr>
              <w:pStyle w:val="AERtabletextheadingright"/>
              <w:rPr>
                <w:rStyle w:val="AERtextbold"/>
              </w:rPr>
            </w:pPr>
            <w:r w:rsidRPr="0018730D">
              <w:rPr>
                <w:rStyle w:val="AERtextbold"/>
              </w:rPr>
              <w:t xml:space="preserve">9.06% </w:t>
            </w:r>
            <w:r w:rsidRPr="0018730D">
              <w:rPr>
                <w:rStyle w:val="AERsuperscript"/>
              </w:rPr>
              <w:t>a</w:t>
            </w:r>
          </w:p>
        </w:tc>
        <w:tc>
          <w:tcPr>
            <w:tcW w:w="1210" w:type="pct"/>
            <w:tcBorders>
              <w:bottom w:val="single" w:sz="4" w:space="0" w:color="auto"/>
            </w:tcBorders>
            <w:shd w:val="clear" w:color="auto" w:fill="FABF8F"/>
            <w:noWrap/>
            <w:vAlign w:val="center"/>
          </w:tcPr>
          <w:p w:rsidR="007E742F" w:rsidRPr="0018730D" w:rsidRDefault="007E742F" w:rsidP="0018730D">
            <w:pPr>
              <w:pStyle w:val="AERtabletextheadingright"/>
              <w:rPr>
                <w:rStyle w:val="AERtextbold"/>
              </w:rPr>
            </w:pPr>
            <w:r w:rsidRPr="0018730D">
              <w:rPr>
                <w:rStyle w:val="AERtextbold"/>
              </w:rPr>
              <w:t xml:space="preserve">7.16% </w:t>
            </w:r>
            <w:r w:rsidRPr="0018730D">
              <w:rPr>
                <w:rStyle w:val="AERsuperscript"/>
              </w:rPr>
              <w:t>a</w:t>
            </w:r>
          </w:p>
        </w:tc>
      </w:tr>
    </w:tbl>
    <w:p w:rsidR="007E742F" w:rsidRPr="007E742F" w:rsidRDefault="007E742F" w:rsidP="007E742F">
      <w:pPr>
        <w:pStyle w:val="AERtablesource"/>
      </w:pPr>
      <w:r w:rsidRPr="007E742F">
        <w:t xml:space="preserve">Source: </w:t>
      </w:r>
      <w:r w:rsidRPr="007E742F">
        <w:tab/>
        <w:t xml:space="preserve">ACCC decision; APA GasNet, Access arrangement submission, 31 March 2012 and AER analysis. </w:t>
      </w:r>
    </w:p>
    <w:p w:rsidR="007E742F" w:rsidRPr="0018730D" w:rsidRDefault="0018730D" w:rsidP="0018730D">
      <w:pPr>
        <w:pStyle w:val="AERtablesource"/>
        <w:rPr>
          <w:rStyle w:val="AERsubscript"/>
          <w:vertAlign w:val="baseline"/>
        </w:rPr>
      </w:pPr>
      <w:r w:rsidRPr="0018730D">
        <w:rPr>
          <w:rStyle w:val="AERsubscript"/>
          <w:vertAlign w:val="baseline"/>
        </w:rPr>
        <w:t>(</w:t>
      </w:r>
      <w:r w:rsidR="007E742F" w:rsidRPr="0018730D">
        <w:rPr>
          <w:rStyle w:val="AERsubscript"/>
          <w:vertAlign w:val="baseline"/>
        </w:rPr>
        <w:t>a</w:t>
      </w:r>
      <w:r w:rsidRPr="0018730D">
        <w:rPr>
          <w:rStyle w:val="AERsubscript"/>
          <w:vertAlign w:val="baseline"/>
        </w:rPr>
        <w:t>)</w:t>
      </w:r>
      <w:r w:rsidR="007E742F" w:rsidRPr="0018730D">
        <w:rPr>
          <w:rStyle w:val="AERsubscript"/>
          <w:vertAlign w:val="baseline"/>
        </w:rPr>
        <w:t xml:space="preserve"> </w:t>
      </w:r>
      <w:r w:rsidR="007E742F" w:rsidRPr="0018730D">
        <w:rPr>
          <w:rStyle w:val="AERsubscript"/>
          <w:vertAlign w:val="baseline"/>
        </w:rPr>
        <w:tab/>
        <w:t>Indicative only. The risk free rate, debt risk premium and inflation forecast will be updated closer to the date of the final decision.</w:t>
      </w:r>
    </w:p>
    <w:p w:rsidR="007E742F" w:rsidRPr="007E742F" w:rsidRDefault="007E742F" w:rsidP="007E742F">
      <w:pPr>
        <w:pStyle w:val="AERbodytext"/>
      </w:pPr>
      <w:r w:rsidRPr="007E742F">
        <w:t>The rate of return in this draft decision (7.16 per cent) is similar to the rate of return determined by the AER recently in the APTPPL final decision (7.31 per cent).</w:t>
      </w:r>
      <w:r w:rsidRPr="007E742F">
        <w:rPr>
          <w:rStyle w:val="FootnoteReference"/>
        </w:rPr>
        <w:footnoteReference w:id="211"/>
      </w:r>
      <w:r w:rsidRPr="007E742F">
        <w:t xml:space="preserve"> However, the rate of return in this decision for APA GasNet is lower than the rate of return determined by the AER in decisions before that time. The fact that the overall rate of return in this decision is lower than in previous decisions does not of itself make it unreasonable. The cost of debt in this decision makes up 60 per cent of the overall rate of return. The AER and APA GasNet agree on the approach to determining the cost of debt. The cost of debt has fallen by approximately one per cent compared with AER decisions from earlier this year.</w:t>
      </w:r>
      <w:r w:rsidRPr="007E742F">
        <w:rPr>
          <w:rStyle w:val="FootnoteReference"/>
        </w:rPr>
        <w:footnoteReference w:id="212"/>
      </w:r>
      <w:r w:rsidRPr="007E742F">
        <w:t xml:space="preserve"> Hence, the AER and APA GasNet agree that this reduction reflects prevailing conditions in the market for funds and the risks involved in providing reference services. This provides the AER with a degree of comfort that a fall in the overall rate of return, in itself, is not unreasonable. </w:t>
      </w:r>
    </w:p>
    <w:p w:rsidR="007E742F" w:rsidRPr="007E742F" w:rsidRDefault="007E742F" w:rsidP="007E742F">
      <w:pPr>
        <w:pStyle w:val="AERbodytext"/>
      </w:pPr>
      <w:r w:rsidRPr="007E742F">
        <w:t>APA GasNet's concerns surround the cost of equity and the extent to which the cost of equity determined by the AER in this decision is lower than that determined in previous decisions. A lower cost of equity contributes to a lower overall rate of return. The one point of disagreement between the AER and APA GasNet on the cost of equity for reference services is over the appropriate value for the MRP.</w:t>
      </w:r>
    </w:p>
    <w:p w:rsidR="007E742F" w:rsidRPr="007E742F" w:rsidRDefault="007E742F" w:rsidP="007E742F">
      <w:pPr>
        <w:pStyle w:val="AERbodytext"/>
      </w:pPr>
      <w:r w:rsidRPr="007E742F">
        <w:t>The AER acknowledges that APA GasNet was concerned with the impact of the lower risk free rate on its overall rate of return and that this was a driving factor in APA GasNet proposing a higher MRP. The AER has carefully considered the consequences of the low CGS yields and is confident that CGS yields remain the most appropriate proxy of the risk free rate in Australia. This position is supported by advice from the Reserve Bank of Australia (RBA). The AER has also considered whether or not the MRP should be increased from that used in previous decisions. The AER remains of the view that a 6 per cent MRP is commensurate with prevailing conditions in the market for funds.</w:t>
      </w:r>
    </w:p>
    <w:p w:rsidR="007E742F" w:rsidRPr="007E742F" w:rsidRDefault="007E742F" w:rsidP="007E742F">
      <w:pPr>
        <w:pStyle w:val="AERheading2"/>
      </w:pPr>
      <w:r w:rsidRPr="007E742F">
        <w:t>Assessment approach</w:t>
      </w:r>
    </w:p>
    <w:p w:rsidR="007E742F" w:rsidRPr="007E742F" w:rsidRDefault="007E742F" w:rsidP="007E742F">
      <w:pPr>
        <w:pStyle w:val="AERbodytext"/>
      </w:pPr>
      <w:r w:rsidRPr="007E742F">
        <w:t>In this section, the AER considers:</w:t>
      </w:r>
    </w:p>
    <w:p w:rsidR="007E742F" w:rsidRPr="007E742F" w:rsidRDefault="007E742F" w:rsidP="007E742F">
      <w:pPr>
        <w:pStyle w:val="AERbulletlistfirststyle"/>
      </w:pPr>
      <w:r w:rsidRPr="007E742F">
        <w:t>The requirements of the national gas law and rules on the rate of return</w:t>
      </w:r>
    </w:p>
    <w:p w:rsidR="007E742F" w:rsidRPr="007E742F" w:rsidRDefault="007E742F" w:rsidP="007E742F">
      <w:pPr>
        <w:pStyle w:val="AERbulletlistfirststyle"/>
      </w:pPr>
      <w:r w:rsidRPr="007E742F">
        <w:t>The approach to selecting a well accepted model and approach for determining the rate of return</w:t>
      </w:r>
    </w:p>
    <w:p w:rsidR="007E742F" w:rsidRPr="007E742F" w:rsidRDefault="007E742F" w:rsidP="007E742F">
      <w:pPr>
        <w:pStyle w:val="AERbulletlistfirststyle"/>
      </w:pPr>
      <w:r w:rsidRPr="007E742F">
        <w:t>The approach to determination each parameter within that well accepted approach and model</w:t>
      </w:r>
    </w:p>
    <w:p w:rsidR="007E742F" w:rsidRPr="007E742F" w:rsidRDefault="007E742F" w:rsidP="007E742F">
      <w:pPr>
        <w:pStyle w:val="AERbulletlistfirststyle"/>
      </w:pPr>
      <w:r w:rsidRPr="007E742F">
        <w:t>The approach to reasonableness checks on the overall rate of return</w:t>
      </w:r>
    </w:p>
    <w:p w:rsidR="007E742F" w:rsidRPr="007E742F" w:rsidRDefault="007E742F" w:rsidP="007E742F">
      <w:pPr>
        <w:pStyle w:val="AERheading3"/>
      </w:pPr>
      <w:r w:rsidRPr="007E742F">
        <w:t>Requirements of the national gas law and rules on the rate of return</w:t>
      </w:r>
    </w:p>
    <w:p w:rsidR="007E742F" w:rsidRPr="007E742F" w:rsidRDefault="007E742F" w:rsidP="007E742F">
      <w:pPr>
        <w:pStyle w:val="AERbodytext"/>
      </w:pPr>
      <w:r w:rsidRPr="007E742F">
        <w:t>In this section the AER considers the requirements of the NGR and NEL on the rate of return, including in the interpretation of relevant provisions of the NGR in recent Tribunal decisions.</w:t>
      </w:r>
    </w:p>
    <w:p w:rsidR="007E742F" w:rsidRPr="007E742F" w:rsidRDefault="007E742F" w:rsidP="007E742F">
      <w:pPr>
        <w:pStyle w:val="AERbodytext"/>
      </w:pPr>
      <w:r w:rsidRPr="007E742F">
        <w:t>Rule 87 of the NGR states:</w:t>
      </w:r>
    </w:p>
    <w:p w:rsidR="007E742F" w:rsidRPr="007E742F" w:rsidRDefault="007E742F" w:rsidP="007E742F">
      <w:pPr>
        <w:pStyle w:val="AERquote"/>
      </w:pPr>
      <w:r w:rsidRPr="007E742F">
        <w:t xml:space="preserve">1) The rate of return on capital is to be commensurate with prevailing conditions in the market for funds and the risks involved in providing reference services. </w:t>
      </w:r>
    </w:p>
    <w:p w:rsidR="007E742F" w:rsidRPr="007E742F" w:rsidRDefault="007E742F" w:rsidP="007E742F">
      <w:pPr>
        <w:pStyle w:val="AERquote"/>
      </w:pPr>
      <w:r w:rsidRPr="007E742F">
        <w:t>2) In determining a rate of return on capital:</w:t>
      </w:r>
    </w:p>
    <w:p w:rsidR="007E742F" w:rsidRPr="007E742F" w:rsidRDefault="007E742F" w:rsidP="007E742F">
      <w:pPr>
        <w:pStyle w:val="AERquoteindent1"/>
      </w:pPr>
      <w:r w:rsidRPr="007E742F">
        <w:t>a) it will be assumed that the service provider:</w:t>
      </w:r>
    </w:p>
    <w:p w:rsidR="007E742F" w:rsidRPr="007E742F" w:rsidRDefault="007E742F" w:rsidP="007E742F">
      <w:pPr>
        <w:pStyle w:val="AERquoteindent2"/>
      </w:pPr>
      <w:r w:rsidRPr="007E742F">
        <w:t xml:space="preserve">i) meets benchmark levels of efficiency; and </w:t>
      </w:r>
    </w:p>
    <w:p w:rsidR="007E742F" w:rsidRPr="007E742F" w:rsidRDefault="007E742F" w:rsidP="007E742F">
      <w:pPr>
        <w:pStyle w:val="AERquoteindent2"/>
      </w:pPr>
      <w:r w:rsidRPr="007E742F">
        <w:t xml:space="preserve">ii) uses a financing structure that meets benchmark standards as to gearing and other financial parameters for a going concern and reflects in other respects best practice; and </w:t>
      </w:r>
    </w:p>
    <w:p w:rsidR="007E742F" w:rsidRPr="007E742F" w:rsidRDefault="007E742F" w:rsidP="007E742F">
      <w:pPr>
        <w:pStyle w:val="AERquoteindent1"/>
      </w:pPr>
      <w:r w:rsidRPr="007E742F">
        <w:t xml:space="preserve">b) a well accepted approach that incorporates the cost of equity and debt, such as the Weighted Average Cost of Capital, is to be used; and a well accepted financial model, such as the Capital Asset Pricing Model, is to be used. </w:t>
      </w:r>
    </w:p>
    <w:p w:rsidR="007E742F" w:rsidRPr="007E742F" w:rsidRDefault="007E742F" w:rsidP="007E742F">
      <w:pPr>
        <w:pStyle w:val="AERbodytext"/>
      </w:pPr>
      <w:r w:rsidRPr="007E742F">
        <w:t xml:space="preserve">The AER understands the rule operates as follows: </w:t>
      </w:r>
    </w:p>
    <w:p w:rsidR="007E742F" w:rsidRPr="007E742F" w:rsidRDefault="007E742F" w:rsidP="007E742F">
      <w:pPr>
        <w:pStyle w:val="AERbulletlistfirststyle"/>
      </w:pPr>
      <w:r w:rsidRPr="007E742F">
        <w:t>Rule 87(1) describes the objective in determining the WACC but not how to achieve the objective.</w:t>
      </w:r>
    </w:p>
    <w:p w:rsidR="007E742F" w:rsidRPr="007E742F" w:rsidRDefault="007E742F" w:rsidP="007E742F">
      <w:pPr>
        <w:pStyle w:val="AERbulletlistfirststyle"/>
      </w:pPr>
      <w:r w:rsidRPr="007E742F">
        <w:t xml:space="preserve">Rule 87(2) describes how to achieve the objective, including through a well accepted approach (such as the WACC) and through a well accepted financial model (such as the CAPM). </w:t>
      </w:r>
    </w:p>
    <w:p w:rsidR="007E742F" w:rsidRPr="007E742F" w:rsidRDefault="007E742F" w:rsidP="007E742F">
      <w:pPr>
        <w:pStyle w:val="AERbulletlistfirststyle"/>
      </w:pPr>
      <w:r w:rsidRPr="007E742F">
        <w:t>Rule 87(1) informs the selection of input parameters for the well accepted approach and well accepted financial model. Those input parameters must reflect prevailing conditions in the market for funds and the risk involved in providing reference services.</w:t>
      </w:r>
    </w:p>
    <w:p w:rsidR="007E742F" w:rsidRPr="007E742F" w:rsidRDefault="007E742F" w:rsidP="007E742F">
      <w:pPr>
        <w:pStyle w:val="AERbodytext"/>
      </w:pPr>
      <w:r w:rsidRPr="007E742F">
        <w:t>This interpretation is consistent with the Australian Competition Tribunal's (Tribunal) position in two recent decisions: the ATCO (formerly WA Gas Networks) matter and the DBNGP matter.</w:t>
      </w:r>
      <w:r w:rsidRPr="007E742F">
        <w:rPr>
          <w:rStyle w:val="FootnoteReference"/>
        </w:rPr>
        <w:footnoteReference w:id="213"/>
      </w:r>
      <w:r w:rsidRPr="007E742F">
        <w:t xml:space="preserve"> It is also consistent with the AER's approach in previous decisions.</w:t>
      </w:r>
      <w:r w:rsidRPr="007E742F">
        <w:rPr>
          <w:rStyle w:val="FootnoteReference"/>
        </w:rPr>
        <w:footnoteReference w:id="214"/>
      </w:r>
      <w:r w:rsidRPr="007E742F">
        <w:t xml:space="preserve"> The AER thus applied this approach in making its draft decision on APA GasNet's rate of return.</w:t>
      </w:r>
    </w:p>
    <w:p w:rsidR="007E742F" w:rsidRPr="007E742F" w:rsidRDefault="007E742F" w:rsidP="007E742F">
      <w:pPr>
        <w:pStyle w:val="AERbodytext"/>
      </w:pPr>
      <w:r w:rsidRPr="007E742F">
        <w:t>A submission from BHP Billiton on APA GasNet's proposal interpreted rule 87 slightly differently:</w:t>
      </w:r>
      <w:r w:rsidRPr="007E742F">
        <w:rPr>
          <w:rStyle w:val="FootnoteReference"/>
        </w:rPr>
        <w:footnoteReference w:id="215"/>
      </w:r>
      <w:r w:rsidRPr="007E742F">
        <w:t xml:space="preserve"> </w:t>
      </w:r>
    </w:p>
    <w:p w:rsidR="007E742F" w:rsidRPr="007E742F" w:rsidRDefault="007E742F" w:rsidP="007E742F">
      <w:pPr>
        <w:pStyle w:val="AERquote"/>
      </w:pPr>
      <w:r w:rsidRPr="007E742F">
        <w:t xml:space="preserve"> APA GasNet cannot say that it has used a well accepted financial model if its application of that model involves (as it does in relation to the MRP) the use of idiosyncratic methods—that are not well accepted—for determining key variables in that model. That is the case even if it expresses that model in a way that is well accepted.</w:t>
      </w:r>
      <w:r w:rsidRPr="007E742F">
        <w:rPr>
          <w:rStyle w:val="FootnoteReference"/>
        </w:rPr>
        <w:footnoteReference w:id="216"/>
      </w:r>
    </w:p>
    <w:p w:rsidR="007E742F" w:rsidRPr="007E742F" w:rsidRDefault="007E742F" w:rsidP="007E742F">
      <w:pPr>
        <w:pStyle w:val="AERbodytext"/>
      </w:pPr>
      <w:r w:rsidRPr="007E742F">
        <w:t xml:space="preserve">The AER considers BHP raised an important question about the interpretation of rule 87. That is, by requiring a well accepted approach or model to be used, to what extent does rule 87(2)(b) also require the empirical method for calculating the underlying parameters to be well accepted? </w:t>
      </w:r>
    </w:p>
    <w:p w:rsidR="007E742F" w:rsidRPr="007E742F" w:rsidRDefault="007E742F" w:rsidP="007E742F">
      <w:pPr>
        <w:pStyle w:val="AERbodytext"/>
      </w:pPr>
      <w:r w:rsidRPr="007E742F">
        <w:t xml:space="preserve">The empirical method does not have to be well accepted. There are elements of the CAPM that are fundamental to its use. An example is the assumption that only systematic risk is compensated for.  To depart from this assumption would mean that the well accepted model is not being used consistently. The empirical method must, therefore, be consistent with the fundamental elements of the CAPM and associated theory. </w:t>
      </w:r>
    </w:p>
    <w:p w:rsidR="007E742F" w:rsidRPr="007E742F" w:rsidRDefault="007E742F" w:rsidP="007E742F">
      <w:pPr>
        <w:pStyle w:val="AERbodytext"/>
      </w:pPr>
      <w:r w:rsidRPr="007E742F">
        <w:t xml:space="preserve">BHP argued that the empirical method must also be well accepted. This is not an express requirement of rule 87. The empirical method that is applied is a matter of discretion, taking into account the objective of the rate of return stated in rule 87(1) and the NGO. </w:t>
      </w:r>
    </w:p>
    <w:p w:rsidR="007E742F" w:rsidRPr="007E742F" w:rsidRDefault="007E742F" w:rsidP="007E742F">
      <w:pPr>
        <w:pStyle w:val="AERbodytext"/>
      </w:pPr>
      <w:r w:rsidRPr="007E742F">
        <w:t>Furthermore, it may not always be practically possible to determine a well accepted empirical method. There are often a number of empirical methods that can be used to determine a particular parameter; the MRP is one example. In this case, the AER did not apply BHP's interpretation that the empirical method must also be well accepted.</w:t>
      </w:r>
    </w:p>
    <w:p w:rsidR="007E742F" w:rsidRPr="007E742F" w:rsidRDefault="007E742F" w:rsidP="007E742F">
      <w:pPr>
        <w:pStyle w:val="AERbodytext"/>
      </w:pPr>
      <w:r w:rsidRPr="007E742F">
        <w:t>Rule 87 is a full discretion provision. This means the AER may, but is not bound to, approve APA GasNet's proposed rate of return if that rate complies with, and is consistent with, the NGL's and NGR's requirements and criteria. The AER has the discretion to withhold its approval it considers a preferable alternative exists that complies with, and is consistent with, those requirements and criteria. Further, if an access arrangement contains a fixed principle on the rate of return then that fixed principle is binding on the AER and the service provider for the period for which the principle is fixed.</w:t>
      </w:r>
      <w:r w:rsidRPr="007E742F">
        <w:rPr>
          <w:rStyle w:val="FootnoteReference"/>
        </w:rPr>
        <w:footnoteReference w:id="217"/>
      </w:r>
      <w:r w:rsidRPr="007E742F">
        <w:t xml:space="preserve"> </w:t>
      </w:r>
    </w:p>
    <w:p w:rsidR="007E742F" w:rsidRPr="007E742F" w:rsidRDefault="007E742F" w:rsidP="007E742F">
      <w:pPr>
        <w:pStyle w:val="AERbodytext"/>
      </w:pPr>
      <w:r w:rsidRPr="007E742F">
        <w:t>If the AER does not approve APA GasNet's access arrangement, then the AER must formulate an access arrangement that accounts for:</w:t>
      </w:r>
    </w:p>
    <w:p w:rsidR="007E742F" w:rsidRPr="007E742F" w:rsidRDefault="007E742F" w:rsidP="007E742F">
      <w:pPr>
        <w:pStyle w:val="AERbulletlistfirststyle"/>
      </w:pPr>
      <w:r w:rsidRPr="007E742F">
        <w:t>the matters that the NGL and NGR require an access arrangement to include</w:t>
      </w:r>
    </w:p>
    <w:p w:rsidR="007E742F" w:rsidRPr="007E742F" w:rsidRDefault="007E742F" w:rsidP="007E742F">
      <w:pPr>
        <w:pStyle w:val="AERbulletlistfirststyle"/>
      </w:pPr>
      <w:r w:rsidRPr="007E742F">
        <w:t>the service provider's access arrangement proposal, and</w:t>
      </w:r>
    </w:p>
    <w:p w:rsidR="007E742F" w:rsidRPr="007E742F" w:rsidRDefault="007E742F" w:rsidP="007E742F">
      <w:pPr>
        <w:pStyle w:val="AERbulletlistfirststyle"/>
      </w:pPr>
      <w:r w:rsidRPr="007E742F">
        <w:t>the AER's reasons for refusing to approve that proposal.</w:t>
      </w:r>
      <w:r w:rsidRPr="007E742F">
        <w:rPr>
          <w:rStyle w:val="FootnoteReference"/>
        </w:rPr>
        <w:footnoteReference w:id="218"/>
      </w:r>
      <w:r w:rsidRPr="007E742F">
        <w:t xml:space="preserve"> </w:t>
      </w:r>
    </w:p>
    <w:p w:rsidR="007E742F" w:rsidRPr="007E742F" w:rsidRDefault="007E742F" w:rsidP="007E742F">
      <w:pPr>
        <w:pStyle w:val="AERbodytext"/>
      </w:pPr>
      <w:r w:rsidRPr="007E742F">
        <w:t xml:space="preserve">This list is not exhaustive, and the service provider's proposal is not the only source of information that the AER considers when assessing the proposed rate of return. Other regulatory processes provide many relevant information sources, because issues with the cost of capital are generally not specific to a service provider. Further, many issues have evolved across a long history of consideration by the AER and other regulators. </w:t>
      </w:r>
    </w:p>
    <w:p w:rsidR="007E742F" w:rsidRPr="007E742F" w:rsidRDefault="007E742F" w:rsidP="007E742F">
      <w:pPr>
        <w:pStyle w:val="AERbodytext"/>
      </w:pPr>
      <w:r w:rsidRPr="007E742F">
        <w:t>The AER considers information that includes:</w:t>
      </w:r>
    </w:p>
    <w:p w:rsidR="007E742F" w:rsidRPr="007E742F" w:rsidRDefault="007E742F" w:rsidP="007E742F">
      <w:pPr>
        <w:pStyle w:val="AERbulletlistfirststyle"/>
      </w:pPr>
      <w:r w:rsidRPr="007E742F">
        <w:t>previous AER decisions, including the AER's 2009 review of WACC parameters for electricity service providers (the WACC review) and resulting Statement of Regulatory Intent (SRI)</w:t>
      </w:r>
    </w:p>
    <w:p w:rsidR="007E742F" w:rsidRPr="007E742F" w:rsidRDefault="007E742F" w:rsidP="007E742F">
      <w:pPr>
        <w:pStyle w:val="AERbulletlistfirststyle"/>
      </w:pPr>
      <w:r w:rsidRPr="007E742F">
        <w:t>the service provider's proposal</w:t>
      </w:r>
    </w:p>
    <w:p w:rsidR="007E742F" w:rsidRPr="007E742F" w:rsidRDefault="007E742F" w:rsidP="007E742F">
      <w:pPr>
        <w:pStyle w:val="AERbulletlistfirststyle"/>
      </w:pPr>
      <w:r w:rsidRPr="007E742F">
        <w:t>expert reports commissioned by the AER, the service provider and other stakeholders</w:t>
      </w:r>
    </w:p>
    <w:p w:rsidR="007E742F" w:rsidRPr="007E742F" w:rsidRDefault="007E742F" w:rsidP="007E742F">
      <w:pPr>
        <w:pStyle w:val="AERbulletlistfirststyle"/>
      </w:pPr>
      <w:r w:rsidRPr="007E742F">
        <w:t xml:space="preserve">the decisions of the Tribunal </w:t>
      </w:r>
    </w:p>
    <w:p w:rsidR="007E742F" w:rsidRPr="007E742F" w:rsidRDefault="007E742F" w:rsidP="007E742F">
      <w:pPr>
        <w:pStyle w:val="AERbulletlistfirststyle"/>
      </w:pPr>
      <w:r w:rsidRPr="007E742F">
        <w:t>the decisions of other economic regulators, particularly in Australia</w:t>
      </w:r>
    </w:p>
    <w:p w:rsidR="007E742F" w:rsidRPr="007E742F" w:rsidRDefault="007E742F" w:rsidP="007E742F">
      <w:pPr>
        <w:pStyle w:val="AERbulletlistfirststyle"/>
      </w:pPr>
      <w:r w:rsidRPr="007E742F">
        <w:t>submissions.</w:t>
      </w:r>
    </w:p>
    <w:p w:rsidR="007E742F" w:rsidRPr="007E742F" w:rsidRDefault="007E742F" w:rsidP="007E742F">
      <w:pPr>
        <w:pStyle w:val="AERbodytext"/>
      </w:pPr>
      <w:r w:rsidRPr="007E742F">
        <w:t>In performing or exercising an economic regulatory function or power, the AER must do so in a manner that will (or is likely to) contribute to the national gas objective.</w:t>
      </w:r>
      <w:r w:rsidRPr="007E742F">
        <w:rPr>
          <w:rStyle w:val="FootnoteReference"/>
        </w:rPr>
        <w:footnoteReference w:id="219"/>
      </w:r>
      <w:r w:rsidRPr="007E742F">
        <w:t xml:space="preserve">  Either the AER's approval or withholding of its approval of APA GasNet's proposed rate of return—and in the case of the latter the AER's determination of a preferable rate of return—is an AER economic regulatory function or power. The national gas objective is:</w:t>
      </w:r>
    </w:p>
    <w:p w:rsidR="007E742F" w:rsidRPr="007E742F" w:rsidRDefault="007E742F" w:rsidP="007E742F">
      <w:pPr>
        <w:pStyle w:val="AERquote"/>
      </w:pPr>
      <w:r w:rsidRPr="007E742F">
        <w:t xml:space="preserve">… to promote efficient investment in, and efficient operation and use of, natural gas services for the long term interests of consumers of natural gas with respect to price, quality, safety, reliability and security of supply of natural gas. </w:t>
      </w:r>
    </w:p>
    <w:p w:rsidR="007E742F" w:rsidRPr="007E742F" w:rsidRDefault="007E742F" w:rsidP="007E742F">
      <w:pPr>
        <w:pStyle w:val="AERbodytext"/>
      </w:pPr>
      <w:r w:rsidRPr="007E742F">
        <w:t>In addition, the AER must account for the revenue and pricing principles when approving or making the parts of an access arrangement that relate to a reference tariff.</w:t>
      </w:r>
      <w:r w:rsidRPr="007E742F">
        <w:rPr>
          <w:rStyle w:val="FootnoteReference"/>
        </w:rPr>
        <w:footnoteReference w:id="220"/>
      </w:r>
      <w:r w:rsidRPr="007E742F">
        <w:t xml:space="preserve">  The rate of return is such a part, so the AER must account for the following: </w:t>
      </w:r>
    </w:p>
    <w:p w:rsidR="007E742F" w:rsidRPr="007E742F" w:rsidRDefault="007E742F" w:rsidP="007E742F">
      <w:pPr>
        <w:pStyle w:val="AERbulletlistfirststyle"/>
      </w:pPr>
      <w:r w:rsidRPr="007E742F">
        <w:t>A service provider should have a reasonable opportunity to recover at least the efficient costs that it incurs in providing reference services</w:t>
      </w:r>
    </w:p>
    <w:p w:rsidR="007E742F" w:rsidRPr="007E742F" w:rsidRDefault="007E742F" w:rsidP="007E742F">
      <w:pPr>
        <w:pStyle w:val="AERbulletlistfirststyle"/>
      </w:pPr>
      <w:r w:rsidRPr="007E742F">
        <w:t>A service provider should have effective incentives to promote economic efficiency in the reference services that it provides. That economic efficiency should include efficient investment in, or connection with, a pipeline that the service provider uses to provide reference services.</w:t>
      </w:r>
    </w:p>
    <w:p w:rsidR="007E742F" w:rsidRPr="007E742F" w:rsidRDefault="007E742F" w:rsidP="007E742F">
      <w:pPr>
        <w:pStyle w:val="AERbulletlistfirststyle"/>
      </w:pPr>
      <w:r w:rsidRPr="007E742F">
        <w:t>A reference tariff should allow for a return that matches the regulatory and commercial risks from providing the reference services to which that tariff relates.</w:t>
      </w:r>
    </w:p>
    <w:p w:rsidR="007E742F" w:rsidRPr="007E742F" w:rsidRDefault="007E742F" w:rsidP="007E742F">
      <w:pPr>
        <w:pStyle w:val="AERbulletlistfirststyle"/>
      </w:pPr>
      <w:r w:rsidRPr="007E742F">
        <w:t>A reference tariff should account for the economic costs and risks of potential under or over investment by a service provider in a pipeline that the service provider uses to provide pipeline services.</w:t>
      </w:r>
      <w:r w:rsidRPr="007E742F">
        <w:rPr>
          <w:rStyle w:val="FootnoteReference"/>
        </w:rPr>
        <w:footnoteReference w:id="221"/>
      </w:r>
      <w:r w:rsidRPr="007E742F">
        <w:t xml:space="preserve"> </w:t>
      </w:r>
    </w:p>
    <w:p w:rsidR="007E742F" w:rsidRPr="007E742F" w:rsidRDefault="007E742F" w:rsidP="007E742F">
      <w:pPr>
        <w:pStyle w:val="AERheading3"/>
      </w:pPr>
      <w:r w:rsidRPr="007E742F">
        <w:t>Selection of well accepted approach and model</w:t>
      </w:r>
    </w:p>
    <w:p w:rsidR="007E742F" w:rsidRPr="007E742F" w:rsidRDefault="007E742F" w:rsidP="007E742F">
      <w:pPr>
        <w:pStyle w:val="AERbodytext"/>
      </w:pPr>
      <w:r w:rsidRPr="007E742F">
        <w:t>In its access arrangement proposal, APA GasNet proposed the WACC approach, weighted 40 per cent to equity and 60 per cent to debt. APA GasNet also proposed to calculate:</w:t>
      </w:r>
    </w:p>
    <w:p w:rsidR="007E742F" w:rsidRPr="007E742F" w:rsidRDefault="007E742F" w:rsidP="007E742F">
      <w:pPr>
        <w:pStyle w:val="AERbulletlistfirststyle"/>
      </w:pPr>
      <w:r w:rsidRPr="007E742F">
        <w:t>the cost of equity using the CAPM, and</w:t>
      </w:r>
    </w:p>
    <w:p w:rsidR="007E742F" w:rsidRPr="007E742F" w:rsidRDefault="007E742F" w:rsidP="007E742F">
      <w:pPr>
        <w:pStyle w:val="AERbulletlistfirststyle"/>
      </w:pPr>
      <w:r w:rsidRPr="007E742F">
        <w:t>the cost of debt as the summation of the risk free rate and DRP.</w:t>
      </w:r>
    </w:p>
    <w:p w:rsidR="007E742F" w:rsidRPr="007E742F" w:rsidRDefault="007E742F" w:rsidP="007E742F">
      <w:pPr>
        <w:pStyle w:val="AERbodytext"/>
      </w:pPr>
      <w:r w:rsidRPr="007E742F">
        <w:t>The AER approves both APA GasNet's approach to determining the rate of return and models to determine the cost of equity and cost of debt. The weighted average cost of capital is a well accepted approach to determining the rate of return. The models proposed by APA GasNet to determine the cost of equity and debt are also well accepted.</w:t>
      </w:r>
      <w:r w:rsidRPr="007E742F">
        <w:rPr>
          <w:rStyle w:val="FootnoteReference"/>
        </w:rPr>
        <w:footnoteReference w:id="222"/>
      </w:r>
    </w:p>
    <w:p w:rsidR="007E742F" w:rsidRPr="007E742F" w:rsidRDefault="007E742F" w:rsidP="007E742F">
      <w:pPr>
        <w:pStyle w:val="AERheading3"/>
      </w:pPr>
      <w:bookmarkStart w:id="58" w:name="_Ref334103901"/>
      <w:r w:rsidRPr="007E742F">
        <w:t>Approach to the determination of specific parameters</w:t>
      </w:r>
      <w:bookmarkEnd w:id="58"/>
    </w:p>
    <w:p w:rsidR="007E742F" w:rsidRPr="007E742F" w:rsidRDefault="007E742F" w:rsidP="007E742F">
      <w:pPr>
        <w:pStyle w:val="AERheading4"/>
      </w:pPr>
      <w:r w:rsidRPr="007E742F">
        <w:t>Risk free rate</w:t>
      </w:r>
    </w:p>
    <w:p w:rsidR="007E742F" w:rsidRPr="007E742F" w:rsidRDefault="007E742F" w:rsidP="007E742F">
      <w:pPr>
        <w:pStyle w:val="AERbodytext"/>
      </w:pPr>
      <w:r w:rsidRPr="007E742F">
        <w:t>The risk free rate measures the return that an investor would expect from an asset with no default risk. As with other WACC parameters, the risk free rate should reflect prevailing conditions in the market for funds. It cannot be directly observed, but bonds issued by the Australian Government (CGS) are its most appropriate proxy . This is because the risk of the government defaulting on these bonds is low. CGS yields are readily observable.</w:t>
      </w:r>
    </w:p>
    <w:p w:rsidR="007E742F" w:rsidRPr="007E742F" w:rsidRDefault="007E742F" w:rsidP="007E742F">
      <w:pPr>
        <w:pStyle w:val="AERbodytext"/>
      </w:pPr>
      <w:r w:rsidRPr="007E742F">
        <w:t>The AER accepts APA GasNet's proposed approach for calculating the risk free rate for both the cost of debt and the cost of equity. (APA GasNet provided the AER with an averaging period on a confidential basis.) The approach involves observing the yield on 10 year CGS over a short period (10–40 days) commencing as close as possible to the beginning of the regulatory period. This approach produces a risk free rate that reflects prevailing conditions in the market for funds.</w:t>
      </w:r>
      <w:r w:rsidRPr="007E742F">
        <w:rPr>
          <w:rStyle w:val="FootnoteReference"/>
        </w:rPr>
        <w:footnoteReference w:id="223"/>
      </w:r>
      <w:r w:rsidRPr="007E742F">
        <w:t xml:space="preserve"> This approach was articulated in the WACC review in 2009, and the approach is consistent with other recent decisions by the AER. </w:t>
      </w:r>
    </w:p>
    <w:p w:rsidR="007E742F" w:rsidRPr="007E742F" w:rsidRDefault="007E742F" w:rsidP="007E742F">
      <w:pPr>
        <w:pStyle w:val="AERheading4"/>
      </w:pPr>
      <w:r w:rsidRPr="007E742F">
        <w:t>Market risk premium</w:t>
      </w:r>
    </w:p>
    <w:p w:rsidR="007E742F" w:rsidRPr="007E742F" w:rsidRDefault="007E742F" w:rsidP="007E742F">
      <w:pPr>
        <w:pStyle w:val="AERbodytext"/>
      </w:pPr>
      <w:r w:rsidRPr="007E742F">
        <w:rPr>
          <w:rFonts w:eastAsia="Calibri"/>
        </w:rPr>
        <w:t xml:space="preserve">The AER accepts the use of the yield on 10 year CGS as the proxy for the risk free rate. To maintain consistency within the CAPM, the AER estimated a 10 year forward looking MRP. </w:t>
      </w:r>
    </w:p>
    <w:p w:rsidR="007E742F" w:rsidRPr="007E742F" w:rsidRDefault="007E742F" w:rsidP="007E742F">
      <w:pPr>
        <w:pStyle w:val="AERbodytext"/>
      </w:pPr>
      <w:r w:rsidRPr="007E742F">
        <w:t>The MRP is the expected return over the risk free rate that investors require to invest in a well diversified portfolio of risky assets.</w:t>
      </w:r>
      <w:r w:rsidRPr="007E742F" w:rsidDel="00C65593">
        <w:rPr>
          <w:rStyle w:val="FootnoteReference"/>
        </w:rPr>
        <w:t xml:space="preserve"> </w:t>
      </w:r>
      <w:r w:rsidRPr="007E742F">
        <w:t>It represents the risk premium that investors who invest in such a portfolio can expect to earn for bearing only non-diversifiable (systematic) risk. The MRP is common to all assets in the economy and not specific to an individual asset or business.</w:t>
      </w:r>
    </w:p>
    <w:p w:rsidR="007E742F" w:rsidRPr="007E742F" w:rsidRDefault="007E742F" w:rsidP="007E742F">
      <w:pPr>
        <w:pStyle w:val="AERbodytext"/>
      </w:pPr>
      <w:r w:rsidRPr="007E742F">
        <w:t xml:space="preserve">While the MRP cannot be directly observed, methods are available to infer investor expectations at any point in time. These methods include examining historical excess returns, conducting surveys of the MRP used by practitioners and academics, employing the dividend growth model (DGM) and using other financial market indicators such as an implied volatility approach. The National Gas Law and Rules (NGL and NGR) do not specify a particular method for measuring the MRP. </w:t>
      </w:r>
    </w:p>
    <w:p w:rsidR="007E742F" w:rsidRPr="007E742F" w:rsidRDefault="007E742F" w:rsidP="007E742F">
      <w:pPr>
        <w:pStyle w:val="AERbodytext"/>
      </w:pPr>
      <w:r w:rsidRPr="007E742F">
        <w:t>Academic literature and reports by regulated entities</w:t>
      </w:r>
      <w:r w:rsidRPr="007E742F">
        <w:rPr>
          <w:rStyle w:val="FootnoteReference"/>
        </w:rPr>
        <w:footnoteReference w:id="224"/>
      </w:r>
      <w:r w:rsidRPr="007E742F">
        <w:t xml:space="preserve"> recognise the evidence available for estimating the MRP is imprecise and subject to interpretation. Experts do not agree on either the appropriate method or the assumption for different methods. In addition, each method has strengths and limitations, and may give conflicting outcomes.</w:t>
      </w:r>
      <w:r w:rsidRPr="007E742F">
        <w:rPr>
          <w:rStyle w:val="FootnoteReference"/>
        </w:rPr>
        <w:footnoteReference w:id="225"/>
      </w:r>
      <w:r w:rsidRPr="007E742F">
        <w:t xml:space="preserve"> For these reasons, judgment must be exercised in determining an MRP value for determining an appropriate rate of return. The Australian Competition Tribunal recognised this problem in the recent Envestra decision.</w:t>
      </w:r>
      <w:r w:rsidRPr="007E742F">
        <w:rPr>
          <w:rStyle w:val="FootnoteReference"/>
        </w:rPr>
        <w:footnoteReference w:id="226"/>
      </w:r>
      <w:r w:rsidRPr="007E742F">
        <w:t xml:space="preserve"> </w:t>
      </w:r>
    </w:p>
    <w:p w:rsidR="007E742F" w:rsidRPr="007E742F" w:rsidRDefault="007E742F" w:rsidP="007E742F">
      <w:pPr>
        <w:pStyle w:val="AERbodytext"/>
        <w:rPr>
          <w:rStyle w:val="AERbody"/>
        </w:rPr>
      </w:pPr>
      <w:r w:rsidRPr="007E742F">
        <w:t>The AER considers the MRP should be based on considerations relevant to the MRP. Maintaining the integrity of each parameter promotes robustness in the parameter's estimation. While that integrity is important, the AER also recognises the economic interdependencies between parameters when they exist.</w:t>
      </w:r>
      <w:r w:rsidRPr="007E742F" w:rsidDel="00920DF7">
        <w:rPr>
          <w:rFonts w:eastAsia="Calibri"/>
        </w:rPr>
        <w:t xml:space="preserve"> </w:t>
      </w:r>
      <w:r w:rsidRPr="007E742F">
        <w:rPr>
          <w:rStyle w:val="AERbody"/>
        </w:rPr>
        <w:t xml:space="preserve">Consistent with previous AER decisions, the AER determined an appropriate value for the MRP by assessing a range of evidence, including: </w:t>
      </w:r>
    </w:p>
    <w:p w:rsidR="007E742F" w:rsidRPr="007E742F" w:rsidRDefault="007E742F" w:rsidP="007E742F">
      <w:pPr>
        <w:pStyle w:val="AERbulletlistfirststyle"/>
      </w:pPr>
      <w:r w:rsidRPr="007E742F">
        <w:t xml:space="preserve">historical excess returns, which represent the additional return that investors could have earned by investing in a diversified portfolio of shares (including appropriate adjustments for any imputation credits earned on this portfolio). The AER accounts for these estimates because investors’ experience informs their expectations of the forward looking MRP. </w:t>
      </w:r>
    </w:p>
    <w:p w:rsidR="007E742F" w:rsidRPr="007E742F" w:rsidRDefault="007E742F" w:rsidP="007E742F">
      <w:pPr>
        <w:pStyle w:val="AERbulletlistfirststyle"/>
      </w:pPr>
      <w:r w:rsidRPr="007E742F">
        <w:t>survey based estimates. Surveys of market practitioners and academics provide information on the expected forward looking MRP and its application. The AER acknowledges survey results need to be treated with caution.</w:t>
      </w:r>
    </w:p>
    <w:p w:rsidR="007E742F" w:rsidRPr="007E742F" w:rsidRDefault="007E742F" w:rsidP="007E742F">
      <w:pPr>
        <w:pStyle w:val="AERbulletlistfirststyle"/>
      </w:pPr>
      <w:r w:rsidRPr="007E742F">
        <w:t>DGM estimates. Cash flow based measures of the MRP generally employ a dividend discount model. One such model is the DGM, which values a stock by estimating the next dividend to be paid and then assumes dividends per share will increase in perpetuity by a constant growth rate. By rearranging the equation, we can derive the implied cost of equity from the current share price. Replacing individual stock parameters for market parameters implies the MRP equals the next period’s market dividend yield plus expected market growth rate in dividends per share minus the risk free rate.</w:t>
      </w:r>
      <w:r w:rsidRPr="007E742F">
        <w:rPr>
          <w:rStyle w:val="FootnoteReference"/>
        </w:rPr>
        <w:footnoteReference w:id="227"/>
      </w:r>
      <w:r w:rsidRPr="007E742F">
        <w:t xml:space="preserve"> The AER notes DGM estimates are highly sensitive to input assumptions.</w:t>
      </w:r>
    </w:p>
    <w:p w:rsidR="007E742F" w:rsidRPr="007E742F" w:rsidRDefault="007E742F" w:rsidP="007E742F">
      <w:pPr>
        <w:pStyle w:val="AERbulletlistfirststyle"/>
      </w:pPr>
      <w:r w:rsidRPr="007E742F">
        <w:t>the views of consultants:</w:t>
      </w:r>
    </w:p>
    <w:p w:rsidR="007E742F" w:rsidRPr="007E742F" w:rsidRDefault="007E742F" w:rsidP="007E742F">
      <w:pPr>
        <w:pStyle w:val="AERbulletlistsecondstyle"/>
      </w:pPr>
      <w:r w:rsidRPr="007E742F">
        <w:rPr>
          <w:rFonts w:eastAsia="Calibri"/>
        </w:rPr>
        <w:t xml:space="preserve">CEG uses three approaches to estimate the cost of equity. Two use the DGM analysis and the other </w:t>
      </w:r>
      <w:r w:rsidRPr="007E742F">
        <w:t>favours adjusting the normal levels of cost of equity based on the current market evidence.</w:t>
      </w:r>
    </w:p>
    <w:p w:rsidR="007E742F" w:rsidRPr="007E742F" w:rsidRDefault="007E742F" w:rsidP="007E742F">
      <w:pPr>
        <w:pStyle w:val="AERbulletlistsecondstyle"/>
      </w:pPr>
      <w:r w:rsidRPr="007E742F">
        <w:t xml:space="preserve">Capital Research uses DGM to directly estimate the forward looking MRP. </w:t>
      </w:r>
    </w:p>
    <w:p w:rsidR="007E742F" w:rsidRPr="007E742F" w:rsidRDefault="007E742F" w:rsidP="007E742F">
      <w:pPr>
        <w:pStyle w:val="AERbulletlistsecondstyle"/>
      </w:pPr>
      <w:r w:rsidRPr="007E742F">
        <w:t xml:space="preserve">NERA Economic Consulting's regime switching model estimates the current probability of market being in a high volatility state and derives an MRP estimate from this probability. </w:t>
      </w:r>
    </w:p>
    <w:p w:rsidR="007E742F" w:rsidRPr="007E742F" w:rsidRDefault="007E742F" w:rsidP="007E742F">
      <w:pPr>
        <w:pStyle w:val="AERbulletlistsecondstyle"/>
      </w:pPr>
      <w:r w:rsidRPr="007E742F">
        <w:t>A McKenzie and Partington report considered four areas of evidence and concluded the AER should use a stable long run MRP by placing weight on historical excess returns and survey evidence.</w:t>
      </w:r>
    </w:p>
    <w:p w:rsidR="007E742F" w:rsidRPr="007E742F" w:rsidRDefault="007E742F" w:rsidP="007E742F">
      <w:pPr>
        <w:pStyle w:val="AERbulletlistsecondstyle"/>
      </w:pPr>
      <w:r w:rsidRPr="007E742F">
        <w:t>Lally broadly supported the AER method to estimate the MRP.</w:t>
      </w:r>
    </w:p>
    <w:p w:rsidR="007E742F" w:rsidRPr="007E742F" w:rsidRDefault="007E742F" w:rsidP="007E742F">
      <w:pPr>
        <w:pStyle w:val="AERbulletlistsecondstyle"/>
        <w:rPr>
          <w:rFonts w:eastAsia="Calibri"/>
        </w:rPr>
      </w:pPr>
      <w:r w:rsidRPr="007E742F">
        <w:t xml:space="preserve">The VAA implied volatility approach </w:t>
      </w:r>
      <w:r w:rsidRPr="007E742F">
        <w:rPr>
          <w:rFonts w:eastAsia="Calibri"/>
        </w:rPr>
        <w:t>derives the one year MRP estimate from the Black-Scholes option pricing formula for 12 month ASX200 index call options and then estimates a geometric average MRP over five years.</w:t>
      </w:r>
    </w:p>
    <w:p w:rsidR="007E742F" w:rsidRPr="007E742F" w:rsidRDefault="007E742F" w:rsidP="007E742F">
      <w:pPr>
        <w:pStyle w:val="AERbulletlistsecondstyle"/>
      </w:pPr>
      <w:r w:rsidRPr="007E742F">
        <w:t>The SFG method considers other financial market indicators (implied volatility, credit spread and dividend yield) as relevant factors in estimating a 10 year forward looking MRP.</w:t>
      </w:r>
    </w:p>
    <w:p w:rsidR="007E742F" w:rsidRPr="007E742F" w:rsidRDefault="007E742F" w:rsidP="007E742F">
      <w:pPr>
        <w:pStyle w:val="AERbulletlistfirststyle"/>
      </w:pPr>
      <w:r w:rsidRPr="007E742F">
        <w:t xml:space="preserve">recent practice among Australian regulators. MRP is an economy wide measure that other regulators in Australia determine under the same CAPM framework. </w:t>
      </w:r>
    </w:p>
    <w:p w:rsidR="007E742F" w:rsidRPr="007E742F" w:rsidRDefault="007E742F" w:rsidP="007E742F">
      <w:pPr>
        <w:pStyle w:val="AERbodytext"/>
        <w:rPr>
          <w:rFonts w:eastAsia="Calibri"/>
        </w:rPr>
      </w:pPr>
      <w:r w:rsidRPr="007E742F">
        <w:t xml:space="preserve">The AER interpreted the information available, accounting for the advantages and limitations of each of the five types of evidence. </w:t>
      </w:r>
      <w:r w:rsidRPr="007E742F">
        <w:rPr>
          <w:rFonts w:eastAsia="Calibri"/>
        </w:rPr>
        <w:t xml:space="preserve">It then reviewed evidence across all these areas to help decide the appropriate forward looking 10 year MRP for this draft decision. In the case of complex and conflicting evidence, the AER exercised regulatory judgment. For the reasons set out in section </w:t>
      </w:r>
      <w:r w:rsidR="00DE0D6A" w:rsidRPr="007E742F">
        <w:fldChar w:fldCharType="begin"/>
      </w:r>
      <w:r w:rsidRPr="007E742F">
        <w:rPr>
          <w:rFonts w:eastAsia="Calibri"/>
        </w:rPr>
        <w:instrText xml:space="preserve"> REF _Ref333916669 \r \h </w:instrText>
      </w:r>
      <w:r w:rsidR="00DE0D6A" w:rsidRPr="007E742F">
        <w:fldChar w:fldCharType="separate"/>
      </w:r>
      <w:r w:rsidRPr="007E742F">
        <w:rPr>
          <w:rFonts w:eastAsia="Calibri"/>
        </w:rPr>
        <w:t>4.3.3</w:t>
      </w:r>
      <w:r w:rsidR="00DE0D6A" w:rsidRPr="007E742F">
        <w:fldChar w:fldCharType="end"/>
      </w:r>
      <w:r w:rsidRPr="007E742F">
        <w:rPr>
          <w:rFonts w:eastAsia="Calibri"/>
        </w:rPr>
        <w:t xml:space="preserve"> and appendix B, the AER placed limited emphasis on the DGM, the regime switching models, implied volatility and other financial market indicators in estimating the 10 year forward looking MRP.</w:t>
      </w:r>
    </w:p>
    <w:p w:rsidR="007E742F" w:rsidRPr="007E742F" w:rsidRDefault="007E742F" w:rsidP="007E742F">
      <w:pPr>
        <w:pStyle w:val="AERheading4"/>
      </w:pPr>
      <w:r w:rsidRPr="007E742F">
        <w:t>Equity beta</w:t>
      </w:r>
    </w:p>
    <w:p w:rsidR="007E742F" w:rsidRPr="007E742F" w:rsidRDefault="007E742F" w:rsidP="007E742F">
      <w:pPr>
        <w:pStyle w:val="AERbodytext"/>
      </w:pPr>
      <w:r w:rsidRPr="007E742F">
        <w:t>The AER approach for this draft decision begins with conceptual analysis of equity beta, then proceeds with rigorous empirical analysis using a comparator set of listed firms that best match the benchmark. Finally, the equity beta estimate is cross checked against other estimates derived from less relevant data, such as overseas firms or other regulated sectors.</w:t>
      </w:r>
    </w:p>
    <w:p w:rsidR="007E742F" w:rsidRPr="007E742F" w:rsidRDefault="007E742F" w:rsidP="007E742F">
      <w:pPr>
        <w:pStyle w:val="AERbodytext"/>
      </w:pPr>
      <w:r w:rsidRPr="007E742F">
        <w:t xml:space="preserve">The conceptual analysis undertaken by the AER frames the later empirical analysis. In the AER approach the empirical analysis is the primary determinant of equity beta, even though it is not the first step. Further, although the cross checks use empirical evidence, this is given less weight because of the reduced relevance of these firms (overseas or in other industry sectors) to the characteristics of the benchmark firm. </w:t>
      </w:r>
    </w:p>
    <w:p w:rsidR="007E742F" w:rsidRPr="007E742F" w:rsidRDefault="007E742F" w:rsidP="007E742F">
      <w:pPr>
        <w:pStyle w:val="AERbodytext"/>
      </w:pPr>
      <w:r w:rsidRPr="007E742F">
        <w:t>In evaluating both the conceptual and empirical evidence, the AER sought, advice from finance experts Professor McKenzie and Associate Professor Partington of the University of Sydney.</w:t>
      </w:r>
      <w:r w:rsidRPr="007E742F">
        <w:rPr>
          <w:rStyle w:val="FootnoteReference"/>
        </w:rPr>
        <w:footnoteReference w:id="228"/>
      </w:r>
      <w:r w:rsidRPr="007E742F">
        <w:t xml:space="preserve"> </w:t>
      </w:r>
    </w:p>
    <w:p w:rsidR="007E742F" w:rsidRPr="007E742F" w:rsidRDefault="007E742F" w:rsidP="007E742F">
      <w:pPr>
        <w:pStyle w:val="AERbodytext"/>
      </w:pPr>
      <w:r w:rsidRPr="007E742F">
        <w:t>In arriving at the estimate of the equity beta, the AER has regard to the level of precision in the available empirical evidence, consistent with the AER’s previous regulatory practice.</w:t>
      </w:r>
    </w:p>
    <w:p w:rsidR="007E742F" w:rsidRPr="007E742F" w:rsidRDefault="007E742F" w:rsidP="007E742F">
      <w:pPr>
        <w:pStyle w:val="AERheading4"/>
      </w:pPr>
      <w:r w:rsidRPr="007E742F">
        <w:t>Debt risk premium</w:t>
      </w:r>
    </w:p>
    <w:p w:rsidR="007E742F" w:rsidRPr="007E742F" w:rsidRDefault="007E742F" w:rsidP="007E742F">
      <w:pPr>
        <w:pStyle w:val="AERbodytext"/>
      </w:pPr>
      <w:r w:rsidRPr="007E742F">
        <w:t>The DRP is the margin above the nominal risk free rate that a debt holder would require in order for it to invest in a benchmark efficient service provider. When combined with the nominal risk free rate, the DRP represents the return on debt and is an input for calculating the WACC.</w:t>
      </w:r>
    </w:p>
    <w:p w:rsidR="007E742F" w:rsidRPr="007E742F" w:rsidRDefault="007E742F" w:rsidP="007E742F">
      <w:pPr>
        <w:pStyle w:val="AERbodytext"/>
      </w:pPr>
      <w:r w:rsidRPr="007E742F">
        <w:t>The AER’s assessment approach for this draft decision is consistent with that adopted in the AER's recent final decision for the Roma to Brisbane Pipeline.</w:t>
      </w:r>
      <w:r w:rsidRPr="007E742F">
        <w:rPr>
          <w:rStyle w:val="FootnoteReference"/>
        </w:rPr>
        <w:footnoteReference w:id="229"/>
      </w:r>
      <w:r w:rsidRPr="007E742F">
        <w:t xml:space="preserve"> That is, the AER has estimated the DRP using:</w:t>
      </w:r>
    </w:p>
    <w:p w:rsidR="007E742F" w:rsidRPr="007E742F" w:rsidRDefault="007E742F" w:rsidP="007E742F">
      <w:pPr>
        <w:pStyle w:val="AERbulletlistfirststyle"/>
      </w:pPr>
      <w:r w:rsidRPr="007E742F">
        <w:t>an appropriate benchmark</w:t>
      </w:r>
    </w:p>
    <w:p w:rsidR="007E742F" w:rsidRPr="007E742F" w:rsidRDefault="007E742F" w:rsidP="007E742F">
      <w:pPr>
        <w:pStyle w:val="AERbulletlistfirststyle"/>
      </w:pPr>
      <w:r w:rsidRPr="007E742F">
        <w:t xml:space="preserve">a method used to estimate the DRP that conforms to these benchmark parameters. </w:t>
      </w:r>
    </w:p>
    <w:p w:rsidR="007E742F" w:rsidRPr="007E742F" w:rsidRDefault="007E742F" w:rsidP="007E742F">
      <w:pPr>
        <w:pStyle w:val="AERbodytext"/>
      </w:pPr>
      <w:r w:rsidRPr="007E742F">
        <w:rPr>
          <w:rStyle w:val="AERtextbold"/>
        </w:rPr>
        <w:t>Benchmark</w:t>
      </w:r>
    </w:p>
    <w:p w:rsidR="007E742F" w:rsidRPr="007E742F" w:rsidRDefault="007E742F" w:rsidP="007E742F">
      <w:pPr>
        <w:pStyle w:val="AERbodytext"/>
      </w:pPr>
      <w:r w:rsidRPr="007E742F">
        <w:t xml:space="preserve">The AER adopts a 10 year Australian corporate bond with a BBB+ credit rating as the benchmark for estimating the DRP. This benchmark assumption was also adopted by APA GasNet. </w:t>
      </w:r>
    </w:p>
    <w:p w:rsidR="007E742F" w:rsidRPr="007E742F" w:rsidRDefault="007E742F" w:rsidP="007E742F">
      <w:pPr>
        <w:pStyle w:val="AERbodytext"/>
        <w:rPr>
          <w:rStyle w:val="AERtextbold"/>
        </w:rPr>
      </w:pPr>
      <w:r w:rsidRPr="007E742F">
        <w:rPr>
          <w:rStyle w:val="AERtextbold"/>
        </w:rPr>
        <w:t>Method used to estimate the DRP</w:t>
      </w:r>
    </w:p>
    <w:p w:rsidR="007E742F" w:rsidRPr="007E742F" w:rsidRDefault="007E742F" w:rsidP="007E742F">
      <w:pPr>
        <w:pStyle w:val="AERbodytext"/>
      </w:pPr>
      <w:r w:rsidRPr="007E742F">
        <w:t>For this draft decision, the AER uses the following method to estimate the 10 year DRP:</w:t>
      </w:r>
    </w:p>
    <w:p w:rsidR="007E742F" w:rsidRPr="007E742F" w:rsidRDefault="007E742F" w:rsidP="007E742F">
      <w:pPr>
        <w:pStyle w:val="AERbulletlistfirststyle"/>
      </w:pPr>
      <w:r w:rsidRPr="007E742F">
        <w:t>the Bloomberg BBB rated fair value curve to estimate the (base) seven year DRP</w:t>
      </w:r>
    </w:p>
    <w:p w:rsidR="007E742F" w:rsidRPr="007E742F" w:rsidRDefault="007E742F" w:rsidP="007E742F">
      <w:pPr>
        <w:pStyle w:val="AERbulletlistfirststyle"/>
      </w:pPr>
      <w:r w:rsidRPr="007E742F">
        <w:t>the average annual increment observed across bonds of differing maturities issued by the same company, to extrapolate the seven year DRP estimate to 10 years.</w:t>
      </w:r>
    </w:p>
    <w:p w:rsidR="007E742F" w:rsidRPr="007E742F" w:rsidRDefault="007E742F" w:rsidP="007E742F">
      <w:pPr>
        <w:pStyle w:val="AERbodytext"/>
        <w:rPr>
          <w:rStyle w:val="AERtextbold"/>
        </w:rPr>
      </w:pPr>
      <w:r w:rsidRPr="007E742F">
        <w:rPr>
          <w:rStyle w:val="AERtextbold"/>
        </w:rPr>
        <w:t>AER observations on recent Tribunal decisions and bond issuances</w:t>
      </w:r>
    </w:p>
    <w:p w:rsidR="007E742F" w:rsidRPr="007E742F" w:rsidRDefault="007E742F" w:rsidP="007E742F">
      <w:pPr>
        <w:pStyle w:val="AERbodytext"/>
      </w:pPr>
      <w:r w:rsidRPr="007E742F">
        <w:t>The AER has previously noted analysis demonstrating the extrapolated Bloomberg BBB rated fair value curve resulted in a DRP higher than that indicated from market evidence.</w:t>
      </w:r>
      <w:r w:rsidRPr="007E742F">
        <w:rPr>
          <w:rStyle w:val="FootnoteReference"/>
        </w:rPr>
        <w:footnoteReference w:id="230"/>
      </w:r>
      <w:r w:rsidRPr="007E742F">
        <w:t xml:space="preserve"> In particular, this evidence included observed bond data and independent market commentary.</w:t>
      </w:r>
    </w:p>
    <w:p w:rsidR="007E742F" w:rsidRPr="007E742F" w:rsidRDefault="007E742F" w:rsidP="007E742F">
      <w:pPr>
        <w:pStyle w:val="AERbodytext"/>
      </w:pPr>
      <w:r w:rsidRPr="007E742F">
        <w:t>Further, the AER has previously proposed a means of estimating the DRP which made use of market evidence on Australian bond yields.</w:t>
      </w:r>
      <w:r w:rsidRPr="007E742F">
        <w:rPr>
          <w:rStyle w:val="FootnoteReference"/>
        </w:rPr>
        <w:footnoteReference w:id="231"/>
      </w:r>
      <w:r w:rsidRPr="007E742F">
        <w:t xml:space="preserve"> Prior to the implementation of this approach in a final decision, however, the Tribunal released its decision for the Envestra and APT Allgas reviews.</w:t>
      </w:r>
      <w:r w:rsidRPr="007E742F">
        <w:rPr>
          <w:rStyle w:val="FootnoteReference"/>
        </w:rPr>
        <w:footnoteReference w:id="232"/>
      </w:r>
      <w:r w:rsidRPr="007E742F">
        <w:t xml:space="preserve"> Notably, the Tribunal stated that the Bloomberg fair value curve should be used to determine the DRP unless there are sound reasons to depart from that practice. Moreover, any alternative method should be determined in consultation with the relevant regulated entities and other interested parties.</w:t>
      </w:r>
      <w:r w:rsidRPr="007E742F">
        <w:rPr>
          <w:rStyle w:val="FootnoteReference"/>
        </w:rPr>
        <w:footnoteReference w:id="233"/>
      </w:r>
      <w:r w:rsidRPr="007E742F">
        <w:t xml:space="preserve"> In light of these Tribunal statements, the AER relied on the extrapolated Bloomberg fair value curve for estimating the DRP. The AER was particularly mindful of the Tribunal’s recommendation that a public consultation process be completed before an alternative methodology was adopted.</w:t>
      </w:r>
    </w:p>
    <w:p w:rsidR="007E742F" w:rsidRPr="007E742F" w:rsidRDefault="007E742F" w:rsidP="007E742F">
      <w:pPr>
        <w:pStyle w:val="AERbodytext"/>
      </w:pPr>
      <w:r w:rsidRPr="007E742F">
        <w:t>Subsequently, the Tribunal has made two decisions that also dealt with the determination of the DRP.</w:t>
      </w:r>
      <w:r w:rsidRPr="007E742F">
        <w:rPr>
          <w:rStyle w:val="FootnoteReference"/>
        </w:rPr>
        <w:footnoteReference w:id="234"/>
      </w:r>
      <w:r w:rsidRPr="007E742F">
        <w:t xml:space="preserve"> These decisions upheld the use of the ‘bond-yield approach’ adopted by the ERA.</w:t>
      </w:r>
      <w:r w:rsidRPr="007E742F">
        <w:rPr>
          <w:rStyle w:val="FootnoteReference"/>
        </w:rPr>
        <w:footnoteReference w:id="235"/>
      </w:r>
      <w:r w:rsidRPr="007E742F">
        <w:t xml:space="preserve"> That is, an alternative bond yield approach to that used by the AER in which the DRP was estimated by averaging observed bond yields that met certain criteria.</w:t>
      </w:r>
      <w:r w:rsidRPr="007E742F">
        <w:rPr>
          <w:rStyle w:val="FootnoteReference"/>
        </w:rPr>
        <w:footnoteReference w:id="236"/>
      </w:r>
      <w:r w:rsidRPr="007E742F">
        <w:t xml:space="preserve"> The Tribunal did, however, direct the ERA to amend the simple averaging process used to aggregate these bond yields.</w:t>
      </w:r>
      <w:r w:rsidRPr="007E742F">
        <w:rPr>
          <w:rStyle w:val="FootnoteReference"/>
        </w:rPr>
        <w:footnoteReference w:id="237"/>
      </w:r>
      <w:r w:rsidRPr="007E742F">
        <w:t xml:space="preserve"> The Tribunal also provided guidance on the relevance of various criteria and the use of a more complex weighted average.</w:t>
      </w:r>
      <w:r w:rsidRPr="007E742F">
        <w:rPr>
          <w:rStyle w:val="FootnoteReference"/>
        </w:rPr>
        <w:footnoteReference w:id="238"/>
      </w:r>
      <w:r w:rsidRPr="007E742F">
        <w:t xml:space="preserve"> Such a weighted average was implemented by the ERA on remittal.</w:t>
      </w:r>
      <w:r w:rsidRPr="007E742F">
        <w:rPr>
          <w:rStyle w:val="FootnoteReference"/>
        </w:rPr>
        <w:footnoteReference w:id="239"/>
      </w:r>
    </w:p>
    <w:p w:rsidR="007E742F" w:rsidRPr="007E742F" w:rsidRDefault="007E742F" w:rsidP="007E742F">
      <w:pPr>
        <w:pStyle w:val="AERbodytext"/>
      </w:pPr>
      <w:r w:rsidRPr="007E742F">
        <w:t>If the bond-yield approach (with the weighting method adopted in the ERA’s revised decision) was applied to APA GasNet, the DRP would be 2.72 per cent.</w:t>
      </w:r>
      <w:r w:rsidRPr="007E742F">
        <w:rPr>
          <w:rStyle w:val="FootnoteReference"/>
        </w:rPr>
        <w:footnoteReference w:id="240"/>
      </w:r>
      <w:r w:rsidRPr="007E742F">
        <w:t xml:space="preserve"> This is below the DRP of 3.82 per cent derived using the extrapolated Bloomberg fair value curve (as per APA GasNet’s proposed method).</w:t>
      </w:r>
      <w:r w:rsidRPr="007E742F">
        <w:rPr>
          <w:rStyle w:val="FootnoteReference"/>
        </w:rPr>
        <w:footnoteReference w:id="241"/>
      </w:r>
    </w:p>
    <w:p w:rsidR="007E742F" w:rsidRDefault="007E742F" w:rsidP="007E742F">
      <w:pPr>
        <w:pStyle w:val="AERbodytext"/>
      </w:pPr>
      <w:r w:rsidRPr="007E742F">
        <w:t xml:space="preserve">Additionally, the AER has observed recent bond issues from firms which have similar characteristics to the benchmark firm. These are shown in </w:t>
      </w:r>
      <w:fldSimple w:instr=" REF  _Ref334009007 \* Lower \h \n  \* MERGEFORMAT ">
        <w:r w:rsidRPr="007E742F">
          <w:t>table 4.2</w:t>
        </w:r>
      </w:fldSimple>
      <w:r w:rsidRPr="007E742F">
        <w:t>, below:</w:t>
      </w:r>
    </w:p>
    <w:p w:rsidR="0018730D" w:rsidRPr="007E742F" w:rsidRDefault="0018730D" w:rsidP="007E742F">
      <w:pPr>
        <w:pStyle w:val="AERbodytext"/>
      </w:pPr>
    </w:p>
    <w:p w:rsidR="007E742F" w:rsidRPr="006E1CEF" w:rsidRDefault="007E742F" w:rsidP="006E1CEF">
      <w:pPr>
        <w:pStyle w:val="AERtabletitle"/>
        <w:rPr>
          <w:rStyle w:val="AERtextbold"/>
          <w:b/>
        </w:rPr>
      </w:pPr>
      <w:bookmarkStart w:id="59" w:name="_Ref334009007"/>
      <w:r w:rsidRPr="006E1CEF">
        <w:rPr>
          <w:rStyle w:val="AERtextbold"/>
          <w:b/>
        </w:rPr>
        <w:t>Observed recent bond issuances—network service providers</w:t>
      </w:r>
      <w:bookmarkEnd w:id="59"/>
    </w:p>
    <w:tbl>
      <w:tblPr>
        <w:tblStyle w:val="AERtable-text"/>
        <w:tblW w:w="5000" w:type="pct"/>
        <w:tblLayout w:type="fixed"/>
        <w:tblLook w:val="04A0"/>
      </w:tblPr>
      <w:tblGrid>
        <w:gridCol w:w="1758"/>
        <w:gridCol w:w="1127"/>
        <w:gridCol w:w="1129"/>
        <w:gridCol w:w="1129"/>
        <w:gridCol w:w="1127"/>
        <w:gridCol w:w="1129"/>
        <w:gridCol w:w="1129"/>
      </w:tblGrid>
      <w:tr w:rsidR="007E742F" w:rsidTr="006E1CEF">
        <w:trPr>
          <w:cnfStyle w:val="100000000000"/>
        </w:trPr>
        <w:tc>
          <w:tcPr>
            <w:cnfStyle w:val="001000000000"/>
            <w:tcW w:w="1030" w:type="pct"/>
          </w:tcPr>
          <w:p w:rsidR="007E742F" w:rsidRPr="006E1CEF" w:rsidRDefault="007E742F" w:rsidP="006E1CEF">
            <w:pPr>
              <w:pStyle w:val="AERtabletextheading"/>
              <w:rPr>
                <w:rStyle w:val="AERtextbold"/>
                <w:b/>
              </w:rPr>
            </w:pPr>
            <w:r w:rsidRPr="006E1CEF">
              <w:rPr>
                <w:rStyle w:val="AERtextbold"/>
                <w:b/>
              </w:rPr>
              <w:t>Issuer</w:t>
            </w:r>
          </w:p>
        </w:tc>
        <w:tc>
          <w:tcPr>
            <w:tcW w:w="661" w:type="pct"/>
          </w:tcPr>
          <w:p w:rsidR="007E742F" w:rsidRPr="006E1CEF" w:rsidRDefault="007E742F" w:rsidP="006E1CEF">
            <w:pPr>
              <w:pStyle w:val="AERtabletextheading"/>
              <w:cnfStyle w:val="100000000000"/>
              <w:rPr>
                <w:rStyle w:val="AERtextbold"/>
                <w:b/>
              </w:rPr>
            </w:pPr>
            <w:r w:rsidRPr="006E1CEF">
              <w:rPr>
                <w:rStyle w:val="AERtextbold"/>
                <w:b/>
              </w:rPr>
              <w:t>Date of issue</w:t>
            </w:r>
          </w:p>
        </w:tc>
        <w:tc>
          <w:tcPr>
            <w:tcW w:w="662" w:type="pct"/>
          </w:tcPr>
          <w:p w:rsidR="007E742F" w:rsidRPr="006E1CEF" w:rsidRDefault="007E742F" w:rsidP="006E1CEF">
            <w:pPr>
              <w:pStyle w:val="AERtabletextheading"/>
              <w:cnfStyle w:val="100000000000"/>
              <w:rPr>
                <w:rStyle w:val="AERtextbold"/>
                <w:b/>
              </w:rPr>
            </w:pPr>
            <w:r w:rsidRPr="006E1CEF">
              <w:rPr>
                <w:rStyle w:val="AERtextbold"/>
                <w:b/>
              </w:rPr>
              <w:t>Amount ($million)</w:t>
            </w:r>
          </w:p>
        </w:tc>
        <w:tc>
          <w:tcPr>
            <w:tcW w:w="662" w:type="pct"/>
          </w:tcPr>
          <w:p w:rsidR="007E742F" w:rsidRPr="006E1CEF" w:rsidRDefault="007E742F" w:rsidP="006E1CEF">
            <w:pPr>
              <w:pStyle w:val="AERtabletextheading"/>
              <w:cnfStyle w:val="100000000000"/>
              <w:rPr>
                <w:rStyle w:val="AERtextbold"/>
                <w:b/>
              </w:rPr>
            </w:pPr>
            <w:r w:rsidRPr="006E1CEF">
              <w:rPr>
                <w:rStyle w:val="AERtextbold"/>
                <w:b/>
              </w:rPr>
              <w:t>Type</w:t>
            </w:r>
          </w:p>
        </w:tc>
        <w:tc>
          <w:tcPr>
            <w:tcW w:w="661" w:type="pct"/>
          </w:tcPr>
          <w:p w:rsidR="007E742F" w:rsidRPr="006E1CEF" w:rsidRDefault="007E742F" w:rsidP="006E1CEF">
            <w:pPr>
              <w:pStyle w:val="AERtabletextheading"/>
              <w:cnfStyle w:val="100000000000"/>
              <w:rPr>
                <w:rStyle w:val="AERtextbold"/>
                <w:b/>
              </w:rPr>
            </w:pPr>
            <w:r w:rsidRPr="006E1CEF">
              <w:rPr>
                <w:rStyle w:val="AERtextbold"/>
                <w:b/>
              </w:rPr>
              <w:t>Term (years)</w:t>
            </w:r>
          </w:p>
        </w:tc>
        <w:tc>
          <w:tcPr>
            <w:tcW w:w="662" w:type="pct"/>
          </w:tcPr>
          <w:p w:rsidR="007E742F" w:rsidRPr="006E1CEF" w:rsidRDefault="007E742F" w:rsidP="006E1CEF">
            <w:pPr>
              <w:pStyle w:val="AERtabletextheading"/>
              <w:cnfStyle w:val="100000000000"/>
              <w:rPr>
                <w:rStyle w:val="AERtextbold"/>
                <w:b/>
              </w:rPr>
            </w:pPr>
            <w:r w:rsidRPr="006E1CEF">
              <w:rPr>
                <w:rStyle w:val="AERtextbold"/>
                <w:b/>
              </w:rPr>
              <w:t>Yield at issue (per cent)</w:t>
            </w:r>
          </w:p>
        </w:tc>
        <w:tc>
          <w:tcPr>
            <w:tcW w:w="662" w:type="pct"/>
          </w:tcPr>
          <w:p w:rsidR="007E742F" w:rsidRPr="006E1CEF" w:rsidRDefault="007E742F" w:rsidP="006E1CEF">
            <w:pPr>
              <w:pStyle w:val="AERtabletextheading"/>
              <w:cnfStyle w:val="100000000000"/>
              <w:rPr>
                <w:rStyle w:val="AERtextbold"/>
                <w:b/>
              </w:rPr>
            </w:pPr>
            <w:r w:rsidRPr="006E1CEF">
              <w:rPr>
                <w:rStyle w:val="AERtextbold"/>
                <w:b/>
              </w:rPr>
              <w:t>DRP (per cent)</w:t>
            </w:r>
          </w:p>
        </w:tc>
      </w:tr>
      <w:tr w:rsidR="007E742F" w:rsidTr="006E1CEF">
        <w:tc>
          <w:tcPr>
            <w:cnfStyle w:val="001000000000"/>
            <w:tcW w:w="1030" w:type="pct"/>
          </w:tcPr>
          <w:p w:rsidR="007E742F" w:rsidRPr="007E742F" w:rsidRDefault="007E742F" w:rsidP="007E742F">
            <w:pPr>
              <w:pStyle w:val="AERtabletext"/>
            </w:pPr>
            <w:r w:rsidRPr="007E742F">
              <w:t>SPI Electricity and Gas</w:t>
            </w:r>
          </w:p>
        </w:tc>
        <w:tc>
          <w:tcPr>
            <w:tcW w:w="661" w:type="pct"/>
          </w:tcPr>
          <w:p w:rsidR="007E742F" w:rsidRPr="007E742F" w:rsidRDefault="007E742F" w:rsidP="007E742F">
            <w:pPr>
              <w:pStyle w:val="AERtabletext"/>
              <w:cnfStyle w:val="000000000000"/>
            </w:pPr>
            <w:r w:rsidRPr="007E742F">
              <w:t>21 JUN 2012</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205</w:t>
            </w:r>
          </w:p>
        </w:tc>
        <w:tc>
          <w:tcPr>
            <w:tcW w:w="662" w:type="pct"/>
          </w:tcPr>
          <w:p w:rsidR="007E742F" w:rsidRPr="007E742F" w:rsidRDefault="007E742F" w:rsidP="007E742F">
            <w:pPr>
              <w:pStyle w:val="AERtabletext"/>
              <w:cnfStyle w:val="000000000000"/>
            </w:pPr>
            <w:r w:rsidRPr="007E742F">
              <w:t>Fixed</w:t>
            </w:r>
          </w:p>
        </w:tc>
        <w:tc>
          <w:tcPr>
            <w:tcW w:w="661" w:type="pct"/>
          </w:tcPr>
          <w:p w:rsidR="007E742F" w:rsidRPr="006E1CEF" w:rsidRDefault="007E742F" w:rsidP="006E1CEF">
            <w:pPr>
              <w:pStyle w:val="AERtabletextheadingright"/>
              <w:cnfStyle w:val="000000000000"/>
              <w:rPr>
                <w:rStyle w:val="AERtextbold"/>
              </w:rPr>
            </w:pPr>
            <w:r w:rsidRPr="006E1CEF">
              <w:rPr>
                <w:rStyle w:val="AERtextbold"/>
              </w:rPr>
              <w:t>10</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5.95</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2.96</w:t>
            </w:r>
          </w:p>
        </w:tc>
      </w:tr>
      <w:tr w:rsidR="007E742F" w:rsidTr="006E1CEF">
        <w:trPr>
          <w:cnfStyle w:val="000000010000"/>
        </w:trPr>
        <w:tc>
          <w:tcPr>
            <w:cnfStyle w:val="001000000000"/>
            <w:tcW w:w="1030" w:type="pct"/>
          </w:tcPr>
          <w:p w:rsidR="007E742F" w:rsidRPr="007E742F" w:rsidRDefault="007E742F" w:rsidP="007E742F">
            <w:pPr>
              <w:pStyle w:val="AERtabletext"/>
            </w:pPr>
            <w:r w:rsidRPr="007E742F">
              <w:t>Powercor Australia</w:t>
            </w:r>
          </w:p>
        </w:tc>
        <w:tc>
          <w:tcPr>
            <w:tcW w:w="661" w:type="pct"/>
          </w:tcPr>
          <w:p w:rsidR="007E742F" w:rsidRPr="007E742F" w:rsidRDefault="007E742F" w:rsidP="007E742F">
            <w:pPr>
              <w:pStyle w:val="AERtabletext"/>
              <w:cnfStyle w:val="000000010000"/>
            </w:pPr>
            <w:r w:rsidRPr="007E742F">
              <w:t>19 APR 2012</w:t>
            </w:r>
          </w:p>
        </w:tc>
        <w:tc>
          <w:tcPr>
            <w:tcW w:w="662" w:type="pct"/>
          </w:tcPr>
          <w:p w:rsidR="007E742F" w:rsidRPr="006E1CEF" w:rsidRDefault="007E742F" w:rsidP="006E1CEF">
            <w:pPr>
              <w:pStyle w:val="AERtabletextheadingright"/>
              <w:cnfStyle w:val="000000010000"/>
              <w:rPr>
                <w:rStyle w:val="AERtextbold"/>
              </w:rPr>
            </w:pPr>
            <w:r w:rsidRPr="006E1CEF">
              <w:rPr>
                <w:rStyle w:val="AERtextbold"/>
              </w:rPr>
              <w:t>200</w:t>
            </w:r>
          </w:p>
        </w:tc>
        <w:tc>
          <w:tcPr>
            <w:tcW w:w="662" w:type="pct"/>
          </w:tcPr>
          <w:p w:rsidR="007E742F" w:rsidRPr="007E742F" w:rsidRDefault="007E742F" w:rsidP="007E742F">
            <w:pPr>
              <w:pStyle w:val="AERtabletext"/>
              <w:cnfStyle w:val="000000010000"/>
            </w:pPr>
            <w:r w:rsidRPr="007E742F">
              <w:t>Fixed</w:t>
            </w:r>
          </w:p>
        </w:tc>
        <w:tc>
          <w:tcPr>
            <w:tcW w:w="661" w:type="pct"/>
          </w:tcPr>
          <w:p w:rsidR="007E742F" w:rsidRPr="006E1CEF" w:rsidRDefault="007E742F" w:rsidP="006E1CEF">
            <w:pPr>
              <w:pStyle w:val="AERtabletextheadingright"/>
              <w:cnfStyle w:val="000000010000"/>
              <w:rPr>
                <w:rStyle w:val="AERtextbold"/>
              </w:rPr>
            </w:pPr>
            <w:r w:rsidRPr="006E1CEF">
              <w:rPr>
                <w:rStyle w:val="AERtextbold"/>
              </w:rPr>
              <w:t>5</w:t>
            </w:r>
          </w:p>
        </w:tc>
        <w:tc>
          <w:tcPr>
            <w:tcW w:w="662" w:type="pct"/>
          </w:tcPr>
          <w:p w:rsidR="007E742F" w:rsidRPr="006E1CEF" w:rsidRDefault="007E742F" w:rsidP="006E1CEF">
            <w:pPr>
              <w:pStyle w:val="AERtabletextheadingright"/>
              <w:cnfStyle w:val="000000010000"/>
              <w:rPr>
                <w:rStyle w:val="AERtextbold"/>
              </w:rPr>
            </w:pPr>
            <w:r w:rsidRPr="006E1CEF">
              <w:rPr>
                <w:rStyle w:val="AERtextbold"/>
              </w:rPr>
              <w:t>5.80</w:t>
            </w:r>
          </w:p>
        </w:tc>
        <w:tc>
          <w:tcPr>
            <w:tcW w:w="662" w:type="pct"/>
          </w:tcPr>
          <w:p w:rsidR="007E742F" w:rsidRPr="006E1CEF" w:rsidRDefault="007E742F" w:rsidP="006E1CEF">
            <w:pPr>
              <w:pStyle w:val="AERtabletextheadingright"/>
              <w:cnfStyle w:val="000000010000"/>
              <w:rPr>
                <w:rStyle w:val="AERtextbold"/>
              </w:rPr>
            </w:pPr>
            <w:r w:rsidRPr="006E1CEF">
              <w:rPr>
                <w:rStyle w:val="AERtextbold"/>
              </w:rPr>
              <w:t>2.51</w:t>
            </w:r>
          </w:p>
        </w:tc>
      </w:tr>
      <w:tr w:rsidR="007E742F" w:rsidTr="006E1CEF">
        <w:tc>
          <w:tcPr>
            <w:cnfStyle w:val="001000000000"/>
            <w:tcW w:w="1030" w:type="pct"/>
          </w:tcPr>
          <w:p w:rsidR="007E742F" w:rsidRPr="007E742F" w:rsidRDefault="007E742F" w:rsidP="007E742F">
            <w:pPr>
              <w:pStyle w:val="AERtabletext"/>
            </w:pPr>
            <w:r w:rsidRPr="007E742F">
              <w:t>United Energy Distribution</w:t>
            </w:r>
          </w:p>
        </w:tc>
        <w:tc>
          <w:tcPr>
            <w:tcW w:w="661" w:type="pct"/>
          </w:tcPr>
          <w:p w:rsidR="007E742F" w:rsidRPr="007E742F" w:rsidRDefault="007E742F" w:rsidP="007E742F">
            <w:pPr>
              <w:pStyle w:val="AERtabletext"/>
              <w:cnfStyle w:val="000000000000"/>
            </w:pPr>
            <w:r w:rsidRPr="007E742F">
              <w:t>3 APR 2012</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200</w:t>
            </w:r>
          </w:p>
        </w:tc>
        <w:tc>
          <w:tcPr>
            <w:tcW w:w="662" w:type="pct"/>
          </w:tcPr>
          <w:p w:rsidR="007E742F" w:rsidRPr="007E742F" w:rsidRDefault="007E742F" w:rsidP="007E742F">
            <w:pPr>
              <w:pStyle w:val="AERtabletext"/>
              <w:cnfStyle w:val="000000000000"/>
            </w:pPr>
            <w:r w:rsidRPr="007E742F">
              <w:t>Fixed</w:t>
            </w:r>
          </w:p>
        </w:tc>
        <w:tc>
          <w:tcPr>
            <w:tcW w:w="661" w:type="pct"/>
          </w:tcPr>
          <w:p w:rsidR="007E742F" w:rsidRPr="006E1CEF" w:rsidRDefault="007E742F" w:rsidP="006E1CEF">
            <w:pPr>
              <w:pStyle w:val="AERtabletextheadingright"/>
              <w:cnfStyle w:val="000000000000"/>
              <w:rPr>
                <w:rStyle w:val="AERtextbold"/>
              </w:rPr>
            </w:pPr>
            <w:r w:rsidRPr="006E1CEF">
              <w:rPr>
                <w:rStyle w:val="AERtextbold"/>
              </w:rPr>
              <w:t>5</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6.50</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2.95</w:t>
            </w:r>
          </w:p>
        </w:tc>
      </w:tr>
      <w:tr w:rsidR="007E742F" w:rsidTr="006E1CEF">
        <w:trPr>
          <w:cnfStyle w:val="000000010000"/>
        </w:trPr>
        <w:tc>
          <w:tcPr>
            <w:cnfStyle w:val="001000000000"/>
            <w:tcW w:w="1030" w:type="pct"/>
          </w:tcPr>
          <w:p w:rsidR="007E742F" w:rsidRPr="007E742F" w:rsidRDefault="007E742F" w:rsidP="007E742F">
            <w:pPr>
              <w:pStyle w:val="AERtabletext"/>
            </w:pPr>
            <w:r w:rsidRPr="007E742F">
              <w:t>ETSA Utilities</w:t>
            </w:r>
          </w:p>
        </w:tc>
        <w:tc>
          <w:tcPr>
            <w:tcW w:w="661" w:type="pct"/>
          </w:tcPr>
          <w:p w:rsidR="007E742F" w:rsidRPr="007E742F" w:rsidRDefault="007E742F" w:rsidP="007E742F">
            <w:pPr>
              <w:pStyle w:val="AERtabletext"/>
              <w:cnfStyle w:val="000000010000"/>
            </w:pPr>
            <w:r w:rsidRPr="007E742F">
              <w:t>1 MAR 2012</w:t>
            </w:r>
          </w:p>
        </w:tc>
        <w:tc>
          <w:tcPr>
            <w:tcW w:w="662" w:type="pct"/>
          </w:tcPr>
          <w:p w:rsidR="007E742F" w:rsidRPr="006E1CEF" w:rsidRDefault="007E742F" w:rsidP="006E1CEF">
            <w:pPr>
              <w:pStyle w:val="AERtabletextheadingright"/>
              <w:cnfStyle w:val="000000010000"/>
              <w:rPr>
                <w:rStyle w:val="AERtextbold"/>
              </w:rPr>
            </w:pPr>
            <w:r w:rsidRPr="006E1CEF">
              <w:rPr>
                <w:rStyle w:val="AERtextbold"/>
              </w:rPr>
              <w:t>200</w:t>
            </w:r>
          </w:p>
        </w:tc>
        <w:tc>
          <w:tcPr>
            <w:tcW w:w="662" w:type="pct"/>
          </w:tcPr>
          <w:p w:rsidR="007E742F" w:rsidRPr="007E742F" w:rsidRDefault="007E742F" w:rsidP="007E742F">
            <w:pPr>
              <w:pStyle w:val="AERtabletext"/>
              <w:cnfStyle w:val="000000010000"/>
            </w:pPr>
            <w:r w:rsidRPr="007E742F">
              <w:t>Fixed</w:t>
            </w:r>
          </w:p>
        </w:tc>
        <w:tc>
          <w:tcPr>
            <w:tcW w:w="661" w:type="pct"/>
          </w:tcPr>
          <w:p w:rsidR="007E742F" w:rsidRPr="006E1CEF" w:rsidRDefault="007E742F" w:rsidP="006E1CEF">
            <w:pPr>
              <w:pStyle w:val="AERtabletextheadingright"/>
              <w:cnfStyle w:val="000000010000"/>
              <w:rPr>
                <w:rStyle w:val="AERtextbold"/>
              </w:rPr>
            </w:pPr>
            <w:r w:rsidRPr="006E1CEF">
              <w:rPr>
                <w:rStyle w:val="AERtextbold"/>
              </w:rPr>
              <w:t>5</w:t>
            </w:r>
          </w:p>
        </w:tc>
        <w:tc>
          <w:tcPr>
            <w:tcW w:w="662" w:type="pct"/>
          </w:tcPr>
          <w:p w:rsidR="007E742F" w:rsidRPr="006E1CEF" w:rsidRDefault="007E742F" w:rsidP="006E1CEF">
            <w:pPr>
              <w:pStyle w:val="AERtabletextheadingright"/>
              <w:cnfStyle w:val="000000010000"/>
              <w:rPr>
                <w:rStyle w:val="AERtextbold"/>
              </w:rPr>
            </w:pPr>
            <w:r w:rsidRPr="006E1CEF">
              <w:rPr>
                <w:rStyle w:val="AERtextbold"/>
              </w:rPr>
              <w:t>6.27</w:t>
            </w:r>
          </w:p>
        </w:tc>
        <w:tc>
          <w:tcPr>
            <w:tcW w:w="662" w:type="pct"/>
          </w:tcPr>
          <w:p w:rsidR="007E742F" w:rsidRPr="006E1CEF" w:rsidRDefault="007E742F" w:rsidP="006E1CEF">
            <w:pPr>
              <w:pStyle w:val="AERtabletextheadingright"/>
              <w:cnfStyle w:val="000000010000"/>
              <w:rPr>
                <w:rStyle w:val="AERtextbold"/>
              </w:rPr>
            </w:pPr>
            <w:r w:rsidRPr="006E1CEF">
              <w:rPr>
                <w:rStyle w:val="AERtextbold"/>
              </w:rPr>
              <w:t>2.60</w:t>
            </w:r>
          </w:p>
        </w:tc>
      </w:tr>
      <w:tr w:rsidR="007E742F" w:rsidTr="006E1CEF">
        <w:tc>
          <w:tcPr>
            <w:cnfStyle w:val="001000000000"/>
            <w:tcW w:w="1030" w:type="pct"/>
          </w:tcPr>
          <w:p w:rsidR="007E742F" w:rsidRPr="007E742F" w:rsidRDefault="007E742F" w:rsidP="007E742F">
            <w:pPr>
              <w:pStyle w:val="AERtabletext"/>
            </w:pPr>
            <w:r w:rsidRPr="007E742F">
              <w:t>SPI Australia</w:t>
            </w:r>
          </w:p>
        </w:tc>
        <w:tc>
          <w:tcPr>
            <w:tcW w:w="661" w:type="pct"/>
          </w:tcPr>
          <w:p w:rsidR="007E742F" w:rsidRPr="007E742F" w:rsidRDefault="007E742F" w:rsidP="007E742F">
            <w:pPr>
              <w:pStyle w:val="AERtabletext"/>
              <w:cnfStyle w:val="000000000000"/>
            </w:pPr>
            <w:r w:rsidRPr="007E742F">
              <w:t>10 FEB 2012</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400</w:t>
            </w:r>
          </w:p>
        </w:tc>
        <w:tc>
          <w:tcPr>
            <w:tcW w:w="662" w:type="pct"/>
          </w:tcPr>
          <w:p w:rsidR="007E742F" w:rsidRPr="007E742F" w:rsidRDefault="007E742F" w:rsidP="007E742F">
            <w:pPr>
              <w:pStyle w:val="AERtabletext"/>
              <w:cnfStyle w:val="000000000000"/>
            </w:pPr>
            <w:r w:rsidRPr="007E742F">
              <w:t>Fixed</w:t>
            </w:r>
          </w:p>
        </w:tc>
        <w:tc>
          <w:tcPr>
            <w:tcW w:w="661" w:type="pct"/>
          </w:tcPr>
          <w:p w:rsidR="007E742F" w:rsidRPr="006E1CEF" w:rsidRDefault="007E742F" w:rsidP="006E1CEF">
            <w:pPr>
              <w:pStyle w:val="AERtabletextheadingright"/>
              <w:cnfStyle w:val="000000000000"/>
              <w:rPr>
                <w:rStyle w:val="AERtextbold"/>
              </w:rPr>
            </w:pPr>
            <w:r w:rsidRPr="006E1CEF">
              <w:rPr>
                <w:rStyle w:val="AERtextbold"/>
              </w:rPr>
              <w:t>5</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6.29</w:t>
            </w:r>
          </w:p>
        </w:tc>
        <w:tc>
          <w:tcPr>
            <w:tcW w:w="662" w:type="pct"/>
          </w:tcPr>
          <w:p w:rsidR="007E742F" w:rsidRPr="006E1CEF" w:rsidRDefault="007E742F" w:rsidP="006E1CEF">
            <w:pPr>
              <w:pStyle w:val="AERtabletextheadingright"/>
              <w:cnfStyle w:val="000000000000"/>
              <w:rPr>
                <w:rStyle w:val="AERtextbold"/>
              </w:rPr>
            </w:pPr>
            <w:r w:rsidRPr="006E1CEF">
              <w:rPr>
                <w:rStyle w:val="AERtextbold"/>
              </w:rPr>
              <w:t>2.75</w:t>
            </w:r>
          </w:p>
        </w:tc>
      </w:tr>
    </w:tbl>
    <w:p w:rsidR="007E742F" w:rsidRPr="007E742F" w:rsidRDefault="007E742F" w:rsidP="007E742F">
      <w:pPr>
        <w:pStyle w:val="AERtablesource"/>
      </w:pPr>
      <w:r w:rsidRPr="007E742F">
        <w:t>Source:</w:t>
      </w:r>
      <w:r w:rsidRPr="007E742F">
        <w:tab/>
        <w:t>Bloomberg.</w:t>
      </w:r>
    </w:p>
    <w:p w:rsidR="007E742F" w:rsidRPr="007E742F" w:rsidRDefault="007E742F" w:rsidP="007E742F">
      <w:pPr>
        <w:pStyle w:val="AERbodytext"/>
      </w:pPr>
      <w:r w:rsidRPr="007E742F">
        <w:t>Consistent with the AER’s observations previously, the AER considers that the Bloomberg fair value curve continues to provide DRP estimates which are higher than other potential approaches (such as the ERA’s approach). The Bloomberg fair value curve also provides estimates which are high in comparison to recent bond issuances from firms with similar characteristics to the benchmark firm. For these reasons, the AER has commenced an internal review into alternatives to the Bloomberg fair value curve. The AER will advise of a public consultation process on the development of an alternative in due course.</w:t>
      </w:r>
    </w:p>
    <w:p w:rsidR="007E742F" w:rsidRPr="007E742F" w:rsidRDefault="007E742F" w:rsidP="007E742F">
      <w:pPr>
        <w:pStyle w:val="AERheading4"/>
      </w:pPr>
      <w:r w:rsidRPr="007E742F">
        <w:t>Forecast inflation</w:t>
      </w:r>
    </w:p>
    <w:p w:rsidR="007E742F" w:rsidRPr="007E742F" w:rsidRDefault="007E742F" w:rsidP="007E742F">
      <w:pPr>
        <w:pStyle w:val="AERbodytext"/>
      </w:pPr>
      <w:r w:rsidRPr="007E742F">
        <w:t>The AER adopts the methodology that was used in its previous regulatory decisions. This methodology involves:</w:t>
      </w:r>
    </w:p>
    <w:p w:rsidR="007E742F" w:rsidRPr="007E742F" w:rsidRDefault="007E742F" w:rsidP="007E742F">
      <w:pPr>
        <w:pStyle w:val="AERbulletlistfirststyle"/>
      </w:pPr>
      <w:r w:rsidRPr="007E742F">
        <w:t>forecasting inflation for each of the next 10 years, consistent with the use a 10 year term for the risk free rate and other WACC parameters</w:t>
      </w:r>
    </w:p>
    <w:p w:rsidR="007E742F" w:rsidRPr="007E742F" w:rsidRDefault="007E742F" w:rsidP="007E742F">
      <w:pPr>
        <w:pStyle w:val="AERbulletlistfirststyle"/>
      </w:pPr>
      <w:r w:rsidRPr="007E742F">
        <w:t>taking a geometric average of these values to estimate a 10 year forecast inflation rate</w:t>
      </w:r>
    </w:p>
    <w:p w:rsidR="007E742F" w:rsidRPr="007E742F" w:rsidRDefault="007E742F" w:rsidP="007E742F">
      <w:pPr>
        <w:pStyle w:val="AERbulletlistfirststyle"/>
      </w:pPr>
      <w:r w:rsidRPr="007E742F">
        <w:t>adopting the RBA's headline inflation forecasts from its latest Statement on Monetary Policy for as many future years as the RBA publishes inflation forecasts, and</w:t>
      </w:r>
    </w:p>
    <w:p w:rsidR="007E742F" w:rsidRPr="007E742F" w:rsidRDefault="007E742F" w:rsidP="007E742F">
      <w:pPr>
        <w:pStyle w:val="AERbulletlistfirststyle"/>
      </w:pPr>
      <w:r w:rsidRPr="007E742F">
        <w:t>adopting the mid-point of the RBA's inflation target (2.5 per cent) for the remaining futures years out to year 10.</w:t>
      </w:r>
    </w:p>
    <w:p w:rsidR="007E742F" w:rsidRPr="007E742F" w:rsidRDefault="007E742F" w:rsidP="007E742F">
      <w:pPr>
        <w:pStyle w:val="AERheading3"/>
      </w:pPr>
      <w:r w:rsidRPr="007E742F">
        <w:t>Reasonableness check on overall rate of return</w:t>
      </w:r>
    </w:p>
    <w:p w:rsidR="007E742F" w:rsidRPr="007E742F" w:rsidRDefault="007E742F" w:rsidP="007E742F">
      <w:pPr>
        <w:pStyle w:val="AERbodytext"/>
      </w:pPr>
      <w:r w:rsidRPr="007E742F">
        <w:t xml:space="preserve">In section </w:t>
      </w:r>
      <w:r w:rsidR="00DE0D6A" w:rsidRPr="007E742F">
        <w:fldChar w:fldCharType="begin"/>
      </w:r>
      <w:r w:rsidRPr="007E742F">
        <w:instrText xml:space="preserve"> REF _Ref334103901 \r \h </w:instrText>
      </w:r>
      <w:r w:rsidR="00DE0D6A" w:rsidRPr="007E742F">
        <w:fldChar w:fldCharType="separate"/>
      </w:r>
      <w:r w:rsidRPr="007E742F">
        <w:t>4.2.3</w:t>
      </w:r>
      <w:r w:rsidR="00DE0D6A" w:rsidRPr="007E742F">
        <w:fldChar w:fldCharType="end"/>
      </w:r>
      <w:r w:rsidRPr="007E742F">
        <w:t>, the AER sets out its approach to the determination of each parameter within the overall rate of return. In addition, the AER has undertaken reasonableness checks on the overall rate of return. These checks involve having regard to RAB multiples as well as the discount rates in broker reports.</w:t>
      </w:r>
    </w:p>
    <w:p w:rsidR="007E742F" w:rsidRPr="007E742F" w:rsidRDefault="007E742F" w:rsidP="007E742F">
      <w:pPr>
        <w:pStyle w:val="AERbodytext"/>
      </w:pPr>
      <w:r w:rsidRPr="007E742F">
        <w:t>Overall, the AER determines reasonable estimates for the input parameters into the CAPM (a well accepted financial model), which in turn feeds into the WACC (a well accepted approach)</w:t>
      </w:r>
      <w:r w:rsidRPr="007E742F">
        <w:rPr>
          <w:rStyle w:val="FootnoteReference"/>
        </w:rPr>
        <w:footnoteReference w:id="242"/>
      </w:r>
      <w:r w:rsidRPr="007E742F">
        <w:t>. It gives limited consideration to the overall WACC estimates, in accordance with the relevant legislation.</w:t>
      </w:r>
    </w:p>
    <w:p w:rsidR="007E742F" w:rsidRPr="007E742F" w:rsidRDefault="007E742F" w:rsidP="007E742F">
      <w:pPr>
        <w:pStyle w:val="AERheading2"/>
      </w:pPr>
      <w:r w:rsidRPr="007E742F">
        <w:t>Reasons for draft decision</w:t>
      </w:r>
    </w:p>
    <w:p w:rsidR="007E742F" w:rsidRPr="007E742F" w:rsidRDefault="007E742F" w:rsidP="007E742F">
      <w:pPr>
        <w:pStyle w:val="AERbodytext"/>
      </w:pPr>
      <w:r w:rsidRPr="007E742F">
        <w:t>In forming this draft decision, the AER has considered an extensive range of material on the rate of return. This includes APA GasNet's access arrangement proposal, the Victorian gas distribution service providers' proposals, and the submissions into these reviews from users. The AER has also sought a range of expert advice to assist in making these decisions—from the RBA, Treasury, AOFM, Professor McKenzie, Associate Professor Partington and Associate Professor Lally.</w:t>
      </w:r>
    </w:p>
    <w:p w:rsidR="007E742F" w:rsidRPr="007E742F" w:rsidRDefault="007E742F" w:rsidP="007E742F">
      <w:pPr>
        <w:pStyle w:val="AERbodytext"/>
      </w:pPr>
      <w:r w:rsidRPr="007E742F">
        <w:t>In this review, APA GasNet proposed a higher MRP (8.5 per cent) because it considered the AER's approach to the cost of equity in previous decisions resulted in a cost of equity that is too low in current market conditions.</w:t>
      </w:r>
      <w:r w:rsidRPr="007E742F">
        <w:rPr>
          <w:rStyle w:val="FootnoteReference"/>
        </w:rPr>
        <w:footnoteReference w:id="243"/>
      </w:r>
      <w:r w:rsidRPr="007E742F">
        <w:t xml:space="preserve"> The Victorian gas distribution service providers held a similar concern but proposed a different approach.</w:t>
      </w:r>
      <w:r w:rsidRPr="007E742F">
        <w:rPr>
          <w:rStyle w:val="FootnoteReference"/>
        </w:rPr>
        <w:footnoteReference w:id="244"/>
      </w:r>
      <w:r w:rsidRPr="007E742F">
        <w:t xml:space="preserve"> They proposed a 6 per cent MRP but adopted a long run historical average risk free rate (5.99 per cent) for the cost of equity.</w:t>
      </w:r>
    </w:p>
    <w:p w:rsidR="007E742F" w:rsidRPr="007E742F" w:rsidRDefault="007E742F" w:rsidP="007E742F">
      <w:pPr>
        <w:pStyle w:val="AERbodytext"/>
      </w:pPr>
      <w:r w:rsidRPr="007E742F">
        <w:t>On the other hand, BHP Billiton submitted that the MRP is between 5–6 per cent.</w:t>
      </w:r>
      <w:r w:rsidRPr="007E742F">
        <w:rPr>
          <w:rStyle w:val="FootnoteReference"/>
        </w:rPr>
        <w:footnoteReference w:id="245"/>
      </w:r>
      <w:r w:rsidRPr="007E742F">
        <w:t xml:space="preserve"> The Energy Users Coalition of Victoria (EUCV) considered the AER should adopt a 5 year term for the risk free rate and an equity beta of 0.65.</w:t>
      </w:r>
      <w:r w:rsidRPr="007E742F">
        <w:rPr>
          <w:rStyle w:val="FootnoteReference"/>
        </w:rPr>
        <w:footnoteReference w:id="246"/>
      </w:r>
      <w:r w:rsidRPr="007E742F">
        <w:t xml:space="preserve"> The 5 year term was adopted by the ERA in its access arrangement decision for the Dampier to Bunbury Natural Gas Pipeline (DBNGP).</w:t>
      </w:r>
      <w:r w:rsidRPr="007E742F">
        <w:rPr>
          <w:rStyle w:val="FootnoteReference"/>
        </w:rPr>
        <w:footnoteReference w:id="247"/>
      </w:r>
      <w:r w:rsidRPr="007E742F">
        <w:t xml:space="preserve"> The Tribunal found no error in ERA's position on this matter.</w:t>
      </w:r>
      <w:r w:rsidRPr="007E742F">
        <w:rPr>
          <w:rStyle w:val="FootnoteReference"/>
        </w:rPr>
        <w:footnoteReference w:id="248"/>
      </w:r>
      <w:r w:rsidRPr="007E742F">
        <w:t xml:space="preserve"> Incorporating any of the changes proposed by users to the term, equity beta or MRP would result in a lower cost of equity than applying the AER's approach from previous decisions.</w:t>
      </w:r>
    </w:p>
    <w:p w:rsidR="007E742F" w:rsidRPr="007E742F" w:rsidRDefault="007E742F" w:rsidP="007E742F">
      <w:pPr>
        <w:pStyle w:val="AERbodytext"/>
      </w:pPr>
      <w:r w:rsidRPr="007E742F">
        <w:t>In this draft decision, the AER has maintained its cost of equity approach of adopting a prevailing risk free rate (currently 2.98 per cent), an equity beta of 0.8 and a 6 per cent MRP.</w:t>
      </w:r>
    </w:p>
    <w:p w:rsidR="007E742F" w:rsidRPr="007E742F" w:rsidRDefault="007E742F" w:rsidP="007E742F">
      <w:pPr>
        <w:pStyle w:val="AERbodytext"/>
      </w:pPr>
      <w:r w:rsidRPr="007E742F">
        <w:t>In this review, APA GasNet proposed adopting the extrapolated Bloomberg fair value curve to estimate the DRP.</w:t>
      </w:r>
      <w:r w:rsidRPr="007E742F">
        <w:rPr>
          <w:rStyle w:val="FootnoteReference"/>
        </w:rPr>
        <w:footnoteReference w:id="249"/>
      </w:r>
      <w:r w:rsidRPr="007E742F">
        <w:t xml:space="preserve"> This results in a DRP of 3.82 based on current market data.</w:t>
      </w:r>
      <w:r w:rsidRPr="007E742F">
        <w:rPr>
          <w:rStyle w:val="FootnoteReference"/>
        </w:rPr>
        <w:footnoteReference w:id="250"/>
      </w:r>
      <w:r w:rsidRPr="007E742F">
        <w:t xml:space="preserve"> The Victorian gas distribution service providers also proposed this approach.</w:t>
      </w:r>
      <w:r w:rsidRPr="007E742F">
        <w:rPr>
          <w:rStyle w:val="FootnoteReference"/>
        </w:rPr>
        <w:footnoteReference w:id="251"/>
      </w:r>
      <w:r w:rsidRPr="007E742F">
        <w:t xml:space="preserve"> BHP Billiton considered this method was appropriate but also considered there was merit in the AER exploring alternative methods.</w:t>
      </w:r>
      <w:r w:rsidRPr="007E742F">
        <w:rPr>
          <w:rStyle w:val="FootnoteReference"/>
        </w:rPr>
        <w:footnoteReference w:id="252"/>
      </w:r>
    </w:p>
    <w:p w:rsidR="007E742F" w:rsidRPr="007E742F" w:rsidRDefault="007E742F" w:rsidP="007E742F">
      <w:pPr>
        <w:pStyle w:val="AERbodytext"/>
      </w:pPr>
      <w:r w:rsidRPr="007E742F">
        <w:t>On the other hand, the EUCV considered the DRP should be no more than 195 basis points above the risk free rate (based on a 5 year term).</w:t>
      </w:r>
      <w:r w:rsidRPr="007E742F">
        <w:rPr>
          <w:rStyle w:val="FootnoteReference"/>
        </w:rPr>
        <w:footnoteReference w:id="253"/>
      </w:r>
      <w:r w:rsidRPr="007E742F">
        <w:t xml:space="preserve"> The EUCV noted this resulted in a DRP similar to the ERA's approach.</w:t>
      </w:r>
    </w:p>
    <w:p w:rsidR="007E742F" w:rsidRPr="007E742F" w:rsidRDefault="007E742F" w:rsidP="007E742F">
      <w:pPr>
        <w:pStyle w:val="AERbodytext"/>
      </w:pPr>
      <w:r w:rsidRPr="007E742F">
        <w:t>In the ATCO and DBNGP matters, the Tribunal upheld the use of the 'bond yield' approach adopted by the ERA.</w:t>
      </w:r>
      <w:r w:rsidRPr="007E742F">
        <w:rPr>
          <w:rStyle w:val="FootnoteReference"/>
        </w:rPr>
        <w:footnoteReference w:id="254"/>
      </w:r>
      <w:r w:rsidRPr="007E742F">
        <w:t xml:space="preserve"> Under this approach the DRP is estimated by averaging observed bond yields that meet certain criteria.</w:t>
      </w:r>
      <w:r w:rsidRPr="007E742F">
        <w:rPr>
          <w:rStyle w:val="FootnoteReference"/>
        </w:rPr>
        <w:footnoteReference w:id="255"/>
      </w:r>
      <w:r w:rsidRPr="007E742F">
        <w:t xml:space="preserve"> The Tribunal did, however, direct the ERA to amend the simple averaging process used to aggregate these bond yields.</w:t>
      </w:r>
      <w:r w:rsidRPr="007E742F">
        <w:rPr>
          <w:rStyle w:val="FootnoteReference"/>
        </w:rPr>
        <w:footnoteReference w:id="256"/>
      </w:r>
      <w:r w:rsidRPr="007E742F">
        <w:t xml:space="preserve"> The Tribunal also provided guidance on the relevance of various criteria and the use of a more complex weighted average.</w:t>
      </w:r>
      <w:r w:rsidRPr="007E742F">
        <w:rPr>
          <w:rStyle w:val="FootnoteReference"/>
        </w:rPr>
        <w:footnoteReference w:id="257"/>
      </w:r>
      <w:r w:rsidRPr="007E742F">
        <w:t xml:space="preserve"> Such a weighted average was implemented by the ERA on remittal.</w:t>
      </w:r>
      <w:r w:rsidRPr="007E742F">
        <w:rPr>
          <w:rStyle w:val="FootnoteReference"/>
        </w:rPr>
        <w:footnoteReference w:id="258"/>
      </w:r>
      <w:r w:rsidRPr="007E742F">
        <w:t xml:space="preserve"> If the bond-yield approach (with the weighting method adopted in the ERA’s re-determination) was applied to APA GasNet, the DRP would be 2.72 per cent.</w:t>
      </w:r>
      <w:r w:rsidRPr="007E742F">
        <w:rPr>
          <w:rStyle w:val="FootnoteReference"/>
        </w:rPr>
        <w:footnoteReference w:id="259"/>
      </w:r>
    </w:p>
    <w:p w:rsidR="007E742F" w:rsidRPr="007E742F" w:rsidRDefault="007E742F" w:rsidP="007E742F">
      <w:pPr>
        <w:pStyle w:val="AERbodytext"/>
      </w:pPr>
      <w:r w:rsidRPr="007E742F">
        <w:t>Consistent with the AER’s observations previously, the AER considers that the Bloomberg fair value curve continues to provide DRP estimates which are higher than other potential approaches (such as the ERA’s approach). The Bloomberg fair value curve also provides estimates which are high in comparison to recent bond issuances from firms with similar characteristics to the benchmark firm. For these reasons, the AER has commenced an internal review into alternatives to the Bloomberg fair value curve. The AER will advise of a public consultation process on the development of an alternative in due course. However, the AER does not expect to implement any new method in time for APA GasNet's forthcoming access arrangement period. This follows the Tribunal's previous comments on the consultation approach that should be adopted in the development of any new approach.</w:t>
      </w:r>
      <w:r w:rsidRPr="007E742F">
        <w:rPr>
          <w:rStyle w:val="FootnoteReference"/>
        </w:rPr>
        <w:footnoteReference w:id="260"/>
      </w:r>
    </w:p>
    <w:p w:rsidR="007E742F" w:rsidRPr="007E742F" w:rsidRDefault="007E742F" w:rsidP="007E742F">
      <w:pPr>
        <w:pStyle w:val="AERbodytext"/>
      </w:pPr>
      <w:r w:rsidRPr="007E742F">
        <w:t>In this draft decision, the AER has maintained adoption of the extrapolated Bloomberg BBB rated fair value curve. This currently provides a cost of debt of 6.74 per cent, or DRP of 3.76 per cent.</w:t>
      </w:r>
      <w:r w:rsidRPr="007E742F">
        <w:rPr>
          <w:rStyle w:val="FootnoteReference"/>
        </w:rPr>
        <w:footnoteReference w:id="261"/>
      </w:r>
    </w:p>
    <w:p w:rsidR="007E742F" w:rsidRPr="007E742F" w:rsidRDefault="007E742F" w:rsidP="007E742F">
      <w:pPr>
        <w:pStyle w:val="AERbodytext"/>
      </w:pPr>
      <w:r w:rsidRPr="007E742F">
        <w:t>Taking APA GasNet's proposal and submissions from stakeholders together, the AER is satisfied that the rate of return in this draft decision (subject to updating) is commensurate with prevailing conditions in the market for funds and the risks involved with providing reference services.</w:t>
      </w:r>
    </w:p>
    <w:p w:rsidR="007E742F" w:rsidRPr="007E742F" w:rsidRDefault="007E742F" w:rsidP="007E742F">
      <w:pPr>
        <w:pStyle w:val="AERheading3"/>
      </w:pPr>
      <w:r w:rsidRPr="007E742F">
        <w:t>The Capital Asset Pricing Model (CAPM)</w:t>
      </w:r>
    </w:p>
    <w:p w:rsidR="007E742F" w:rsidRPr="007E742F" w:rsidRDefault="007E742F" w:rsidP="007E742F">
      <w:pPr>
        <w:pStyle w:val="AERbodytext"/>
      </w:pPr>
      <w:r w:rsidRPr="007E742F">
        <w:t>A financial model must be a well accepted model if it is to be used for determining a return on capital. The Sharpe Lintner CAPM is a well accepted financial model. As noted by the AER during the WACC review, the Sharpe Lintner CAPM has been consistently and constantly adopted by regulators and market practitioners. The AER is not aware of any instances where an Australian regulator has adopted an alternative model. Truong, Partington and Peat found that 72 per cent of Australian businesses who responded to their survey adopt the (Sharpe) CAPM in formulating their capital budgeting decisions.</w:t>
      </w:r>
      <w:r w:rsidRPr="007E742F">
        <w:rPr>
          <w:rStyle w:val="FootnoteReference"/>
        </w:rPr>
        <w:footnoteReference w:id="262"/>
      </w:r>
      <w:r w:rsidRPr="007E742F">
        <w:t xml:space="preserve"> </w:t>
      </w:r>
    </w:p>
    <w:p w:rsidR="007E742F" w:rsidRPr="007E742F" w:rsidRDefault="007E742F" w:rsidP="007E742F">
      <w:r w:rsidRPr="007E742F">
        <w:t>APA GasNet proposed to use the Sharpe Lintner CAPM to determine the cost of equity.</w:t>
      </w:r>
      <w:r w:rsidRPr="007E742F">
        <w:rPr>
          <w:rStyle w:val="FootnoteReference"/>
        </w:rPr>
        <w:footnoteReference w:id="263"/>
      </w:r>
    </w:p>
    <w:p w:rsidR="007E742F" w:rsidRPr="007E742F" w:rsidRDefault="007E742F" w:rsidP="007E742F">
      <w:pPr>
        <w:pStyle w:val="AERbodytext"/>
      </w:pPr>
      <w:r w:rsidRPr="007E742F">
        <w:t xml:space="preserve">The AER accepts APA GasNet's proposal to use the Sharpe Lintner CAPM to determine the cost of equity for use in the WACC because it is a well accepted financial model and will produce results commensurate with prevailing market conditions.  </w:t>
      </w:r>
    </w:p>
    <w:p w:rsidR="007E742F" w:rsidRPr="007E742F" w:rsidRDefault="007E742F" w:rsidP="007E742F">
      <w:pPr>
        <w:pStyle w:val="AERheading3"/>
      </w:pPr>
      <w:bookmarkStart w:id="60" w:name="_Ref333916667"/>
      <w:r w:rsidRPr="007E742F">
        <w:t>Risk free rate</w:t>
      </w:r>
      <w:bookmarkEnd w:id="60"/>
    </w:p>
    <w:p w:rsidR="007E742F" w:rsidRPr="007E742F" w:rsidRDefault="007E742F" w:rsidP="007E742F">
      <w:pPr>
        <w:pStyle w:val="AERbodytext"/>
      </w:pPr>
      <w:r w:rsidRPr="007E742F">
        <w:t>The AER agrees with APA GasNet's proposed method for estimating the risk free rate.</w:t>
      </w:r>
      <w:r w:rsidRPr="007E742F">
        <w:rPr>
          <w:rStyle w:val="FootnoteReference"/>
        </w:rPr>
        <w:footnoteReference w:id="264"/>
      </w:r>
      <w:r w:rsidRPr="007E742F">
        <w:t xml:space="preserve"> The method determined in this draft decision reflects prevailing conditions in the market for funds. The AER considers this to be the case because CGS yields represent the most appropriate proxy for the risk free rate because:</w:t>
      </w:r>
    </w:p>
    <w:p w:rsidR="007E742F" w:rsidRPr="007E742F" w:rsidRDefault="007E742F" w:rsidP="007E742F">
      <w:pPr>
        <w:pStyle w:val="AERbulletlistfirststyle"/>
      </w:pPr>
      <w:r w:rsidRPr="007E742F">
        <w:t>CGS are low risk</w:t>
      </w:r>
    </w:p>
    <w:p w:rsidR="007E742F" w:rsidRPr="007E742F" w:rsidRDefault="007E742F" w:rsidP="007E742F">
      <w:pPr>
        <w:pStyle w:val="AERbulletlistfirststyle"/>
      </w:pPr>
      <w:r w:rsidRPr="007E742F">
        <w:t>the CGS market is liquid and functioning well, as confirmed by advice from the Reserve Bank of Australia (RBA), the Australian Treasury and the Australian Office of Financial Management (AOFM)</w:t>
      </w:r>
      <w:r w:rsidRPr="007E742F">
        <w:rPr>
          <w:rStyle w:val="FootnoteReference"/>
        </w:rPr>
        <w:footnoteReference w:id="265"/>
      </w:r>
    </w:p>
    <w:p w:rsidR="007E742F" w:rsidRPr="007E742F" w:rsidRDefault="007E742F" w:rsidP="007E742F">
      <w:pPr>
        <w:pStyle w:val="AERbulletlistfirststyle"/>
      </w:pPr>
      <w:r w:rsidRPr="007E742F">
        <w:t>the RBA advised 'CGS yields are the most appropriate measure of a risk free rate in Australia'.</w:t>
      </w:r>
      <w:r w:rsidRPr="007E742F">
        <w:rPr>
          <w:rStyle w:val="FootnoteReference"/>
        </w:rPr>
        <w:footnoteReference w:id="266"/>
      </w:r>
      <w:r w:rsidRPr="007E742F">
        <w:t xml:space="preserve"> </w:t>
      </w:r>
    </w:p>
    <w:p w:rsidR="007E742F" w:rsidRPr="007E742F" w:rsidRDefault="007E742F" w:rsidP="007E742F">
      <w:pPr>
        <w:pStyle w:val="AERbodytext"/>
      </w:pPr>
      <w:r w:rsidRPr="007E742F">
        <w:t>Further, the AER considers the most appropriate averaging period for determining the risk free rate is a short period (as close as possible to the start of the regulatory period) because:</w:t>
      </w:r>
    </w:p>
    <w:p w:rsidR="007E742F" w:rsidRPr="007E742F" w:rsidRDefault="007E742F" w:rsidP="007E742F">
      <w:pPr>
        <w:pStyle w:val="AERbulletlistfirststyle"/>
      </w:pPr>
      <w:r w:rsidRPr="007E742F">
        <w:t>at any point in time, the prevailing risk free rate is the benchmark that the expected return on a risky investment must exceed</w:t>
      </w:r>
    </w:p>
    <w:p w:rsidR="007E742F" w:rsidRPr="007E742F" w:rsidRDefault="007E742F" w:rsidP="007E742F">
      <w:pPr>
        <w:pStyle w:val="AERbulletlistfirststyle"/>
      </w:pPr>
      <w:r w:rsidRPr="007E742F">
        <w:t>prevailing 10 year CGS yields reflect the risk free rate over the appropriate forward looking investment horizon (which is 10 years)</w:t>
      </w:r>
    </w:p>
    <w:p w:rsidR="007E742F" w:rsidRPr="007E742F" w:rsidRDefault="007E742F" w:rsidP="007E742F">
      <w:pPr>
        <w:pStyle w:val="AERbulletlistfirststyle"/>
      </w:pPr>
      <w:r w:rsidRPr="007E742F">
        <w:t>CGS yields are market determined—that is, prevailing CGS yields reflect the return that investors are willing to receive on an investment that is almost default risk free in current market conditions</w:t>
      </w:r>
    </w:p>
    <w:p w:rsidR="007E742F" w:rsidRPr="007E742F" w:rsidRDefault="007E742F" w:rsidP="007E742F">
      <w:pPr>
        <w:pStyle w:val="AERbulletlistfirststyle"/>
      </w:pPr>
      <w:r w:rsidRPr="007E742F">
        <w:t>this approach promotes the regulatory objective that the present value of a service provider's expected revenue should match the present value of a service provider's expected expenditure (plus or minus any efficiency rewards or penalties)</w:t>
      </w:r>
    </w:p>
    <w:p w:rsidR="007E742F" w:rsidRPr="007E742F" w:rsidRDefault="007E742F" w:rsidP="007E742F">
      <w:pPr>
        <w:pStyle w:val="AERbulletlistfirststyle"/>
      </w:pPr>
      <w:r w:rsidRPr="007E742F">
        <w:t>the use of prevailing CGS yields is consistent with the use of the building block model because this model is designed to uphold the present value principle</w:t>
      </w:r>
    </w:p>
    <w:p w:rsidR="007E742F" w:rsidRPr="007E742F" w:rsidRDefault="007E742F" w:rsidP="007E742F">
      <w:pPr>
        <w:pStyle w:val="AERbulletlistfirststyle"/>
      </w:pPr>
      <w:r w:rsidRPr="007E742F">
        <w:t>the use of prevailing CGS yields is consistent with the use of the CAPM. In the ActewAGL matter, both the expert for the AER (Associate Professor Lally) and the expert for the service provider (Greg Houston) agreed on this matter.</w:t>
      </w:r>
      <w:r w:rsidRPr="007E742F">
        <w:rPr>
          <w:rStyle w:val="FootnoteReference"/>
        </w:rPr>
        <w:footnoteReference w:id="267"/>
      </w:r>
    </w:p>
    <w:p w:rsidR="007E742F" w:rsidRPr="007E742F" w:rsidRDefault="007E742F" w:rsidP="007E742F">
      <w:pPr>
        <w:pStyle w:val="AERbulletlistfirststyle"/>
      </w:pPr>
      <w:r w:rsidRPr="007E742F">
        <w:t>this approach provides an unbiased method for determining the risk free rate</w:t>
      </w:r>
    </w:p>
    <w:p w:rsidR="007E742F" w:rsidRPr="007E742F" w:rsidRDefault="007E742F" w:rsidP="007E742F">
      <w:pPr>
        <w:pStyle w:val="AERbulletlistfirststyle"/>
      </w:pPr>
      <w:r w:rsidRPr="007E742F">
        <w:t>advice from Professor McKenzie and Associate Professor Partington, and from Associate Professor Lally supported the use of a prevailing risk free rate.</w:t>
      </w:r>
      <w:r w:rsidRPr="007E742F">
        <w:rPr>
          <w:rStyle w:val="FootnoteReference"/>
        </w:rPr>
        <w:footnoteReference w:id="268"/>
      </w:r>
    </w:p>
    <w:p w:rsidR="007E742F" w:rsidRPr="007E742F" w:rsidRDefault="007E742F" w:rsidP="007E742F">
      <w:pPr>
        <w:pStyle w:val="AERbodytext"/>
        <w:rPr>
          <w:rStyle w:val="AERbody"/>
        </w:rPr>
      </w:pPr>
      <w:r w:rsidRPr="007E742F">
        <w:t xml:space="preserve">The AER recognises that CGS yields are near historical lows, but that fact does not invalidate any of the above reasons . </w:t>
      </w:r>
      <w:r w:rsidRPr="007E742F">
        <w:rPr>
          <w:rStyle w:val="AERbody"/>
        </w:rPr>
        <w:t>The current historically low CGS yields are not surprising, and reflect what would be expected of a well functioning risk free rate proxy in current demand and supply conditions. In the Telstra matter, the Australian Competition Tribunal stated 'it is not unusual for yields to move from time to time in order to reflect prevailing market conditions and the expectations about the prospect for prices into the future'.</w:t>
      </w:r>
      <w:r w:rsidRPr="007E742F">
        <w:rPr>
          <w:rStyle w:val="FootnoteReference"/>
        </w:rPr>
        <w:footnoteReference w:id="269"/>
      </w:r>
    </w:p>
    <w:p w:rsidR="007E742F" w:rsidRPr="007E742F" w:rsidRDefault="007E742F" w:rsidP="007E742F">
      <w:pPr>
        <w:pStyle w:val="AERheading4"/>
      </w:pPr>
      <w:r w:rsidRPr="007E742F">
        <w:t xml:space="preserve">CGS yields—the most appropriate proxy for the risk free rate </w:t>
      </w:r>
    </w:p>
    <w:p w:rsidR="007E742F" w:rsidRPr="007E742F" w:rsidRDefault="007E742F" w:rsidP="007E742F">
      <w:pPr>
        <w:pStyle w:val="AERbodytext"/>
      </w:pPr>
      <w:r w:rsidRPr="007E742F">
        <w:t>CGS are low default risk securities issued by the Australian Government. The risk free rate measures the return an investor would expect from an asset with no default risk. Each of the three major credit rating agencies issued its highest possible rating to the Australian Government.</w:t>
      </w:r>
      <w:r w:rsidRPr="007E742F">
        <w:rPr>
          <w:rStyle w:val="FootnoteReference"/>
        </w:rPr>
        <w:footnoteReference w:id="270"/>
      </w:r>
    </w:p>
    <w:p w:rsidR="007E742F" w:rsidRPr="007E742F" w:rsidRDefault="007E742F" w:rsidP="007E742F">
      <w:pPr>
        <w:pStyle w:val="AERbodytext"/>
      </w:pPr>
      <w:r w:rsidRPr="007E742F">
        <w:t>The spreads between CGS yields and the yields on other Australian dollar denominated securities have widened in recent years.</w:t>
      </w:r>
      <w:r w:rsidRPr="007E742F">
        <w:rPr>
          <w:rStyle w:val="FootnoteReference"/>
        </w:rPr>
        <w:footnoteReference w:id="271"/>
      </w:r>
      <w:r w:rsidRPr="007E742F">
        <w:t xml:space="preserve"> On this increase, the RBA advised:</w:t>
      </w:r>
    </w:p>
    <w:p w:rsidR="007E742F" w:rsidRPr="007E742F" w:rsidRDefault="007E742F" w:rsidP="007E742F">
      <w:pPr>
        <w:pStyle w:val="AERquote"/>
      </w:pPr>
      <w:r w:rsidRPr="007E742F">
        <w:t>This widening indeed confirms the market's assessment of the risk free nature of CGS and reflects a general increase in the risk premia on other assets.</w:t>
      </w:r>
      <w:r w:rsidRPr="007E742F">
        <w:rPr>
          <w:rStyle w:val="FootnoteReference"/>
        </w:rPr>
        <w:footnoteReference w:id="272"/>
      </w:r>
    </w:p>
    <w:p w:rsidR="007E742F" w:rsidRPr="007E742F" w:rsidRDefault="007E742F" w:rsidP="007E742F">
      <w:pPr>
        <w:pStyle w:val="AERbodytext"/>
      </w:pPr>
      <w:r w:rsidRPr="007E742F">
        <w:t>In the recent DBNGP matter, the Australian Competition Tribunal stated:</w:t>
      </w:r>
    </w:p>
    <w:p w:rsidR="007E742F" w:rsidRPr="007E742F" w:rsidRDefault="007E742F" w:rsidP="007E742F">
      <w:pPr>
        <w:pStyle w:val="AERquote"/>
      </w:pPr>
      <w:r w:rsidRPr="007E742F">
        <w:t>The Tribunal notes here that the risk free rate of return is a clearly  defined, if abstract, concept. It measures the return on a bond that carries no risk for the investor. It is widely accepted that the closest approximation to such a bond will be government debt.</w:t>
      </w:r>
      <w:r w:rsidRPr="007E742F">
        <w:rPr>
          <w:rStyle w:val="FootnoteReference"/>
        </w:rPr>
        <w:footnoteReference w:id="273"/>
      </w:r>
      <w:r w:rsidRPr="007E742F">
        <w:t xml:space="preserve"> </w:t>
      </w:r>
    </w:p>
    <w:p w:rsidR="007E742F" w:rsidRPr="007E742F" w:rsidRDefault="007E742F" w:rsidP="007E742F">
      <w:pPr>
        <w:pStyle w:val="AERbodytext"/>
      </w:pPr>
      <w:r w:rsidRPr="007E742F">
        <w:t>Further, the RBA and Australian Treasury advised the ACCC on two occasions that the CGS market is liquid and functioning well.</w:t>
      </w:r>
      <w:r w:rsidRPr="007E742F">
        <w:rPr>
          <w:rStyle w:val="FootnoteReference"/>
        </w:rPr>
        <w:footnoteReference w:id="274"/>
      </w:r>
      <w:r w:rsidRPr="007E742F">
        <w:t xml:space="preserve"> The ACCC sought the first set of advice (received August 2007)</w:t>
      </w:r>
      <w:r w:rsidRPr="007E742F">
        <w:rPr>
          <w:rStyle w:val="FootnoteReference"/>
        </w:rPr>
        <w:footnoteReference w:id="275"/>
      </w:r>
      <w:r w:rsidRPr="007E742F">
        <w:t xml:space="preserve"> in response to a NERA report submitted by SP AusNet Both the RBA and Australian Treasury at that time suggested nominal CGS yields were an appropriate proxy for the risk free rate.</w:t>
      </w:r>
      <w:r w:rsidRPr="007E742F">
        <w:rPr>
          <w:rStyle w:val="FootnoteReference"/>
        </w:rPr>
        <w:footnoteReference w:id="276"/>
      </w:r>
      <w:r w:rsidRPr="007E742F">
        <w:t xml:space="preserve"> On the other hand, both suggested indexed CGS yields were unlikely to provide an appropriate proxy for the real risk free rate.</w:t>
      </w:r>
      <w:r w:rsidRPr="007E742F">
        <w:rPr>
          <w:rStyle w:val="FootnoteReference"/>
        </w:rPr>
        <w:footnoteReference w:id="277"/>
      </w:r>
      <w:r w:rsidRPr="007E742F">
        <w:t xml:space="preserve"> The AER subsequently ceased using indexed CGS to determine inflation expectations.</w:t>
      </w:r>
      <w:r w:rsidRPr="007E742F">
        <w:rPr>
          <w:rStyle w:val="FootnoteReference"/>
        </w:rPr>
        <w:footnoteReference w:id="278"/>
      </w:r>
      <w:r w:rsidRPr="007E742F">
        <w:t xml:space="preserve">  </w:t>
      </w:r>
    </w:p>
    <w:p w:rsidR="007E742F" w:rsidRPr="007E742F" w:rsidRDefault="007E742F" w:rsidP="007E742F">
      <w:pPr>
        <w:pStyle w:val="AERbodytext"/>
      </w:pPr>
      <w:r w:rsidRPr="007E742F">
        <w:t>In July 2012, the Treasury and AOFM stated:</w:t>
      </w:r>
    </w:p>
    <w:p w:rsidR="007E742F" w:rsidRPr="007E742F" w:rsidRDefault="007E742F" w:rsidP="007E742F">
      <w:pPr>
        <w:pStyle w:val="AERquote"/>
      </w:pPr>
      <w:r w:rsidRPr="007E742F">
        <w:t xml:space="preserve">The nominal CGS market is liquid and continues to display the attributes of a well-functioning market. </w:t>
      </w:r>
    </w:p>
    <w:p w:rsidR="007E742F" w:rsidRPr="007E742F" w:rsidRDefault="007E742F" w:rsidP="007E742F">
      <w:pPr>
        <w:pStyle w:val="AERbodytext"/>
      </w:pPr>
      <w:r w:rsidRPr="007E742F">
        <w:t>In support of this position, they listed several indicators of liquidity:</w:t>
      </w:r>
    </w:p>
    <w:p w:rsidR="007E742F" w:rsidRPr="007E742F" w:rsidRDefault="007E742F" w:rsidP="007E742F">
      <w:pPr>
        <w:pStyle w:val="AERbulletlistfirststyle"/>
      </w:pPr>
      <w:r w:rsidRPr="007E742F">
        <w:t>the turnover of Treasury bonds, which steadily increased from around $60 billion per month in early 2009 to almost $300 billion per month in June 2012 (inclusive of repurchase transactions)</w:t>
      </w:r>
    </w:p>
    <w:p w:rsidR="007E742F" w:rsidRPr="007E742F" w:rsidRDefault="007E742F" w:rsidP="007E742F">
      <w:pPr>
        <w:pStyle w:val="AERbulletlistfirststyle"/>
      </w:pPr>
      <w:r w:rsidRPr="007E742F">
        <w:t>bid-offer spreads, which fell between 2008 and June 2012</w:t>
      </w:r>
      <w:r w:rsidRPr="007E742F">
        <w:rPr>
          <w:rStyle w:val="FootnoteReference"/>
        </w:rPr>
        <w:footnoteReference w:id="279"/>
      </w:r>
    </w:p>
    <w:p w:rsidR="007E742F" w:rsidRPr="007E742F" w:rsidRDefault="007E742F" w:rsidP="007E742F">
      <w:pPr>
        <w:pStyle w:val="AERbulletlistfirststyle"/>
      </w:pPr>
      <w:r w:rsidRPr="007E742F">
        <w:t>repurchase ('repo') margins. The 'repurchase agreement rates on CGS do not indicate any degree of 'tightness''.</w:t>
      </w:r>
      <w:r w:rsidRPr="007E742F">
        <w:rPr>
          <w:rStyle w:val="FootnoteReference"/>
        </w:rPr>
        <w:footnoteReference w:id="280"/>
      </w:r>
      <w:r w:rsidRPr="007E742F">
        <w:t xml:space="preserve"> </w:t>
      </w:r>
    </w:p>
    <w:p w:rsidR="007E742F" w:rsidRPr="007E742F" w:rsidRDefault="007E742F" w:rsidP="007E742F">
      <w:pPr>
        <w:pStyle w:val="AERbodytext"/>
      </w:pPr>
      <w:r w:rsidRPr="007E742F">
        <w:t>A recent speech by Rob Nicholl, chief executive officer of the AOFM, also supported the conclusion that the CGS market is liquid.</w:t>
      </w:r>
      <w:r w:rsidRPr="007E742F">
        <w:rPr>
          <w:rStyle w:val="FootnoteReference"/>
        </w:rPr>
        <w:footnoteReference w:id="281"/>
      </w:r>
      <w:r w:rsidRPr="007E742F">
        <w:t xml:space="preserve"> His comments suggested the AOFM has confidence that the CGS market is "resilient and highly functional".</w:t>
      </w:r>
      <w:r w:rsidRPr="007E742F">
        <w:rPr>
          <w:rStyle w:val="FootnoteReference"/>
        </w:rPr>
        <w:footnoteReference w:id="282"/>
      </w:r>
      <w:r w:rsidRPr="007E742F">
        <w:t xml:space="preserve">  </w:t>
      </w:r>
    </w:p>
    <w:p w:rsidR="007E742F" w:rsidRPr="007E742F" w:rsidRDefault="007E742F" w:rsidP="007E742F">
      <w:pPr>
        <w:pStyle w:val="AERbodytext"/>
      </w:pPr>
      <w:r w:rsidRPr="007E742F">
        <w:t>Further, the Australian Government has a policy of issuing sufficient CGS to ensure liquidity in the market.</w:t>
      </w:r>
      <w:r w:rsidRPr="007E742F">
        <w:rPr>
          <w:rStyle w:val="FootnoteReference"/>
        </w:rPr>
        <w:footnoteReference w:id="283"/>
      </w:r>
      <w:r w:rsidRPr="007E742F">
        <w:t xml:space="preserve"> The Australian Treasury and AOFM stated:</w:t>
      </w:r>
    </w:p>
    <w:p w:rsidR="007E742F" w:rsidRPr="007E742F" w:rsidRDefault="007E742F" w:rsidP="007E742F">
      <w:pPr>
        <w:pStyle w:val="AERquote"/>
      </w:pPr>
      <w:r w:rsidRPr="007E742F">
        <w:t>In the context of the 2011-12 Budget, the Government consulted a panel of financial market participants and financial regulators as part of its deliberations on the future of the CGS market. The panel concluded that to maintain a liquid and efficient bond market that supports the futures market and the requirements of the new global bank and liquidity standards, the CGS market should be maintained at around 12 to 14 per cent of GDP over time. The projected amount of CGS on issue over the forward estimates should remain marginally higher than these levels.</w:t>
      </w:r>
      <w:r w:rsidRPr="007E742F">
        <w:rPr>
          <w:rStyle w:val="FootnoteReference"/>
        </w:rPr>
        <w:footnoteReference w:id="284"/>
      </w:r>
      <w:r w:rsidRPr="007E742F">
        <w:t xml:space="preserve"> </w:t>
      </w:r>
    </w:p>
    <w:p w:rsidR="007E742F" w:rsidRPr="007E742F" w:rsidRDefault="007E742F" w:rsidP="007E742F">
      <w:pPr>
        <w:pStyle w:val="AERbodytext"/>
      </w:pPr>
      <w:r w:rsidRPr="007E742F">
        <w:t xml:space="preserve">The liquidity of the CGS market provides the AER with confidence that market prices accurately reflect investor expectations and market conditions. </w:t>
      </w:r>
    </w:p>
    <w:p w:rsidR="007E742F" w:rsidRPr="007E742F" w:rsidRDefault="007E742F" w:rsidP="007E742F">
      <w:pPr>
        <w:pStyle w:val="AERheading4"/>
      </w:pPr>
      <w:r w:rsidRPr="007E742F">
        <w:t>Appropriate averaging period and method</w:t>
      </w:r>
    </w:p>
    <w:p w:rsidR="007E742F" w:rsidRPr="007E742F" w:rsidRDefault="007E742F" w:rsidP="007E742F">
      <w:pPr>
        <w:pStyle w:val="AERbodytext"/>
      </w:pPr>
      <w:r w:rsidRPr="007E742F">
        <w:t xml:space="preserve">The AER considers the best method for determining an appropriate risk free rate is to use an averaging period as close as possible to the beginning of the regulatory period. The following sections outline why the AER holds this view. </w:t>
      </w:r>
    </w:p>
    <w:p w:rsidR="007E742F" w:rsidRPr="007E742F" w:rsidRDefault="007E742F" w:rsidP="007E742F">
      <w:pPr>
        <w:pStyle w:val="AERheading5"/>
      </w:pPr>
      <w:r w:rsidRPr="007E742F">
        <w:t xml:space="preserve">Prevailing 10 year CGS yield is a forward looking 10 year rate </w:t>
      </w:r>
    </w:p>
    <w:p w:rsidR="007E742F" w:rsidRPr="007E742F" w:rsidRDefault="007E742F" w:rsidP="007E742F">
      <w:pPr>
        <w:pStyle w:val="AERbodytext"/>
      </w:pPr>
      <w:r w:rsidRPr="007E742F">
        <w:t>The prevailing 10 year CGS yield is a forward looking rate. The prevailing 10 year CGS yield varies over time, but this variation does not mean the yield is a 'short term' rate. Rather, according to the expectations theory on the term structure of interest rates, at any point in time the yield on long dated bonds (such as 10 year CGS) incorporates the market's expectation of the yield on shorter dated bonds over the next 10 years. The expectations theory on the term structure of interest rates is explained in section 2.2.1. This theory is generally regarded as an important part of the expectation of the term structure of interest rates.</w:t>
      </w:r>
      <w:r w:rsidRPr="007E742F">
        <w:rPr>
          <w:rStyle w:val="FootnoteReference"/>
        </w:rPr>
        <w:footnoteReference w:id="285"/>
      </w:r>
      <w:r w:rsidRPr="007E742F">
        <w:t xml:space="preserve"> </w:t>
      </w:r>
    </w:p>
    <w:p w:rsidR="007E742F" w:rsidRPr="007E742F" w:rsidRDefault="007E742F" w:rsidP="007E742F">
      <w:pPr>
        <w:pStyle w:val="AERheading5"/>
      </w:pPr>
      <w:r w:rsidRPr="007E742F">
        <w:t>CGS yields are market determined</w:t>
      </w:r>
    </w:p>
    <w:p w:rsidR="007E742F" w:rsidRPr="007E742F" w:rsidRDefault="007E742F" w:rsidP="007E742F">
      <w:pPr>
        <w:pStyle w:val="AERbodytext"/>
      </w:pPr>
      <w:r w:rsidRPr="007E742F">
        <w:t xml:space="preserve">CGS yields are set in a market. Changes in yields for securities traded in a liquid market are likely to reflect the actions of many market participants at each point in time. So, market determined CGS yields are likely to reflect prevailing conditions in the market for funds. On its own, a price that is low relative to historical averages is not a sign that CGS are no longer a good proxy for the risk free rate. The current CGS yields are likely to reflect strong demand from foreign investors and a general re-assessment of the value of a risk free asset. Lower yields (higher prices) are an expected outcome from increased demand for those assets. </w:t>
      </w:r>
    </w:p>
    <w:p w:rsidR="007E742F" w:rsidRPr="007E742F" w:rsidRDefault="007E742F" w:rsidP="007E742F">
      <w:pPr>
        <w:pStyle w:val="AERbodytext"/>
      </w:pPr>
      <w:r w:rsidRPr="007E742F">
        <w:t>The Treasury and the AOFM noted this point:</w:t>
      </w:r>
    </w:p>
    <w:p w:rsidR="007E742F" w:rsidRPr="007E742F" w:rsidRDefault="007E742F" w:rsidP="007E742F">
      <w:pPr>
        <w:pStyle w:val="AERquote"/>
      </w:pPr>
      <w:r w:rsidRPr="007E742F">
        <w:t>The weak and fragile global economy has put downward pressure on benchmark global long-term bond yields, and is driving investors into high quality government debt. The AER believed that applying an averaging period that is closely aligned to the date of the final determination provides an unbiased rate of return that is consistent with the market conditions at the time of the final determination.</w:t>
      </w:r>
      <w:r w:rsidRPr="007E742F">
        <w:rPr>
          <w:rStyle w:val="FootnoteReference"/>
        </w:rPr>
        <w:footnoteReference w:id="286"/>
      </w:r>
      <w:r w:rsidRPr="007E742F">
        <w:t xml:space="preserve"> </w:t>
      </w:r>
    </w:p>
    <w:p w:rsidR="007E742F" w:rsidRPr="007E742F" w:rsidRDefault="007E742F" w:rsidP="007E742F">
      <w:pPr>
        <w:pStyle w:val="AERbodytext"/>
      </w:pPr>
      <w:r w:rsidRPr="007E742F">
        <w:t xml:space="preserve">An alternative conclusion might be that CGS are currently overpriced. If the price of CGS exceeds their fair value, then the corresponding yield will be 'too low'. But, to draw such a conclusion, the AER would need information superior to that of market participants, or it must 'know better' than the many traders whose interactions set the price of CGS. The AER does not possess a greater ability, expertise or knowledge than market participants and traders to counter any market determination. </w:t>
      </w:r>
    </w:p>
    <w:p w:rsidR="007E742F" w:rsidRPr="007E742F" w:rsidRDefault="007E742F" w:rsidP="007E742F">
      <w:pPr>
        <w:pStyle w:val="AERbodytext"/>
      </w:pPr>
      <w:r w:rsidRPr="007E742F">
        <w:t>In previous advice, Professor McKenzie and Associate Professor Partington explained the relationship between the prevailing risk free rate and investment decisions:</w:t>
      </w:r>
    </w:p>
    <w:p w:rsidR="007E742F" w:rsidRPr="007E742F" w:rsidRDefault="007E742F" w:rsidP="007E742F">
      <w:pPr>
        <w:pStyle w:val="AERquote"/>
      </w:pPr>
      <w:r w:rsidRPr="007E742F">
        <w:t>There seems to be an implication in some of the submissions that there is something wrong with using the government bond rate as the risk free rate when government bond rates are low. The fundamental point to be made is that the government bond rate sets the current benchmark that a risky project has to beat. Clearly there is little point in taking on a risky project if you can get the same or higher return by investing in a government bond. The government bond thus sets a benchmark; the time value of money.</w:t>
      </w:r>
      <w:r w:rsidRPr="007E742F">
        <w:rPr>
          <w:rStyle w:val="FootnoteReference"/>
        </w:rPr>
        <w:footnoteReference w:id="287"/>
      </w:r>
      <w:r w:rsidRPr="007E742F" w:rsidDel="00435899">
        <w:rPr>
          <w:rStyle w:val="FootnoteReference"/>
        </w:rPr>
        <w:t xml:space="preserve"> </w:t>
      </w:r>
    </w:p>
    <w:p w:rsidR="007E742F" w:rsidRPr="007E742F" w:rsidRDefault="007E742F" w:rsidP="007E742F">
      <w:pPr>
        <w:pStyle w:val="AERbodytext"/>
      </w:pPr>
      <w:r w:rsidRPr="007E742F">
        <w:t>They also advised:</w:t>
      </w:r>
    </w:p>
    <w:p w:rsidR="007E742F" w:rsidRPr="007E742F" w:rsidRDefault="007E742F" w:rsidP="007E742F">
      <w:pPr>
        <w:pStyle w:val="AERquote"/>
      </w:pPr>
      <w:r w:rsidRPr="007E742F">
        <w:t>At the time of writing investors can invest in a 10 year government bond at yield of 3.84%. So a ten year project that offers say 4.5% is worth considering if the risk is low enough. The fact that government bond yields were higher in the past does not make 4.5% a bad deal, or 3.84% too low a benchmark. We see no reason to switch from using the current 10 year government bond yield as the proxy for the risk free rate.</w:t>
      </w:r>
      <w:r w:rsidRPr="007E742F">
        <w:rPr>
          <w:rStyle w:val="FootnoteReference"/>
        </w:rPr>
        <w:footnoteReference w:id="288"/>
      </w:r>
    </w:p>
    <w:p w:rsidR="007E742F" w:rsidRPr="007E742F" w:rsidRDefault="007E742F" w:rsidP="007E742F">
      <w:pPr>
        <w:pStyle w:val="AERbodytext"/>
      </w:pPr>
      <w:r w:rsidRPr="007E742F">
        <w:t xml:space="preserve">Since the AER received this advice in February 2012, the 10 year CGS yield has further decreased. For the 20 business days ending on 10 August, it was 2.98 per cent. The logic in Professor McKenzie and Associate Professor Partington's advice continues to apply. In prevailing market conditions, 2.98 per cent is the benchmark that a risky project must exceed. So, what is the appropriate risk premium above this rate that reflects market conditions and the risk in providing reference services? In the Sharpe-Linter CAPM, the risk premium is the product of the equity beta and the MRP. The AER considers the appropriate equity beta and MRP in sections </w:t>
      </w:r>
      <w:r w:rsidR="00DE0D6A" w:rsidRPr="007E742F">
        <w:fldChar w:fldCharType="begin"/>
      </w:r>
      <w:r w:rsidRPr="007E742F">
        <w:instrText xml:space="preserve"> REF _Ref333929152 \r \h </w:instrText>
      </w:r>
      <w:r w:rsidR="00DE0D6A" w:rsidRPr="007E742F">
        <w:fldChar w:fldCharType="separate"/>
      </w:r>
      <w:r w:rsidRPr="007E742F">
        <w:t>4.3.5</w:t>
      </w:r>
      <w:r w:rsidR="00DE0D6A" w:rsidRPr="007E742F">
        <w:fldChar w:fldCharType="end"/>
      </w:r>
      <w:r w:rsidRPr="007E742F">
        <w:t xml:space="preserve"> and </w:t>
      </w:r>
      <w:r w:rsidR="00DE0D6A" w:rsidRPr="007E742F">
        <w:fldChar w:fldCharType="begin"/>
      </w:r>
      <w:r w:rsidRPr="007E742F">
        <w:instrText xml:space="preserve"> REF _Ref333916669 \r \h </w:instrText>
      </w:r>
      <w:r w:rsidR="00DE0D6A" w:rsidRPr="007E742F">
        <w:fldChar w:fldCharType="separate"/>
      </w:r>
      <w:r w:rsidRPr="007E742F">
        <w:t>4.3.3</w:t>
      </w:r>
      <w:r w:rsidR="00DE0D6A" w:rsidRPr="007E742F">
        <w:fldChar w:fldCharType="end"/>
      </w:r>
      <w:r w:rsidRPr="007E742F">
        <w:t xml:space="preserve"> respectively.</w:t>
      </w:r>
    </w:p>
    <w:p w:rsidR="007E742F" w:rsidRPr="007E742F" w:rsidRDefault="007E742F" w:rsidP="007E742F">
      <w:pPr>
        <w:pStyle w:val="AERbodytext"/>
      </w:pPr>
      <w:r w:rsidRPr="007E742F">
        <w:t xml:space="preserve">In the Telstra matter, the Australian Competition Tribunal acknowledged CGS yields vary over time: </w:t>
      </w:r>
    </w:p>
    <w:p w:rsidR="007E742F" w:rsidRPr="007E742F" w:rsidRDefault="007E742F" w:rsidP="007E742F">
      <w:pPr>
        <w:pStyle w:val="AERquote"/>
      </w:pPr>
      <w:r w:rsidRPr="007E742F">
        <w:t>It is not unusual for yields to move from time to time in order to reflect prevailing market conditions and the expectations about the prospect for prices into the future. A downward movement in yields over this period is therefore hardly anomalous, given market conditions.</w:t>
      </w:r>
      <w:r w:rsidRPr="007E742F">
        <w:rPr>
          <w:rStyle w:val="FootnoteReference"/>
        </w:rPr>
        <w:footnoteReference w:id="289"/>
      </w:r>
      <w:r w:rsidRPr="007E742F">
        <w:t xml:space="preserve"> </w:t>
      </w:r>
    </w:p>
    <w:p w:rsidR="007E742F" w:rsidRPr="007E742F" w:rsidRDefault="007E742F" w:rsidP="007E742F">
      <w:pPr>
        <w:pStyle w:val="AERheading5"/>
      </w:pPr>
      <w:r w:rsidRPr="007E742F">
        <w:t>Prevailing CGS yields are consistent with the CAPM</w:t>
      </w:r>
    </w:p>
    <w:p w:rsidR="007E742F" w:rsidRPr="007E742F" w:rsidRDefault="007C50EC" w:rsidP="007E742F">
      <w:pPr>
        <w:pStyle w:val="AERbodytext"/>
      </w:pPr>
      <w:r>
        <w:t>For the following reasons, u</w:t>
      </w:r>
      <w:r w:rsidR="007E742F" w:rsidRPr="007E742F">
        <w:t>sing a CGS yield estimated as close as practical to the beginning of the access arrangement period is consistent with the CAPM. The AER and APA GasNet agreed the CAPM is an appropriate model for estimating the cost of equity. Inputs to a model must be appropriate for using in that model,</w:t>
      </w:r>
      <w:r w:rsidR="007E742F" w:rsidRPr="007E742F">
        <w:rPr>
          <w:rStyle w:val="FootnoteReference"/>
        </w:rPr>
        <w:footnoteReference w:id="290"/>
      </w:r>
      <w:r w:rsidR="007E742F" w:rsidRPr="007E742F">
        <w:t xml:space="preserve"> so individual equity parameters in this decision must be consistent with the CAPM framework. </w:t>
      </w:r>
    </w:p>
    <w:p w:rsidR="007E742F" w:rsidRPr="007E742F" w:rsidRDefault="007E742F" w:rsidP="007E742F">
      <w:pPr>
        <w:pStyle w:val="AERbodytext"/>
      </w:pPr>
      <w:r w:rsidRPr="007E742F">
        <w:t xml:space="preserve">The CAPM uses the most current information to derive the rate of return. In theory, it would use the risk free rate on the day (in this case, the beginning of the regulatory period), as recognised by the Federal Court in </w:t>
      </w:r>
      <w:r w:rsidRPr="007E742F">
        <w:rPr>
          <w:rStyle w:val="AERtextitalic"/>
        </w:rPr>
        <w:t>ActewAGL Distribution v The Australian Energy Regulator</w:t>
      </w:r>
      <w:r w:rsidRPr="007E742F">
        <w:t xml:space="preserve"> [2011] FCA 639 (the ActewAGL matter).</w:t>
      </w:r>
      <w:r w:rsidRPr="007E742F">
        <w:rPr>
          <w:rStyle w:val="FootnoteReference"/>
        </w:rPr>
        <w:footnoteReference w:id="291"/>
      </w:r>
    </w:p>
    <w:p w:rsidR="007E742F" w:rsidRPr="007E742F" w:rsidRDefault="007E742F" w:rsidP="007E742F">
      <w:pPr>
        <w:pStyle w:val="AERbodytext"/>
      </w:pPr>
      <w:r w:rsidRPr="007E742F">
        <w:t xml:space="preserve">During the ActewAGL matter, Associate Professor Lally for the AER and Greg Houston for APTPPL agreed on the best approach to estimating the risk free rate that is consistent with the CAPM. The Federal Court acknowledged this agreement: </w:t>
      </w:r>
    </w:p>
    <w:p w:rsidR="007E742F" w:rsidRPr="007E742F" w:rsidRDefault="007E742F" w:rsidP="007E742F">
      <w:pPr>
        <w:pStyle w:val="AERquote"/>
      </w:pPr>
      <w:r w:rsidRPr="007E742F">
        <w:t>There was no dispute between the experts that the CAPM theory suggests that, ideally, the nominal risk-free rate input will be calculated on the day of the final determination.</w:t>
      </w:r>
      <w:r w:rsidRPr="007E742F">
        <w:rPr>
          <w:rStyle w:val="FootnoteReference"/>
        </w:rPr>
        <w:footnoteReference w:id="292"/>
      </w:r>
      <w:r w:rsidRPr="007E742F">
        <w:t xml:space="preserve"> </w:t>
      </w:r>
    </w:p>
    <w:p w:rsidR="007E742F" w:rsidRPr="007E742F" w:rsidRDefault="007E742F" w:rsidP="007E742F">
      <w:pPr>
        <w:pStyle w:val="AERbodytext"/>
      </w:pPr>
      <w:r w:rsidRPr="007E742F">
        <w:t>Associate Professor Lally also advised:</w:t>
      </w:r>
    </w:p>
    <w:p w:rsidR="007E742F" w:rsidRPr="007E742F" w:rsidRDefault="007E742F" w:rsidP="007E742F">
      <w:pPr>
        <w:pStyle w:val="AERquote"/>
      </w:pPr>
      <w:r w:rsidRPr="007E742F">
        <w:t>In relation to the Sharpe-Lintner model, this model always requires a risk free rate prevailing at a point in time for some subsequent period rather than a historical average and application of the model to a regulatory situation would require the risk free rate prevailing at the beginning of a regulatory period.</w:t>
      </w:r>
      <w:r w:rsidRPr="007E742F">
        <w:rPr>
          <w:rStyle w:val="FootnoteReference"/>
        </w:rPr>
        <w:footnoteReference w:id="293"/>
      </w:r>
      <w:r w:rsidRPr="007E742F">
        <w:t xml:space="preserve"> </w:t>
      </w:r>
    </w:p>
    <w:p w:rsidR="007E742F" w:rsidRPr="007E742F" w:rsidRDefault="007E742F" w:rsidP="007E742F">
      <w:pPr>
        <w:pStyle w:val="AERheading5"/>
      </w:pPr>
      <w:r w:rsidRPr="007E742F">
        <w:t>The risk free rate needs to be consistent with the building block approach and present value principle</w:t>
      </w:r>
    </w:p>
    <w:p w:rsidR="007E742F" w:rsidRPr="007E742F" w:rsidRDefault="007E742F" w:rsidP="007E742F">
      <w:pPr>
        <w:pStyle w:val="AERbodytext"/>
      </w:pPr>
      <w:r w:rsidRPr="007E742F">
        <w:t>For the risk free rate, an averaging period that is as close as practical to the start of the regulatory period promotes consistency with the building block model and the present value principle. The NGR prescribe the use of the building block model when the AER is calculating the total revenue allowance. The model has a long history in regulation in Australia.</w:t>
      </w:r>
      <w:r w:rsidRPr="007E742F">
        <w:rPr>
          <w:rStyle w:val="FootnoteReference"/>
        </w:rPr>
        <w:footnoteReference w:id="294"/>
      </w:r>
      <w:r w:rsidRPr="007E742F">
        <w:t xml:space="preserve"> </w:t>
      </w:r>
    </w:p>
    <w:p w:rsidR="007E742F" w:rsidRPr="007E742F" w:rsidRDefault="007E742F" w:rsidP="007E742F">
      <w:pPr>
        <w:pStyle w:val="AERbodytext"/>
      </w:pPr>
      <w:r w:rsidRPr="007E742F">
        <w:t>An important principle of the building block model is the present value principle. In a 2011 paper on public utility regulation in Australia, Dr Darryl Biggar explained the origins of the building block model and what it seeks to achieve.</w:t>
      </w:r>
      <w:r w:rsidRPr="007E742F">
        <w:rPr>
          <w:rStyle w:val="FootnoteReference"/>
        </w:rPr>
        <w:footnoteReference w:id="295"/>
      </w:r>
      <w:r w:rsidRPr="007E742F">
        <w:t xml:space="preserve"> The present value principle in a regulatory context requires: </w:t>
      </w:r>
    </w:p>
    <w:p w:rsidR="007E742F" w:rsidRPr="007E742F" w:rsidRDefault="007E742F" w:rsidP="007E742F">
      <w:pPr>
        <w:pStyle w:val="AERquote"/>
      </w:pPr>
      <w:r w:rsidRPr="007E742F">
        <w:t>The present value of the regulated firm's revenue stream should match the present value of its expenditure stream, plus or minus any efficiency incentive rewards or penalties (the present value principle).</w:t>
      </w:r>
      <w:r w:rsidRPr="007E742F">
        <w:rPr>
          <w:rStyle w:val="FootnoteReference"/>
        </w:rPr>
        <w:footnoteReference w:id="296"/>
      </w:r>
      <w:r w:rsidRPr="007E742F">
        <w:t xml:space="preserve"> </w:t>
      </w:r>
    </w:p>
    <w:p w:rsidR="007E742F" w:rsidRPr="007E742F" w:rsidRDefault="007E742F" w:rsidP="007E742F">
      <w:pPr>
        <w:pStyle w:val="AERbodytext"/>
      </w:pPr>
      <w:r w:rsidRPr="007E742F">
        <w:t>In his report for the AER, Lally advised this present value principle is met when the risk free rate is estimated at the beginning of the regulatory control period.</w:t>
      </w:r>
      <w:r w:rsidRPr="007E742F">
        <w:rPr>
          <w:rStyle w:val="FootnoteReference"/>
        </w:rPr>
        <w:footnoteReference w:id="297"/>
      </w:r>
      <w:r w:rsidRPr="007E742F">
        <w:t xml:space="preserve"> Lally also considered the proposition of using a long term historical average risk free rate. (Appendix B discusses long term averaging periods.) He advised this approach would not meet the present value principle.</w:t>
      </w:r>
      <w:r w:rsidRPr="007E742F">
        <w:rPr>
          <w:rStyle w:val="FootnoteReference"/>
        </w:rPr>
        <w:footnoteReference w:id="298"/>
      </w:r>
      <w:r w:rsidRPr="007E742F">
        <w:t xml:space="preserve"> </w:t>
      </w:r>
    </w:p>
    <w:p w:rsidR="007E742F" w:rsidRPr="007E742F" w:rsidRDefault="007E742F" w:rsidP="007E742F">
      <w:pPr>
        <w:pStyle w:val="AERheading5"/>
      </w:pPr>
      <w:r w:rsidRPr="007E742F">
        <w:t>The averaging period should be short</w:t>
      </w:r>
    </w:p>
    <w:p w:rsidR="007E742F" w:rsidRPr="007E742F" w:rsidRDefault="007E742F" w:rsidP="007E742F">
      <w:pPr>
        <w:pStyle w:val="AERbodytext"/>
      </w:pPr>
      <w:r w:rsidRPr="007E742F">
        <w:t>A short averaging period provides a reasonable estimate of the prevailing rate while not exposing service providers to unnecessary volatility. It is a pragmatic alternative to using a risk free rate that precisely ensures the present value principle holds. The rate of return must be estimated in a manner consistent with not only that principle, but also the building block model and the CAPM. Lally stated all three require a risk free rate estimated at the beginning of the regulatory period</w:t>
      </w:r>
      <w:r w:rsidRPr="007E742F">
        <w:rPr>
          <w:rStyle w:val="FootnoteReference"/>
        </w:rPr>
        <w:footnoteReference w:id="299"/>
      </w:r>
      <w:r w:rsidRPr="007E742F">
        <w:t>—literally, the first market price on the first day of the regulatory period.</w:t>
      </w:r>
      <w:r w:rsidRPr="007E742F">
        <w:rPr>
          <w:rStyle w:val="FootnoteReference"/>
        </w:rPr>
        <w:footnoteReference w:id="300"/>
      </w:r>
      <w:r w:rsidRPr="007E742F">
        <w:t xml:space="preserve"> He noted:</w:t>
      </w:r>
    </w:p>
    <w:p w:rsidR="007E742F" w:rsidRPr="007E742F" w:rsidRDefault="007E742F" w:rsidP="007E742F">
      <w:pPr>
        <w:pStyle w:val="AERquote"/>
      </w:pPr>
      <w:r w:rsidRPr="007E742F">
        <w:t>... the use of this transaction would expose the regulatory process to reporting errors, an aberration arising from an unusually large or small transaction, and a rate arising from a transaction undertaken by a regulated firm for the purpose of influencing the regulatory decision.</w:t>
      </w:r>
      <w:r w:rsidRPr="007E742F">
        <w:rPr>
          <w:rStyle w:val="FootnoteReference"/>
        </w:rPr>
        <w:footnoteReference w:id="301"/>
      </w:r>
      <w:r w:rsidRPr="007E742F">
        <w:t xml:space="preserve"> </w:t>
      </w:r>
    </w:p>
    <w:p w:rsidR="007E742F" w:rsidRPr="007E742F" w:rsidRDefault="007E742F" w:rsidP="007E742F">
      <w:pPr>
        <w:pStyle w:val="AERbodytext"/>
      </w:pPr>
      <w:r w:rsidRPr="007E742F">
        <w:t>A short term averaging period as close as practically possible to the regulatory period provides a pragmatic alternative. While the present value principle requires the use of the prevailing rate on the first day of the regulatory period, that approach would be unreasonable and impractical. It would be unreasonable because it would expose the service provider to potential distortions, as Lally described. And it would be impractical because the AER and the service provider could not enact the decision until after the beginning of the regulatory period, which may be after the final decision date. An averaging period between 10 and 40 business days in length provides a practical and reasonable solution.</w:t>
      </w:r>
      <w:r w:rsidRPr="007E742F">
        <w:rPr>
          <w:rStyle w:val="FootnoteReference"/>
        </w:rPr>
        <w:footnoteReference w:id="302"/>
      </w:r>
      <w:r w:rsidRPr="007E742F">
        <w:t xml:space="preserve">   </w:t>
      </w:r>
    </w:p>
    <w:p w:rsidR="007E742F" w:rsidRPr="007E742F" w:rsidRDefault="007E742F" w:rsidP="007E742F">
      <w:pPr>
        <w:pStyle w:val="AERbodytext"/>
      </w:pPr>
      <w:r w:rsidRPr="007E742F">
        <w:t>On the other hand, Lally noted a long term average would more significantly violate the present value principle without providing any pragmatic gain:</w:t>
      </w:r>
    </w:p>
    <w:p w:rsidR="007E742F" w:rsidRPr="007E742F" w:rsidRDefault="007E742F" w:rsidP="007E742F">
      <w:pPr>
        <w:pStyle w:val="AERquote"/>
      </w:pPr>
      <w:r w:rsidRPr="007E742F">
        <w:t>Rates averaged over a much longer historical period would be inconsistent with the present value principle, i.e., they would violate it without offering any incremental pragmatic justification.</w:t>
      </w:r>
      <w:r w:rsidRPr="007E742F">
        <w:rPr>
          <w:rStyle w:val="FootnoteReference"/>
        </w:rPr>
        <w:footnoteReference w:id="303"/>
      </w:r>
    </w:p>
    <w:p w:rsidR="007E742F" w:rsidRPr="007E742F" w:rsidRDefault="007E742F" w:rsidP="007E742F">
      <w:pPr>
        <w:pStyle w:val="AERbodytext"/>
      </w:pPr>
      <w:r w:rsidRPr="007E742F">
        <w:t xml:space="preserve">The AER does not consider a long term averaging period is an appropriate and reasonable departure from the present value principle. </w:t>
      </w:r>
    </w:p>
    <w:p w:rsidR="007E742F" w:rsidRPr="007E742F" w:rsidRDefault="007E742F" w:rsidP="007E742F">
      <w:pPr>
        <w:pStyle w:val="AERheading5"/>
      </w:pPr>
      <w:r w:rsidRPr="007E742F">
        <w:t>The method is unbiased</w:t>
      </w:r>
    </w:p>
    <w:p w:rsidR="007E742F" w:rsidRPr="007E742F" w:rsidRDefault="007E742F" w:rsidP="007E742F">
      <w:pPr>
        <w:pStyle w:val="AERbodytext"/>
      </w:pPr>
      <w:r w:rsidRPr="007E742F">
        <w:t xml:space="preserve">Determining the averaging period in advance helps achieve an unbiased risk free rate. For this reason, the AER's approach to determining the risk free rate in this decision is unbiased. </w:t>
      </w:r>
    </w:p>
    <w:p w:rsidR="007E742F" w:rsidRPr="007E742F" w:rsidRDefault="007E742F" w:rsidP="007E742F">
      <w:pPr>
        <w:pStyle w:val="AERbodytext"/>
      </w:pPr>
      <w:r w:rsidRPr="007E742F">
        <w:t>Service providers have an incentive to seek a WACC that is as high as possible, because it will increase their profits. If a service provider can select an averaging period by looking at historical yields, they may introduce an upward bias</w:t>
      </w:r>
      <w:r w:rsidRPr="007E742F">
        <w:rPr>
          <w:rStyle w:val="FootnoteReference"/>
        </w:rPr>
        <w:footnoteReference w:id="304"/>
      </w:r>
      <w:r w:rsidRPr="007E742F">
        <w:t xml:space="preserve"> because they can select a period with the highest yield available. But, when an averaging period is agreed or specified in advance regulatory gaming is less likely because the risk free rate is unknown for that future period.</w:t>
      </w:r>
    </w:p>
    <w:p w:rsidR="007E742F" w:rsidRPr="007E742F" w:rsidRDefault="007E742F" w:rsidP="007E742F">
      <w:pPr>
        <w:pStyle w:val="AERbodytext"/>
      </w:pPr>
      <w:r w:rsidRPr="007E742F">
        <w:t xml:space="preserve">The possibility of upward bias also applies to a long term average. Determining the averaging period for a long term average introduces arbitrariness, and no long term averaging period is clearly superior for use. The AER does not consider historical estimates are needed in this case, because a proxy for the risk free rate is readily available. It thus considers a short averaging period, determined in advance, minimises the likelihood of bias. </w:t>
      </w:r>
    </w:p>
    <w:p w:rsidR="007E742F" w:rsidRPr="007E742F" w:rsidRDefault="007E742F" w:rsidP="007E742F">
      <w:pPr>
        <w:pStyle w:val="AERheading3"/>
      </w:pPr>
      <w:bookmarkStart w:id="61" w:name="_Ref332971666"/>
      <w:bookmarkStart w:id="62" w:name="_Ref333916669"/>
      <w:r w:rsidRPr="007E742F">
        <w:t>Market risk premium</w:t>
      </w:r>
      <w:bookmarkEnd w:id="61"/>
      <w:bookmarkEnd w:id="62"/>
    </w:p>
    <w:p w:rsidR="007E742F" w:rsidRPr="007E742F" w:rsidRDefault="007E742F" w:rsidP="007E742F">
      <w:pPr>
        <w:pStyle w:val="AERbodytext"/>
      </w:pPr>
      <w:r w:rsidRPr="007E742F">
        <w:t>APA GasNet proposed a prevailing MRP of 8.5 per cent based on NERA, CEG and Capital Research reports.</w:t>
      </w:r>
      <w:r w:rsidRPr="007E742F">
        <w:rPr>
          <w:rStyle w:val="FootnoteReference"/>
        </w:rPr>
        <w:footnoteReference w:id="305"/>
      </w:r>
      <w:r w:rsidRPr="007E742F">
        <w:t xml:space="preserve"> It raised three concerns with the AER’s approach to setting the MRP:</w:t>
      </w:r>
    </w:p>
    <w:p w:rsidR="007E742F" w:rsidRPr="007E742F" w:rsidRDefault="007E742F" w:rsidP="007E742F">
      <w:pPr>
        <w:pStyle w:val="AERbulletlistfirststyle"/>
      </w:pPr>
      <w:r w:rsidRPr="007E742F">
        <w:t xml:space="preserve">The AER failed to recognise the negative relationship between the risk free rate and the MRP. </w:t>
      </w:r>
    </w:p>
    <w:p w:rsidR="007E742F" w:rsidRPr="007E742F" w:rsidRDefault="007E742F" w:rsidP="007E742F">
      <w:pPr>
        <w:pStyle w:val="AERbulletlistfirststyle"/>
      </w:pPr>
      <w:r w:rsidRPr="007E742F">
        <w:t>The increase of MRP to 6.5 per cent in the WACC review should not be considered a robust estimate.</w:t>
      </w:r>
    </w:p>
    <w:p w:rsidR="007E742F" w:rsidRPr="007E742F" w:rsidRDefault="007E742F" w:rsidP="007E742F">
      <w:pPr>
        <w:pStyle w:val="AERbulletlistfirststyle"/>
      </w:pPr>
      <w:r w:rsidRPr="007E742F">
        <w:t>The AER used market commentary to conclude the MRP has returned to ‘normal’ levels.</w:t>
      </w:r>
      <w:r w:rsidRPr="007E742F">
        <w:rPr>
          <w:rStyle w:val="FootnoteReference"/>
        </w:rPr>
        <w:footnoteReference w:id="306"/>
      </w:r>
    </w:p>
    <w:p w:rsidR="007E742F" w:rsidRPr="007E742F" w:rsidRDefault="007E742F" w:rsidP="007E742F">
      <w:pPr>
        <w:pStyle w:val="AERbodytext"/>
      </w:pPr>
      <w:r w:rsidRPr="007E742F">
        <w:t>APA GasNet submitted its proposed MRP is consistent with:</w:t>
      </w:r>
    </w:p>
    <w:p w:rsidR="007E742F" w:rsidRPr="007E742F" w:rsidRDefault="007E742F" w:rsidP="007E742F">
      <w:pPr>
        <w:pStyle w:val="AERbulletlistfirststyle"/>
      </w:pPr>
      <w:r w:rsidRPr="007E742F">
        <w:t>the NERA regime switching estimate of 8.44 per cent</w:t>
      </w:r>
    </w:p>
    <w:p w:rsidR="007E742F" w:rsidRPr="007E742F" w:rsidRDefault="007E742F" w:rsidP="007E742F">
      <w:pPr>
        <w:pStyle w:val="AERbulletlistfirststyle"/>
      </w:pPr>
      <w:r w:rsidRPr="007E742F">
        <w:t>the NERA DGM estimate of 7.69 per cent</w:t>
      </w:r>
    </w:p>
    <w:p w:rsidR="007E742F" w:rsidRPr="007E742F" w:rsidRDefault="007E742F" w:rsidP="007E742F">
      <w:pPr>
        <w:pStyle w:val="AERbulletlistfirststyle"/>
      </w:pPr>
      <w:r w:rsidRPr="007E742F">
        <w:t>CEG’s DGM estimate of 8.52 per cent</w:t>
      </w:r>
    </w:p>
    <w:p w:rsidR="007E742F" w:rsidRPr="007E742F" w:rsidRDefault="007E742F" w:rsidP="007E742F">
      <w:pPr>
        <w:pStyle w:val="AERbulletlistfirststyle"/>
      </w:pPr>
      <w:r w:rsidRPr="007E742F">
        <w:t>Capital Research’s DGM estimate of 9.56 per cent.</w:t>
      </w:r>
      <w:r w:rsidRPr="007E742F">
        <w:rPr>
          <w:rStyle w:val="FootnoteReference"/>
        </w:rPr>
        <w:footnoteReference w:id="307"/>
      </w:r>
    </w:p>
    <w:p w:rsidR="007E742F" w:rsidRPr="007E742F" w:rsidRDefault="007E742F" w:rsidP="007E742F">
      <w:pPr>
        <w:pStyle w:val="AERbodytext"/>
      </w:pPr>
      <w:r w:rsidRPr="007E742F">
        <w:t xml:space="preserve">The AER does not accept APA GasNet’s proposed MRP of 8.5 per cent. Applying the approach in section </w:t>
      </w:r>
      <w:r w:rsidR="00DE0D6A" w:rsidRPr="007E742F">
        <w:rPr>
          <w:highlight w:val="yellow"/>
        </w:rPr>
        <w:fldChar w:fldCharType="begin"/>
      </w:r>
      <w:r w:rsidRPr="007E742F">
        <w:instrText xml:space="preserve"> REF _Ref334103901 \r \h </w:instrText>
      </w:r>
      <w:r w:rsidR="00DE0D6A" w:rsidRPr="007E742F">
        <w:rPr>
          <w:highlight w:val="yellow"/>
        </w:rPr>
      </w:r>
      <w:r w:rsidR="00DE0D6A" w:rsidRPr="007E742F">
        <w:rPr>
          <w:highlight w:val="yellow"/>
        </w:rPr>
        <w:fldChar w:fldCharType="separate"/>
      </w:r>
      <w:r w:rsidRPr="007E742F">
        <w:t>4.2.3</w:t>
      </w:r>
      <w:r w:rsidR="00DE0D6A" w:rsidRPr="007E742F">
        <w:rPr>
          <w:highlight w:val="yellow"/>
        </w:rPr>
        <w:fldChar w:fldCharType="end"/>
      </w:r>
      <w:r w:rsidRPr="007E742F">
        <w:t>, the AER considered an MRP of 6 per cent is the best estimate in the circumstances and reflects prevailing conditions in the market for funds. Further, the preferred MRP value meets the objectives of rules 72(1), 74 and 87 of the NGR.</w:t>
      </w:r>
    </w:p>
    <w:p w:rsidR="007E742F" w:rsidRPr="007E742F" w:rsidRDefault="007E742F" w:rsidP="007E742F">
      <w:pPr>
        <w:pStyle w:val="AERbodytext"/>
      </w:pPr>
      <w:r w:rsidRPr="007E742F">
        <w:t>Given evidence on the MRP is imprecise, the AER considers it is reasonable to assess a range of evidence to estimate the MRP. From that information, the AER considers an MRP of 6.0 per cent is the best estimate in the circumstances and given prevailing conditions in the market for funds, for the following reasons:</w:t>
      </w:r>
    </w:p>
    <w:p w:rsidR="007E742F" w:rsidRPr="007E742F" w:rsidRDefault="007E742F" w:rsidP="007E742F">
      <w:pPr>
        <w:pStyle w:val="AERbulletlistfirststyle"/>
      </w:pPr>
      <w:r w:rsidRPr="007E742F">
        <w:t xml:space="preserve">Historical excess returns provided a range of 4.9–6.1 per cent if calculated on an arithmetic mean basis and a range of 3.0–4.7 per cent if calculated on a geometric mean basis. </w:t>
      </w:r>
    </w:p>
    <w:p w:rsidR="007E742F" w:rsidRPr="007E742F" w:rsidRDefault="007E742F" w:rsidP="007E742F">
      <w:pPr>
        <w:pStyle w:val="AERbulletlistfirststyle"/>
      </w:pPr>
      <w:r w:rsidRPr="007E742F">
        <w:t>Professor McKenzie and Associate Professor Partington advised the AER that a 6 per cent MRP estimate was appropriate. Associate Professor Lally broadly supported the AER's method for estimating the MRP.</w:t>
      </w:r>
    </w:p>
    <w:p w:rsidR="007E742F" w:rsidRPr="007E742F" w:rsidRDefault="007E742F" w:rsidP="007E742F">
      <w:pPr>
        <w:pStyle w:val="AERbulletlistfirststyle"/>
      </w:pPr>
      <w:r w:rsidRPr="007E742F">
        <w:t xml:space="preserve">MRP is an economy wide measure, and other regulators in Australia have consistently adopted an MRP estimate of 6 per cent under the same CAPM framework. </w:t>
      </w:r>
    </w:p>
    <w:p w:rsidR="007E742F" w:rsidRPr="007E742F" w:rsidRDefault="007E742F" w:rsidP="007E742F">
      <w:pPr>
        <w:pStyle w:val="AERbulletlistfirststyle"/>
      </w:pPr>
      <w:r w:rsidRPr="007E742F">
        <w:t>In Envestra, ATCO and DBNGP matters, the AER and the ERA determined 6 per cent as the best estimate of the MRP based on the available evidence. The Australian Competition Tribunal was open for the regulators to adopt 6 per cent for the MRP in these decisions.</w:t>
      </w:r>
    </w:p>
    <w:p w:rsidR="007E742F" w:rsidRPr="007E742F" w:rsidRDefault="007E742F" w:rsidP="007E742F">
      <w:pPr>
        <w:pStyle w:val="AERbulletlistfirststyle"/>
      </w:pPr>
      <w:r w:rsidRPr="007E742F">
        <w:t xml:space="preserve">Surveys of market practitioners consistently supported 6 per cent as the most commonly adopted value for the MRP. They also indicated that the average MRP adopted by market practitioners was approximately 6 per cent. </w:t>
      </w:r>
    </w:p>
    <w:p w:rsidR="007E742F" w:rsidRPr="007E742F" w:rsidRDefault="007E742F" w:rsidP="007E742F">
      <w:pPr>
        <w:pStyle w:val="AERbodytext"/>
      </w:pPr>
      <w:r w:rsidRPr="007E742F">
        <w:t>The AER discusses these considerations in the sections below.</w:t>
      </w:r>
    </w:p>
    <w:p w:rsidR="007E742F" w:rsidRPr="007E742F" w:rsidRDefault="007E742F" w:rsidP="007E742F">
      <w:pPr>
        <w:pStyle w:val="AERbodytext"/>
      </w:pPr>
      <w:r w:rsidRPr="007E742F">
        <w:t>In reaching this view, the AER also considered the main arguments raised by APA GasNet in support of an 8.5 per cent MRP, as well as:</w:t>
      </w:r>
    </w:p>
    <w:p w:rsidR="007E742F" w:rsidRPr="007E742F" w:rsidRDefault="007E742F" w:rsidP="007E742F">
      <w:pPr>
        <w:pStyle w:val="AERbulletlistfirststyle"/>
      </w:pPr>
      <w:r w:rsidRPr="007E742F">
        <w:t>DGM estimates</w:t>
      </w:r>
    </w:p>
    <w:p w:rsidR="007E742F" w:rsidRPr="007E742F" w:rsidRDefault="007E742F" w:rsidP="007E742F">
      <w:pPr>
        <w:pStyle w:val="AERbulletlistfirststyle"/>
      </w:pPr>
      <w:r w:rsidRPr="007E742F">
        <w:t>other approaches suggested by consultants</w:t>
      </w:r>
    </w:p>
    <w:p w:rsidR="007E742F" w:rsidRPr="007E742F" w:rsidRDefault="007E742F" w:rsidP="007E742F">
      <w:pPr>
        <w:pStyle w:val="AERbulletlistsecondstyle"/>
      </w:pPr>
      <w:r w:rsidRPr="007E742F">
        <w:t>CEG approaches</w:t>
      </w:r>
    </w:p>
    <w:p w:rsidR="007E742F" w:rsidRPr="007E742F" w:rsidRDefault="007E742F" w:rsidP="007E742F">
      <w:pPr>
        <w:pStyle w:val="AERbulletlistsecondstyle"/>
      </w:pPr>
      <w:r w:rsidRPr="007E742F">
        <w:t>Capital Research DGM estimates</w:t>
      </w:r>
    </w:p>
    <w:p w:rsidR="007E742F" w:rsidRPr="007E742F" w:rsidRDefault="007E742F" w:rsidP="007E742F">
      <w:pPr>
        <w:pStyle w:val="AERbulletlistsecondstyle"/>
      </w:pPr>
      <w:r w:rsidRPr="007E742F">
        <w:t>the NERA regime switching model</w:t>
      </w:r>
    </w:p>
    <w:p w:rsidR="007E742F" w:rsidRPr="007E742F" w:rsidRDefault="007E742F" w:rsidP="007E742F">
      <w:pPr>
        <w:pStyle w:val="AERbulletlistsecondstyle"/>
      </w:pPr>
      <w:r w:rsidRPr="007E742F">
        <w:t>the SFG method (implied volatility, credit spread and dividend yield)</w:t>
      </w:r>
    </w:p>
    <w:p w:rsidR="007E742F" w:rsidRPr="007E742F" w:rsidRDefault="007E742F" w:rsidP="007E742F">
      <w:pPr>
        <w:pStyle w:val="AERbulletlistsecondstyle"/>
      </w:pPr>
      <w:r w:rsidRPr="007E742F">
        <w:t>the VAA implied volatility glide path approach</w:t>
      </w:r>
    </w:p>
    <w:p w:rsidR="007E742F" w:rsidRPr="007E742F" w:rsidRDefault="007E742F" w:rsidP="007E742F">
      <w:pPr>
        <w:pStyle w:val="AERbulletlistfirststyle"/>
      </w:pPr>
      <w:r w:rsidRPr="007E742F">
        <w:t>market commentary</w:t>
      </w:r>
    </w:p>
    <w:p w:rsidR="007E742F" w:rsidRPr="007E742F" w:rsidRDefault="007E742F" w:rsidP="007E742F">
      <w:pPr>
        <w:pStyle w:val="AERbulletlistfirststyle"/>
      </w:pPr>
      <w:r w:rsidRPr="007E742F">
        <w:t>reasons for the AER's departure from the WACC review.</w:t>
      </w:r>
    </w:p>
    <w:p w:rsidR="007E742F" w:rsidRPr="007E742F" w:rsidRDefault="007E742F" w:rsidP="007E742F">
      <w:pPr>
        <w:pStyle w:val="AERbodytext"/>
      </w:pPr>
      <w:r w:rsidRPr="007E742F">
        <w:t>The AER discusses these considerations in appendix B.</w:t>
      </w:r>
    </w:p>
    <w:p w:rsidR="007E742F" w:rsidRPr="007E742F" w:rsidRDefault="007E742F" w:rsidP="007E742F">
      <w:pPr>
        <w:pStyle w:val="AERheading4"/>
      </w:pPr>
      <w:r w:rsidRPr="007E742F">
        <w:t>Historical excess returns</w:t>
      </w:r>
    </w:p>
    <w:p w:rsidR="007E742F" w:rsidRPr="007E742F" w:rsidRDefault="007E742F" w:rsidP="007E742F">
      <w:pPr>
        <w:pStyle w:val="AERbodytext"/>
      </w:pPr>
      <w:r w:rsidRPr="007E742F">
        <w:t>Historical excess returns estimate the realised return that stocks have earned in excess of the 10 year government bond rate. So, they are likely to inform investors’ expectations of future returns. The AER observed the latest historical excess returns (which can be directly measured) are 4.9–6.1 per cent based on arithmetic averages and 3.0–4.7 per cent based on geometric averages. It considers these estimates support a forward looking long term MRP of 6 per cent. Given 6 per cent is towards the top of the quoted range, it is more likely to overstate the MRP based on historical excess returns.</w:t>
      </w:r>
    </w:p>
    <w:p w:rsidR="007E742F" w:rsidRPr="007E742F" w:rsidRDefault="007E742F" w:rsidP="007E742F">
      <w:pPr>
        <w:pStyle w:val="AERbodytext"/>
      </w:pPr>
      <w:r w:rsidRPr="007E742F">
        <w:t>Although not strictly forward looking, historical excess returns have predominantly been used to estimate the MRP on the assumption that investors base their forward looking expectations on experience. The Tribunal recognised this view in the DBNGP matter.</w:t>
      </w:r>
      <w:r w:rsidRPr="007E742F">
        <w:rPr>
          <w:rStyle w:val="FootnoteReference"/>
        </w:rPr>
        <w:footnoteReference w:id="308"/>
      </w:r>
      <w:r w:rsidRPr="007E742F">
        <w:t xml:space="preserve"> In a regulatory context, the use of historical excess returns has advantages, as supported by McKenzie and Partington in their December 2011 MRP report:</w:t>
      </w:r>
    </w:p>
    <w:p w:rsidR="007E742F" w:rsidRPr="007E742F" w:rsidRDefault="007E742F" w:rsidP="007E742F">
      <w:pPr>
        <w:pStyle w:val="AERbulletlistfirststyle"/>
      </w:pPr>
      <w:r w:rsidRPr="007E742F">
        <w:t xml:space="preserve">The estimation methods and the results are transparent. </w:t>
      </w:r>
    </w:p>
    <w:p w:rsidR="007E742F" w:rsidRPr="007E742F" w:rsidRDefault="007E742F" w:rsidP="007E742F">
      <w:pPr>
        <w:pStyle w:val="AERbulletlistfirststyle"/>
      </w:pPr>
      <w:r w:rsidRPr="007E742F">
        <w:t>The estimation methods have been extensively studied and the results are well understood.</w:t>
      </w:r>
    </w:p>
    <w:p w:rsidR="007E742F" w:rsidRPr="007E742F" w:rsidRDefault="007E742F" w:rsidP="007E742F">
      <w:pPr>
        <w:pStyle w:val="AERbulletlistfirststyle"/>
      </w:pPr>
      <w:r w:rsidRPr="007E742F">
        <w:t>Historical estimates are widely used and have support as the benchmark method for estimating the MRP in Australia.</w:t>
      </w:r>
      <w:r w:rsidRPr="007E742F">
        <w:rPr>
          <w:rStyle w:val="FootnoteReference"/>
        </w:rPr>
        <w:footnoteReference w:id="309"/>
      </w:r>
    </w:p>
    <w:p w:rsidR="007E742F" w:rsidRPr="007E742F" w:rsidRDefault="007E742F" w:rsidP="007E742F">
      <w:pPr>
        <w:pStyle w:val="AERbodytext"/>
        <w:rPr>
          <w:rFonts w:eastAsia="Calibri"/>
        </w:rPr>
      </w:pPr>
      <w:r w:rsidRPr="007E742F">
        <w:rPr>
          <w:rFonts w:eastAsia="Calibri"/>
        </w:rPr>
        <w:t>A few studies indicated there is no better forecast of excess returns than the historical average.</w:t>
      </w:r>
      <w:r w:rsidRPr="007E742F">
        <w:rPr>
          <w:rStyle w:val="FootnoteReference"/>
          <w:rFonts w:eastAsia="Calibri"/>
        </w:rPr>
        <w:footnoteReference w:id="310"/>
      </w:r>
      <w:r w:rsidRPr="007E742F">
        <w:rPr>
          <w:rFonts w:eastAsia="Calibri"/>
        </w:rPr>
        <w:t xml:space="preserve"> Goyal and Welch examined the performance of variables that academic literature suggested as good predictors of the equity premium. These variables include dividend yield, earnings price ratio, corporate bond returns and volatility. Goyal and Welch found:</w:t>
      </w:r>
    </w:p>
    <w:p w:rsidR="007E742F" w:rsidRPr="007E742F" w:rsidRDefault="007E742F" w:rsidP="007E742F">
      <w:pPr>
        <w:pStyle w:val="AERquote"/>
        <w:rPr>
          <w:rFonts w:eastAsia="Calibri"/>
        </w:rPr>
      </w:pPr>
      <w:r w:rsidRPr="007E742F">
        <w:rPr>
          <w:rFonts w:eastAsia="Calibri"/>
        </w:rPr>
        <w:t>As of the end of 2005, most models have lost statistical significance, both IS [in-sample] and OOS [out-of-sample]. OOS, most models not only fail to beat the unconditional benchmark (the prevailing mean) in a statistically or economically significant manner, but underperform it outright.</w:t>
      </w:r>
      <w:r w:rsidRPr="007E742F">
        <w:rPr>
          <w:rStyle w:val="FootnoteReference"/>
          <w:rFonts w:eastAsia="Calibri"/>
        </w:rPr>
        <w:footnoteReference w:id="311"/>
      </w:r>
    </w:p>
    <w:p w:rsidR="007E742F" w:rsidRPr="007E742F" w:rsidRDefault="007E742F" w:rsidP="007E742F">
      <w:pPr>
        <w:pStyle w:val="AERbodytext"/>
      </w:pPr>
      <w:r w:rsidRPr="007E742F">
        <w:rPr>
          <w:rFonts w:eastAsia="Calibri"/>
        </w:rPr>
        <w:t>The long term averages of historical excess returns, adjusted to incorporate an imputation credit utilisation rate (theta) of 0.35</w:t>
      </w:r>
      <w:r w:rsidRPr="007E742F">
        <w:rPr>
          <w:rStyle w:val="FootnoteReference"/>
        </w:rPr>
        <w:footnoteReference w:id="312"/>
      </w:r>
      <w:r w:rsidRPr="007E742F">
        <w:rPr>
          <w:rFonts w:eastAsia="Calibri"/>
        </w:rPr>
        <w:t>, produce a range</w:t>
      </w:r>
      <w:r w:rsidRPr="007E742F">
        <w:t xml:space="preserve"> of 4.9–6.1 per cent (based on arithmetic averages) and 3.0–4.7 per cent (based on geometric averages) over the periods 1883–2011, 1937–2011, 1958–2011, 1980–2011 and 1988–2011 (table 1.2). The starting point for each of the five estimation periods was chosen because the quality of the underlying data sources changed (in 1883, 1937, 1958 and 1980) and the imputation tax system was introduced (in 1988).</w:t>
      </w:r>
      <w:r w:rsidRPr="007E742F">
        <w:rPr>
          <w:rStyle w:val="FootnoteReference"/>
        </w:rPr>
        <w:footnoteReference w:id="313"/>
      </w:r>
    </w:p>
    <w:p w:rsidR="007E742F" w:rsidRPr="007E742F" w:rsidRDefault="007E742F" w:rsidP="007E742F">
      <w:pPr>
        <w:pStyle w:val="AERtabletitle"/>
      </w:pPr>
      <w:bookmarkStart w:id="63" w:name="_Ref321958398"/>
      <w:r w:rsidRPr="007E742F">
        <w:t>Historical excess return estimates—, assuming a use rate of distributed imputation credits of 0.35 (per cent)</w:t>
      </w:r>
      <w:bookmarkEnd w:id="63"/>
    </w:p>
    <w:tbl>
      <w:tblPr>
        <w:tblW w:w="5000" w:type="pct"/>
        <w:tblBorders>
          <w:top w:val="single" w:sz="4" w:space="0" w:color="auto"/>
          <w:bottom w:val="single" w:sz="4" w:space="0" w:color="auto"/>
        </w:tblBorders>
        <w:tblLook w:val="01E0"/>
      </w:tblPr>
      <w:tblGrid>
        <w:gridCol w:w="2842"/>
        <w:gridCol w:w="2843"/>
        <w:gridCol w:w="2843"/>
      </w:tblGrid>
      <w:tr w:rsidR="007E742F" w:rsidRPr="00483962" w:rsidTr="006E1CEF">
        <w:trPr>
          <w:trHeight w:val="255"/>
        </w:trPr>
        <w:tc>
          <w:tcPr>
            <w:tcW w:w="1666"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r w:rsidRPr="007E742F">
              <w:t>Sampling period</w:t>
            </w:r>
          </w:p>
        </w:tc>
        <w:tc>
          <w:tcPr>
            <w:tcW w:w="166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r w:rsidRPr="007E742F">
              <w:t>Arithmetic mean</w:t>
            </w:r>
          </w:p>
        </w:tc>
        <w:tc>
          <w:tcPr>
            <w:tcW w:w="1667"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r w:rsidRPr="007E742F">
              <w:t>Geometric mean</w:t>
            </w:r>
          </w:p>
        </w:tc>
      </w:tr>
      <w:tr w:rsidR="007E742F" w:rsidRPr="00483962" w:rsidTr="006E1CEF">
        <w:trPr>
          <w:trHeight w:val="255"/>
        </w:trPr>
        <w:tc>
          <w:tcPr>
            <w:tcW w:w="1666" w:type="pct"/>
            <w:shd w:val="clear" w:color="auto" w:fill="auto"/>
            <w:noWrap/>
            <w:tcMar>
              <w:top w:w="0" w:type="dxa"/>
              <w:bottom w:w="0" w:type="dxa"/>
            </w:tcMar>
            <w:vAlign w:val="center"/>
          </w:tcPr>
          <w:p w:rsidR="007E742F" w:rsidRPr="007E742F" w:rsidRDefault="007E742F" w:rsidP="007E742F">
            <w:pPr>
              <w:pStyle w:val="AERtabletext"/>
            </w:pPr>
            <w:r w:rsidRPr="007E742F">
              <w:t>1883–2011</w:t>
            </w:r>
          </w:p>
        </w:tc>
        <w:tc>
          <w:tcPr>
            <w:tcW w:w="1667" w:type="pct"/>
            <w:shd w:val="clear" w:color="auto" w:fill="auto"/>
            <w:noWrap/>
            <w:tcMar>
              <w:top w:w="0" w:type="dxa"/>
              <w:bottom w:w="0" w:type="dxa"/>
            </w:tcMar>
            <w:vAlign w:val="center"/>
          </w:tcPr>
          <w:p w:rsidR="007E742F" w:rsidRPr="007E742F" w:rsidRDefault="007E742F" w:rsidP="007E742F">
            <w:pPr>
              <w:pStyle w:val="AERtabletext"/>
            </w:pPr>
            <w:r w:rsidRPr="007E742F">
              <w:t>6.1</w:t>
            </w:r>
            <w:r w:rsidRPr="007E742F">
              <w:rPr>
                <w:rStyle w:val="AERsuperscript"/>
              </w:rPr>
              <w:t>a</w:t>
            </w:r>
          </w:p>
        </w:tc>
        <w:tc>
          <w:tcPr>
            <w:tcW w:w="1667" w:type="pct"/>
            <w:shd w:val="clear" w:color="auto" w:fill="auto"/>
            <w:noWrap/>
            <w:tcMar>
              <w:top w:w="0" w:type="dxa"/>
              <w:bottom w:w="0" w:type="dxa"/>
            </w:tcMar>
            <w:vAlign w:val="center"/>
          </w:tcPr>
          <w:p w:rsidR="007E742F" w:rsidRPr="007E742F" w:rsidRDefault="007E742F" w:rsidP="007E742F">
            <w:pPr>
              <w:pStyle w:val="AERtabletext"/>
            </w:pPr>
            <w:r w:rsidRPr="007E742F">
              <w:t>4.7</w:t>
            </w:r>
          </w:p>
        </w:tc>
      </w:tr>
      <w:tr w:rsidR="007E742F" w:rsidRPr="00483962" w:rsidTr="006E1CEF">
        <w:trPr>
          <w:trHeight w:val="255"/>
        </w:trPr>
        <w:tc>
          <w:tcPr>
            <w:tcW w:w="1666" w:type="pct"/>
            <w:shd w:val="clear" w:color="auto" w:fill="F8B47C"/>
            <w:noWrap/>
            <w:tcMar>
              <w:top w:w="0" w:type="dxa"/>
              <w:bottom w:w="0" w:type="dxa"/>
            </w:tcMar>
            <w:vAlign w:val="center"/>
          </w:tcPr>
          <w:p w:rsidR="007E742F" w:rsidRPr="007E742F" w:rsidRDefault="007E742F" w:rsidP="007E742F">
            <w:pPr>
              <w:pStyle w:val="AERtabletext"/>
            </w:pPr>
            <w:r w:rsidRPr="007E742F">
              <w:t>1937–2011</w:t>
            </w:r>
          </w:p>
        </w:tc>
        <w:tc>
          <w:tcPr>
            <w:tcW w:w="1667" w:type="pct"/>
            <w:shd w:val="clear" w:color="auto" w:fill="F8B47C"/>
            <w:noWrap/>
            <w:tcMar>
              <w:top w:w="0" w:type="dxa"/>
              <w:bottom w:w="0" w:type="dxa"/>
            </w:tcMar>
            <w:vAlign w:val="center"/>
          </w:tcPr>
          <w:p w:rsidR="007E742F" w:rsidRPr="007E742F" w:rsidRDefault="007E742F" w:rsidP="007E742F">
            <w:pPr>
              <w:pStyle w:val="AERtabletext"/>
            </w:pPr>
            <w:r w:rsidRPr="007E742F">
              <w:t>5.7</w:t>
            </w:r>
            <w:r w:rsidRPr="007E742F">
              <w:rPr>
                <w:rStyle w:val="AERsuperscript"/>
              </w:rPr>
              <w:t>a</w:t>
            </w:r>
          </w:p>
        </w:tc>
        <w:tc>
          <w:tcPr>
            <w:tcW w:w="1667" w:type="pct"/>
            <w:shd w:val="clear" w:color="auto" w:fill="F8B47C"/>
            <w:noWrap/>
            <w:tcMar>
              <w:top w:w="0" w:type="dxa"/>
              <w:bottom w:w="0" w:type="dxa"/>
            </w:tcMar>
            <w:vAlign w:val="center"/>
          </w:tcPr>
          <w:p w:rsidR="007E742F" w:rsidRPr="007E742F" w:rsidRDefault="007E742F" w:rsidP="007E742F">
            <w:pPr>
              <w:pStyle w:val="AERtabletext"/>
            </w:pPr>
            <w:r w:rsidRPr="007E742F">
              <w:t>3.7</w:t>
            </w:r>
          </w:p>
        </w:tc>
      </w:tr>
      <w:tr w:rsidR="007E742F" w:rsidRPr="00483962" w:rsidTr="006E1CEF">
        <w:trPr>
          <w:trHeight w:val="255"/>
        </w:trPr>
        <w:tc>
          <w:tcPr>
            <w:tcW w:w="1666" w:type="pct"/>
            <w:shd w:val="clear" w:color="auto" w:fill="auto"/>
            <w:noWrap/>
            <w:tcMar>
              <w:top w:w="0" w:type="dxa"/>
              <w:bottom w:w="0" w:type="dxa"/>
            </w:tcMar>
            <w:vAlign w:val="center"/>
          </w:tcPr>
          <w:p w:rsidR="007E742F" w:rsidRPr="007E742F" w:rsidRDefault="007E742F" w:rsidP="007E742F">
            <w:pPr>
              <w:pStyle w:val="AERtabletext"/>
            </w:pPr>
            <w:r w:rsidRPr="007E742F">
              <w:t>1958–2011</w:t>
            </w:r>
          </w:p>
        </w:tc>
        <w:tc>
          <w:tcPr>
            <w:tcW w:w="1667" w:type="pct"/>
            <w:shd w:val="clear" w:color="auto" w:fill="auto"/>
            <w:noWrap/>
            <w:tcMar>
              <w:top w:w="0" w:type="dxa"/>
              <w:bottom w:w="0" w:type="dxa"/>
            </w:tcMar>
            <w:vAlign w:val="center"/>
          </w:tcPr>
          <w:p w:rsidR="007E742F" w:rsidRPr="007E742F" w:rsidRDefault="007E742F" w:rsidP="007E742F">
            <w:pPr>
              <w:pStyle w:val="AERtabletext"/>
            </w:pPr>
            <w:r w:rsidRPr="007E742F">
              <w:t>6.1</w:t>
            </w:r>
            <w:r w:rsidRPr="007E742F">
              <w:rPr>
                <w:rStyle w:val="AERsuperscript"/>
              </w:rPr>
              <w:t>a</w:t>
            </w:r>
          </w:p>
        </w:tc>
        <w:tc>
          <w:tcPr>
            <w:tcW w:w="1667" w:type="pct"/>
            <w:shd w:val="clear" w:color="auto" w:fill="auto"/>
            <w:noWrap/>
            <w:tcMar>
              <w:top w:w="0" w:type="dxa"/>
              <w:bottom w:w="0" w:type="dxa"/>
            </w:tcMar>
            <w:vAlign w:val="center"/>
          </w:tcPr>
          <w:p w:rsidR="007E742F" w:rsidRPr="007E742F" w:rsidRDefault="007E742F" w:rsidP="007E742F">
            <w:pPr>
              <w:pStyle w:val="AERtabletext"/>
            </w:pPr>
            <w:r w:rsidRPr="007E742F">
              <w:t>3.5</w:t>
            </w:r>
          </w:p>
        </w:tc>
      </w:tr>
      <w:tr w:rsidR="007E742F" w:rsidRPr="00483962" w:rsidTr="006E1CEF">
        <w:trPr>
          <w:trHeight w:val="255"/>
        </w:trPr>
        <w:tc>
          <w:tcPr>
            <w:tcW w:w="1666" w:type="pct"/>
            <w:shd w:val="clear" w:color="auto" w:fill="F8B47C"/>
            <w:noWrap/>
            <w:tcMar>
              <w:top w:w="0" w:type="dxa"/>
              <w:bottom w:w="0" w:type="dxa"/>
            </w:tcMar>
            <w:vAlign w:val="center"/>
          </w:tcPr>
          <w:p w:rsidR="007E742F" w:rsidRPr="007E742F" w:rsidRDefault="007E742F" w:rsidP="007E742F">
            <w:pPr>
              <w:pStyle w:val="AERtabletext"/>
            </w:pPr>
            <w:r w:rsidRPr="007E742F">
              <w:t>1980–2011</w:t>
            </w:r>
          </w:p>
        </w:tc>
        <w:tc>
          <w:tcPr>
            <w:tcW w:w="1667" w:type="pct"/>
            <w:shd w:val="clear" w:color="auto" w:fill="F8B47C"/>
            <w:noWrap/>
            <w:tcMar>
              <w:top w:w="0" w:type="dxa"/>
              <w:bottom w:w="0" w:type="dxa"/>
            </w:tcMar>
            <w:vAlign w:val="center"/>
          </w:tcPr>
          <w:p w:rsidR="007E742F" w:rsidRPr="007E742F" w:rsidRDefault="007E742F" w:rsidP="007E742F">
            <w:pPr>
              <w:pStyle w:val="AERtabletext"/>
            </w:pPr>
            <w:r w:rsidRPr="007E742F">
              <w:t>5.7</w:t>
            </w:r>
          </w:p>
        </w:tc>
        <w:tc>
          <w:tcPr>
            <w:tcW w:w="1667" w:type="pct"/>
            <w:shd w:val="clear" w:color="auto" w:fill="F8B47C"/>
            <w:noWrap/>
            <w:tcMar>
              <w:top w:w="0" w:type="dxa"/>
              <w:bottom w:w="0" w:type="dxa"/>
            </w:tcMar>
            <w:vAlign w:val="center"/>
          </w:tcPr>
          <w:p w:rsidR="007E742F" w:rsidRPr="007E742F" w:rsidRDefault="007E742F" w:rsidP="007E742F">
            <w:pPr>
              <w:pStyle w:val="AERtabletext"/>
            </w:pPr>
            <w:r w:rsidRPr="007E742F">
              <w:t>3.1</w:t>
            </w:r>
          </w:p>
        </w:tc>
      </w:tr>
      <w:tr w:rsidR="007E742F" w:rsidRPr="00483962" w:rsidTr="006E1CEF">
        <w:trPr>
          <w:trHeight w:val="255"/>
        </w:trPr>
        <w:tc>
          <w:tcPr>
            <w:tcW w:w="1666" w:type="pct"/>
            <w:shd w:val="clear" w:color="auto" w:fill="auto"/>
            <w:noWrap/>
            <w:tcMar>
              <w:top w:w="0" w:type="dxa"/>
              <w:bottom w:w="0" w:type="dxa"/>
            </w:tcMar>
            <w:vAlign w:val="center"/>
          </w:tcPr>
          <w:p w:rsidR="007E742F" w:rsidRPr="007E742F" w:rsidRDefault="007E742F" w:rsidP="007E742F">
            <w:pPr>
              <w:pStyle w:val="AERtabletext"/>
            </w:pPr>
            <w:r w:rsidRPr="007E742F">
              <w:t>1988–2011</w:t>
            </w:r>
          </w:p>
        </w:tc>
        <w:tc>
          <w:tcPr>
            <w:tcW w:w="1667" w:type="pct"/>
            <w:shd w:val="clear" w:color="auto" w:fill="auto"/>
            <w:noWrap/>
            <w:tcMar>
              <w:top w:w="0" w:type="dxa"/>
              <w:bottom w:w="0" w:type="dxa"/>
            </w:tcMar>
            <w:vAlign w:val="center"/>
          </w:tcPr>
          <w:p w:rsidR="007E742F" w:rsidRPr="007E742F" w:rsidRDefault="007E742F" w:rsidP="007E742F">
            <w:pPr>
              <w:pStyle w:val="AERtabletext"/>
            </w:pPr>
            <w:r w:rsidRPr="007E742F">
              <w:t>4.9</w:t>
            </w:r>
          </w:p>
        </w:tc>
        <w:tc>
          <w:tcPr>
            <w:tcW w:w="1667" w:type="pct"/>
            <w:shd w:val="clear" w:color="auto" w:fill="auto"/>
            <w:noWrap/>
            <w:tcMar>
              <w:top w:w="0" w:type="dxa"/>
              <w:bottom w:w="0" w:type="dxa"/>
            </w:tcMar>
            <w:vAlign w:val="center"/>
          </w:tcPr>
          <w:p w:rsidR="007E742F" w:rsidRPr="007E742F" w:rsidRDefault="007E742F" w:rsidP="007E742F">
            <w:pPr>
              <w:pStyle w:val="AERtabletext"/>
            </w:pPr>
            <w:r w:rsidRPr="007E742F">
              <w:t>3.0</w:t>
            </w:r>
          </w:p>
        </w:tc>
      </w:tr>
    </w:tbl>
    <w:p w:rsidR="007E742F" w:rsidRPr="007E742F" w:rsidRDefault="007E742F" w:rsidP="006E1CEF">
      <w:pPr>
        <w:pStyle w:val="AERtablesource"/>
      </w:pPr>
      <w:r w:rsidRPr="006E1CEF">
        <w:rPr>
          <w:rStyle w:val="AERsuperscript"/>
          <w:vertAlign w:val="baseline"/>
        </w:rPr>
        <w:t>a</w:t>
      </w:r>
      <w:r w:rsidR="006E1CEF" w:rsidRPr="006E1CEF">
        <w:rPr>
          <w:rStyle w:val="AERsuperscript"/>
          <w:vertAlign w:val="baseline"/>
        </w:rPr>
        <w:t>.</w:t>
      </w:r>
      <w:r w:rsidRPr="007E742F">
        <w:t xml:space="preserve"> </w:t>
      </w:r>
      <w:r w:rsidRPr="007E742F">
        <w:tab/>
        <w:t>Indicates estimates are statistically significant at the 5 per cent level using a two tailed test.</w:t>
      </w:r>
    </w:p>
    <w:p w:rsidR="007E742F" w:rsidRPr="007E742F" w:rsidRDefault="006E1CEF" w:rsidP="007E742F">
      <w:pPr>
        <w:pStyle w:val="AERtablesource"/>
      </w:pPr>
      <w:r>
        <w:tab/>
      </w:r>
      <w:r w:rsidR="007E742F" w:rsidRPr="007E742F">
        <w:t xml:space="preserve">Source: </w:t>
      </w:r>
      <w:r w:rsidR="007E742F" w:rsidRPr="007E742F">
        <w:tab/>
        <w:t>Handley.</w:t>
      </w:r>
      <w:r w:rsidR="007E742F" w:rsidRPr="007E742F">
        <w:rPr>
          <w:rStyle w:val="FootnoteReference"/>
        </w:rPr>
        <w:footnoteReference w:id="314"/>
      </w:r>
    </w:p>
    <w:p w:rsidR="007E742F" w:rsidRPr="007E742F" w:rsidRDefault="007E742F" w:rsidP="007E742F">
      <w:pPr>
        <w:pStyle w:val="AERbodytext"/>
      </w:pPr>
      <w:r w:rsidRPr="007E742F">
        <w:t>After considering strengths and weaknesses of each estimation period, the AER considers all five periods are relevant for the following reasons:</w:t>
      </w:r>
    </w:p>
    <w:p w:rsidR="007E742F" w:rsidRPr="007E742F" w:rsidRDefault="007E742F" w:rsidP="007E742F">
      <w:pPr>
        <w:pStyle w:val="AERbulletlistfirststyle"/>
      </w:pPr>
      <w:r w:rsidRPr="007E742F">
        <w:t>Longer time series contain a greater number of observations, so produce a more statistically precise estimate.</w:t>
      </w:r>
    </w:p>
    <w:p w:rsidR="007E742F" w:rsidRPr="007E742F" w:rsidRDefault="007E742F" w:rsidP="007E742F">
      <w:pPr>
        <w:pStyle w:val="AERbulletlistfirststyle"/>
      </w:pPr>
      <w:r w:rsidRPr="007E742F">
        <w:t>Significant increases in the quality of the data becoming available in 1937, 1958 and 1980.</w:t>
      </w:r>
    </w:p>
    <w:p w:rsidR="007E742F" w:rsidRPr="007E742F" w:rsidRDefault="007E742F" w:rsidP="007E742F">
      <w:pPr>
        <w:pStyle w:val="AERbulletlistfirststyle"/>
      </w:pPr>
      <w:r w:rsidRPr="007E742F">
        <w:t>More recent sampling periods more closely accord with the current financial environment, particularly since financial deregulation (1980) and the introduction of the imputation credit taxation system (1988).</w:t>
      </w:r>
      <w:r w:rsidRPr="007E742F">
        <w:rPr>
          <w:rStyle w:val="FootnoteReference"/>
        </w:rPr>
        <w:footnoteReference w:id="315"/>
      </w:r>
    </w:p>
    <w:p w:rsidR="007E742F" w:rsidRPr="007E742F" w:rsidRDefault="007E742F" w:rsidP="007E742F">
      <w:pPr>
        <w:pStyle w:val="AERbulletlistfirststyle"/>
      </w:pPr>
      <w:r w:rsidRPr="007E742F">
        <w:t>Shorter time series are more vulnerable to influence by the current stage of the business cycle or other (one-off) events.</w:t>
      </w:r>
      <w:r w:rsidRPr="007E742F">
        <w:rPr>
          <w:rStyle w:val="FootnoteReference"/>
        </w:rPr>
        <w:t xml:space="preserve"> </w:t>
      </w:r>
      <w:r w:rsidRPr="007E742F">
        <w:rPr>
          <w:rStyle w:val="FootnoteReference"/>
        </w:rPr>
        <w:footnoteReference w:id="316"/>
      </w:r>
    </w:p>
    <w:p w:rsidR="007E742F" w:rsidRPr="007E742F" w:rsidRDefault="007E742F" w:rsidP="007E742F">
      <w:pPr>
        <w:pStyle w:val="AERheading5"/>
      </w:pPr>
      <w:r w:rsidRPr="007E742F">
        <w:t xml:space="preserve">Arithmetic and geometric means </w:t>
      </w:r>
    </w:p>
    <w:p w:rsidR="007E742F" w:rsidRPr="007E742F" w:rsidRDefault="007E742F" w:rsidP="007E742F">
      <w:pPr>
        <w:pStyle w:val="AERbodytext"/>
      </w:pPr>
      <w:r w:rsidRPr="007E742F">
        <w:t>The AER considers the arithmetic average of 10 year historical excess returns would likely be an unbiased estimator of a forward looking 10 year return. However, historical excess returns are estimated as the arithmetic or geometric average of one year returns. If the one year historical excess returns are variable, then their arithmetic average will overstate the arithmetic average of 10 year historical excess returns. Similarly, the geometric average of one year historical excess returns will understate the arithmetic average of 10 year historical excess returns.</w:t>
      </w:r>
      <w:r w:rsidRPr="007E742F">
        <w:rPr>
          <w:rStyle w:val="FootnoteReference"/>
        </w:rPr>
        <w:footnoteReference w:id="317"/>
      </w:r>
      <w:r w:rsidRPr="007E742F">
        <w:t xml:space="preserve"> </w:t>
      </w:r>
    </w:p>
    <w:p w:rsidR="007E742F" w:rsidRPr="007E742F" w:rsidRDefault="007E742F" w:rsidP="007E742F">
      <w:pPr>
        <w:pStyle w:val="AERbodytext"/>
      </w:pPr>
      <w:r w:rsidRPr="007E742F">
        <w:t>The AER considers both the arithmetic and geometric averages are important to consider when estimating a 10 year forward looking MRP using historical annual excess returns. The Tribunal has found no error with this approach.</w:t>
      </w:r>
      <w:r w:rsidRPr="007E742F">
        <w:rPr>
          <w:rStyle w:val="FootnoteReference"/>
        </w:rPr>
        <w:footnoteReference w:id="318"/>
      </w:r>
      <w:r w:rsidRPr="007E742F">
        <w:t xml:space="preserve"> The best estimate of historical excess returns over a 10 year period is thus likely to be somewhere between the geometric average and the arithmetic average of annual excess returns. The AER considered SFG's, NERA's and Lally’s views on arithmetic and geometric averages of historical excess returns in appendix B.</w:t>
      </w:r>
    </w:p>
    <w:p w:rsidR="007E742F" w:rsidRPr="007E742F" w:rsidRDefault="007E742F" w:rsidP="007E742F">
      <w:pPr>
        <w:pStyle w:val="AERheading5"/>
      </w:pPr>
      <w:r w:rsidRPr="007E742F">
        <w:t>Bias in historical excess returns</w:t>
      </w:r>
    </w:p>
    <w:p w:rsidR="007E742F" w:rsidRPr="007E742F" w:rsidRDefault="007E742F" w:rsidP="007E742F">
      <w:pPr>
        <w:pStyle w:val="AERbodytext"/>
        <w:rPr>
          <w:rFonts w:eastAsia="Calibri"/>
        </w:rPr>
      </w:pPr>
      <w:r w:rsidRPr="007E742F">
        <w:t xml:space="preserve">In their December 2011 MRP report, McKenzie and Partington </w:t>
      </w:r>
      <w:r w:rsidRPr="007E742F">
        <w:rPr>
          <w:rFonts w:eastAsia="Calibri"/>
        </w:rPr>
        <w:t>suggested MRP estimates based on historical data may be overstated relative to true expectations, as a result of survivorship bias.</w:t>
      </w:r>
      <w:r w:rsidRPr="007E742F">
        <w:rPr>
          <w:rStyle w:val="FootnoteReference"/>
          <w:rFonts w:eastAsia="Calibri"/>
        </w:rPr>
        <w:footnoteReference w:id="319"/>
      </w:r>
      <w:r w:rsidRPr="007E742F">
        <w:t xml:space="preserve"> According to Damodoran (2011), survivorship bias is created by estimating historical returns on only stocks that have survived.</w:t>
      </w:r>
      <w:r w:rsidRPr="007E742F">
        <w:rPr>
          <w:rStyle w:val="FootnoteReference"/>
        </w:rPr>
        <w:footnoteReference w:id="320"/>
      </w:r>
      <w:r w:rsidRPr="007E742F">
        <w:t xml:space="preserve">  Historical data excludes negative return stocks that no longer exist, which naturally results in higher return estimates. McKenzie and Partington</w:t>
      </w:r>
      <w:r w:rsidRPr="007E742F">
        <w:rPr>
          <w:rStyle w:val="FootnoteReference"/>
        </w:rPr>
        <w:footnoteReference w:id="321"/>
      </w:r>
      <w:r w:rsidRPr="007E742F">
        <w:t xml:space="preserve"> and Joye</w:t>
      </w:r>
      <w:r w:rsidRPr="007E742F">
        <w:rPr>
          <w:rStyle w:val="FootnoteReference"/>
        </w:rPr>
        <w:footnoteReference w:id="322"/>
      </w:r>
      <w:r w:rsidRPr="007E742F">
        <w:t xml:space="preserve"> supported this view. The AER notes this upward bias is a relevant consideration because the various Australian stock indexes exclude the failed stocks.</w:t>
      </w:r>
      <w:r w:rsidRPr="007E742F">
        <w:rPr>
          <w:rStyle w:val="FootnoteReference"/>
        </w:rPr>
        <w:footnoteReference w:id="323"/>
      </w:r>
      <w:r w:rsidRPr="007E742F">
        <w:t xml:space="preserve"> </w:t>
      </w:r>
      <w:r w:rsidRPr="007E742F">
        <w:rPr>
          <w:rFonts w:eastAsia="Calibri"/>
        </w:rPr>
        <w:t>Other arguments also suggest the historical excess returns are upwardly biased. Siegel (1999) argued unanticipated inflation means historical returns underestimate real returns on risk free assets.</w:t>
      </w:r>
      <w:r w:rsidRPr="007E742F">
        <w:rPr>
          <w:rStyle w:val="FootnoteReference"/>
          <w:rFonts w:eastAsia="Calibri"/>
        </w:rPr>
        <w:footnoteReference w:id="324"/>
      </w:r>
      <w:r w:rsidRPr="007E742F">
        <w:rPr>
          <w:rFonts w:eastAsia="Calibri"/>
        </w:rPr>
        <w:t xml:space="preserve"> He also argued historical returns on equity overstate returns actually realised, given historically high transaction costs and the historical lack of low cost opportunities for diversification.</w:t>
      </w:r>
      <w:r w:rsidRPr="007E742F">
        <w:rPr>
          <w:rStyle w:val="FootnoteReference"/>
          <w:rFonts w:eastAsia="Calibri"/>
        </w:rPr>
        <w:footnoteReference w:id="325"/>
      </w:r>
    </w:p>
    <w:p w:rsidR="007E742F" w:rsidRPr="007E742F" w:rsidRDefault="007E742F" w:rsidP="007E742F">
      <w:pPr>
        <w:pStyle w:val="AERbodytext"/>
        <w:rPr>
          <w:rFonts w:eastAsia="Calibri"/>
        </w:rPr>
      </w:pPr>
      <w:r w:rsidRPr="007E742F">
        <w:rPr>
          <w:rFonts w:eastAsia="Calibri"/>
        </w:rPr>
        <w:t>Lally suggested historical excess returns may underestimate the forward looking 10 year MRP when an economy has entered a major recession. But he noted Australia has not recently entered a major recession and, even if it had, the downward bias is unlikely to be very large.</w:t>
      </w:r>
      <w:r w:rsidRPr="007E742F">
        <w:rPr>
          <w:rStyle w:val="FootnoteReference"/>
          <w:rFonts w:eastAsia="Calibri"/>
        </w:rPr>
        <w:footnoteReference w:id="326"/>
      </w:r>
      <w:r w:rsidRPr="007E742F">
        <w:rPr>
          <w:rFonts w:eastAsia="Calibri"/>
        </w:rPr>
        <w:t xml:space="preserve"> He also noted:</w:t>
      </w:r>
    </w:p>
    <w:p w:rsidR="007E742F" w:rsidRPr="007E742F" w:rsidRDefault="007E742F" w:rsidP="007E742F">
      <w:pPr>
        <w:pStyle w:val="AERquote"/>
        <w:rPr>
          <w:rFonts w:eastAsia="Calibri"/>
        </w:rPr>
      </w:pPr>
      <w:r w:rsidRPr="007E742F">
        <w:t>... the fact that the AER bases its estimate of the MRP at least partly upon historical averaging of excess returns does not invalidate its claim that it is estimating the MRP for the next ten years; this estimation methodology is suitable (in conjunction with other methodologies) for estimating the MRP for the next ten years as well as for estimating the long-term average MRP. The use of historical averaging results may introduce a downward bias at the present time, but the effect is likely to be small relative to the standard deviation in the estimate and to possible upward bias in the methodology arising from significant unanticipated inflation in the 20th century.</w:t>
      </w:r>
      <w:r w:rsidRPr="007E742F">
        <w:rPr>
          <w:rStyle w:val="FootnoteReference"/>
        </w:rPr>
        <w:footnoteReference w:id="327"/>
      </w:r>
    </w:p>
    <w:p w:rsidR="007E742F" w:rsidRPr="007E742F" w:rsidRDefault="007E742F" w:rsidP="007E742F">
      <w:pPr>
        <w:pStyle w:val="AERbodytext"/>
      </w:pPr>
      <w:r w:rsidRPr="007E742F">
        <w:t>The AER considers the bias is a relevant consideration when estimating the MRP using historical excess returns. Given that 6 per cent is towards the top of the historical excess returns range, the AER considers historical excess returns provide a conservative estimate of the MRP.</w:t>
      </w:r>
    </w:p>
    <w:p w:rsidR="007E742F" w:rsidRPr="007E742F" w:rsidRDefault="007E742F" w:rsidP="007E742F">
      <w:pPr>
        <w:pStyle w:val="AERheading4"/>
      </w:pPr>
      <w:r w:rsidRPr="007E742F">
        <w:t xml:space="preserve">Recent practice among Australian regulators </w:t>
      </w:r>
    </w:p>
    <w:p w:rsidR="007E742F" w:rsidRPr="007E742F" w:rsidRDefault="007E742F" w:rsidP="007E742F">
      <w:pPr>
        <w:pStyle w:val="AERbodytext"/>
      </w:pPr>
      <w:r w:rsidRPr="007E742F">
        <w:t>The AER notes Australian regulators consistently applied an MRP of 6 per cent in recent regulatory decisions. The regulators determined the MRP under a specific CAPM framework:</w:t>
      </w:r>
    </w:p>
    <w:p w:rsidR="007E742F" w:rsidRPr="007E742F" w:rsidRDefault="007E742F" w:rsidP="007E742F">
      <w:pPr>
        <w:pStyle w:val="AERbulletlistfirststyle"/>
      </w:pPr>
      <w:r w:rsidRPr="007E742F">
        <w:t>The MRP is forward looking (not an historical measure) and cannot be directly observed.</w:t>
      </w:r>
    </w:p>
    <w:p w:rsidR="007E742F" w:rsidRPr="007E742F" w:rsidRDefault="007E742F" w:rsidP="007E742F">
      <w:pPr>
        <w:pStyle w:val="AERbulletlistfirststyle"/>
      </w:pPr>
      <w:r w:rsidRPr="007E742F">
        <w:t>The MRP is for a long term (for example, 10 years), which means short term (for example, one year) market fluctuations have little relevance.</w:t>
      </w:r>
    </w:p>
    <w:p w:rsidR="007E742F" w:rsidRPr="007E742F" w:rsidRDefault="007E742F" w:rsidP="007E742F">
      <w:pPr>
        <w:pStyle w:val="AERbulletlistfirststyle"/>
      </w:pPr>
      <w:r w:rsidRPr="007E742F">
        <w:t>The MRP is for a domestic CAPM, which means overseas evidence has limited relevance.</w:t>
      </w:r>
    </w:p>
    <w:p w:rsidR="007E742F" w:rsidRPr="007E742F" w:rsidRDefault="00DE0D6A" w:rsidP="007E742F">
      <w:pPr>
        <w:pStyle w:val="AERbodytext"/>
      </w:pPr>
      <w:r w:rsidRPr="007E742F">
        <w:fldChar w:fldCharType="begin"/>
      </w:r>
      <w:r w:rsidR="007E742F" w:rsidRPr="007E742F">
        <w:instrText xml:space="preserve"> REF _Ref321955969 \r \h </w:instrText>
      </w:r>
      <w:r w:rsidRPr="007E742F">
        <w:fldChar w:fldCharType="separate"/>
      </w:r>
      <w:r w:rsidR="007E742F" w:rsidRPr="007E742F">
        <w:t>Table 4.4</w:t>
      </w:r>
      <w:r w:rsidRPr="007E742F">
        <w:fldChar w:fldCharType="end"/>
      </w:r>
      <w:r w:rsidR="007E742F" w:rsidRPr="007E742F">
        <w:t xml:space="preserve"> shows decisions from Australian state and territory regulators dealing with electricity, gas, water, rail and postal services. It also includes decisions by the ACCC for various regulated sectors.</w:t>
      </w:r>
    </w:p>
    <w:p w:rsidR="007E742F" w:rsidRPr="007E742F" w:rsidRDefault="007E742F" w:rsidP="007E742F">
      <w:pPr>
        <w:pStyle w:val="AERtabletitle"/>
      </w:pPr>
      <w:bookmarkStart w:id="64" w:name="_Ref321955969"/>
      <w:bookmarkStart w:id="65" w:name="_Ref330839969"/>
      <w:r w:rsidRPr="007E742F">
        <w:t>Recent regulatory decisions</w:t>
      </w:r>
      <w:bookmarkEnd w:id="64"/>
      <w:r w:rsidRPr="007E742F">
        <w:t xml:space="preserve"> </w:t>
      </w:r>
      <w:bookmarkEnd w:id="65"/>
    </w:p>
    <w:tbl>
      <w:tblPr>
        <w:tblW w:w="5000" w:type="pct"/>
        <w:tblBorders>
          <w:top w:val="single" w:sz="4" w:space="0" w:color="auto"/>
          <w:bottom w:val="single" w:sz="4" w:space="0" w:color="auto"/>
        </w:tblBorders>
        <w:tblLook w:val="01E0"/>
      </w:tblPr>
      <w:tblGrid>
        <w:gridCol w:w="2122"/>
        <w:gridCol w:w="2164"/>
        <w:gridCol w:w="2122"/>
        <w:gridCol w:w="2120"/>
      </w:tblGrid>
      <w:tr w:rsidR="007E742F" w:rsidTr="006E1CEF">
        <w:tc>
          <w:tcPr>
            <w:tcW w:w="124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r w:rsidRPr="007E742F">
              <w:t>Regulator</w:t>
            </w:r>
          </w:p>
        </w:tc>
        <w:tc>
          <w:tcPr>
            <w:tcW w:w="1269"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r w:rsidRPr="007E742F">
              <w:t>Decision date</w:t>
            </w:r>
          </w:p>
        </w:tc>
        <w:tc>
          <w:tcPr>
            <w:tcW w:w="124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r w:rsidRPr="007E742F">
              <w:t>Sector</w:t>
            </w:r>
          </w:p>
        </w:tc>
        <w:tc>
          <w:tcPr>
            <w:tcW w:w="1243"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r w:rsidRPr="007E742F">
              <w:t>MRP (%)</w:t>
            </w: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ACCC</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May 2010</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Postal services</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QCA</w:t>
            </w:r>
          </w:p>
        </w:tc>
        <w:tc>
          <w:tcPr>
            <w:tcW w:w="1269" w:type="pct"/>
            <w:shd w:val="clear" w:color="auto" w:fill="F8B47C"/>
            <w:noWrap/>
            <w:tcMar>
              <w:top w:w="0" w:type="dxa"/>
              <w:bottom w:w="0" w:type="dxa"/>
            </w:tcMar>
            <w:vAlign w:val="center"/>
          </w:tcPr>
          <w:p w:rsidR="007E742F" w:rsidRPr="007E742F" w:rsidRDefault="007E742F" w:rsidP="007E742F">
            <w:pPr>
              <w:pStyle w:val="AERtabletext"/>
            </w:pPr>
            <w:r w:rsidRPr="007E742F">
              <w:t>June 2010</w:t>
            </w:r>
          </w:p>
        </w:tc>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Water</w:t>
            </w:r>
          </w:p>
        </w:tc>
        <w:tc>
          <w:tcPr>
            <w:tcW w:w="1243" w:type="pct"/>
            <w:shd w:val="clear" w:color="auto" w:fill="F8B47C"/>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QCA</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September 2010</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Rail</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ACCC</w:t>
            </w:r>
          </w:p>
        </w:tc>
        <w:tc>
          <w:tcPr>
            <w:tcW w:w="1269" w:type="pct"/>
            <w:shd w:val="clear" w:color="auto" w:fill="F8B47C"/>
            <w:noWrap/>
            <w:tcMar>
              <w:top w:w="0" w:type="dxa"/>
              <w:bottom w:w="0" w:type="dxa"/>
            </w:tcMar>
            <w:vAlign w:val="center"/>
          </w:tcPr>
          <w:p w:rsidR="007E742F" w:rsidRPr="007E742F" w:rsidRDefault="007E742F" w:rsidP="007E742F">
            <w:pPr>
              <w:pStyle w:val="AERtabletext"/>
            </w:pPr>
            <w:r w:rsidRPr="007E742F">
              <w:t>December 2010</w:t>
            </w:r>
          </w:p>
        </w:tc>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Rail</w:t>
            </w:r>
          </w:p>
        </w:tc>
        <w:tc>
          <w:tcPr>
            <w:tcW w:w="1243" w:type="pct"/>
            <w:shd w:val="clear" w:color="auto" w:fill="F8B47C"/>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ERA</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February 2011</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Gas</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F8B47C"/>
            <w:noWrap/>
            <w:tcMar>
              <w:top w:w="0" w:type="dxa"/>
              <w:bottom w:w="0" w:type="dxa"/>
            </w:tcMar>
            <w:vAlign w:val="center"/>
          </w:tcPr>
          <w:p w:rsidR="007E742F" w:rsidRPr="007E742F" w:rsidRDefault="007E742F" w:rsidP="007E742F">
            <w:pPr>
              <w:pStyle w:val="AERtabletext"/>
            </w:pPr>
          </w:p>
        </w:tc>
        <w:tc>
          <w:tcPr>
            <w:tcW w:w="1269" w:type="pct"/>
            <w:shd w:val="clear" w:color="auto" w:fill="F8B47C"/>
            <w:noWrap/>
            <w:tcMar>
              <w:top w:w="0" w:type="dxa"/>
              <w:bottom w:w="0" w:type="dxa"/>
            </w:tcMar>
            <w:vAlign w:val="center"/>
          </w:tcPr>
          <w:p w:rsidR="007E742F" w:rsidRPr="007E742F" w:rsidRDefault="007E742F" w:rsidP="007E742F">
            <w:pPr>
              <w:pStyle w:val="AERtabletext"/>
            </w:pPr>
          </w:p>
        </w:tc>
        <w:tc>
          <w:tcPr>
            <w:tcW w:w="1244" w:type="pct"/>
            <w:shd w:val="clear" w:color="auto" w:fill="F8B47C"/>
            <w:noWrap/>
            <w:tcMar>
              <w:top w:w="0" w:type="dxa"/>
              <w:bottom w:w="0" w:type="dxa"/>
            </w:tcMar>
            <w:vAlign w:val="center"/>
          </w:tcPr>
          <w:p w:rsidR="007E742F" w:rsidRPr="007E742F" w:rsidRDefault="007E742F" w:rsidP="007E742F">
            <w:pPr>
              <w:pStyle w:val="AERtabletext"/>
            </w:pPr>
          </w:p>
        </w:tc>
        <w:tc>
          <w:tcPr>
            <w:tcW w:w="1243" w:type="pct"/>
            <w:shd w:val="clear" w:color="auto" w:fill="F8B47C"/>
            <w:noWrap/>
            <w:tcMar>
              <w:top w:w="0" w:type="dxa"/>
              <w:bottom w:w="0" w:type="dxa"/>
            </w:tcMar>
            <w:vAlign w:val="center"/>
          </w:tcPr>
          <w:p w:rsidR="007E742F" w:rsidRPr="007E742F" w:rsidRDefault="007E742F" w:rsidP="007E742F">
            <w:pPr>
              <w:pStyle w:val="AERtabletext"/>
            </w:pP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ACCC</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July 2011</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Telecommunications</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ACCC</w:t>
            </w:r>
          </w:p>
        </w:tc>
        <w:tc>
          <w:tcPr>
            <w:tcW w:w="1269" w:type="pct"/>
            <w:shd w:val="clear" w:color="auto" w:fill="F8B47C"/>
            <w:noWrap/>
            <w:tcMar>
              <w:top w:w="0" w:type="dxa"/>
              <w:bottom w:w="0" w:type="dxa"/>
            </w:tcMar>
            <w:vAlign w:val="center"/>
          </w:tcPr>
          <w:p w:rsidR="007E742F" w:rsidRPr="007E742F" w:rsidRDefault="007E742F" w:rsidP="007E742F">
            <w:pPr>
              <w:pStyle w:val="AERtabletext"/>
            </w:pPr>
            <w:r w:rsidRPr="007E742F">
              <w:t>July 2011</w:t>
            </w:r>
          </w:p>
        </w:tc>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Water</w:t>
            </w:r>
          </w:p>
        </w:tc>
        <w:tc>
          <w:tcPr>
            <w:tcW w:w="1243" w:type="pct"/>
            <w:shd w:val="clear" w:color="auto" w:fill="F8B47C"/>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ESCV</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August 2011</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Rail</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ACCC</w:t>
            </w:r>
          </w:p>
        </w:tc>
        <w:tc>
          <w:tcPr>
            <w:tcW w:w="1269" w:type="pct"/>
            <w:shd w:val="clear" w:color="auto" w:fill="F8B47C"/>
            <w:noWrap/>
            <w:tcMar>
              <w:top w:w="0" w:type="dxa"/>
              <w:bottom w:w="0" w:type="dxa"/>
            </w:tcMar>
            <w:vAlign w:val="center"/>
          </w:tcPr>
          <w:p w:rsidR="007E742F" w:rsidRPr="007E742F" w:rsidRDefault="007E742F" w:rsidP="007E742F">
            <w:pPr>
              <w:pStyle w:val="AERtabletext"/>
            </w:pPr>
            <w:r w:rsidRPr="007E742F">
              <w:t>September 2011</w:t>
            </w:r>
          </w:p>
        </w:tc>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Airports</w:t>
            </w:r>
          </w:p>
        </w:tc>
        <w:tc>
          <w:tcPr>
            <w:tcW w:w="1243" w:type="pct"/>
            <w:shd w:val="clear" w:color="auto" w:fill="F8B47C"/>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ERA</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October 2011</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Gas</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QCA</w:t>
            </w:r>
          </w:p>
        </w:tc>
        <w:tc>
          <w:tcPr>
            <w:tcW w:w="1269" w:type="pct"/>
            <w:shd w:val="clear" w:color="auto" w:fill="F8B47C"/>
            <w:noWrap/>
            <w:tcMar>
              <w:top w:w="0" w:type="dxa"/>
              <w:bottom w:w="0" w:type="dxa"/>
            </w:tcMar>
            <w:vAlign w:val="center"/>
          </w:tcPr>
          <w:p w:rsidR="007E742F" w:rsidRPr="007E742F" w:rsidRDefault="007E742F" w:rsidP="007E742F">
            <w:pPr>
              <w:pStyle w:val="AERtabletext"/>
            </w:pPr>
            <w:r w:rsidRPr="007E742F">
              <w:t>November 2011</w:t>
            </w:r>
          </w:p>
        </w:tc>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Water</w:t>
            </w:r>
          </w:p>
        </w:tc>
        <w:tc>
          <w:tcPr>
            <w:tcW w:w="1243" w:type="pct"/>
            <w:shd w:val="clear" w:color="auto" w:fill="F8B47C"/>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IPART</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December 2011</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Water</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5.5–6.5</w:t>
            </w:r>
          </w:p>
        </w:tc>
      </w:tr>
      <w:tr w:rsidR="007E742F" w:rsidTr="006E1CEF">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ESCOSA</w:t>
            </w:r>
          </w:p>
        </w:tc>
        <w:tc>
          <w:tcPr>
            <w:tcW w:w="1269" w:type="pct"/>
            <w:shd w:val="clear" w:color="auto" w:fill="F8B47C"/>
            <w:noWrap/>
            <w:tcMar>
              <w:top w:w="0" w:type="dxa"/>
              <w:bottom w:w="0" w:type="dxa"/>
            </w:tcMar>
            <w:vAlign w:val="center"/>
          </w:tcPr>
          <w:p w:rsidR="007E742F" w:rsidRPr="007E742F" w:rsidRDefault="007E742F" w:rsidP="007E742F">
            <w:pPr>
              <w:pStyle w:val="AERtabletext"/>
            </w:pPr>
            <w:r w:rsidRPr="007E742F">
              <w:t>February 2012</w:t>
            </w:r>
          </w:p>
        </w:tc>
        <w:tc>
          <w:tcPr>
            <w:tcW w:w="1244" w:type="pct"/>
            <w:shd w:val="clear" w:color="auto" w:fill="F8B47C"/>
            <w:noWrap/>
            <w:tcMar>
              <w:top w:w="0" w:type="dxa"/>
              <w:bottom w:w="0" w:type="dxa"/>
            </w:tcMar>
            <w:vAlign w:val="center"/>
          </w:tcPr>
          <w:p w:rsidR="007E742F" w:rsidRPr="007E742F" w:rsidRDefault="007E742F" w:rsidP="007E742F">
            <w:pPr>
              <w:pStyle w:val="AERtabletext"/>
            </w:pPr>
            <w:r w:rsidRPr="007E742F">
              <w:t>Water</w:t>
            </w:r>
          </w:p>
        </w:tc>
        <w:tc>
          <w:tcPr>
            <w:tcW w:w="1243" w:type="pct"/>
            <w:shd w:val="clear" w:color="auto" w:fill="F8B47C"/>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ERA</w:t>
            </w:r>
          </w:p>
        </w:tc>
        <w:tc>
          <w:tcPr>
            <w:tcW w:w="1269" w:type="pct"/>
            <w:shd w:val="clear" w:color="auto" w:fill="auto"/>
            <w:noWrap/>
            <w:tcMar>
              <w:top w:w="0" w:type="dxa"/>
              <w:bottom w:w="0" w:type="dxa"/>
            </w:tcMar>
            <w:vAlign w:val="center"/>
          </w:tcPr>
          <w:p w:rsidR="007E742F" w:rsidRPr="007E742F" w:rsidRDefault="007E742F" w:rsidP="007E742F">
            <w:pPr>
              <w:pStyle w:val="AERtabletext"/>
            </w:pPr>
            <w:r w:rsidRPr="007E742F">
              <w:t>March 2012 (draft decision)</w:t>
            </w:r>
          </w:p>
        </w:tc>
        <w:tc>
          <w:tcPr>
            <w:tcW w:w="1244" w:type="pct"/>
            <w:shd w:val="clear" w:color="auto" w:fill="auto"/>
            <w:noWrap/>
            <w:tcMar>
              <w:top w:w="0" w:type="dxa"/>
              <w:bottom w:w="0" w:type="dxa"/>
            </w:tcMar>
            <w:vAlign w:val="center"/>
          </w:tcPr>
          <w:p w:rsidR="007E742F" w:rsidRPr="007E742F" w:rsidRDefault="007E742F" w:rsidP="007E742F">
            <w:pPr>
              <w:pStyle w:val="AERtabletext"/>
            </w:pPr>
            <w:r w:rsidRPr="007E742F">
              <w:t>Electricity</w:t>
            </w:r>
          </w:p>
        </w:tc>
        <w:tc>
          <w:tcPr>
            <w:tcW w:w="1243" w:type="pct"/>
            <w:shd w:val="clear" w:color="auto" w:fill="auto"/>
            <w:noWrap/>
            <w:tcMar>
              <w:top w:w="0" w:type="dxa"/>
              <w:bottom w:w="0" w:type="dxa"/>
            </w:tcMar>
            <w:vAlign w:val="center"/>
          </w:tcPr>
          <w:p w:rsidR="007E742F" w:rsidRPr="007E742F" w:rsidRDefault="007E742F" w:rsidP="007E742F">
            <w:pPr>
              <w:pStyle w:val="AERtabletext"/>
            </w:pPr>
            <w:r w:rsidRPr="007E742F">
              <w:t>6.0</w:t>
            </w:r>
          </w:p>
        </w:tc>
      </w:tr>
      <w:tr w:rsidR="007E742F" w:rsidTr="006E1CEF">
        <w:tc>
          <w:tcPr>
            <w:tcW w:w="1244" w:type="pct"/>
            <w:tcBorders>
              <w:bottom w:val="nil"/>
            </w:tcBorders>
            <w:shd w:val="clear" w:color="auto" w:fill="F8B47C"/>
            <w:noWrap/>
            <w:tcMar>
              <w:top w:w="0" w:type="dxa"/>
              <w:bottom w:w="0" w:type="dxa"/>
            </w:tcMar>
            <w:vAlign w:val="center"/>
          </w:tcPr>
          <w:p w:rsidR="007E742F" w:rsidRPr="007E742F" w:rsidRDefault="007E742F" w:rsidP="007E742F">
            <w:pPr>
              <w:pStyle w:val="AERtabletext"/>
            </w:pPr>
            <w:r w:rsidRPr="007E742F">
              <w:t>IPART</w:t>
            </w:r>
          </w:p>
        </w:tc>
        <w:tc>
          <w:tcPr>
            <w:tcW w:w="1269" w:type="pct"/>
            <w:tcBorders>
              <w:bottom w:val="nil"/>
            </w:tcBorders>
            <w:shd w:val="clear" w:color="auto" w:fill="F8B47C"/>
            <w:noWrap/>
            <w:tcMar>
              <w:top w:w="0" w:type="dxa"/>
              <w:bottom w:w="0" w:type="dxa"/>
            </w:tcMar>
            <w:vAlign w:val="center"/>
          </w:tcPr>
          <w:p w:rsidR="007E742F" w:rsidRPr="007E742F" w:rsidRDefault="007E742F" w:rsidP="007E742F">
            <w:pPr>
              <w:pStyle w:val="AERtabletext"/>
            </w:pPr>
            <w:r w:rsidRPr="007E742F">
              <w:t>June 2012</w:t>
            </w:r>
          </w:p>
        </w:tc>
        <w:tc>
          <w:tcPr>
            <w:tcW w:w="1244" w:type="pct"/>
            <w:tcBorders>
              <w:bottom w:val="nil"/>
            </w:tcBorders>
            <w:shd w:val="clear" w:color="auto" w:fill="F8B47C"/>
            <w:noWrap/>
            <w:tcMar>
              <w:top w:w="0" w:type="dxa"/>
              <w:bottom w:w="0" w:type="dxa"/>
            </w:tcMar>
            <w:vAlign w:val="center"/>
          </w:tcPr>
          <w:p w:rsidR="007E742F" w:rsidRPr="007E742F" w:rsidRDefault="007E742F" w:rsidP="007E742F">
            <w:pPr>
              <w:pStyle w:val="AERtabletext"/>
            </w:pPr>
            <w:r w:rsidRPr="007E742F">
              <w:t>Water</w:t>
            </w:r>
          </w:p>
        </w:tc>
        <w:tc>
          <w:tcPr>
            <w:tcW w:w="1243" w:type="pct"/>
            <w:tcBorders>
              <w:bottom w:val="nil"/>
            </w:tcBorders>
            <w:shd w:val="clear" w:color="auto" w:fill="F8B47C"/>
            <w:noWrap/>
            <w:tcMar>
              <w:top w:w="0" w:type="dxa"/>
              <w:bottom w:w="0" w:type="dxa"/>
            </w:tcMar>
            <w:vAlign w:val="center"/>
          </w:tcPr>
          <w:p w:rsidR="007E742F" w:rsidRPr="007E742F" w:rsidRDefault="007E742F" w:rsidP="007E742F">
            <w:pPr>
              <w:pStyle w:val="AERtabletext"/>
            </w:pPr>
            <w:r w:rsidRPr="007E742F">
              <w:t>5.5–6.5</w:t>
            </w:r>
          </w:p>
        </w:tc>
      </w:tr>
      <w:tr w:rsidR="007E742F" w:rsidTr="006E1CEF">
        <w:tc>
          <w:tcPr>
            <w:tcW w:w="1244" w:type="pct"/>
            <w:tcBorders>
              <w:top w:val="nil"/>
              <w:bottom w:val="nil"/>
            </w:tcBorders>
            <w:shd w:val="clear" w:color="auto" w:fill="FFFFFF"/>
            <w:noWrap/>
            <w:tcMar>
              <w:top w:w="0" w:type="dxa"/>
              <w:bottom w:w="0" w:type="dxa"/>
            </w:tcMar>
            <w:vAlign w:val="center"/>
          </w:tcPr>
          <w:p w:rsidR="007E742F" w:rsidRPr="007E742F" w:rsidRDefault="007E742F" w:rsidP="007E742F">
            <w:pPr>
              <w:pStyle w:val="AERtabletext"/>
            </w:pPr>
            <w:r w:rsidRPr="007E742F">
              <w:t>IPART</w:t>
            </w:r>
          </w:p>
        </w:tc>
        <w:tc>
          <w:tcPr>
            <w:tcW w:w="1269" w:type="pct"/>
            <w:tcBorders>
              <w:top w:val="nil"/>
              <w:bottom w:val="nil"/>
            </w:tcBorders>
            <w:shd w:val="clear" w:color="auto" w:fill="FFFFFF"/>
            <w:noWrap/>
            <w:tcMar>
              <w:top w:w="0" w:type="dxa"/>
              <w:bottom w:w="0" w:type="dxa"/>
            </w:tcMar>
            <w:vAlign w:val="center"/>
          </w:tcPr>
          <w:p w:rsidR="007E742F" w:rsidRPr="007E742F" w:rsidRDefault="007E742F" w:rsidP="007E742F">
            <w:pPr>
              <w:pStyle w:val="AERtabletext"/>
            </w:pPr>
            <w:r w:rsidRPr="007E742F">
              <w:t>June 2012</w:t>
            </w:r>
          </w:p>
        </w:tc>
        <w:tc>
          <w:tcPr>
            <w:tcW w:w="1244" w:type="pct"/>
            <w:tcBorders>
              <w:top w:val="nil"/>
              <w:bottom w:val="nil"/>
            </w:tcBorders>
            <w:shd w:val="clear" w:color="auto" w:fill="FFFFFF"/>
            <w:noWrap/>
            <w:tcMar>
              <w:top w:w="0" w:type="dxa"/>
              <w:bottom w:w="0" w:type="dxa"/>
            </w:tcMar>
            <w:vAlign w:val="center"/>
          </w:tcPr>
          <w:p w:rsidR="007E742F" w:rsidRPr="007E742F" w:rsidRDefault="007E742F" w:rsidP="007E742F">
            <w:pPr>
              <w:pStyle w:val="AERtabletext"/>
            </w:pPr>
            <w:r w:rsidRPr="007E742F">
              <w:t>Water</w:t>
            </w:r>
          </w:p>
        </w:tc>
        <w:tc>
          <w:tcPr>
            <w:tcW w:w="1243" w:type="pct"/>
            <w:tcBorders>
              <w:top w:val="nil"/>
              <w:bottom w:val="nil"/>
            </w:tcBorders>
            <w:shd w:val="clear" w:color="auto" w:fill="FFFFFF"/>
            <w:noWrap/>
            <w:tcMar>
              <w:top w:w="0" w:type="dxa"/>
              <w:bottom w:w="0" w:type="dxa"/>
            </w:tcMar>
            <w:vAlign w:val="center"/>
          </w:tcPr>
          <w:p w:rsidR="007E742F" w:rsidRPr="007E742F" w:rsidRDefault="007E742F" w:rsidP="007E742F">
            <w:pPr>
              <w:pStyle w:val="AERtabletext"/>
            </w:pPr>
            <w:r w:rsidRPr="007E742F">
              <w:t>5.5–6.5</w:t>
            </w:r>
          </w:p>
        </w:tc>
      </w:tr>
      <w:tr w:rsidR="007E742F" w:rsidTr="006E1CEF">
        <w:tc>
          <w:tcPr>
            <w:tcW w:w="1244" w:type="pct"/>
            <w:tcBorders>
              <w:top w:val="nil"/>
            </w:tcBorders>
            <w:shd w:val="clear" w:color="auto" w:fill="F8B47C"/>
            <w:noWrap/>
            <w:tcMar>
              <w:top w:w="0" w:type="dxa"/>
              <w:bottom w:w="0" w:type="dxa"/>
            </w:tcMar>
            <w:vAlign w:val="center"/>
          </w:tcPr>
          <w:p w:rsidR="007E742F" w:rsidRPr="007E742F" w:rsidRDefault="007E742F" w:rsidP="007E742F">
            <w:pPr>
              <w:pStyle w:val="AERtabletext"/>
            </w:pPr>
            <w:r w:rsidRPr="007E742F">
              <w:t>IPART</w:t>
            </w:r>
          </w:p>
        </w:tc>
        <w:tc>
          <w:tcPr>
            <w:tcW w:w="1269" w:type="pct"/>
            <w:tcBorders>
              <w:top w:val="nil"/>
            </w:tcBorders>
            <w:shd w:val="clear" w:color="auto" w:fill="F8B47C"/>
            <w:noWrap/>
            <w:tcMar>
              <w:top w:w="0" w:type="dxa"/>
              <w:bottom w:w="0" w:type="dxa"/>
            </w:tcMar>
            <w:vAlign w:val="center"/>
          </w:tcPr>
          <w:p w:rsidR="007E742F" w:rsidRPr="007E742F" w:rsidRDefault="007E742F" w:rsidP="007E742F">
            <w:pPr>
              <w:pStyle w:val="AERtabletext"/>
            </w:pPr>
            <w:r w:rsidRPr="007E742F">
              <w:t>July 2012</w:t>
            </w:r>
          </w:p>
        </w:tc>
        <w:tc>
          <w:tcPr>
            <w:tcW w:w="1244" w:type="pct"/>
            <w:tcBorders>
              <w:top w:val="nil"/>
            </w:tcBorders>
            <w:shd w:val="clear" w:color="auto" w:fill="F8B47C"/>
            <w:noWrap/>
            <w:tcMar>
              <w:top w:w="0" w:type="dxa"/>
              <w:bottom w:w="0" w:type="dxa"/>
            </w:tcMar>
            <w:vAlign w:val="center"/>
          </w:tcPr>
          <w:p w:rsidR="007E742F" w:rsidRPr="007E742F" w:rsidRDefault="007E742F" w:rsidP="007E742F">
            <w:pPr>
              <w:pStyle w:val="AERtabletext"/>
            </w:pPr>
            <w:r w:rsidRPr="007E742F">
              <w:t>Electricity</w:t>
            </w:r>
          </w:p>
        </w:tc>
        <w:tc>
          <w:tcPr>
            <w:tcW w:w="1243" w:type="pct"/>
            <w:tcBorders>
              <w:top w:val="nil"/>
            </w:tcBorders>
            <w:shd w:val="clear" w:color="auto" w:fill="F8B47C"/>
            <w:noWrap/>
            <w:tcMar>
              <w:top w:w="0" w:type="dxa"/>
              <w:bottom w:w="0" w:type="dxa"/>
            </w:tcMar>
            <w:vAlign w:val="center"/>
          </w:tcPr>
          <w:p w:rsidR="007E742F" w:rsidRPr="007E742F" w:rsidRDefault="007E742F" w:rsidP="007E742F">
            <w:pPr>
              <w:pStyle w:val="AERtabletext"/>
            </w:pPr>
            <w:r w:rsidRPr="007E742F">
              <w:t>5.5–6.5</w:t>
            </w:r>
          </w:p>
        </w:tc>
      </w:tr>
    </w:tbl>
    <w:p w:rsidR="007E742F" w:rsidRPr="007E742F" w:rsidRDefault="007E742F" w:rsidP="007E742F">
      <w:pPr>
        <w:pStyle w:val="AERtablesource"/>
      </w:pPr>
      <w:r w:rsidRPr="007E742F">
        <w:t>Source:</w:t>
      </w:r>
      <w:r w:rsidRPr="007E742F">
        <w:tab/>
        <w:t>ACCC,</w:t>
      </w:r>
      <w:r w:rsidRPr="007E742F">
        <w:rPr>
          <w:rStyle w:val="FootnoteReference"/>
        </w:rPr>
        <w:footnoteReference w:id="328"/>
      </w:r>
      <w:r w:rsidRPr="007E742F">
        <w:t xml:space="preserve"> ERA,</w:t>
      </w:r>
      <w:r w:rsidRPr="007E742F">
        <w:rPr>
          <w:rStyle w:val="FootnoteReference"/>
        </w:rPr>
        <w:footnoteReference w:id="329"/>
      </w:r>
      <w:r w:rsidRPr="007E742F">
        <w:t xml:space="preserve"> ESC,</w:t>
      </w:r>
      <w:r w:rsidRPr="007E742F">
        <w:rPr>
          <w:rStyle w:val="FootnoteReference"/>
        </w:rPr>
        <w:footnoteReference w:id="330"/>
      </w:r>
      <w:r w:rsidRPr="007E742F">
        <w:t xml:space="preserve"> QCA.</w:t>
      </w:r>
      <w:r w:rsidRPr="007E742F">
        <w:rPr>
          <w:rStyle w:val="FootnoteReference"/>
        </w:rPr>
        <w:footnoteReference w:id="331"/>
      </w:r>
      <w:r w:rsidRPr="007E742F">
        <w:t xml:space="preserve"> IPART</w:t>
      </w:r>
      <w:r w:rsidRPr="007E742F">
        <w:rPr>
          <w:rStyle w:val="FootnoteReference"/>
        </w:rPr>
        <w:footnoteReference w:id="332"/>
      </w:r>
      <w:r w:rsidRPr="007E742F">
        <w:t>, ESCOSA</w:t>
      </w:r>
      <w:r w:rsidRPr="007E742F">
        <w:rPr>
          <w:rStyle w:val="FootnoteReference"/>
        </w:rPr>
        <w:footnoteReference w:id="333"/>
      </w:r>
      <w:r w:rsidRPr="007E742F">
        <w:t>.</w:t>
      </w:r>
    </w:p>
    <w:p w:rsidR="007E742F" w:rsidRPr="007E742F" w:rsidRDefault="007E742F" w:rsidP="007E742F">
      <w:pPr>
        <w:pStyle w:val="AERbodytext"/>
      </w:pPr>
      <w:r w:rsidRPr="007E742F">
        <w:t>The AER considers the decisions by other Australian regulators are relevant because the MRP is an economy wide measure. Recent decisions by other Australian regulators support the view that a forward looking MRP of 6 per cent is the best estimate in the current circumstances.</w:t>
      </w:r>
    </w:p>
    <w:p w:rsidR="007E742F" w:rsidRPr="007E742F" w:rsidRDefault="007E742F" w:rsidP="007E742F">
      <w:pPr>
        <w:pStyle w:val="AERheading4"/>
      </w:pPr>
      <w:r w:rsidRPr="007E742F">
        <w:t>Recent Australian Competition Tribunal decisions</w:t>
      </w:r>
    </w:p>
    <w:p w:rsidR="007E742F" w:rsidRPr="007E742F" w:rsidRDefault="007E742F" w:rsidP="007E742F">
      <w:pPr>
        <w:pStyle w:val="AERbodytext"/>
      </w:pPr>
      <w:r w:rsidRPr="007E742F">
        <w:t xml:space="preserve">In 2011, Envestra challenged the AER’s decisions to approve an MRP of 6 per cent for Envestra’s South Australian and Queensland gas distribution businesses. Envestra claimed the AER should have accepted Envestra’s proposed 6.5 per cent MRP. The Tribunal concluded the AER has scope to determine an MRP that ‘is reasonably open to it on the evidence’: </w:t>
      </w:r>
    </w:p>
    <w:p w:rsidR="007E742F" w:rsidRPr="007E742F" w:rsidRDefault="007E742F" w:rsidP="007E742F">
      <w:pPr>
        <w:pStyle w:val="AERquote"/>
      </w:pPr>
      <w:r w:rsidRPr="007E742F">
        <w:t>The critical issue in this section of the review is whether the AER’s determination of the MRP at 6% was reasonably open to it on the evidence. As has already been mentioned, there was substantial evidence before the AER, both that submitted to it by service providers and that sourced by the AER itself. This evidence was not conclusive. It was incumbent upon the AER to exercise its judgment in deciding on an appropriate MRP. ...</w:t>
      </w:r>
    </w:p>
    <w:p w:rsidR="007E742F" w:rsidRPr="007E742F" w:rsidRDefault="007E742F" w:rsidP="007E742F">
      <w:pPr>
        <w:pStyle w:val="AERquote"/>
      </w:pPr>
      <w:r w:rsidRPr="007E742F">
        <w:t>It is not sufficient for Envestra to persuade the Tribunal that 6.5% should be preferred. It must demonstrate the unreasonableness of the decision made by the AER. Unless this can be done, the Tribunal would be merely reaching a different conclusion as to the preferable result. The mere fact that the Tribunal may prefer a different rate does not entitle it to substitute its preferred MRP for that of the AER unless a ground of review has been made out. In all the circumstances of this matter, it was reasonably open to the AER to choose a MRP of 6%.</w:t>
      </w:r>
      <w:r w:rsidRPr="007E742F">
        <w:rPr>
          <w:rStyle w:val="FootnoteReference"/>
        </w:rPr>
        <w:footnoteReference w:id="334"/>
      </w:r>
      <w:r w:rsidRPr="007E742F">
        <w:t xml:space="preserve"> </w:t>
      </w:r>
    </w:p>
    <w:p w:rsidR="007E742F" w:rsidRPr="007E742F" w:rsidRDefault="007E742F" w:rsidP="007E742F">
      <w:pPr>
        <w:pStyle w:val="AERbodytext"/>
      </w:pPr>
      <w:r w:rsidRPr="007E742F">
        <w:t>The Tribunal handed down a similar decision in its review of ATCO’s (formerly WA Gas Network’s) and DBNGP’s access arrangements.</w:t>
      </w:r>
      <w:r w:rsidRPr="007E742F">
        <w:rPr>
          <w:rStyle w:val="FootnoteReference"/>
        </w:rPr>
        <w:footnoteReference w:id="335"/>
      </w:r>
      <w:r w:rsidRPr="007E742F">
        <w:t xml:space="preserve"> In both decisions, the ERA considered the available information and exercised its discretion to determine the appropriate MRP. The Tribunal subsequently found no error in the ERA’s determination of a 6.0 per cent MRP.</w:t>
      </w:r>
    </w:p>
    <w:p w:rsidR="007E742F" w:rsidRPr="007E742F" w:rsidRDefault="007E742F" w:rsidP="007E742F">
      <w:pPr>
        <w:pStyle w:val="AERheading4"/>
      </w:pPr>
      <w:r w:rsidRPr="007E742F">
        <w:t>Survey evidence</w:t>
      </w:r>
    </w:p>
    <w:p w:rsidR="007E742F" w:rsidRPr="007E742F" w:rsidRDefault="007E742F" w:rsidP="007E742F">
      <w:pPr>
        <w:pStyle w:val="AERbodytext"/>
      </w:pPr>
      <w:r w:rsidRPr="007E742F">
        <w:t>In estimating the MRP, the AER is estimating investors’ expectations of the MRP in the future, and not simply estimating the excess stock market returns achieved in the past.</w:t>
      </w:r>
      <w:r w:rsidRPr="007E742F">
        <w:rPr>
          <w:rFonts w:hint="eastAsia"/>
        </w:rPr>
        <w:t xml:space="preserve"> </w:t>
      </w:r>
      <w:r w:rsidRPr="007E742F">
        <w:t>It</w:t>
      </w:r>
      <w:r w:rsidRPr="007E742F">
        <w:rPr>
          <w:rFonts w:hint="eastAsia"/>
        </w:rPr>
        <w:t xml:space="preserve"> considers </w:t>
      </w:r>
      <w:r w:rsidRPr="007E742F">
        <w:t>surveys of market practitioners and academics are relevant because they reflect the forward looking MRP as applied</w:t>
      </w:r>
      <w:r w:rsidRPr="007E742F">
        <w:rPr>
          <w:rFonts w:hint="eastAsia"/>
        </w:rPr>
        <w:t>.</w:t>
      </w:r>
      <w:r w:rsidRPr="007E742F">
        <w:t xml:space="preserve"> The AER is aware of Tribunal's comments on the survey evidence. Applying the criteria noted by the Tribunal to the survey evidence considered in this decision,</w:t>
      </w:r>
      <w:r w:rsidRPr="007E742F">
        <w:rPr>
          <w:rStyle w:val="FootnoteReference"/>
        </w:rPr>
        <w:footnoteReference w:id="336"/>
      </w:r>
      <w:r w:rsidRPr="007E742F">
        <w:t xml:space="preserve"> the AER concluded the survey results are relevant to inform the forward looking 10 year MRP.</w:t>
      </w:r>
      <w:r w:rsidRPr="007E742F">
        <w:rPr>
          <w:rFonts w:hint="eastAsia"/>
        </w:rPr>
        <w:t xml:space="preserve"> </w:t>
      </w:r>
    </w:p>
    <w:p w:rsidR="007E742F" w:rsidRPr="007E742F" w:rsidRDefault="007E742F" w:rsidP="007E742F">
      <w:pPr>
        <w:pStyle w:val="AERbodytext"/>
      </w:pPr>
      <w:r w:rsidRPr="007E742F">
        <w:t>Survey based evidence needs to be treated with caution because the results may be subject to limitations. The relevance of some survey</w:t>
      </w:r>
      <w:r w:rsidRPr="007E742F">
        <w:rPr>
          <w:rFonts w:hint="eastAsia"/>
        </w:rPr>
        <w:t xml:space="preserve"> </w:t>
      </w:r>
      <w:r w:rsidRPr="007E742F">
        <w:t>results depends on how clearly the survey sets out the framework for MRP estimation. This framework includes the term over which the MRP is estimated and the treatment of imputation credits. Survey based estimates may be subjective, because market practitioners may look at different time horizons and have differing views on the market risk. However, this concern may be mitigated as the sample size increases. The AER also acknowledges the Tribunal’s concern about survey evidence.</w:t>
      </w:r>
      <w:r w:rsidRPr="007E742F">
        <w:rPr>
          <w:rStyle w:val="FootnoteReference"/>
        </w:rPr>
        <w:footnoteReference w:id="337"/>
      </w:r>
    </w:p>
    <w:p w:rsidR="007E742F" w:rsidRPr="007E742F" w:rsidRDefault="007E742F" w:rsidP="007E742F">
      <w:pPr>
        <w:pStyle w:val="AERbodytext"/>
      </w:pPr>
      <w:r w:rsidRPr="007E742F">
        <w:t>The AER considered survey evidence before and after the WACC review. Survey evidence before the WACC decision includes the following:</w:t>
      </w:r>
    </w:p>
    <w:p w:rsidR="007E742F" w:rsidRPr="007E742F" w:rsidRDefault="007E742F" w:rsidP="007E742F">
      <w:pPr>
        <w:pStyle w:val="AERbulletlistfirststyle"/>
      </w:pPr>
      <w:r w:rsidRPr="007E742F">
        <w:t>KPMG (2005) surveyed 33 independent expert reports on takeover valuations from January 2000 to June 2005. It found the MRP adopted in valuation reports was in a 6–8 per cent range. KPMG reported 76 per cent of survey respondents adopted an MRP of 6 per cent.</w:t>
      </w:r>
      <w:r w:rsidRPr="007E742F">
        <w:rPr>
          <w:rStyle w:val="FootnoteReference"/>
        </w:rPr>
        <w:footnoteReference w:id="338"/>
      </w:r>
      <w:r w:rsidRPr="007E742F">
        <w:t xml:space="preserve"> </w:t>
      </w:r>
    </w:p>
    <w:p w:rsidR="007E742F" w:rsidRPr="007E742F" w:rsidRDefault="007E742F" w:rsidP="007E742F">
      <w:pPr>
        <w:pStyle w:val="AERbulletlistfirststyle"/>
      </w:pPr>
      <w:r w:rsidRPr="007E742F">
        <w:t>Capital Research (2006) found the average MRP adopted across a number of brokers was 5.09 per cent.</w:t>
      </w:r>
      <w:r w:rsidRPr="007E742F">
        <w:rPr>
          <w:rStyle w:val="FootnoteReference"/>
        </w:rPr>
        <w:footnoteReference w:id="339"/>
      </w:r>
    </w:p>
    <w:p w:rsidR="007E742F" w:rsidRPr="007E742F" w:rsidRDefault="007E742F" w:rsidP="007E742F">
      <w:pPr>
        <w:pStyle w:val="AERbulletlistfirststyle"/>
      </w:pPr>
      <w:r w:rsidRPr="007E742F">
        <w:t>Truong, Partington and Peat (2008) surveyed chief financial officers, directors of finance, corporate finance managers or similar finance positions of 365 companies included in the All Ordinaries Index at August 2004. From the 87 responses received, 38 were relevant to the MRP. They found the MRP adopted by Australian firms in capital budgeting was in a 3–8 per cent range, with an average of 5.94 per cent. The most commonly adopted MRP was 6 per cent.</w:t>
      </w:r>
      <w:r w:rsidRPr="007E742F">
        <w:rPr>
          <w:rStyle w:val="FootnoteReference"/>
        </w:rPr>
        <w:footnoteReference w:id="340"/>
      </w:r>
    </w:p>
    <w:p w:rsidR="007E742F" w:rsidRPr="007E742F" w:rsidRDefault="007E742F" w:rsidP="007E742F">
      <w:pPr>
        <w:pStyle w:val="AERbodytext"/>
      </w:pPr>
      <w:r w:rsidRPr="007E742F">
        <w:t>Survey evidence after the WACC decision includes the following:</w:t>
      </w:r>
    </w:p>
    <w:p w:rsidR="007E742F" w:rsidRPr="007E742F" w:rsidRDefault="007E742F" w:rsidP="007E742F">
      <w:pPr>
        <w:pStyle w:val="AERbulletlistfirststyle"/>
      </w:pPr>
      <w:r w:rsidRPr="007E742F">
        <w:t>Bishop (2009) reviewed valuation reports prepared by 24 professional valuers from January 2003 to June 2008. It found the average MRP adopted was 6.3 per cent, and 75 per cent of these experts adopted an MRP of 6 per cent.</w:t>
      </w:r>
      <w:r w:rsidRPr="007E742F">
        <w:rPr>
          <w:rStyle w:val="FootnoteReference"/>
        </w:rPr>
        <w:footnoteReference w:id="341"/>
      </w:r>
      <w:r w:rsidRPr="007E742F">
        <w:t xml:space="preserve"> </w:t>
      </w:r>
    </w:p>
    <w:p w:rsidR="007E742F" w:rsidRPr="007E742F" w:rsidRDefault="007E742F" w:rsidP="007E742F">
      <w:pPr>
        <w:pStyle w:val="AERbulletlistfirststyle"/>
      </w:pPr>
      <w:r w:rsidRPr="007E742F">
        <w:t>Fernandez (2009) surveyed university finance and economics professors around the world in the first quarter of 2009. The survey received 23 responses from Australia and found the required MRP used by Australian academics in 2008 was in a 2.0–7.5 per cent range, with an average of 5.9 per cent.</w:t>
      </w:r>
      <w:r w:rsidRPr="007E742F">
        <w:rPr>
          <w:rStyle w:val="FootnoteReference"/>
        </w:rPr>
        <w:footnoteReference w:id="342"/>
      </w:r>
      <w:r w:rsidRPr="007E742F">
        <w:t xml:space="preserve"> </w:t>
      </w:r>
    </w:p>
    <w:p w:rsidR="007E742F" w:rsidRPr="007E742F" w:rsidRDefault="007E742F" w:rsidP="007E742F">
      <w:pPr>
        <w:pStyle w:val="AERbulletlistfirststyle"/>
      </w:pPr>
      <w:r w:rsidRPr="007E742F">
        <w:t>Fernandez and Del Campo (2010) surveyed analysts around the world in April 2010. The survey received seven responses from Australian analysts and found the MRP that they used in 2010 was in a 4.1–6.0 per cent range, with an average of 5.4 per cent.</w:t>
      </w:r>
      <w:r w:rsidRPr="007E742F">
        <w:rPr>
          <w:rStyle w:val="FootnoteReference"/>
        </w:rPr>
        <w:footnoteReference w:id="343"/>
      </w:r>
      <w:r w:rsidRPr="007E742F">
        <w:t xml:space="preserve"> </w:t>
      </w:r>
    </w:p>
    <w:p w:rsidR="007E742F" w:rsidRPr="007E742F" w:rsidRDefault="007E742F" w:rsidP="007E742F">
      <w:pPr>
        <w:pStyle w:val="AERbulletlistfirststyle"/>
      </w:pPr>
      <w:r w:rsidRPr="007E742F">
        <w:t>A further survey by Fernandez et al. (2011) in April 2011 reported the MRP used by 40 Australian respondents was in a 5–14 per cent range, with an average of 5.8 per cent.</w:t>
      </w:r>
      <w:r w:rsidRPr="007E742F">
        <w:rPr>
          <w:rStyle w:val="FootnoteReference"/>
        </w:rPr>
        <w:footnoteReference w:id="344"/>
      </w:r>
    </w:p>
    <w:p w:rsidR="007E742F" w:rsidRPr="007E742F" w:rsidRDefault="007E742F" w:rsidP="007E742F">
      <w:pPr>
        <w:pStyle w:val="AERbulletlistfirststyle"/>
      </w:pPr>
      <w:r w:rsidRPr="007E742F">
        <w:t>Asher (2011) surveyed 2000 members of the Institute of Actuaries of Australia. Asher reported 33 of a total of 58 Australian analysts who responded to the survey expected the 10 year MRP to be 3–6 per cent. The most commonly adopted MRP value was 5 per cent. The report also illustrated that expectations of an MRP much in excess of 5 per cent were extreme.</w:t>
      </w:r>
      <w:r w:rsidRPr="007E742F">
        <w:rPr>
          <w:rStyle w:val="FootnoteReference"/>
        </w:rPr>
        <w:footnoteReference w:id="345"/>
      </w:r>
      <w:r w:rsidRPr="007E742F">
        <w:t xml:space="preserve"> </w:t>
      </w:r>
    </w:p>
    <w:p w:rsidR="007E742F" w:rsidRPr="007E742F" w:rsidRDefault="00DE0D6A" w:rsidP="007E742F">
      <w:pPr>
        <w:pStyle w:val="AERbodytext"/>
      </w:pPr>
      <w:r w:rsidRPr="007E742F">
        <w:fldChar w:fldCharType="begin"/>
      </w:r>
      <w:r w:rsidR="007E742F" w:rsidRPr="007E742F">
        <w:instrText xml:space="preserve"> REF _Ref334630584 \r \h </w:instrText>
      </w:r>
      <w:r w:rsidRPr="007E742F">
        <w:fldChar w:fldCharType="separate"/>
      </w:r>
      <w:r w:rsidR="007E742F" w:rsidRPr="007E742F">
        <w:t>Table 4.5</w:t>
      </w:r>
      <w:r w:rsidRPr="007E742F">
        <w:fldChar w:fldCharType="end"/>
      </w:r>
      <w:r w:rsidR="006E1CEF">
        <w:t xml:space="preserve"> </w:t>
      </w:r>
      <w:r w:rsidR="007E742F" w:rsidRPr="007E742F">
        <w:t>summarises the key findings of the surveys.</w:t>
      </w:r>
    </w:p>
    <w:p w:rsidR="007E742F" w:rsidRPr="007E742F" w:rsidRDefault="007E742F" w:rsidP="007E742F">
      <w:pPr>
        <w:pStyle w:val="AERtabletitle"/>
      </w:pPr>
      <w:bookmarkStart w:id="66" w:name="_Ref334630584"/>
      <w:r w:rsidRPr="007E742F">
        <w:t>Key findings of MRP surveys</w:t>
      </w:r>
      <w:bookmarkEnd w:id="66"/>
    </w:p>
    <w:tbl>
      <w:tblPr>
        <w:tblW w:w="5000" w:type="pct"/>
        <w:tblBorders>
          <w:top w:val="single" w:sz="4" w:space="0" w:color="auto"/>
          <w:bottom w:val="single" w:sz="4" w:space="0" w:color="auto"/>
        </w:tblBorders>
        <w:tblLook w:val="01E0"/>
      </w:tblPr>
      <w:tblGrid>
        <w:gridCol w:w="3112"/>
        <w:gridCol w:w="1950"/>
        <w:gridCol w:w="1279"/>
        <w:gridCol w:w="1100"/>
        <w:gridCol w:w="1087"/>
      </w:tblGrid>
      <w:tr w:rsidR="007E742F" w:rsidRPr="000D6234" w:rsidTr="006E1CEF">
        <w:trPr>
          <w:trHeight w:val="255"/>
        </w:trPr>
        <w:tc>
          <w:tcPr>
            <w:tcW w:w="1847"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numbers"/>
            </w:pPr>
          </w:p>
        </w:tc>
        <w:tc>
          <w:tcPr>
            <w:tcW w:w="105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Numbers of responses</w:t>
            </w:r>
          </w:p>
        </w:tc>
        <w:tc>
          <w:tcPr>
            <w:tcW w:w="772"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Mean</w:t>
            </w:r>
          </w:p>
        </w:tc>
        <w:tc>
          <w:tcPr>
            <w:tcW w:w="66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Median</w:t>
            </w:r>
          </w:p>
        </w:tc>
        <w:tc>
          <w:tcPr>
            <w:tcW w:w="659"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Mode</w:t>
            </w:r>
          </w:p>
        </w:tc>
      </w:tr>
      <w:tr w:rsidR="007E742F" w:rsidRPr="000D6234" w:rsidTr="006E1CEF">
        <w:trPr>
          <w:trHeight w:val="255"/>
        </w:trPr>
        <w:tc>
          <w:tcPr>
            <w:tcW w:w="1847" w:type="pct"/>
            <w:shd w:val="clear" w:color="auto" w:fill="auto"/>
            <w:noWrap/>
            <w:tcMar>
              <w:top w:w="0" w:type="dxa"/>
              <w:bottom w:w="0" w:type="dxa"/>
            </w:tcMar>
            <w:vAlign w:val="center"/>
          </w:tcPr>
          <w:p w:rsidR="007E742F" w:rsidRPr="007E742F" w:rsidRDefault="007E742F" w:rsidP="007E742F">
            <w:pPr>
              <w:pStyle w:val="AERtabletext"/>
            </w:pPr>
            <w:r w:rsidRPr="007E742F">
              <w:t>KPMG (2005)</w:t>
            </w:r>
          </w:p>
        </w:tc>
        <w:tc>
          <w:tcPr>
            <w:tcW w:w="1055" w:type="pct"/>
            <w:shd w:val="clear" w:color="auto" w:fill="auto"/>
            <w:noWrap/>
            <w:tcMar>
              <w:top w:w="0" w:type="dxa"/>
              <w:bottom w:w="0" w:type="dxa"/>
            </w:tcMar>
            <w:vAlign w:val="center"/>
          </w:tcPr>
          <w:p w:rsidR="007E742F" w:rsidRPr="007E742F" w:rsidRDefault="007E742F" w:rsidP="007E742F">
            <w:pPr>
              <w:pStyle w:val="AERtabletext-numbers"/>
            </w:pPr>
            <w:r w:rsidRPr="007E742F">
              <w:t>33</w:t>
            </w:r>
          </w:p>
        </w:tc>
        <w:tc>
          <w:tcPr>
            <w:tcW w:w="772" w:type="pct"/>
            <w:shd w:val="clear" w:color="auto" w:fill="auto"/>
            <w:noWrap/>
            <w:tcMar>
              <w:top w:w="0" w:type="dxa"/>
              <w:bottom w:w="0" w:type="dxa"/>
            </w:tcMar>
            <w:vAlign w:val="center"/>
          </w:tcPr>
          <w:p w:rsidR="007E742F" w:rsidRPr="007E742F" w:rsidRDefault="007E742F" w:rsidP="007E742F">
            <w:pPr>
              <w:pStyle w:val="AERtabletext-numbers"/>
            </w:pPr>
            <w:r w:rsidRPr="007E742F">
              <w:t>7.5%</w:t>
            </w:r>
          </w:p>
        </w:tc>
        <w:tc>
          <w:tcPr>
            <w:tcW w:w="667" w:type="pct"/>
            <w:shd w:val="clear" w:color="auto" w:fill="auto"/>
            <w:noWrap/>
            <w:tcMar>
              <w:top w:w="0" w:type="dxa"/>
              <w:bottom w:w="0" w:type="dxa"/>
            </w:tcMar>
            <w:vAlign w:val="center"/>
          </w:tcPr>
          <w:p w:rsidR="007E742F" w:rsidRPr="007E742F" w:rsidRDefault="007E742F" w:rsidP="007E742F">
            <w:pPr>
              <w:pStyle w:val="AERtabletext-numbers"/>
            </w:pPr>
            <w:r w:rsidRPr="007E742F">
              <w:t>6.0%</w:t>
            </w:r>
          </w:p>
        </w:tc>
        <w:tc>
          <w:tcPr>
            <w:tcW w:w="659" w:type="pct"/>
            <w:shd w:val="clear" w:color="auto" w:fill="auto"/>
            <w:noWrap/>
            <w:tcMar>
              <w:top w:w="0" w:type="dxa"/>
              <w:bottom w:w="0" w:type="dxa"/>
            </w:tcMar>
            <w:vAlign w:val="center"/>
          </w:tcPr>
          <w:p w:rsidR="007E742F" w:rsidRPr="007E742F" w:rsidRDefault="007E742F" w:rsidP="007E742F">
            <w:pPr>
              <w:pStyle w:val="AERtabletext-numbers"/>
            </w:pPr>
            <w:r w:rsidRPr="007E742F">
              <w:t>6.0%</w:t>
            </w:r>
          </w:p>
        </w:tc>
      </w:tr>
      <w:tr w:rsidR="007E742F" w:rsidRPr="000D6234" w:rsidTr="006E1CEF">
        <w:trPr>
          <w:trHeight w:val="255"/>
        </w:trPr>
        <w:tc>
          <w:tcPr>
            <w:tcW w:w="1847" w:type="pct"/>
            <w:shd w:val="clear" w:color="auto" w:fill="F8B47C"/>
            <w:noWrap/>
            <w:tcMar>
              <w:top w:w="0" w:type="dxa"/>
              <w:bottom w:w="0" w:type="dxa"/>
            </w:tcMar>
            <w:vAlign w:val="center"/>
          </w:tcPr>
          <w:p w:rsidR="007E742F" w:rsidRPr="007E742F" w:rsidRDefault="007E742F" w:rsidP="007E742F">
            <w:pPr>
              <w:pStyle w:val="AERtabletext"/>
            </w:pPr>
            <w:r w:rsidRPr="007E742F">
              <w:t>CaptialCapital Research (2006)</w:t>
            </w:r>
          </w:p>
        </w:tc>
        <w:tc>
          <w:tcPr>
            <w:tcW w:w="1055" w:type="pct"/>
            <w:shd w:val="clear" w:color="auto" w:fill="F8B47C"/>
            <w:noWrap/>
            <w:tcMar>
              <w:top w:w="0" w:type="dxa"/>
              <w:bottom w:w="0" w:type="dxa"/>
            </w:tcMar>
            <w:vAlign w:val="center"/>
          </w:tcPr>
          <w:p w:rsidR="007E742F" w:rsidRPr="007E742F" w:rsidRDefault="007E742F" w:rsidP="007E742F">
            <w:pPr>
              <w:pStyle w:val="AERtabletext-numbers"/>
            </w:pPr>
            <w:r w:rsidRPr="007E742F">
              <w:t>12</w:t>
            </w:r>
          </w:p>
        </w:tc>
        <w:tc>
          <w:tcPr>
            <w:tcW w:w="772" w:type="pct"/>
            <w:shd w:val="clear" w:color="auto" w:fill="F8B47C"/>
            <w:noWrap/>
            <w:tcMar>
              <w:top w:w="0" w:type="dxa"/>
              <w:bottom w:w="0" w:type="dxa"/>
            </w:tcMar>
            <w:vAlign w:val="center"/>
          </w:tcPr>
          <w:p w:rsidR="007E742F" w:rsidRPr="007E742F" w:rsidRDefault="007E742F" w:rsidP="007E742F">
            <w:pPr>
              <w:pStyle w:val="AERtabletext-numbers"/>
            </w:pPr>
            <w:r w:rsidRPr="007E742F">
              <w:t>5.1%</w:t>
            </w:r>
          </w:p>
        </w:tc>
        <w:tc>
          <w:tcPr>
            <w:tcW w:w="667" w:type="pct"/>
            <w:shd w:val="clear" w:color="auto" w:fill="F8B47C"/>
            <w:noWrap/>
            <w:tcMar>
              <w:top w:w="0" w:type="dxa"/>
              <w:bottom w:w="0" w:type="dxa"/>
            </w:tcMar>
            <w:vAlign w:val="center"/>
          </w:tcPr>
          <w:p w:rsidR="007E742F" w:rsidRPr="007E742F" w:rsidRDefault="007E742F" w:rsidP="007E742F">
            <w:pPr>
              <w:pStyle w:val="AERtabletext-numbers"/>
            </w:pPr>
            <w:r w:rsidRPr="007E742F">
              <w:t>5.0%</w:t>
            </w:r>
          </w:p>
        </w:tc>
        <w:tc>
          <w:tcPr>
            <w:tcW w:w="659" w:type="pct"/>
            <w:shd w:val="clear" w:color="auto" w:fill="F8B47C"/>
            <w:noWrap/>
            <w:tcMar>
              <w:top w:w="0" w:type="dxa"/>
              <w:bottom w:w="0" w:type="dxa"/>
            </w:tcMar>
            <w:vAlign w:val="center"/>
          </w:tcPr>
          <w:p w:rsidR="007E742F" w:rsidRPr="007E742F" w:rsidRDefault="007E742F" w:rsidP="007E742F">
            <w:pPr>
              <w:pStyle w:val="AERtabletext-numbers"/>
            </w:pPr>
            <w:r w:rsidRPr="007E742F">
              <w:t>5.0%</w:t>
            </w:r>
          </w:p>
        </w:tc>
      </w:tr>
      <w:tr w:rsidR="007E742F" w:rsidRPr="000D6234" w:rsidTr="006E1CEF">
        <w:trPr>
          <w:trHeight w:val="255"/>
        </w:trPr>
        <w:tc>
          <w:tcPr>
            <w:tcW w:w="1847" w:type="pct"/>
            <w:shd w:val="clear" w:color="auto" w:fill="auto"/>
            <w:noWrap/>
            <w:tcMar>
              <w:top w:w="0" w:type="dxa"/>
              <w:bottom w:w="0" w:type="dxa"/>
            </w:tcMar>
            <w:vAlign w:val="center"/>
          </w:tcPr>
          <w:p w:rsidR="007E742F" w:rsidRPr="007E742F" w:rsidRDefault="007E742F" w:rsidP="007E742F">
            <w:pPr>
              <w:pStyle w:val="AERtabletext"/>
            </w:pPr>
            <w:r w:rsidRPr="007E742F">
              <w:t xml:space="preserve">Truong, Partington and Peat (2008) </w:t>
            </w:r>
          </w:p>
        </w:tc>
        <w:tc>
          <w:tcPr>
            <w:tcW w:w="1055" w:type="pct"/>
            <w:shd w:val="clear" w:color="auto" w:fill="auto"/>
            <w:noWrap/>
            <w:tcMar>
              <w:top w:w="0" w:type="dxa"/>
              <w:bottom w:w="0" w:type="dxa"/>
            </w:tcMar>
            <w:vAlign w:val="center"/>
          </w:tcPr>
          <w:p w:rsidR="007E742F" w:rsidRPr="007E742F" w:rsidRDefault="007E742F" w:rsidP="007E742F">
            <w:pPr>
              <w:pStyle w:val="AERtabletext-numbers"/>
            </w:pPr>
            <w:r w:rsidRPr="007E742F">
              <w:t>38</w:t>
            </w:r>
          </w:p>
        </w:tc>
        <w:tc>
          <w:tcPr>
            <w:tcW w:w="772" w:type="pct"/>
            <w:shd w:val="clear" w:color="auto" w:fill="auto"/>
            <w:noWrap/>
            <w:tcMar>
              <w:top w:w="0" w:type="dxa"/>
              <w:bottom w:w="0" w:type="dxa"/>
            </w:tcMar>
            <w:vAlign w:val="center"/>
          </w:tcPr>
          <w:p w:rsidR="007E742F" w:rsidRPr="007E742F" w:rsidRDefault="007E742F" w:rsidP="007E742F">
            <w:pPr>
              <w:pStyle w:val="AERtabletext-numbers"/>
            </w:pPr>
            <w:r w:rsidRPr="007E742F">
              <w:t>5.9%</w:t>
            </w:r>
          </w:p>
        </w:tc>
        <w:tc>
          <w:tcPr>
            <w:tcW w:w="667" w:type="pct"/>
            <w:shd w:val="clear" w:color="auto" w:fill="auto"/>
            <w:noWrap/>
            <w:tcMar>
              <w:top w:w="0" w:type="dxa"/>
              <w:bottom w:w="0" w:type="dxa"/>
            </w:tcMar>
            <w:vAlign w:val="center"/>
          </w:tcPr>
          <w:p w:rsidR="007E742F" w:rsidRPr="007E742F" w:rsidRDefault="007E742F" w:rsidP="007E742F">
            <w:pPr>
              <w:pStyle w:val="AERtabletext-numbers"/>
            </w:pPr>
            <w:r w:rsidRPr="007E742F">
              <w:t>6.0%</w:t>
            </w:r>
          </w:p>
        </w:tc>
        <w:tc>
          <w:tcPr>
            <w:tcW w:w="659" w:type="pct"/>
            <w:shd w:val="clear" w:color="auto" w:fill="auto"/>
            <w:noWrap/>
            <w:tcMar>
              <w:top w:w="0" w:type="dxa"/>
              <w:bottom w:w="0" w:type="dxa"/>
            </w:tcMar>
            <w:vAlign w:val="center"/>
          </w:tcPr>
          <w:p w:rsidR="007E742F" w:rsidRPr="007E742F" w:rsidRDefault="007E742F" w:rsidP="007E742F">
            <w:pPr>
              <w:pStyle w:val="AERtabletext-numbers"/>
            </w:pPr>
            <w:r w:rsidRPr="007E742F">
              <w:t>6.0%</w:t>
            </w:r>
          </w:p>
        </w:tc>
      </w:tr>
      <w:tr w:rsidR="007E742F" w:rsidRPr="000D6234" w:rsidTr="006E1CEF">
        <w:trPr>
          <w:trHeight w:val="255"/>
        </w:trPr>
        <w:tc>
          <w:tcPr>
            <w:tcW w:w="1847" w:type="pct"/>
            <w:shd w:val="clear" w:color="auto" w:fill="F8B47C"/>
            <w:noWrap/>
            <w:tcMar>
              <w:top w:w="0" w:type="dxa"/>
              <w:bottom w:w="0" w:type="dxa"/>
            </w:tcMar>
            <w:vAlign w:val="center"/>
          </w:tcPr>
          <w:p w:rsidR="007E742F" w:rsidRPr="007E742F" w:rsidRDefault="007E742F" w:rsidP="007E742F">
            <w:pPr>
              <w:pStyle w:val="AERtabletext"/>
            </w:pPr>
            <w:r w:rsidRPr="007E742F">
              <w:t>Bishop (2009)</w:t>
            </w:r>
          </w:p>
        </w:tc>
        <w:tc>
          <w:tcPr>
            <w:tcW w:w="1055" w:type="pct"/>
            <w:shd w:val="clear" w:color="auto" w:fill="F8B47C"/>
            <w:noWrap/>
            <w:tcMar>
              <w:top w:w="0" w:type="dxa"/>
              <w:bottom w:w="0" w:type="dxa"/>
            </w:tcMar>
            <w:vAlign w:val="center"/>
          </w:tcPr>
          <w:p w:rsidR="007E742F" w:rsidRPr="007E742F" w:rsidRDefault="007E742F" w:rsidP="007E742F">
            <w:pPr>
              <w:pStyle w:val="AERtabletext-numbers"/>
            </w:pPr>
            <w:r w:rsidRPr="007E742F">
              <w:t>27</w:t>
            </w:r>
          </w:p>
        </w:tc>
        <w:tc>
          <w:tcPr>
            <w:tcW w:w="772" w:type="pct"/>
            <w:shd w:val="clear" w:color="auto" w:fill="F8B47C"/>
            <w:noWrap/>
            <w:tcMar>
              <w:top w:w="0" w:type="dxa"/>
              <w:bottom w:w="0" w:type="dxa"/>
            </w:tcMar>
            <w:vAlign w:val="center"/>
          </w:tcPr>
          <w:p w:rsidR="007E742F" w:rsidRPr="007E742F" w:rsidRDefault="007E742F" w:rsidP="007E742F">
            <w:pPr>
              <w:pStyle w:val="AERtabletext-numbers"/>
            </w:pPr>
            <w:r w:rsidRPr="007E742F">
              <w:t>na</w:t>
            </w:r>
          </w:p>
        </w:tc>
        <w:tc>
          <w:tcPr>
            <w:tcW w:w="667" w:type="pct"/>
            <w:shd w:val="clear" w:color="auto" w:fill="F8B47C"/>
            <w:noWrap/>
            <w:tcMar>
              <w:top w:w="0" w:type="dxa"/>
              <w:bottom w:w="0" w:type="dxa"/>
            </w:tcMar>
            <w:vAlign w:val="center"/>
          </w:tcPr>
          <w:p w:rsidR="007E742F" w:rsidRPr="007E742F" w:rsidRDefault="007E742F" w:rsidP="007E742F">
            <w:pPr>
              <w:pStyle w:val="AERtabletext-numbers"/>
            </w:pPr>
            <w:r w:rsidRPr="007E742F">
              <w:t>6.0%</w:t>
            </w:r>
          </w:p>
        </w:tc>
        <w:tc>
          <w:tcPr>
            <w:tcW w:w="659" w:type="pct"/>
            <w:shd w:val="clear" w:color="auto" w:fill="F8B47C"/>
            <w:noWrap/>
            <w:tcMar>
              <w:top w:w="0" w:type="dxa"/>
              <w:bottom w:w="0" w:type="dxa"/>
            </w:tcMar>
            <w:vAlign w:val="center"/>
          </w:tcPr>
          <w:p w:rsidR="007E742F" w:rsidRPr="007E742F" w:rsidRDefault="007E742F" w:rsidP="007E742F">
            <w:pPr>
              <w:pStyle w:val="AERtabletext-numbers"/>
            </w:pPr>
            <w:r w:rsidRPr="007E742F">
              <w:t>6.0%</w:t>
            </w:r>
          </w:p>
        </w:tc>
      </w:tr>
      <w:tr w:rsidR="007E742F" w:rsidRPr="000D6234" w:rsidTr="006E1CEF">
        <w:trPr>
          <w:trHeight w:val="255"/>
        </w:trPr>
        <w:tc>
          <w:tcPr>
            <w:tcW w:w="1847" w:type="pct"/>
            <w:shd w:val="clear" w:color="auto" w:fill="auto"/>
            <w:noWrap/>
            <w:tcMar>
              <w:top w:w="0" w:type="dxa"/>
              <w:bottom w:w="0" w:type="dxa"/>
            </w:tcMar>
            <w:vAlign w:val="center"/>
          </w:tcPr>
          <w:p w:rsidR="007E742F" w:rsidRPr="007E742F" w:rsidRDefault="007E742F" w:rsidP="007E742F">
            <w:pPr>
              <w:pStyle w:val="AERtabletext"/>
            </w:pPr>
            <w:r w:rsidRPr="007E742F">
              <w:t>Fernandez (2009)</w:t>
            </w:r>
          </w:p>
        </w:tc>
        <w:tc>
          <w:tcPr>
            <w:tcW w:w="1055" w:type="pct"/>
            <w:shd w:val="clear" w:color="auto" w:fill="auto"/>
            <w:noWrap/>
            <w:tcMar>
              <w:top w:w="0" w:type="dxa"/>
              <w:bottom w:w="0" w:type="dxa"/>
            </w:tcMar>
            <w:vAlign w:val="center"/>
          </w:tcPr>
          <w:p w:rsidR="007E742F" w:rsidRPr="007E742F" w:rsidRDefault="007E742F" w:rsidP="007E742F">
            <w:pPr>
              <w:pStyle w:val="AERtabletext-numbers"/>
            </w:pPr>
            <w:r w:rsidRPr="007E742F">
              <w:t>23</w:t>
            </w:r>
          </w:p>
        </w:tc>
        <w:tc>
          <w:tcPr>
            <w:tcW w:w="772" w:type="pct"/>
            <w:shd w:val="clear" w:color="auto" w:fill="auto"/>
            <w:noWrap/>
            <w:tcMar>
              <w:top w:w="0" w:type="dxa"/>
              <w:bottom w:w="0" w:type="dxa"/>
            </w:tcMar>
            <w:vAlign w:val="center"/>
          </w:tcPr>
          <w:p w:rsidR="007E742F" w:rsidRPr="007E742F" w:rsidRDefault="007E742F" w:rsidP="007E742F">
            <w:pPr>
              <w:pStyle w:val="AERtabletext-numbers"/>
            </w:pPr>
            <w:r w:rsidRPr="007E742F">
              <w:t>5.9%</w:t>
            </w:r>
          </w:p>
        </w:tc>
        <w:tc>
          <w:tcPr>
            <w:tcW w:w="667" w:type="pct"/>
            <w:shd w:val="clear" w:color="auto" w:fill="auto"/>
            <w:noWrap/>
            <w:tcMar>
              <w:top w:w="0" w:type="dxa"/>
              <w:bottom w:w="0" w:type="dxa"/>
            </w:tcMar>
            <w:vAlign w:val="center"/>
          </w:tcPr>
          <w:p w:rsidR="007E742F" w:rsidRPr="007E742F" w:rsidRDefault="007E742F" w:rsidP="007E742F">
            <w:pPr>
              <w:pStyle w:val="AERtabletext-numbers"/>
            </w:pPr>
            <w:r w:rsidRPr="007E742F">
              <w:t>6.0%</w:t>
            </w:r>
          </w:p>
        </w:tc>
        <w:tc>
          <w:tcPr>
            <w:tcW w:w="659" w:type="pct"/>
            <w:shd w:val="clear" w:color="auto" w:fill="auto"/>
            <w:noWrap/>
            <w:tcMar>
              <w:top w:w="0" w:type="dxa"/>
              <w:bottom w:w="0" w:type="dxa"/>
            </w:tcMar>
            <w:vAlign w:val="center"/>
          </w:tcPr>
          <w:p w:rsidR="007E742F" w:rsidRPr="007E742F" w:rsidRDefault="007E742F" w:rsidP="007E742F">
            <w:pPr>
              <w:pStyle w:val="AERtabletext-numbers"/>
            </w:pPr>
            <w:r w:rsidRPr="007E742F">
              <w:t>na</w:t>
            </w:r>
          </w:p>
        </w:tc>
      </w:tr>
      <w:tr w:rsidR="007E742F" w:rsidRPr="000D6234" w:rsidTr="006E1CEF">
        <w:trPr>
          <w:trHeight w:val="255"/>
        </w:trPr>
        <w:tc>
          <w:tcPr>
            <w:tcW w:w="1847" w:type="pct"/>
            <w:shd w:val="clear" w:color="auto" w:fill="F8B47C"/>
            <w:noWrap/>
            <w:tcMar>
              <w:top w:w="0" w:type="dxa"/>
              <w:bottom w:w="0" w:type="dxa"/>
            </w:tcMar>
            <w:vAlign w:val="center"/>
          </w:tcPr>
          <w:p w:rsidR="007E742F" w:rsidRPr="007E742F" w:rsidRDefault="007E742F" w:rsidP="007E742F">
            <w:pPr>
              <w:pStyle w:val="AERtabletext"/>
            </w:pPr>
            <w:r w:rsidRPr="007E742F">
              <w:t xml:space="preserve">Fernandez and Del Campo (2010) </w:t>
            </w:r>
          </w:p>
        </w:tc>
        <w:tc>
          <w:tcPr>
            <w:tcW w:w="1055" w:type="pct"/>
            <w:shd w:val="clear" w:color="auto" w:fill="F8B47C"/>
            <w:noWrap/>
            <w:tcMar>
              <w:top w:w="0" w:type="dxa"/>
              <w:bottom w:w="0" w:type="dxa"/>
            </w:tcMar>
            <w:vAlign w:val="center"/>
          </w:tcPr>
          <w:p w:rsidR="007E742F" w:rsidRPr="007E742F" w:rsidRDefault="007E742F" w:rsidP="007E742F">
            <w:pPr>
              <w:pStyle w:val="AERtabletext-numbers"/>
            </w:pPr>
            <w:r w:rsidRPr="007E742F">
              <w:t>7</w:t>
            </w:r>
          </w:p>
        </w:tc>
        <w:tc>
          <w:tcPr>
            <w:tcW w:w="772" w:type="pct"/>
            <w:shd w:val="clear" w:color="auto" w:fill="F8B47C"/>
            <w:noWrap/>
            <w:tcMar>
              <w:top w:w="0" w:type="dxa"/>
              <w:bottom w:w="0" w:type="dxa"/>
            </w:tcMar>
            <w:vAlign w:val="center"/>
          </w:tcPr>
          <w:p w:rsidR="007E742F" w:rsidRPr="007E742F" w:rsidRDefault="007E742F" w:rsidP="007E742F">
            <w:pPr>
              <w:pStyle w:val="AERtabletext-numbers"/>
            </w:pPr>
            <w:r w:rsidRPr="007E742F">
              <w:t>5.4%</w:t>
            </w:r>
          </w:p>
        </w:tc>
        <w:tc>
          <w:tcPr>
            <w:tcW w:w="667" w:type="pct"/>
            <w:shd w:val="clear" w:color="auto" w:fill="F8B47C"/>
            <w:noWrap/>
            <w:tcMar>
              <w:top w:w="0" w:type="dxa"/>
              <w:bottom w:w="0" w:type="dxa"/>
            </w:tcMar>
            <w:vAlign w:val="center"/>
          </w:tcPr>
          <w:p w:rsidR="007E742F" w:rsidRPr="007E742F" w:rsidRDefault="007E742F" w:rsidP="007E742F">
            <w:pPr>
              <w:pStyle w:val="AERtabletext-numbers"/>
            </w:pPr>
            <w:r w:rsidRPr="007E742F">
              <w:t>5.5%</w:t>
            </w:r>
          </w:p>
        </w:tc>
        <w:tc>
          <w:tcPr>
            <w:tcW w:w="659" w:type="pct"/>
            <w:shd w:val="clear" w:color="auto" w:fill="F8B47C"/>
            <w:noWrap/>
            <w:tcMar>
              <w:top w:w="0" w:type="dxa"/>
              <w:bottom w:w="0" w:type="dxa"/>
            </w:tcMar>
            <w:vAlign w:val="center"/>
          </w:tcPr>
          <w:p w:rsidR="007E742F" w:rsidRPr="007E742F" w:rsidRDefault="007E742F" w:rsidP="007E742F">
            <w:pPr>
              <w:pStyle w:val="AERtabletext-numbers"/>
            </w:pPr>
            <w:r w:rsidRPr="007E742F">
              <w:t>na</w:t>
            </w:r>
          </w:p>
        </w:tc>
      </w:tr>
      <w:tr w:rsidR="007E742F" w:rsidRPr="000D6234" w:rsidTr="006E1CEF">
        <w:trPr>
          <w:trHeight w:val="255"/>
        </w:trPr>
        <w:tc>
          <w:tcPr>
            <w:tcW w:w="1847" w:type="pct"/>
            <w:shd w:val="clear" w:color="auto" w:fill="auto"/>
            <w:noWrap/>
            <w:tcMar>
              <w:top w:w="0" w:type="dxa"/>
              <w:bottom w:w="0" w:type="dxa"/>
            </w:tcMar>
            <w:vAlign w:val="center"/>
          </w:tcPr>
          <w:p w:rsidR="007E742F" w:rsidRPr="007E742F" w:rsidRDefault="007E742F" w:rsidP="007E742F">
            <w:pPr>
              <w:pStyle w:val="AERtabletext"/>
            </w:pPr>
            <w:r w:rsidRPr="007E742F">
              <w:t xml:space="preserve">Fernandez et al (2011) </w:t>
            </w:r>
          </w:p>
        </w:tc>
        <w:tc>
          <w:tcPr>
            <w:tcW w:w="1055" w:type="pct"/>
            <w:shd w:val="clear" w:color="auto" w:fill="auto"/>
            <w:noWrap/>
            <w:tcMar>
              <w:top w:w="0" w:type="dxa"/>
              <w:bottom w:w="0" w:type="dxa"/>
            </w:tcMar>
            <w:vAlign w:val="center"/>
          </w:tcPr>
          <w:p w:rsidR="007E742F" w:rsidRPr="007E742F" w:rsidRDefault="007E742F" w:rsidP="007E742F">
            <w:pPr>
              <w:pStyle w:val="AERtabletext-numbers"/>
            </w:pPr>
            <w:r w:rsidRPr="007E742F">
              <w:t>40</w:t>
            </w:r>
          </w:p>
        </w:tc>
        <w:tc>
          <w:tcPr>
            <w:tcW w:w="772" w:type="pct"/>
            <w:shd w:val="clear" w:color="auto" w:fill="auto"/>
            <w:noWrap/>
            <w:tcMar>
              <w:top w:w="0" w:type="dxa"/>
              <w:bottom w:w="0" w:type="dxa"/>
            </w:tcMar>
            <w:vAlign w:val="center"/>
          </w:tcPr>
          <w:p w:rsidR="007E742F" w:rsidRPr="007E742F" w:rsidRDefault="007E742F" w:rsidP="007E742F">
            <w:pPr>
              <w:pStyle w:val="AERtabletext-numbers"/>
            </w:pPr>
            <w:r w:rsidRPr="007E742F">
              <w:t>5.8%</w:t>
            </w:r>
          </w:p>
        </w:tc>
        <w:tc>
          <w:tcPr>
            <w:tcW w:w="667" w:type="pct"/>
            <w:shd w:val="clear" w:color="auto" w:fill="auto"/>
            <w:noWrap/>
            <w:tcMar>
              <w:top w:w="0" w:type="dxa"/>
              <w:bottom w:w="0" w:type="dxa"/>
            </w:tcMar>
            <w:vAlign w:val="center"/>
          </w:tcPr>
          <w:p w:rsidR="007E742F" w:rsidRPr="007E742F" w:rsidRDefault="007E742F" w:rsidP="007E742F">
            <w:pPr>
              <w:pStyle w:val="AERtabletext-numbers"/>
            </w:pPr>
            <w:r w:rsidRPr="007E742F">
              <w:t>5.2%</w:t>
            </w:r>
          </w:p>
        </w:tc>
        <w:tc>
          <w:tcPr>
            <w:tcW w:w="659" w:type="pct"/>
            <w:shd w:val="clear" w:color="auto" w:fill="auto"/>
            <w:noWrap/>
            <w:tcMar>
              <w:top w:w="0" w:type="dxa"/>
              <w:bottom w:w="0" w:type="dxa"/>
            </w:tcMar>
            <w:vAlign w:val="center"/>
          </w:tcPr>
          <w:p w:rsidR="007E742F" w:rsidRPr="007E742F" w:rsidRDefault="007E742F" w:rsidP="007E742F">
            <w:pPr>
              <w:pStyle w:val="AERtabletext-numbers"/>
            </w:pPr>
            <w:r w:rsidRPr="007E742F">
              <w:t>na</w:t>
            </w:r>
          </w:p>
        </w:tc>
      </w:tr>
      <w:tr w:rsidR="007E742F" w:rsidRPr="000D6234" w:rsidTr="006E1CEF">
        <w:trPr>
          <w:trHeight w:val="255"/>
        </w:trPr>
        <w:tc>
          <w:tcPr>
            <w:tcW w:w="1847" w:type="pct"/>
            <w:shd w:val="clear" w:color="auto" w:fill="F8B47C"/>
            <w:noWrap/>
            <w:tcMar>
              <w:top w:w="0" w:type="dxa"/>
              <w:bottom w:w="0" w:type="dxa"/>
            </w:tcMar>
            <w:vAlign w:val="center"/>
          </w:tcPr>
          <w:p w:rsidR="007E742F" w:rsidRPr="007E742F" w:rsidRDefault="007E742F" w:rsidP="007E742F">
            <w:pPr>
              <w:pStyle w:val="AERtabletext"/>
            </w:pPr>
            <w:r w:rsidRPr="007E742F">
              <w:t xml:space="preserve">Asher (2011) </w:t>
            </w:r>
          </w:p>
        </w:tc>
        <w:tc>
          <w:tcPr>
            <w:tcW w:w="1055" w:type="pct"/>
            <w:shd w:val="clear" w:color="auto" w:fill="F8B47C"/>
            <w:noWrap/>
            <w:tcMar>
              <w:top w:w="0" w:type="dxa"/>
              <w:bottom w:w="0" w:type="dxa"/>
            </w:tcMar>
            <w:vAlign w:val="center"/>
          </w:tcPr>
          <w:p w:rsidR="007E742F" w:rsidRPr="007E742F" w:rsidRDefault="007E742F" w:rsidP="007E742F">
            <w:pPr>
              <w:pStyle w:val="AERtabletext-numbers"/>
            </w:pPr>
            <w:r w:rsidRPr="007E742F">
              <w:t>49</w:t>
            </w:r>
          </w:p>
        </w:tc>
        <w:tc>
          <w:tcPr>
            <w:tcW w:w="772" w:type="pct"/>
            <w:shd w:val="clear" w:color="auto" w:fill="F8B47C"/>
            <w:noWrap/>
            <w:tcMar>
              <w:top w:w="0" w:type="dxa"/>
              <w:bottom w:w="0" w:type="dxa"/>
            </w:tcMar>
            <w:vAlign w:val="center"/>
          </w:tcPr>
          <w:p w:rsidR="007E742F" w:rsidRPr="007E742F" w:rsidRDefault="007E742F" w:rsidP="007E742F">
            <w:pPr>
              <w:pStyle w:val="AERtabletext-numbers"/>
            </w:pPr>
            <w:r w:rsidRPr="007E742F">
              <w:t>4.7%</w:t>
            </w:r>
          </w:p>
        </w:tc>
        <w:tc>
          <w:tcPr>
            <w:tcW w:w="667" w:type="pct"/>
            <w:shd w:val="clear" w:color="auto" w:fill="F8B47C"/>
            <w:noWrap/>
            <w:tcMar>
              <w:top w:w="0" w:type="dxa"/>
              <w:bottom w:w="0" w:type="dxa"/>
            </w:tcMar>
            <w:vAlign w:val="center"/>
          </w:tcPr>
          <w:p w:rsidR="007E742F" w:rsidRPr="007E742F" w:rsidRDefault="007E742F" w:rsidP="007E742F">
            <w:pPr>
              <w:pStyle w:val="AERtabletext-numbers"/>
            </w:pPr>
            <w:r w:rsidRPr="007E742F">
              <w:t>5.0%</w:t>
            </w:r>
          </w:p>
        </w:tc>
        <w:tc>
          <w:tcPr>
            <w:tcW w:w="659" w:type="pct"/>
            <w:shd w:val="clear" w:color="auto" w:fill="F8B47C"/>
            <w:noWrap/>
            <w:tcMar>
              <w:top w:w="0" w:type="dxa"/>
              <w:bottom w:w="0" w:type="dxa"/>
            </w:tcMar>
            <w:vAlign w:val="center"/>
          </w:tcPr>
          <w:p w:rsidR="007E742F" w:rsidRPr="007E742F" w:rsidRDefault="007E742F" w:rsidP="007E742F">
            <w:pPr>
              <w:pStyle w:val="AERtabletext-numbers"/>
            </w:pPr>
            <w:r w:rsidRPr="007E742F">
              <w:t>5.0%</w:t>
            </w:r>
          </w:p>
        </w:tc>
      </w:tr>
    </w:tbl>
    <w:p w:rsidR="007E742F" w:rsidRPr="007E742F" w:rsidRDefault="007E742F" w:rsidP="007E742F">
      <w:pPr>
        <w:pStyle w:val="AERtablesource"/>
      </w:pPr>
      <w:r w:rsidRPr="007E742F">
        <w:t xml:space="preserve">Sources: </w:t>
      </w:r>
      <w:r w:rsidRPr="007E742F">
        <w:tab/>
        <w:t xml:space="preserve">KPMG (2005), Capital Research (2006), Truong, Partington and Peat (2008), Bishop (2009), Fernandez (2009), Fernandez and Del Campo (2010), Fernandez et al. (2011), Asher (2011)). </w:t>
      </w:r>
    </w:p>
    <w:p w:rsidR="007E742F" w:rsidRPr="007E742F" w:rsidRDefault="007E742F" w:rsidP="007E742F">
      <w:pPr>
        <w:pStyle w:val="AERbodytext"/>
      </w:pPr>
      <w:r w:rsidRPr="007E742F">
        <w:t>The AER considers survey measures of the MRP across different years, different survey respondents or sources, and different authors support an MRP of 6.0 per cent. For the surveys under consideration, the most commonly reported MRP was 6 per cent.</w:t>
      </w:r>
    </w:p>
    <w:p w:rsidR="007E742F" w:rsidRPr="007E742F" w:rsidRDefault="007E742F" w:rsidP="007E742F">
      <w:pPr>
        <w:pStyle w:val="AERbodytext"/>
      </w:pPr>
      <w:r w:rsidRPr="007E742F">
        <w:t>McKenzie and Partington placed significant weight on the survey evidence due to the triangulation of that evidence.</w:t>
      </w:r>
      <w:r w:rsidRPr="007E742F">
        <w:rPr>
          <w:rStyle w:val="FootnoteReference"/>
        </w:rPr>
        <w:footnoteReference w:id="346"/>
      </w:r>
      <w:r w:rsidRPr="007E742F">
        <w:t xml:space="preserve"> The idea behind the triangulation is that a specific survey might be subject to a particular type of bias (although there is no compelling demonstration of it), but that the type of bias would likely be much less consistent across surveys using different methods and different target populations.</w:t>
      </w:r>
    </w:p>
    <w:p w:rsidR="007E742F" w:rsidRPr="007E742F" w:rsidRDefault="007E742F" w:rsidP="007E742F">
      <w:pPr>
        <w:pStyle w:val="AERbodytext"/>
      </w:pPr>
      <w:r w:rsidRPr="007E742F">
        <w:t xml:space="preserve">The AER applied the available survey evidence against the criteria noted by the Tribunal in appendix B. After consideration of this analysis and McKenzie and Partington’s view, the AER considers survey based estimates of the MRP are relevant to inform the forward looking MRP. Survey evidence supports a forward looking MRP of 6 per cent as the best estimate in the current circumstances. Appendix B details the AER's analysis and reasons for its decision on survey evidence. </w:t>
      </w:r>
    </w:p>
    <w:p w:rsidR="007E742F" w:rsidRPr="007E742F" w:rsidRDefault="007E742F" w:rsidP="007E742F">
      <w:pPr>
        <w:pStyle w:val="AERheading4"/>
      </w:pPr>
      <w:r w:rsidRPr="007E742F">
        <w:t>APA GasNet’s main contentions</w:t>
      </w:r>
    </w:p>
    <w:p w:rsidR="007E742F" w:rsidRPr="007E742F" w:rsidRDefault="007E742F" w:rsidP="007E742F">
      <w:pPr>
        <w:pStyle w:val="AERbodytext"/>
      </w:pPr>
      <w:r w:rsidRPr="007E742F">
        <w:t>APA GasNet proposed an MRP estimate of 8.5 per cent. It submitted CEG, Capital Research, SFG and NERA reports in support of its proposal. The AER notes APA GasNet's main concerns with the AER's current approach were:</w:t>
      </w:r>
    </w:p>
    <w:p w:rsidR="007E742F" w:rsidRPr="007E742F" w:rsidRDefault="007E742F" w:rsidP="007E742F">
      <w:pPr>
        <w:pStyle w:val="AERbulletlistfirststyle"/>
      </w:pPr>
      <w:r w:rsidRPr="007E742F">
        <w:t>AER's almost exclusive reliance on estimates of the historical excess returns. This approach does not adequately consider the prevailing conditions in the market for funds.</w:t>
      </w:r>
    </w:p>
    <w:p w:rsidR="007E742F" w:rsidRPr="007E742F" w:rsidRDefault="007E742F" w:rsidP="007E742F">
      <w:pPr>
        <w:pStyle w:val="AERbulletlistfirststyle"/>
      </w:pPr>
      <w:r w:rsidRPr="007E742F">
        <w:t>The upward adjustment made by the AER in the WACC review was arbitrary and should not be considered as a robust estimate.</w:t>
      </w:r>
    </w:p>
    <w:p w:rsidR="007E742F" w:rsidRPr="007E742F" w:rsidRDefault="007E742F" w:rsidP="007E742F">
      <w:pPr>
        <w:pStyle w:val="AERbulletlistfirststyle"/>
      </w:pPr>
      <w:r w:rsidRPr="007E742F">
        <w:t>The AER reduced the MRP back to 6 per cent effectively declaring the GFC is over.</w:t>
      </w:r>
      <w:r w:rsidRPr="007E742F">
        <w:rPr>
          <w:rStyle w:val="FootnoteReference"/>
        </w:rPr>
        <w:t xml:space="preserve"> </w:t>
      </w:r>
      <w:r w:rsidRPr="007E742F">
        <w:rPr>
          <w:rStyle w:val="FootnoteReference"/>
        </w:rPr>
        <w:footnoteReference w:id="347"/>
      </w:r>
      <w:r w:rsidRPr="007E742F">
        <w:t xml:space="preserve"> </w:t>
      </w:r>
    </w:p>
    <w:p w:rsidR="007E742F" w:rsidRPr="007E742F" w:rsidRDefault="007E742F" w:rsidP="007E742F">
      <w:pPr>
        <w:pStyle w:val="AERbodytext"/>
      </w:pPr>
      <w:r w:rsidRPr="007E742F">
        <w:t xml:space="preserve">The AER understands the first concern relates to the negative relationship between the risk free rate and the MRP. It discusses this issue in section </w:t>
      </w:r>
      <w:r w:rsidR="00DE0D6A" w:rsidRPr="007E742F">
        <w:fldChar w:fldCharType="begin"/>
      </w:r>
      <w:r w:rsidRPr="007E742F">
        <w:instrText xml:space="preserve"> REF _Ref334104438 \r \h </w:instrText>
      </w:r>
      <w:r w:rsidR="00DE0D6A" w:rsidRPr="007E742F">
        <w:fldChar w:fldCharType="separate"/>
      </w:r>
      <w:r w:rsidRPr="007E742F">
        <w:t>4.3.4</w:t>
      </w:r>
      <w:r w:rsidR="00DE0D6A" w:rsidRPr="007E742F">
        <w:fldChar w:fldCharType="end"/>
      </w:r>
      <w:r w:rsidRPr="007E742F">
        <w:t xml:space="preserve">. The other concerns relate to the AER's decision to increase the MRP in the WACC review and subsequently decreased it back to 6 per cent. The AER discusses the reasons for its departure from the WACC review in appendix B. </w:t>
      </w:r>
    </w:p>
    <w:p w:rsidR="007E742F" w:rsidRPr="007E742F" w:rsidRDefault="007E742F" w:rsidP="007E742F">
      <w:pPr>
        <w:pStyle w:val="AERbodytext"/>
      </w:pPr>
      <w:r w:rsidRPr="007E742F">
        <w:t>APA GasNet proposed an 8.5 per cent MRP based on NERA's regime switching estimate and CEG's, NERA's and Capital Research's DGM estimates. The AER considers the proposed MRP of 8.5 per cent is not justified. The AER discusses its considerations on regime switching model and DGM estimates in appendix B.</w:t>
      </w:r>
    </w:p>
    <w:p w:rsidR="007E742F" w:rsidRPr="007E742F" w:rsidRDefault="007E742F" w:rsidP="007E742F">
      <w:pPr>
        <w:pStyle w:val="AERheading3"/>
      </w:pPr>
      <w:bookmarkStart w:id="67" w:name="_Ref334104438"/>
      <w:r w:rsidRPr="007E742F">
        <w:t>Relationship between the risk free rate and the market risk premium</w:t>
      </w:r>
      <w:bookmarkEnd w:id="67"/>
    </w:p>
    <w:p w:rsidR="007E742F" w:rsidRPr="007E742F" w:rsidRDefault="007E742F" w:rsidP="007E742F">
      <w:pPr>
        <w:pStyle w:val="AERbodytext"/>
      </w:pPr>
      <w:r w:rsidRPr="007E742F">
        <w:t xml:space="preserve">The AER is determining the rate of return for APA GasNet in the context of CGS yields being at an historical low. The AER and APA GasNet both adopted the Sharpe-Lintner CAPM as the accepted model for determining the cost of equity. The effect of using this lower risk free rate within the Sharpe-Lintner CAPM, all things being equal, is to lower the cost of equity from that determined by the AER in previous decisions. In this context, APA GasNet proposed an 8.5 per cent MRP. </w:t>
      </w:r>
    </w:p>
    <w:p w:rsidR="007E742F" w:rsidRPr="007E742F" w:rsidRDefault="007E742F" w:rsidP="007E742F">
      <w:pPr>
        <w:pStyle w:val="AERbodytext"/>
      </w:pPr>
      <w:r w:rsidRPr="007E742F">
        <w:t>The AER considered this interrelationship between the risk free rate and the market risk premium under the following four broad categories:</w:t>
      </w:r>
    </w:p>
    <w:p w:rsidR="007E742F" w:rsidRPr="007E742F" w:rsidRDefault="007E742F" w:rsidP="007E742F">
      <w:pPr>
        <w:pStyle w:val="AERbulletlistfirststyle"/>
      </w:pPr>
      <w:r w:rsidRPr="007E742F">
        <w:t xml:space="preserve">the regulatory requirements under the NGR and NGL—specifically, whether it is appropriate in this framework for adjusting the MRP estimate to address or 'rectify' a perceived problem or difficulty in the calculation of the risk free rate </w:t>
      </w:r>
    </w:p>
    <w:p w:rsidR="007E742F" w:rsidRPr="007E742F" w:rsidRDefault="007E742F" w:rsidP="007E742F">
      <w:pPr>
        <w:pStyle w:val="AERbulletlistfirststyle"/>
      </w:pPr>
      <w:r w:rsidRPr="007E742F">
        <w:t xml:space="preserve">the need for consistency in how the MRP and risk free rate are estimated </w:t>
      </w:r>
    </w:p>
    <w:p w:rsidR="007E742F" w:rsidRPr="007E742F" w:rsidRDefault="007E742F" w:rsidP="007E742F">
      <w:pPr>
        <w:pStyle w:val="AERbulletlistfirststyle"/>
      </w:pPr>
      <w:r w:rsidRPr="007E742F">
        <w:t>the economic interdependencies between these two parameters—specifically, whether the MRP is high when the risk free rate is low</w:t>
      </w:r>
    </w:p>
    <w:p w:rsidR="007E742F" w:rsidRPr="007E742F" w:rsidRDefault="007E742F" w:rsidP="007E742F">
      <w:pPr>
        <w:pStyle w:val="AERbulletlistfirststyle"/>
      </w:pPr>
      <w:r w:rsidRPr="007E742F">
        <w:t>other regulatory systems.</w:t>
      </w:r>
    </w:p>
    <w:p w:rsidR="007E742F" w:rsidRPr="007E742F" w:rsidRDefault="007E742F" w:rsidP="007E742F">
      <w:pPr>
        <w:pStyle w:val="AERheading4"/>
      </w:pPr>
      <w:r w:rsidRPr="007E742F">
        <w:t>Regulatory requirements</w:t>
      </w:r>
    </w:p>
    <w:p w:rsidR="007E742F" w:rsidRPr="007E742F" w:rsidRDefault="007E742F" w:rsidP="007E742F">
      <w:pPr>
        <w:pStyle w:val="AERbodytext"/>
      </w:pPr>
      <w:r w:rsidRPr="007E742F">
        <w:t xml:space="preserve">The AER has consistently maintained that each parameter should be estimated based on considerations that meet the criteria and objective set out in Rule87 of the NGR. A parameter should not be adjusted to address or rectify a perceived problem or difficulty with the calculation of another parameter. The AER understands Rule 87 operates as follows: </w:t>
      </w:r>
    </w:p>
    <w:p w:rsidR="007E742F" w:rsidRPr="007E742F" w:rsidRDefault="007E742F" w:rsidP="007E742F">
      <w:pPr>
        <w:pStyle w:val="AERbulletlistfirststyle"/>
      </w:pPr>
      <w:r w:rsidRPr="007E742F">
        <w:t>Rule 87(1) describes the objective in determining the WACC but does not guide how the objective is to be achieved.</w:t>
      </w:r>
    </w:p>
    <w:p w:rsidR="007E742F" w:rsidRPr="007E742F" w:rsidRDefault="007E742F" w:rsidP="007E742F">
      <w:pPr>
        <w:pStyle w:val="AERbulletlistfirststyle"/>
      </w:pPr>
      <w:r w:rsidRPr="007E742F">
        <w:t xml:space="preserve">Rule 87(2) describes how the objective is to be achieved, including through a well accepted approach (such as the WACC) and a well accepted financial model (such as the CAPM). </w:t>
      </w:r>
    </w:p>
    <w:p w:rsidR="007E742F" w:rsidRPr="007E742F" w:rsidRDefault="007E742F" w:rsidP="007E742F">
      <w:pPr>
        <w:pStyle w:val="AERbulletlistfirststyle"/>
      </w:pPr>
      <w:r w:rsidRPr="007E742F">
        <w:t>Rule 87(1) informs the selection of appropriate input parameters to use in the well accepted approach and well accepted financial model. That is, input parameters must reflect prevailing conditions in the market for funds, and the risk from providing reference services.</w:t>
      </w:r>
    </w:p>
    <w:p w:rsidR="007E742F" w:rsidRPr="007E742F" w:rsidRDefault="007E742F" w:rsidP="007E742F">
      <w:pPr>
        <w:pStyle w:val="AERbodytext"/>
      </w:pPr>
      <w:r w:rsidRPr="007E742F">
        <w:t>This interpretation is consistent with the Australian Competition Tribunal's position in two recent decisions, for ATCO (previously known as WA Gas Networks) and DBNGP.</w:t>
      </w:r>
      <w:r w:rsidRPr="007E742F">
        <w:rPr>
          <w:rStyle w:val="FootnoteReference"/>
        </w:rPr>
        <w:footnoteReference w:id="348"/>
      </w:r>
    </w:p>
    <w:p w:rsidR="007E742F" w:rsidRPr="007E742F" w:rsidRDefault="007E742F" w:rsidP="007E742F">
      <w:pPr>
        <w:pStyle w:val="AERbodytext"/>
      </w:pPr>
      <w:r w:rsidRPr="007E742F">
        <w:t>The AER uses the CAPM to estimate the cost of equity to determine the WACC under rule 87(2) of the NGR. The MRP, like the risk free rate, is an input to the calculation of the cost of equity for that WACC.</w:t>
      </w:r>
      <w:r w:rsidRPr="007E742F">
        <w:rPr>
          <w:rStyle w:val="AERbody"/>
        </w:rPr>
        <w:t xml:space="preserve"> </w:t>
      </w:r>
      <w:r w:rsidRPr="007E742F">
        <w:t>Maintaining the integrity of each parameter promotes rigour and robustness in the estimation of each parameter. But addressing a problem with one parameter by adjusting another parameter introduces subjectivity. The AER is unaware of any well accepted method for making such adjustments without introducing subjectivity or greater regulatory risk</w:t>
      </w:r>
      <w:r w:rsidRPr="007E742F">
        <w:rPr>
          <w:rStyle w:val="FootnoteReference"/>
        </w:rPr>
        <w:footnoteReference w:id="349"/>
      </w:r>
      <w:r w:rsidRPr="007E742F">
        <w:t>. Rather, the AER considered a range of evidence and determined the appropriate WACC input parameters when assessing the proposed rate of return. This approach is consistent with the objectives of the NGR.</w:t>
      </w:r>
    </w:p>
    <w:p w:rsidR="007E742F" w:rsidRPr="007E742F" w:rsidRDefault="007E742F" w:rsidP="007E742F">
      <w:pPr>
        <w:pStyle w:val="AERbodytext"/>
      </w:pPr>
      <w:r w:rsidRPr="007E742F">
        <w:rPr>
          <w:rStyle w:val="AERbody"/>
        </w:rPr>
        <w:t>Importantly, the AER considers the input parameters will not reflect prevailing conditions in the market for funds if an otherwise appropriate parameter is altered to resolve an issue elsewhere. Lally supported this view</w:t>
      </w:r>
      <w:r w:rsidRPr="007E742F">
        <w:t>:</w:t>
      </w:r>
    </w:p>
    <w:p w:rsidR="007E742F" w:rsidRPr="007E742F" w:rsidRDefault="007E742F" w:rsidP="007E742F">
      <w:pPr>
        <w:pStyle w:val="AERquote"/>
        <w:rPr>
          <w:rStyle w:val="AERbody"/>
        </w:rPr>
      </w:pPr>
      <w:r w:rsidRPr="007E742F">
        <w:t>... CEG’s proposed methodology sacrifices a relevant, critical and observable parameter within the cost of equity (the current risk free rate) in order to offset alleged errors in another parameter (the market risk premium).</w:t>
      </w:r>
      <w:r w:rsidRPr="007E742F">
        <w:rPr>
          <w:rStyle w:val="FootnoteReference"/>
        </w:rPr>
        <w:footnoteReference w:id="350"/>
      </w:r>
    </w:p>
    <w:p w:rsidR="007E742F" w:rsidRPr="007E742F" w:rsidRDefault="007E742F" w:rsidP="007E742F">
      <w:pPr>
        <w:pStyle w:val="AERbodytext"/>
        <w:rPr>
          <w:rStyle w:val="AERbody"/>
        </w:rPr>
      </w:pPr>
      <w:r w:rsidRPr="007E742F">
        <w:rPr>
          <w:rStyle w:val="AERbody"/>
        </w:rPr>
        <w:t>APA GasNet did not propose a risk free rate above the prevailing rate. However, the CEG report submitted by APA GasNet recommended this approach as one of three options. Specifically, CEG recommended adopting a long term historical average risk free rate (5.99 per cent) with what it argued is a long term historical MRP of 6 per cent.</w:t>
      </w:r>
    </w:p>
    <w:p w:rsidR="007E742F" w:rsidRPr="007E742F" w:rsidRDefault="007E742F" w:rsidP="007E742F">
      <w:pPr>
        <w:pStyle w:val="AERbodytext"/>
        <w:rPr>
          <w:rStyle w:val="AERbody"/>
        </w:rPr>
      </w:pPr>
      <w:r w:rsidRPr="007E742F">
        <w:rPr>
          <w:rStyle w:val="AERbody"/>
        </w:rPr>
        <w:t>For reasons set out in this decision, the AER considers a 6 per cent MRP reflects prevailing conditions in the market for funds and also the risks from providing reference services. However, even if this was not the case, the AER considers (for the reasons outline above) adjusting the risk free rate to address a perceived problem with the MRP would not be appropriate. It does not accept this approach would be preferable to its current approach to setting parameters. Further, it considers the approach would not be consistent with r. 87 of the NGR, particularly in light of the Tribunal’s construction of this rule  in the ATCO and DBNGP matters.</w:t>
      </w:r>
    </w:p>
    <w:p w:rsidR="007E742F" w:rsidRPr="007E742F" w:rsidRDefault="007E742F" w:rsidP="007E742F">
      <w:pPr>
        <w:pStyle w:val="AERheading4"/>
        <w:rPr>
          <w:rStyle w:val="AERbody"/>
        </w:rPr>
      </w:pPr>
      <w:r w:rsidRPr="007E742F">
        <w:rPr>
          <w:rStyle w:val="AERbody"/>
        </w:rPr>
        <w:t>Consistency of the MRP and risk free rate estimates</w:t>
      </w:r>
    </w:p>
    <w:p w:rsidR="007E742F" w:rsidRPr="007E742F" w:rsidRDefault="007E742F" w:rsidP="007E742F">
      <w:pPr>
        <w:pStyle w:val="AERbodytext"/>
        <w:rPr>
          <w:rStyle w:val="AERbody"/>
        </w:rPr>
      </w:pPr>
      <w:r w:rsidRPr="007E742F">
        <w:rPr>
          <w:rStyle w:val="AERbody"/>
        </w:rPr>
        <w:t>APA GasNet suggested the WACC determined by the AER produces a ‘downward biased return on equity’ because the AER adopts an MRP that reflects the long term average and uses a risk free rate that reflects current market conditions.</w:t>
      </w:r>
      <w:r w:rsidRPr="007E742F">
        <w:rPr>
          <w:rStyle w:val="FootnoteReference"/>
        </w:rPr>
        <w:footnoteReference w:id="351"/>
      </w:r>
      <w:r w:rsidRPr="007E742F">
        <w:rPr>
          <w:rStyle w:val="AERbody"/>
        </w:rPr>
        <w:t xml:space="preserve">  This suggested bias is a mischaracterisation. The AER estimates a WACC that is consistent with the CAPM and requirements of the rules.   </w:t>
      </w:r>
    </w:p>
    <w:p w:rsidR="007E742F" w:rsidRPr="007E742F" w:rsidRDefault="007E742F" w:rsidP="007E742F">
      <w:pPr>
        <w:pStyle w:val="AERbodytext"/>
        <w:rPr>
          <w:rStyle w:val="AERbody"/>
        </w:rPr>
      </w:pPr>
      <w:r w:rsidRPr="007E742F">
        <w:rPr>
          <w:rStyle w:val="AERbody"/>
        </w:rPr>
        <w:t>The CAPM should be estimated at the beginning of the investment period and should reflect expectations for the investment horizon.</w:t>
      </w:r>
      <w:r w:rsidRPr="007E742F">
        <w:rPr>
          <w:rStyle w:val="FootnoteReference"/>
        </w:rPr>
        <w:footnoteReference w:id="352"/>
      </w:r>
      <w:r w:rsidRPr="007E742F">
        <w:rPr>
          <w:rStyle w:val="AERbody"/>
        </w:rPr>
        <w:t xml:space="preserve">  Accordingly, both the risk free rate and the MRP are estimated at the beginning of the period (or rather, as close as is practically possible) and reflect expectations for the investment horizon. </w:t>
      </w:r>
    </w:p>
    <w:p w:rsidR="007E742F" w:rsidRPr="007E742F" w:rsidRDefault="007E742F" w:rsidP="007E742F">
      <w:pPr>
        <w:pStyle w:val="AERbodytext"/>
        <w:rPr>
          <w:rStyle w:val="AERbody"/>
        </w:rPr>
      </w:pPr>
      <w:r w:rsidRPr="007E742F">
        <w:rPr>
          <w:rStyle w:val="AERbody"/>
        </w:rPr>
        <w:t>Rule 87(1) of the NGR requires the AER to estimate a rate of return that reflects prevailing conditions in the market for funds. These prevailing conditions can be considered ‘prevailing expectations’ over the relevant forward looking investment horizon, which is 10 years.</w:t>
      </w:r>
      <w:r w:rsidRPr="007E742F">
        <w:rPr>
          <w:rStyle w:val="FootnoteReference"/>
        </w:rPr>
        <w:footnoteReference w:id="353"/>
      </w:r>
      <w:r w:rsidRPr="007E742F">
        <w:rPr>
          <w:rStyle w:val="AERbody"/>
        </w:rPr>
        <w:t xml:space="preserve">  Accordingly, both the risk free rate and the MRP are forward looking estimates, although estimated using different types of data.</w:t>
      </w:r>
    </w:p>
    <w:p w:rsidR="007E742F" w:rsidRPr="007E742F" w:rsidRDefault="007E742F" w:rsidP="007E742F">
      <w:pPr>
        <w:pStyle w:val="AERbodytext"/>
        <w:rPr>
          <w:rStyle w:val="AERbody"/>
        </w:rPr>
      </w:pPr>
      <w:r w:rsidRPr="007E742F">
        <w:rPr>
          <w:rStyle w:val="AERbody"/>
        </w:rPr>
        <w:t>To satisfy these requirements in practice involves the use of differing methodologies and data sources. The risk free rate is not directly observable, but a proxy for the risk free rate is directly observable. A 10 year forward looking risk free rate can be estimated based on current market data (using 10 year CGS yields as the proxy).</w:t>
      </w:r>
      <w:r w:rsidRPr="007E742F">
        <w:rPr>
          <w:rStyle w:val="FootnoteReference"/>
        </w:rPr>
        <w:footnoteReference w:id="354"/>
      </w:r>
      <w:r w:rsidRPr="007E742F">
        <w:rPr>
          <w:rStyle w:val="AERbody"/>
        </w:rPr>
        <w:t xml:space="preserve">  On the other hand, the MRP is unobservable and there are no reliable proxies for it that can be directly observed. Prevailing MRP estimates using current market data will not necessarily reflect forward looking expectations and are influenced by the assumptions used.</w:t>
      </w:r>
      <w:r w:rsidRPr="007E742F">
        <w:rPr>
          <w:rStyle w:val="FootnoteReference"/>
        </w:rPr>
        <w:footnoteReference w:id="355"/>
      </w:r>
      <w:r w:rsidRPr="007E742F">
        <w:rPr>
          <w:rStyle w:val="AERbody"/>
        </w:rPr>
        <w:t xml:space="preserve">  Accordingly, a broader set of evidence is needed to judge the MRP. </w:t>
      </w:r>
    </w:p>
    <w:p w:rsidR="007E742F" w:rsidRPr="007E742F" w:rsidRDefault="007E742F" w:rsidP="007E742F">
      <w:pPr>
        <w:pStyle w:val="AERbodytext"/>
        <w:rPr>
          <w:rStyle w:val="AERbody"/>
        </w:rPr>
      </w:pPr>
      <w:r w:rsidRPr="007E742F">
        <w:rPr>
          <w:rStyle w:val="AERbody"/>
        </w:rPr>
        <w:t>Long term historical average excess returns are one such source of evidence, and they are used on the basis that historical realised returns are likely to influence investors’ expectations. The AER also considered forward looking evidence (such as survey evidence) in determining the appropriate estimate for the MRP. The use of judgement does not detract from the fact that the MRP is estimated as close as practical to the beginning of the period, and reflects expectations over the 10 year investment horizon.</w:t>
      </w:r>
    </w:p>
    <w:p w:rsidR="007E742F" w:rsidRPr="007E742F" w:rsidRDefault="007E742F" w:rsidP="007E742F">
      <w:pPr>
        <w:pStyle w:val="AERbodytext"/>
      </w:pPr>
      <w:r w:rsidRPr="007E742F">
        <w:rPr>
          <w:rStyle w:val="AERbody"/>
        </w:rPr>
        <w:t>Therefore, the AER does not use a short term estimate with a long term estimate. The AER uses estimates that reflect prevailing conditions and expectations over a 10 year investment horizon.</w:t>
      </w:r>
      <w:r w:rsidRPr="007E742F">
        <w:rPr>
          <w:rStyle w:val="AERbody"/>
        </w:rPr>
        <w:tab/>
      </w:r>
    </w:p>
    <w:p w:rsidR="007E742F" w:rsidRPr="007E742F" w:rsidRDefault="007E742F" w:rsidP="007E742F">
      <w:pPr>
        <w:pStyle w:val="AERheading4"/>
      </w:pPr>
      <w:r w:rsidRPr="007E742F">
        <w:t>Economic interdependencies</w:t>
      </w:r>
    </w:p>
    <w:p w:rsidR="007E742F" w:rsidRPr="007E742F" w:rsidRDefault="007E742F" w:rsidP="007E742F">
      <w:pPr>
        <w:pStyle w:val="AERbodytext"/>
        <w:rPr>
          <w:rStyle w:val="AERbody"/>
        </w:rPr>
      </w:pPr>
      <w:r w:rsidRPr="007E742F">
        <w:rPr>
          <w:rStyle w:val="AERbody"/>
        </w:rPr>
        <w:t>APA GasNet submitted the MRP and the risk free rate have a negative relationship.</w:t>
      </w:r>
      <w:r w:rsidRPr="007E742F">
        <w:rPr>
          <w:rStyle w:val="FootnoteReference"/>
        </w:rPr>
        <w:footnoteReference w:id="356"/>
      </w:r>
      <w:r w:rsidRPr="007E742F">
        <w:rPr>
          <w:rStyle w:val="AERbody"/>
        </w:rPr>
        <w:t xml:space="preserve"> Its contention was based on a CEG report. In turn, the AER considered three aspects of this issue: the theoretical argument, the empirical evidence and the CEG chart based on the AMP method. </w:t>
      </w:r>
    </w:p>
    <w:p w:rsidR="007E742F" w:rsidRPr="007E742F" w:rsidRDefault="007E742F" w:rsidP="007E742F">
      <w:pPr>
        <w:pStyle w:val="AERheading5"/>
        <w:rPr>
          <w:rStyle w:val="AERbody"/>
        </w:rPr>
      </w:pPr>
      <w:r w:rsidRPr="007E742F">
        <w:rPr>
          <w:rStyle w:val="AERbody"/>
        </w:rPr>
        <w:t>Theoretical argument</w:t>
      </w:r>
    </w:p>
    <w:p w:rsidR="007E742F" w:rsidRPr="007E742F" w:rsidRDefault="007E742F" w:rsidP="007E742F">
      <w:pPr>
        <w:pStyle w:val="AERbodytext"/>
        <w:rPr>
          <w:rStyle w:val="AERbody"/>
        </w:rPr>
      </w:pPr>
      <w:r w:rsidRPr="007E742F">
        <w:rPr>
          <w:rStyle w:val="AERbody"/>
        </w:rPr>
        <w:t>The AER acknowledges a possible theoretical case for a negative relationship between the risk free rate and MRP in certain circumstances. But there is no sound basis for establishing any such theoretical relationship for the duration of the relevant investment horizon. That investment horizon is a 10 year forward looking period for both the risk free rate and MRP. Additionally, as discussed below, the empirical evidence in support of such a relationship over the relevant period is not conclusive.</w:t>
      </w:r>
    </w:p>
    <w:p w:rsidR="007E742F" w:rsidRPr="007E742F" w:rsidRDefault="007E742F" w:rsidP="007E742F">
      <w:pPr>
        <w:pStyle w:val="AERbodytext"/>
        <w:rPr>
          <w:rStyle w:val="AERbody"/>
        </w:rPr>
      </w:pPr>
      <w:r w:rsidRPr="007E742F">
        <w:rPr>
          <w:rStyle w:val="AERbody"/>
        </w:rPr>
        <w:t>Lally considered:</w:t>
      </w:r>
    </w:p>
    <w:p w:rsidR="007E742F" w:rsidRPr="007E742F" w:rsidRDefault="007E742F" w:rsidP="006E1CEF">
      <w:pPr>
        <w:pStyle w:val="AERquote"/>
        <w:rPr>
          <w:rStyle w:val="AERbody"/>
        </w:rPr>
      </w:pPr>
      <w:r w:rsidRPr="006E1CEF">
        <w:rPr>
          <w:rStyle w:val="AERbody"/>
          <w:color w:val="000000"/>
          <w:sz w:val="16"/>
        </w:rPr>
        <w:t>Although there is nothing in finance theory that supports (or rejects) a negative relationship between the CGS rate and the market risk premium, a negative relationship is plausible because the market risk premium is compensation for bearing equity risk, equity risk (volatility) seems to be greatest in depressed economic conditions, and the risk free rate also tends to be lowest in depressed economic conditions.</w:t>
      </w:r>
      <w:r w:rsidRPr="007E742F">
        <w:rPr>
          <w:rStyle w:val="AERsuperscript"/>
        </w:rPr>
        <w:footnoteReference w:id="357"/>
      </w:r>
    </w:p>
    <w:p w:rsidR="007E742F" w:rsidRPr="007E742F" w:rsidRDefault="007E742F" w:rsidP="007E742F">
      <w:pPr>
        <w:pStyle w:val="AERbodytext"/>
        <w:rPr>
          <w:rStyle w:val="AERbody"/>
        </w:rPr>
      </w:pPr>
      <w:r w:rsidRPr="007E742F">
        <w:rPr>
          <w:rStyle w:val="AERbody"/>
        </w:rPr>
        <w:t>However, Lally continued:</w:t>
      </w:r>
    </w:p>
    <w:p w:rsidR="007E742F" w:rsidRPr="007E742F" w:rsidRDefault="007E742F" w:rsidP="006E1CEF">
      <w:pPr>
        <w:pStyle w:val="AERquote"/>
        <w:rPr>
          <w:rStyle w:val="AERbody"/>
        </w:rPr>
      </w:pPr>
      <w:r w:rsidRPr="006E1CEF">
        <w:rPr>
          <w:rStyle w:val="AERbody"/>
          <w:color w:val="000000"/>
          <w:sz w:val="16"/>
        </w:rPr>
        <w:t>...</w:t>
      </w:r>
      <w:r w:rsidRPr="006E1CEF">
        <w:t xml:space="preserve"> </w:t>
      </w:r>
      <w:r w:rsidRPr="006E1CEF">
        <w:rPr>
          <w:rStyle w:val="AERbody"/>
          <w:color w:val="000000"/>
          <w:sz w:val="16"/>
        </w:rPr>
        <w:t>whilst CGS yields are very low because of generally depressed world economic conditions, Australia is not experiencing depressed economic conditions. Furthermore, even if the correlation between the CGS yield and the MRP were negative, the significant issue for regulatory purposes is the strength of this relationship and especially its strength in respect of the ten year risk free rate and the ten year MRP. Market volatility (and therefore the market risk premium) might be high today but volatility (and hence the MRP) tends to rapidly subside to normal levels (French et al. 1987, Figure 1a) and the MRP for the next ten years might not then be greatly increased by a temporary upsurge in volatility.</w:t>
      </w:r>
      <w:r w:rsidRPr="007E742F">
        <w:rPr>
          <w:rStyle w:val="AERsuperscript"/>
        </w:rPr>
        <w:footnoteReference w:id="358"/>
      </w:r>
      <w:r w:rsidRPr="007E742F">
        <w:rPr>
          <w:rStyle w:val="AERsuperscript"/>
        </w:rPr>
        <w:t xml:space="preserve"> </w:t>
      </w:r>
    </w:p>
    <w:p w:rsidR="007E742F" w:rsidRPr="007E742F" w:rsidRDefault="007E742F" w:rsidP="007E742F">
      <w:pPr>
        <w:pStyle w:val="AERbodytext"/>
        <w:rPr>
          <w:rStyle w:val="AERbody"/>
        </w:rPr>
      </w:pPr>
      <w:r w:rsidRPr="007E742F">
        <w:rPr>
          <w:rStyle w:val="AERbody"/>
        </w:rPr>
        <w:t xml:space="preserve">This consideration is pertinent to the AER’s task because the AER is estimating a 10 year forward looking MRP. Accordingly, despite a possible tendency for the negative relationship over the short term, neither the theory nor the empirical evidence (see below) before the AER (including the material submitted by CEG) supports this relationship over longer periods. </w:t>
      </w:r>
    </w:p>
    <w:p w:rsidR="007E742F" w:rsidRPr="007E742F" w:rsidRDefault="007E742F" w:rsidP="007E742F">
      <w:pPr>
        <w:pStyle w:val="AERheading5"/>
        <w:rPr>
          <w:rStyle w:val="AERbody"/>
        </w:rPr>
      </w:pPr>
      <w:r w:rsidRPr="007E742F">
        <w:rPr>
          <w:rStyle w:val="AERbody"/>
        </w:rPr>
        <w:t>Empirical evidence</w:t>
      </w:r>
    </w:p>
    <w:p w:rsidR="007E742F" w:rsidRPr="007E742F" w:rsidRDefault="007E742F" w:rsidP="007E742F">
      <w:pPr>
        <w:pStyle w:val="AERbodytext"/>
        <w:rPr>
          <w:rStyle w:val="AERbody"/>
        </w:rPr>
      </w:pPr>
      <w:r w:rsidRPr="007E742F">
        <w:rPr>
          <w:rStyle w:val="AERbody"/>
        </w:rPr>
        <w:t>In response to a similar proposal submitted by Aurora, the AER’s consultants, McKenzie and Partington, considered the available material. McKenzie and Partington noted some empirical evidence of a negative correlation between the short term nominal government bill yield (short term) and future nominal excess returns on the market. However, this negative correlation becomes weaker as the time horizon becomes longer. Further, the explanatory power of these regressions is low. Consequently, these regressions are unlikely to provide a reliable forecast of excess returns. McKenzie and Partington stated:</w:t>
      </w:r>
    </w:p>
    <w:p w:rsidR="007E742F" w:rsidRPr="007E742F" w:rsidRDefault="007E742F" w:rsidP="007E742F">
      <w:pPr>
        <w:pStyle w:val="AERquote"/>
        <w:rPr>
          <w:rStyle w:val="AERbody"/>
        </w:rPr>
      </w:pPr>
      <w:r w:rsidRPr="007E742F">
        <w:t>Low explanatory power is usual for equations that predict returns, but in the current case it does mean that the effect of the yield is readily offset by random variation in other factors. In other words, random variation represents most of the excess returns. It also seems that the relation is not particularly stable. A consequence of low explanatory power and instability is that the regression between yields and excess returns is unlikely to provide a reliable forecast of excess returns</w:t>
      </w:r>
      <w:r w:rsidRPr="007E742F">
        <w:rPr>
          <w:rStyle w:val="AERbody"/>
        </w:rPr>
        <w:t>.</w:t>
      </w:r>
      <w:r w:rsidRPr="007E742F">
        <w:rPr>
          <w:rStyle w:val="FootnoteReference"/>
        </w:rPr>
        <w:footnoteReference w:id="359"/>
      </w:r>
    </w:p>
    <w:p w:rsidR="007E742F" w:rsidRPr="007E742F" w:rsidRDefault="007E742F" w:rsidP="007E742F">
      <w:pPr>
        <w:pStyle w:val="AERbodytext"/>
        <w:rPr>
          <w:rStyle w:val="AERbody"/>
        </w:rPr>
      </w:pPr>
      <w:r w:rsidRPr="007E742F">
        <w:rPr>
          <w:rStyle w:val="AERbody"/>
        </w:rPr>
        <w:t>Lally noted CEG did not present any persuasive evidence of a strong negative relationship between the 10 year forward looking risk free rate and the 10 year forward looking MRP:</w:t>
      </w:r>
      <w:r w:rsidRPr="007E742F">
        <w:rPr>
          <w:rStyle w:val="FootnoteReference"/>
        </w:rPr>
        <w:t xml:space="preserve"> </w:t>
      </w:r>
    </w:p>
    <w:p w:rsidR="007E742F" w:rsidRPr="007E742F" w:rsidRDefault="007E742F" w:rsidP="007E742F">
      <w:pPr>
        <w:pStyle w:val="AERbulletlistfirststyle"/>
        <w:rPr>
          <w:rStyle w:val="AERbody"/>
        </w:rPr>
      </w:pPr>
      <w:r w:rsidRPr="007E742F">
        <w:rPr>
          <w:rStyle w:val="AERbody"/>
        </w:rPr>
        <w:t>The Lettau and Ludvigson (2001) paper examined the US 30 day Treasury Bill rate rather than the 10 year rate. Further, this short term negative relationship reversed after two years.</w:t>
      </w:r>
    </w:p>
    <w:p w:rsidR="007E742F" w:rsidRPr="007E742F" w:rsidRDefault="007E742F" w:rsidP="007E742F">
      <w:pPr>
        <w:pStyle w:val="AERbulletlistfirststyle"/>
        <w:rPr>
          <w:rStyle w:val="AERbody"/>
        </w:rPr>
      </w:pPr>
      <w:r w:rsidRPr="007E742F">
        <w:rPr>
          <w:rStyle w:val="AERbody"/>
        </w:rPr>
        <w:t>The Smithers and Co’s advice was based on 'Siegel’s constant'. Siegel’s arguments are concerned with real rather than nominal returns. Even in real terms, Siegel did not suggest the MRP moves inversely with the risk free rate to the point that the cost of equity is largely unchanged.</w:t>
      </w:r>
    </w:p>
    <w:p w:rsidR="007E742F" w:rsidRPr="007E742F" w:rsidRDefault="007E742F" w:rsidP="007E742F">
      <w:pPr>
        <w:pStyle w:val="AERbulletlistfirststyle"/>
        <w:rPr>
          <w:rStyle w:val="AERbody"/>
        </w:rPr>
      </w:pPr>
      <w:r w:rsidRPr="007E742F">
        <w:rPr>
          <w:rStyle w:val="AERbody"/>
        </w:rPr>
        <w:t>The rise in the expected rate of return on state government debt might have been due entirely to increases in expected default losses and liquid premium relative to CGS yield. In this case, the MRP would not increase with the debt risk premium.</w:t>
      </w:r>
      <w:r w:rsidRPr="007E742F">
        <w:rPr>
          <w:rStyle w:val="FootnoteReference"/>
        </w:rPr>
        <w:footnoteReference w:id="360"/>
      </w:r>
    </w:p>
    <w:p w:rsidR="007E742F" w:rsidRPr="007E742F" w:rsidRDefault="007E742F" w:rsidP="007E742F">
      <w:pPr>
        <w:pStyle w:val="AERbodytext"/>
        <w:rPr>
          <w:rStyle w:val="AERbody"/>
        </w:rPr>
      </w:pPr>
      <w:r w:rsidRPr="007E742F">
        <w:rPr>
          <w:rStyle w:val="AERbody"/>
        </w:rPr>
        <w:t>The AER considers the concerns raised by Lally are relevant because the AER is estimating a 10 year forward looking MRP, not a forward looking MRP over a short time horizon. Based on the advice from McKenzie and Partington, and Lally, the AER concludes the empirical evidence is not strong in support of a negative correlation between the risk free rate and the MRP. It also considers any such negative relationship would not warrant adjusting the MRP to compensate for the risk free rate. Further, recent literature suggests the relationship could be positive.</w:t>
      </w:r>
      <w:r w:rsidRPr="007E742F">
        <w:rPr>
          <w:rStyle w:val="FootnoteReference"/>
        </w:rPr>
        <w:footnoteReference w:id="361"/>
      </w:r>
    </w:p>
    <w:p w:rsidR="007E742F" w:rsidRPr="007E742F" w:rsidRDefault="007E742F" w:rsidP="007E742F">
      <w:pPr>
        <w:pStyle w:val="AERheading5"/>
        <w:rPr>
          <w:rStyle w:val="AERbody"/>
        </w:rPr>
      </w:pPr>
      <w:r w:rsidRPr="007E742F">
        <w:rPr>
          <w:rStyle w:val="AERbody"/>
        </w:rPr>
        <w:t>CEG chart based on the AMP method</w:t>
      </w:r>
    </w:p>
    <w:p w:rsidR="007E742F" w:rsidRPr="007E742F" w:rsidRDefault="007E742F" w:rsidP="007E742F">
      <w:pPr>
        <w:pStyle w:val="AERbodytext"/>
        <w:rPr>
          <w:rStyle w:val="AERbody"/>
        </w:rPr>
      </w:pPr>
      <w:r w:rsidRPr="007E742F">
        <w:rPr>
          <w:rStyle w:val="AERbody"/>
        </w:rPr>
        <w:t>The AER examined the CEG chart (reproduced below), which is based on the AMP method. CEG derived this time series by first estimating the prevailing cost of equity (the red line) and then calculating the MRP (the green line) by subtracting the prevailing 10 year CGS yield at any point in time (the blue line).</w:t>
      </w:r>
      <w:r w:rsidRPr="007E742F">
        <w:rPr>
          <w:rStyle w:val="FootnoteReference"/>
        </w:rPr>
        <w:footnoteReference w:id="362"/>
      </w:r>
      <w:r w:rsidRPr="007E742F">
        <w:rPr>
          <w:rStyle w:val="AERbody"/>
        </w:rPr>
        <w:t xml:space="preserve"> The red line is relatively stable over time. Subtracting the blue line from the red line thus creates the appearance of a strong negative correlation between the risk free rate (green line) and MRP (blue line). Lally identified this problem. He found the CEG AMP method uses a perfect offset assumption</w:t>
      </w:r>
      <w:r w:rsidRPr="007E742F">
        <w:rPr>
          <w:rStyle w:val="FootnoteReference"/>
        </w:rPr>
        <w:footnoteReference w:id="363"/>
      </w:r>
      <w:r w:rsidRPr="007E742F">
        <w:rPr>
          <w:rStyle w:val="AERbody"/>
        </w:rPr>
        <w:t xml:space="preserve"> and thus generates results showing a stable cost of equity over time.</w:t>
      </w:r>
      <w:r w:rsidRPr="007E742F">
        <w:rPr>
          <w:rStyle w:val="FootnoteReference"/>
        </w:rPr>
        <w:footnoteReference w:id="364"/>
      </w:r>
      <w:r w:rsidRPr="007E742F">
        <w:rPr>
          <w:rStyle w:val="AERbody"/>
        </w:rPr>
        <w:t xml:space="preserve"> Lally described CEG's chart as being 'predisposed' to the result that it displays.</w:t>
      </w:r>
      <w:r w:rsidRPr="007E742F">
        <w:rPr>
          <w:rStyle w:val="FootnoteReference"/>
        </w:rPr>
        <w:footnoteReference w:id="365"/>
      </w:r>
      <w:r w:rsidRPr="007E742F">
        <w:rPr>
          <w:rStyle w:val="AERbody"/>
        </w:rPr>
        <w:t xml:space="preserve"> For these reasons, the AER considers this chart is not valid empirical evidence of a negative relationship between the prevailing market risk premium and the prevailing risk free rate. Additionally, because CEG's AMP method is based on the DGM model, that model's general limitations (outlined in section </w:t>
      </w:r>
      <w:r w:rsidR="00DE0D6A" w:rsidRPr="007E742F">
        <w:rPr>
          <w:rStyle w:val="AERbody"/>
        </w:rPr>
        <w:fldChar w:fldCharType="begin"/>
      </w:r>
      <w:r w:rsidRPr="007E742F">
        <w:rPr>
          <w:rStyle w:val="AERbody"/>
        </w:rPr>
        <w:instrText xml:space="preserve"> REF _Ref332971666 \r \h </w:instrText>
      </w:r>
      <w:r w:rsidR="00DE0D6A" w:rsidRPr="007E742F">
        <w:rPr>
          <w:rStyle w:val="AERbody"/>
        </w:rPr>
      </w:r>
      <w:r w:rsidR="00DE0D6A" w:rsidRPr="007E742F">
        <w:rPr>
          <w:rStyle w:val="AERbody"/>
        </w:rPr>
        <w:fldChar w:fldCharType="separate"/>
      </w:r>
      <w:r w:rsidRPr="007E742F">
        <w:rPr>
          <w:rStyle w:val="AERbody"/>
        </w:rPr>
        <w:t>4.3.3</w:t>
      </w:r>
      <w:r w:rsidR="00DE0D6A" w:rsidRPr="007E742F">
        <w:rPr>
          <w:rStyle w:val="AERbody"/>
        </w:rPr>
        <w:fldChar w:fldCharType="end"/>
      </w:r>
      <w:r w:rsidRPr="007E742F">
        <w:rPr>
          <w:rStyle w:val="AERbody"/>
        </w:rPr>
        <w:t>) also apply to this analysis.</w:t>
      </w:r>
    </w:p>
    <w:p w:rsidR="007E742F" w:rsidRPr="007E742F" w:rsidRDefault="007E742F" w:rsidP="007E742F">
      <w:pPr>
        <w:pStyle w:val="AERbodytext"/>
        <w:rPr>
          <w:rStyle w:val="AERbody"/>
        </w:rPr>
      </w:pPr>
      <w:r w:rsidRPr="007E742F">
        <w:rPr>
          <w:rStyle w:val="AERbody"/>
        </w:rPr>
        <w:t>Lally also pointed out this method produces an MRP estimate of zero in 1994—an 'implausible' result. Combining these points, Lally concluded:</w:t>
      </w:r>
    </w:p>
    <w:p w:rsidR="007E742F" w:rsidRPr="007E742F" w:rsidRDefault="007E742F" w:rsidP="00377B37">
      <w:pPr>
        <w:pStyle w:val="AERquote"/>
        <w:rPr>
          <w:rStyle w:val="AERbody"/>
        </w:rPr>
      </w:pPr>
      <w:r w:rsidRPr="00377B37">
        <w:rPr>
          <w:rStyle w:val="AERbody"/>
          <w:color w:val="000000"/>
          <w:sz w:val="16"/>
        </w:rPr>
        <w:t>Thus, if the perfect-offset hypothesis should be rejected in 1994 when the risk free rate was unusually high, it should also be rejected in 2012 when the risk free rate was unusually low</w:t>
      </w:r>
      <w:r w:rsidRPr="007E742F">
        <w:rPr>
          <w:rStyle w:val="AERbody"/>
        </w:rPr>
        <w:t>.</w:t>
      </w:r>
      <w:r w:rsidRPr="007E742F">
        <w:rPr>
          <w:rStyle w:val="AERsuperscript"/>
        </w:rPr>
        <w:footnoteReference w:id="366"/>
      </w:r>
    </w:p>
    <w:p w:rsidR="007E742F" w:rsidRPr="007E742F" w:rsidRDefault="007E742F" w:rsidP="006E1CEF">
      <w:pPr>
        <w:pStyle w:val="AERfigureheading"/>
        <w:numPr>
          <w:ilvl w:val="3"/>
          <w:numId w:val="46"/>
        </w:numPr>
        <w:tabs>
          <w:tab w:val="clear" w:pos="357"/>
          <w:tab w:val="num" w:pos="1418"/>
        </w:tabs>
        <w:ind w:left="1418" w:hanging="1418"/>
        <w:rPr>
          <w:rStyle w:val="AERbody"/>
        </w:rPr>
      </w:pPr>
      <w:r w:rsidRPr="007E742F">
        <w:rPr>
          <w:rStyle w:val="AERbody"/>
        </w:rPr>
        <w:t>CEG AMP method estimate of Return on Equity and MRP relative to 10 year CGS yields</w:t>
      </w:r>
    </w:p>
    <w:p w:rsidR="007E742F" w:rsidRPr="007E742F" w:rsidRDefault="00AB287B" w:rsidP="007E742F">
      <w:pPr>
        <w:pStyle w:val="AERbodytext"/>
        <w:rPr>
          <w:rStyle w:val="AERbody"/>
        </w:rPr>
      </w:pPr>
      <w:r>
        <w:pict>
          <v:shape id="_x0000_i1030" type="#_x0000_t75" style="width:420.3pt;height:269.6pt;visibility:visible;mso-wrap-style:square">
            <v:imagedata r:id="rId25" o:title="" croptop="524f" cropbottom="699f" cropleft="457f" cropright="457f"/>
          </v:shape>
        </w:pict>
      </w:r>
    </w:p>
    <w:p w:rsidR="007E742F" w:rsidRPr="00377B37" w:rsidRDefault="007E742F" w:rsidP="00377B37">
      <w:pPr>
        <w:pStyle w:val="AERtablesource"/>
        <w:rPr>
          <w:rStyle w:val="AERbody"/>
          <w:sz w:val="16"/>
        </w:rPr>
      </w:pPr>
      <w:r w:rsidRPr="00377B37">
        <w:rPr>
          <w:rStyle w:val="AERbody"/>
          <w:sz w:val="16"/>
        </w:rPr>
        <w:t xml:space="preserve">Source: </w:t>
      </w:r>
      <w:r w:rsidRPr="00377B37">
        <w:rPr>
          <w:rStyle w:val="AERbody"/>
          <w:sz w:val="16"/>
        </w:rPr>
        <w:tab/>
        <w:t xml:space="preserve">CEG, </w:t>
      </w:r>
      <w:r w:rsidRPr="00377B37">
        <w:rPr>
          <w:rStyle w:val="AERtextitalic"/>
          <w:i w:val="0"/>
        </w:rPr>
        <w:t>Internal consistency of risk free rate and MRP in the CAPM</w:t>
      </w:r>
      <w:r w:rsidRPr="00377B37">
        <w:rPr>
          <w:rStyle w:val="AERbody"/>
          <w:sz w:val="16"/>
        </w:rPr>
        <w:t>, March 2012, figure 8.</w:t>
      </w:r>
    </w:p>
    <w:p w:rsidR="007E742F" w:rsidRPr="007E742F" w:rsidRDefault="007E742F" w:rsidP="007E742F">
      <w:pPr>
        <w:pStyle w:val="AERheading4"/>
      </w:pPr>
      <w:r w:rsidRPr="007E742F">
        <w:t xml:space="preserve">Other regulatory systems </w:t>
      </w:r>
    </w:p>
    <w:p w:rsidR="007E742F" w:rsidRPr="007E742F" w:rsidRDefault="007E742F" w:rsidP="007E742F">
      <w:pPr>
        <w:pStyle w:val="AERbodytext"/>
      </w:pPr>
      <w:r w:rsidRPr="007E742F">
        <w:t>CEG suggested the AER should consider regulatory precedent outside Australia when it makes its decision under Rule 87 of the NGR. CEG stated that UK and the US regulators generally support adjusting the cost of equity when risk free rates are unusually low.</w:t>
      </w:r>
      <w:r w:rsidRPr="007E742F">
        <w:rPr>
          <w:rStyle w:val="FootnoteReference"/>
        </w:rPr>
        <w:footnoteReference w:id="367"/>
      </w:r>
      <w:r w:rsidRPr="007E742F">
        <w:t xml:space="preserve"> </w:t>
      </w:r>
    </w:p>
    <w:p w:rsidR="007E742F" w:rsidRPr="007E742F" w:rsidRDefault="007E742F" w:rsidP="007E742F">
      <w:pPr>
        <w:pStyle w:val="AERbodytext"/>
        <w:rPr>
          <w:rStyle w:val="AERbody"/>
        </w:rPr>
      </w:pPr>
      <w:r w:rsidRPr="007E742F">
        <w:rPr>
          <w:rStyle w:val="AERbody"/>
        </w:rPr>
        <w:t xml:space="preserve">The AER acknowledges </w:t>
      </w:r>
      <w:r w:rsidRPr="007E742F">
        <w:t xml:space="preserve">the UK regulators make an upward adjustment in the risk free rate when the prevailing risk free rate is low, while the US regulators tend to use the DGM to estimate the cost of equity. It considers these decisions </w:t>
      </w:r>
      <w:r w:rsidRPr="007E742F">
        <w:rPr>
          <w:rStyle w:val="AERbody"/>
        </w:rPr>
        <w:t xml:space="preserve">are not comparable to those of the AER because they are made under a different legal framework. Under </w:t>
      </w:r>
      <w:r w:rsidRPr="007E742F">
        <w:t>Rule 40 of the NGR, the AER can withhold its approval if it considers a preferable alternative exists that complies with the NGR and NGL requirements and criteria.</w:t>
      </w:r>
      <w:r w:rsidRPr="007E742F">
        <w:rPr>
          <w:rStyle w:val="FootnoteReference"/>
        </w:rPr>
        <w:footnoteReference w:id="368"/>
      </w:r>
      <w:r w:rsidRPr="007E742F">
        <w:rPr>
          <w:rStyle w:val="AERbody"/>
        </w:rPr>
        <w:t xml:space="preserve"> </w:t>
      </w:r>
    </w:p>
    <w:p w:rsidR="007E742F" w:rsidRPr="007E742F" w:rsidRDefault="007E742F" w:rsidP="007E742F">
      <w:pPr>
        <w:pStyle w:val="AERbodytext"/>
        <w:rPr>
          <w:rStyle w:val="AERbody"/>
        </w:rPr>
      </w:pPr>
      <w:r w:rsidRPr="007E742F">
        <w:rPr>
          <w:rStyle w:val="AERbody"/>
        </w:rPr>
        <w:t xml:space="preserve">The AER notes the risk free rate is low at the moment. However, it does not consider making an upward adjustment to the risk free rate is appropriate for the reasons set out in section </w:t>
      </w:r>
      <w:r w:rsidR="00DE0D6A" w:rsidRPr="007E742F">
        <w:rPr>
          <w:rStyle w:val="AERbody"/>
        </w:rPr>
        <w:fldChar w:fldCharType="begin"/>
      </w:r>
      <w:r w:rsidRPr="007E742F">
        <w:rPr>
          <w:rStyle w:val="AERbody"/>
        </w:rPr>
        <w:instrText xml:space="preserve"> REF _Ref333916667 \r \h </w:instrText>
      </w:r>
      <w:r w:rsidR="00DE0D6A" w:rsidRPr="007E742F">
        <w:rPr>
          <w:rStyle w:val="AERbody"/>
        </w:rPr>
      </w:r>
      <w:r w:rsidR="00DE0D6A" w:rsidRPr="007E742F">
        <w:rPr>
          <w:rStyle w:val="AERbody"/>
        </w:rPr>
        <w:fldChar w:fldCharType="separate"/>
      </w:r>
      <w:r w:rsidRPr="007E742F">
        <w:rPr>
          <w:rStyle w:val="AERbody"/>
        </w:rPr>
        <w:t>4.3.2</w:t>
      </w:r>
      <w:r w:rsidR="00DE0D6A" w:rsidRPr="007E742F">
        <w:rPr>
          <w:rStyle w:val="AERbody"/>
        </w:rPr>
        <w:fldChar w:fldCharType="end"/>
      </w:r>
      <w:r w:rsidRPr="007E742F">
        <w:rPr>
          <w:rStyle w:val="AERbody"/>
        </w:rPr>
        <w:t>. The AER notes DGM analysis is subject to a number of limitations when estimating a forward looking MRP. This is discussed in appendix B. In addition, Lally noted using DGM to directly estimate the cost of equity is subject to two further problems:</w:t>
      </w:r>
    </w:p>
    <w:p w:rsidR="007E742F" w:rsidRPr="007E742F" w:rsidRDefault="007E742F" w:rsidP="007E742F">
      <w:pPr>
        <w:pStyle w:val="AERbulletlistfirststyle"/>
        <w:rPr>
          <w:rStyle w:val="AERbody"/>
        </w:rPr>
      </w:pPr>
      <w:r w:rsidRPr="007E742F">
        <w:rPr>
          <w:rStyle w:val="AERbody"/>
        </w:rPr>
        <w:t>The regulated business would have a very strong incentive to manipulate its dividend policy in order to maximise its regulatory return.</w:t>
      </w:r>
    </w:p>
    <w:p w:rsidR="007E742F" w:rsidRPr="007E742F" w:rsidRDefault="007E742F" w:rsidP="007E742F">
      <w:pPr>
        <w:pStyle w:val="AERbulletlistfirststyle"/>
        <w:rPr>
          <w:rStyle w:val="AERbody"/>
        </w:rPr>
      </w:pPr>
      <w:r w:rsidRPr="007E742F">
        <w:rPr>
          <w:rStyle w:val="AERbody"/>
        </w:rPr>
        <w:t>This estimate does not accurately reflect the cost of equity of the regulated activity if the business also undertakes unregulated activity.</w:t>
      </w:r>
      <w:r w:rsidRPr="007E742F">
        <w:rPr>
          <w:rStyle w:val="FootnoteReference"/>
        </w:rPr>
        <w:footnoteReference w:id="369"/>
      </w:r>
      <w:r w:rsidRPr="007E742F">
        <w:rPr>
          <w:rStyle w:val="AERbody"/>
        </w:rPr>
        <w:t xml:space="preserve"> </w:t>
      </w:r>
    </w:p>
    <w:p w:rsidR="007E742F" w:rsidRPr="007E742F" w:rsidRDefault="007E742F" w:rsidP="007E742F">
      <w:pPr>
        <w:pStyle w:val="AERbodytext"/>
      </w:pPr>
      <w:r w:rsidRPr="007E742F">
        <w:rPr>
          <w:rStyle w:val="AERbody"/>
        </w:rPr>
        <w:t xml:space="preserve">The AER considers it is inappropriate to rely on DGM estimates or use long term historical risk free rate when the risk free rate is low. This is in accordance with our interpretation of the NGR. That is the AER is to determine the best estimate possible in the circumstances commensurate with prevailing conditions in the market for funds. </w:t>
      </w:r>
    </w:p>
    <w:p w:rsidR="007E742F" w:rsidRPr="007E742F" w:rsidRDefault="007E742F" w:rsidP="007E742F">
      <w:pPr>
        <w:pStyle w:val="AERheading3"/>
      </w:pPr>
      <w:bookmarkStart w:id="68" w:name="_Ref333929152"/>
      <w:r w:rsidRPr="007E742F">
        <w:t>Equity beta</w:t>
      </w:r>
      <w:bookmarkEnd w:id="68"/>
    </w:p>
    <w:p w:rsidR="007E742F" w:rsidRPr="007E742F" w:rsidRDefault="007E742F" w:rsidP="007E742F">
      <w:pPr>
        <w:pStyle w:val="AERbodytext"/>
        <w:rPr>
          <w:rStyle w:val="AERbody"/>
        </w:rPr>
      </w:pPr>
      <w:r w:rsidRPr="007E742F">
        <w:rPr>
          <w:rStyle w:val="AERbody"/>
        </w:rPr>
        <w:t>The equity beta provides a measure of the ‘riskiness’ of an asset’s return compared with the return on the entire market. The equity beta reflects the exposure of the asset to systematic or ‘non-diversifiable’ risk, which is the only form of risk that requires compensation under the CAPM.</w:t>
      </w:r>
    </w:p>
    <w:p w:rsidR="007E742F" w:rsidRPr="007E742F" w:rsidRDefault="007E742F" w:rsidP="007E742F">
      <w:pPr>
        <w:pStyle w:val="AERbodytext"/>
      </w:pPr>
      <w:r w:rsidRPr="007E742F">
        <w:t>APA GasNet proposed an equity beta of 0.8 noting this was adopted by the AER in the most recent gas distribution decision (Envestra 2011–16), ‘notwithstanding the compelling evidence that the benchmark equity beta should be at least 1.0.’</w:t>
      </w:r>
      <w:r w:rsidRPr="007E742F">
        <w:rPr>
          <w:rStyle w:val="FootnoteReference"/>
        </w:rPr>
        <w:footnoteReference w:id="370"/>
      </w:r>
      <w:r w:rsidRPr="007E742F">
        <w:t xml:space="preserve"> The AER accepts APA GasNet's</w:t>
      </w:r>
      <w:r w:rsidRPr="007E742F">
        <w:rPr>
          <w:highlight w:val="yellow"/>
        </w:rPr>
        <w:t xml:space="preserve"> </w:t>
      </w:r>
      <w:r w:rsidRPr="007E742F">
        <w:t xml:space="preserve">proposal for an equity beta of 0.8. </w:t>
      </w:r>
    </w:p>
    <w:p w:rsidR="007E742F" w:rsidRPr="007E742F" w:rsidRDefault="007E742F" w:rsidP="007E742F">
      <w:pPr>
        <w:pStyle w:val="AERbodytext"/>
      </w:pPr>
      <w:r w:rsidRPr="007E742F">
        <w:t>The AER considers that the empirical evidence presented in the WACC review contains the best available estimate of the equity beta that would apply to a benchmark gas distribution network service provider, taking into account the need to reflect prevailing market conditions and the risks involved in providing reference services. This empirical evidence indicated a point estimate of between 0.4 and 0.7 for the equity beta of electricity and gas service providers.</w:t>
      </w:r>
      <w:r w:rsidRPr="007E742F">
        <w:rPr>
          <w:rStyle w:val="FootnoteReference"/>
        </w:rPr>
        <w:footnoteReference w:id="371"/>
      </w:r>
      <w:r w:rsidRPr="007E742F">
        <w:rPr>
          <w:rStyle w:val="FootnoteReference"/>
        </w:rPr>
        <w:t xml:space="preserve"> </w:t>
      </w:r>
      <w:r w:rsidRPr="007E742F">
        <w:t>The adopting of an equity beta just above this range was in recognition of the level of imprecision around these estimates and the desirability of stability in regulatory decision making over time.</w:t>
      </w:r>
      <w:r w:rsidRPr="007E742F">
        <w:rPr>
          <w:rStyle w:val="FootnoteReference"/>
        </w:rPr>
        <w:footnoteReference w:id="372"/>
      </w:r>
      <w:r w:rsidRPr="007E742F">
        <w:t xml:space="preserve"> Since the WACC review, the AER has adopted 0.8 in each of its regulatory decisions for other gas distribution and transmission service providers. Cross checks against Australian water utilities or overseas electricity and gas networks also indicate that the equity beta set by the AER is reasonable.</w:t>
      </w:r>
    </w:p>
    <w:p w:rsidR="007E742F" w:rsidRPr="007E742F" w:rsidRDefault="007E742F" w:rsidP="007E742F">
      <w:pPr>
        <w:pStyle w:val="AERbodytext"/>
      </w:pPr>
      <w:r w:rsidRPr="007E742F">
        <w:rPr>
          <w:rStyle w:val="AERbody"/>
        </w:rPr>
        <w:t xml:space="preserve">The </w:t>
      </w:r>
      <w:r w:rsidRPr="007E742F">
        <w:t>evidence referred to by APA GasNet that beta should be at least 1.0, was put forth by Envestra SA in its revised application for the 2011–16</w:t>
      </w:r>
      <w:r w:rsidRPr="007E742F">
        <w:rPr>
          <w:rStyle w:val="AERbody"/>
        </w:rPr>
        <w:t xml:space="preserve"> regulatory control period. The AER’s full consideration of this evidence is provided in AER’s June 2011 Envestra SA final decision. </w:t>
      </w:r>
      <w:r w:rsidRPr="007E742F">
        <w:t>In summary, but drawing directly on the analysis and conclusions in that decision, the AER considers:</w:t>
      </w:r>
      <w:r w:rsidRPr="007E742F">
        <w:rPr>
          <w:rStyle w:val="FootnoteReference"/>
        </w:rPr>
        <w:footnoteReference w:id="373"/>
      </w:r>
    </w:p>
    <w:p w:rsidR="007E742F" w:rsidRPr="007E742F" w:rsidRDefault="007E742F" w:rsidP="007E742F">
      <w:pPr>
        <w:pStyle w:val="AERbulletlistfirststyle"/>
      </w:pPr>
      <w:r w:rsidRPr="007E742F">
        <w:t>The use of a foreign data to estimate CAPM inputs is a suboptimal outcome that can only be justified where there is evidence that this will produce more reliable estimates of the domestic equity beta than Australian estimates.</w:t>
      </w:r>
    </w:p>
    <w:p w:rsidR="007E742F" w:rsidRPr="007E742F" w:rsidRDefault="007E742F" w:rsidP="007E742F">
      <w:pPr>
        <w:pStyle w:val="AERbulletlistfirststyle"/>
      </w:pPr>
      <w:r w:rsidRPr="007E742F">
        <w:t>The CEG report does not comprehensively evaluate the differences between Australia and the US. CEG did not consider the numerous aspects of the regulatory framework that affect the exposure of the firm to systematic risk, and which differ substantially on an international basis.</w:t>
      </w:r>
    </w:p>
    <w:p w:rsidR="007E742F" w:rsidRPr="007E742F" w:rsidRDefault="007E742F" w:rsidP="007E742F">
      <w:pPr>
        <w:pStyle w:val="AERbulletlistfirststyle"/>
      </w:pPr>
      <w:r w:rsidRPr="007E742F">
        <w:t>The Australian equity beta estimates (drawn from the WACC review) are sufficiently robust, and the claims by CEG are unfounded.</w:t>
      </w:r>
    </w:p>
    <w:p w:rsidR="007E742F" w:rsidRPr="007E742F" w:rsidRDefault="007E742F" w:rsidP="007E742F">
      <w:pPr>
        <w:pStyle w:val="AERbulletlistfirststyle"/>
      </w:pPr>
      <w:r w:rsidRPr="007E742F">
        <w:t>An equity beta of 0.8 would not under compensate the benchmark service provider for the risks of providing reference services. The AER has cross-checked this by obtaining a recent Grant Samuel independent report which used an equity beta estimate of 0.8 to 0.9, suggesting that the equity beta estimates for energy distribution businesses remain unchanged as a consequence of the GFC.</w:t>
      </w:r>
    </w:p>
    <w:p w:rsidR="007E742F" w:rsidRPr="007E742F" w:rsidRDefault="007E742F" w:rsidP="007E742F">
      <w:pPr>
        <w:pStyle w:val="AERbulletlistfirststyle"/>
      </w:pPr>
      <w:r w:rsidRPr="007E742F">
        <w:t>CEG appeared to misinterpret the position of the New Zealand Commerce Commission’s (NZCC) expert advisors.</w:t>
      </w:r>
    </w:p>
    <w:p w:rsidR="007E742F" w:rsidRPr="007E742F" w:rsidRDefault="007E742F" w:rsidP="007E742F">
      <w:pPr>
        <w:pStyle w:val="AERbodytext"/>
      </w:pPr>
      <w:r w:rsidRPr="007E742F">
        <w:t xml:space="preserve">The AER’s past considerations of this matter are still relevant. </w:t>
      </w:r>
    </w:p>
    <w:p w:rsidR="007E742F" w:rsidRPr="007E742F" w:rsidRDefault="007E742F" w:rsidP="007E742F">
      <w:pPr>
        <w:pStyle w:val="AERbodytext"/>
      </w:pPr>
      <w:r w:rsidRPr="007E742F">
        <w:t>Further, the AER also notes that there is a substantial body of evidence that beta is less than 1 (and even less than 0.8), as outlined by the Energy Users Coalition of Victoria (EUCV). EUCV submitted the equity beta for APA GAsNet should be 0.65. The EUCV noted that:</w:t>
      </w:r>
    </w:p>
    <w:p w:rsidR="007E742F" w:rsidRPr="007E742F" w:rsidRDefault="007E742F" w:rsidP="007E742F">
      <w:pPr>
        <w:pStyle w:val="AERbulletlistfirststyle"/>
      </w:pPr>
      <w:r w:rsidRPr="007E742F">
        <w:t>The empirical evidence undertaken during the WACC review implies a beta of 0.55.</w:t>
      </w:r>
      <w:r w:rsidRPr="007E742F">
        <w:rPr>
          <w:rStyle w:val="FootnoteReference"/>
        </w:rPr>
        <w:footnoteReference w:id="374"/>
      </w:r>
    </w:p>
    <w:p w:rsidR="007E742F" w:rsidRPr="007E742F" w:rsidRDefault="007E742F" w:rsidP="007E742F">
      <w:pPr>
        <w:pStyle w:val="AERbulletlistfirststyle"/>
      </w:pPr>
      <w:r w:rsidRPr="007E742F">
        <w:t>The ESCV set the equity beta at 0.7 in March 2008 for gas distribution service providers, commenting after considerable investigation that the beta estimates using the longest period of data, range between 0.5 and 0.7.</w:t>
      </w:r>
      <w:r w:rsidRPr="007E742F">
        <w:rPr>
          <w:rStyle w:val="FootnoteReference"/>
        </w:rPr>
        <w:footnoteReference w:id="375"/>
      </w:r>
      <w:r w:rsidRPr="007E742F">
        <w:t xml:space="preserve">  </w:t>
      </w:r>
    </w:p>
    <w:p w:rsidR="007E742F" w:rsidRPr="007E742F" w:rsidRDefault="007E742F" w:rsidP="007E742F">
      <w:pPr>
        <w:pStyle w:val="AERbulletlistfirststyle"/>
      </w:pPr>
      <w:r w:rsidRPr="007E742F">
        <w:t xml:space="preserve">Work undertaken by ERA that uses more recent data than that considered in the WACC review provides evidence for an equity beta of 0.65. The ERA suggests beta should be 0.65 in the draft decision for Western Power. </w:t>
      </w:r>
    </w:p>
    <w:p w:rsidR="007E742F" w:rsidRPr="007E742F" w:rsidRDefault="007E742F" w:rsidP="007E742F">
      <w:pPr>
        <w:pStyle w:val="AERbodytext"/>
      </w:pPr>
      <w:r w:rsidRPr="007E742F">
        <w:t>The EUCV considers that this evidence demonstrates that beta at 0.8 is too high.</w:t>
      </w:r>
      <w:r w:rsidRPr="007E742F">
        <w:rPr>
          <w:rStyle w:val="FootnoteReference"/>
        </w:rPr>
        <w:footnoteReference w:id="376"/>
      </w:r>
    </w:p>
    <w:p w:rsidR="007E742F" w:rsidRPr="007E742F" w:rsidRDefault="007E742F" w:rsidP="007E742F">
      <w:pPr>
        <w:pStyle w:val="AERbodytext"/>
      </w:pPr>
      <w:r w:rsidRPr="007E742F">
        <w:t xml:space="preserve">The AER acknowledges that there is empirical evidence indicating that an equity beta less than 0.8 may be reasonable. However, during the WACC review the AER also took account of other considerations including regulatory stability and the level of imprecision in the empirical estimates. Having regard to this, the AER considers 0.8 to still be reasonable at this time. However, the estimates presented by the EUCV may, together with other information, provide additional evidence to change the equity beta in the future. </w:t>
      </w:r>
    </w:p>
    <w:p w:rsidR="007E742F" w:rsidRPr="007E742F" w:rsidRDefault="007E742F" w:rsidP="007E742F">
      <w:pPr>
        <w:pStyle w:val="AERbodytext"/>
      </w:pPr>
      <w:r w:rsidRPr="007E742F">
        <w:t>The AER has given consideration to other factors, such as the need to achieve an outcome that is consistent with the NGO—in particular, the need for efficient investment in natural gas services for the long-term interests of consumers of natural gas. The AER has also taken into account the revenue and pricing principles, the importance of regulatory stability and is also mindful it has recently considered an equity beta of 0.8 to be appropriate, if not overstated, for other gas businesses. On the basis of the information presented, the AER concludes that an equity beta of 0.8 provides APA GasNet with an opportunity to recover at least its efficient costs incurred in providing reference services and meeting regulatory requirements.</w:t>
      </w:r>
      <w:r w:rsidRPr="007E742F">
        <w:rPr>
          <w:rStyle w:val="FootnoteReference"/>
        </w:rPr>
        <w:footnoteReference w:id="377"/>
      </w:r>
    </w:p>
    <w:p w:rsidR="007E742F" w:rsidRPr="007E742F" w:rsidRDefault="007E742F" w:rsidP="007E742F">
      <w:pPr>
        <w:pStyle w:val="AERheading3"/>
      </w:pPr>
      <w:r w:rsidRPr="007E742F">
        <w:t>Debt risk premium</w:t>
      </w:r>
    </w:p>
    <w:p w:rsidR="007E742F" w:rsidRPr="007E742F" w:rsidRDefault="007E742F" w:rsidP="007E742F">
      <w:pPr>
        <w:pStyle w:val="AERbodytext"/>
      </w:pPr>
      <w:r w:rsidRPr="007E742F">
        <w:t>The AER accepts, in principle, APA GasNet's proposed benchmark and method for determining the DRP. The AER, however, has updated APA GasNet's proposed DRP to reflect the indicative averaging period used throughout this draft decision. This results in a DRP of 3.76 per cent.</w:t>
      </w:r>
      <w:r w:rsidRPr="007E742F">
        <w:rPr>
          <w:rStyle w:val="FootnoteReference"/>
        </w:rPr>
        <w:footnoteReference w:id="378"/>
      </w:r>
      <w:r w:rsidRPr="007E742F">
        <w:t xml:space="preserve"> The AER will again update this value for its final decisions based on APA GasNet's final averaging period.</w:t>
      </w:r>
    </w:p>
    <w:p w:rsidR="007E742F" w:rsidRPr="007E742F" w:rsidRDefault="007E742F" w:rsidP="007E742F">
      <w:pPr>
        <w:pStyle w:val="AERbodytext"/>
      </w:pPr>
      <w:r w:rsidRPr="007E742F">
        <w:t>Specifically, the AER accepts APA GasNet's proposed DRP benchmark based on an Australian corporate fixed rate bond issuance with a term to maturity of 10 years and a BBB+ credit rating.</w:t>
      </w:r>
      <w:r w:rsidRPr="007E742F">
        <w:rPr>
          <w:rStyle w:val="FootnoteReference"/>
        </w:rPr>
        <w:footnoteReference w:id="379"/>
      </w:r>
      <w:r w:rsidRPr="007E742F">
        <w:t xml:space="preserve"> This benchmark assumption has been adopted by the AER in previous gas decisions.</w:t>
      </w:r>
      <w:r w:rsidRPr="007E742F">
        <w:rPr>
          <w:rStyle w:val="FootnoteReference"/>
        </w:rPr>
        <w:footnoteReference w:id="380"/>
      </w:r>
      <w:r w:rsidRPr="007E742F">
        <w:t xml:space="preserve"> Moreover, the AER considers that the term to maturity and credit rating are two primary factors which are reflective of the risks involved in providing reference services.</w:t>
      </w:r>
      <w:r w:rsidRPr="007E742F">
        <w:rPr>
          <w:rStyle w:val="FootnoteReference"/>
        </w:rPr>
        <w:footnoteReference w:id="381"/>
      </w:r>
      <w:r w:rsidRPr="007E742F">
        <w:t xml:space="preserve"> The 10 year term for the cost of debt also provides internal consistency with the use of a 10 year risk free rate.</w:t>
      </w:r>
    </w:p>
    <w:p w:rsidR="007E742F" w:rsidRPr="007E742F" w:rsidRDefault="007E742F" w:rsidP="007E742F">
      <w:pPr>
        <w:pStyle w:val="AERbodytext"/>
      </w:pPr>
      <w:r w:rsidRPr="007E742F">
        <w:t>Further, the AER accepts APA GasNet's proposed approach to establishing the DRP. In particular, the AER accepts APA GasNet's proposal to estimate the benchmark DRP solely on the Bloomberg BBB fair value curve. Notwithstanding that the AER has previously expressed concerned with the Bloomberg fair value curve, the AER is mindful of the Tribunal’s recommendation that a public consultation process be completed before any alternative methodologies are considered.</w:t>
      </w:r>
      <w:r w:rsidRPr="007E742F">
        <w:rPr>
          <w:rStyle w:val="FootnoteReference"/>
        </w:rPr>
        <w:footnoteReference w:id="382"/>
      </w:r>
    </w:p>
    <w:p w:rsidR="007E742F" w:rsidRPr="007E742F" w:rsidRDefault="007E742F" w:rsidP="007E742F">
      <w:pPr>
        <w:pStyle w:val="AERbodytext"/>
      </w:pPr>
      <w:r w:rsidRPr="007E742F">
        <w:t>The AER also accepts APA GasNet's proposed method to extrapolate the Bloomberg BBB fair value curve from seven to 10 years based on the analysis of paired bonds undertaken by PwC.</w:t>
      </w:r>
      <w:r w:rsidRPr="007E742F">
        <w:rPr>
          <w:rStyle w:val="FootnoteReference"/>
        </w:rPr>
        <w:footnoteReference w:id="383"/>
      </w:r>
      <w:r w:rsidRPr="007E742F">
        <w:t xml:space="preserve"> The AER, however, does not consider that this extrapolation approach has been correctly applied by PwC.</w:t>
      </w:r>
    </w:p>
    <w:p w:rsidR="007E742F" w:rsidRPr="007E742F" w:rsidRDefault="007E742F" w:rsidP="007E742F">
      <w:pPr>
        <w:pStyle w:val="AERbodytext"/>
      </w:pPr>
      <w:r w:rsidRPr="007E742F">
        <w:t>PwC’s method extrapolates the Bloomberg seven year BBB fair value curve using the average annual increment observed across pairs of bonds of differing maturities issued by the same company. PwC's criteria for selecting the sample of paired bonds included that:</w:t>
      </w:r>
    </w:p>
    <w:p w:rsidR="007E742F" w:rsidRPr="007E742F" w:rsidRDefault="007E742F" w:rsidP="007E742F">
      <w:pPr>
        <w:pStyle w:val="AERbulletlistfirststyle"/>
      </w:pPr>
      <w:r w:rsidRPr="007E742F">
        <w:t>the paired bonds were part of the wider sample used by PwC when conducting their broader econometric analysis</w:t>
      </w:r>
    </w:p>
    <w:p w:rsidR="007E742F" w:rsidRPr="007E742F" w:rsidRDefault="007E742F" w:rsidP="007E742F">
      <w:pPr>
        <w:pStyle w:val="AERbulletlistfirststyle"/>
      </w:pPr>
      <w:r w:rsidRPr="007E742F">
        <w:t>the shorter dated bond (of the pair) has a remaining term to maturity closest to seven years.</w:t>
      </w:r>
      <w:r w:rsidRPr="007E742F">
        <w:rPr>
          <w:rStyle w:val="FootnoteReference"/>
        </w:rPr>
        <w:footnoteReference w:id="384"/>
      </w:r>
    </w:p>
    <w:p w:rsidR="007E742F" w:rsidRPr="007E742F" w:rsidRDefault="007E742F" w:rsidP="007E742F">
      <w:pPr>
        <w:pStyle w:val="AERbodytext"/>
      </w:pPr>
      <w:r w:rsidRPr="007E742F">
        <w:rPr>
          <w:rStyle w:val="AERbody"/>
        </w:rPr>
        <w:t xml:space="preserve">Based on PwC’s selection criteria, the AER cannot reconcile the inclusion of the paired Telstra bonds in PwC’s extrapolation sample. Specifically, Telstra bonds have a credit rating of ‘A’ by Standard and Poors. </w:t>
      </w:r>
      <w:r w:rsidRPr="007E742F">
        <w:t>Amongst other characteristics, the broader econometric sample used by PwC (of which the paired bonds must be a subset) only included bonds with a credit rating of ‘BBB’, ‘BBB+’ or ‘A-’ by Standard and Poors.</w:t>
      </w:r>
      <w:r w:rsidRPr="007E742F">
        <w:rPr>
          <w:rStyle w:val="FootnoteReference"/>
        </w:rPr>
        <w:footnoteReference w:id="385"/>
      </w:r>
    </w:p>
    <w:p w:rsidR="007E742F" w:rsidRPr="007E742F" w:rsidRDefault="007E742F" w:rsidP="007E742F">
      <w:pPr>
        <w:pStyle w:val="AERbodytext"/>
        <w:rPr>
          <w:rStyle w:val="AERbody"/>
        </w:rPr>
      </w:pPr>
      <w:r w:rsidRPr="007E742F">
        <w:rPr>
          <w:rStyle w:val="AERbody"/>
        </w:rPr>
        <w:t>Additionally, PwC's extrapolation sample included a pair of fixed rate Stockland bonds maturing in 2015 and 2020. However, a fixed rate Stockland bond matching all of PwC's selection criteria exists which matures in 2016. The AER considers that the correct application of PwC's selection criteria requires the 2016 bond to be used (instead of that maturing in 2015).</w:t>
      </w:r>
    </w:p>
    <w:p w:rsidR="007E742F" w:rsidRPr="007E742F" w:rsidRDefault="007E742F" w:rsidP="007E742F">
      <w:pPr>
        <w:pStyle w:val="AERbodytext"/>
      </w:pPr>
      <w:r w:rsidRPr="007E742F">
        <w:rPr>
          <w:rStyle w:val="AERbody"/>
        </w:rPr>
        <w:t xml:space="preserve">For the purposes of this draft decision, therefore, the AER has excluded the Telstra bonds from the extrapolation sample. The AER has also updated PwC's analysis to reflect the spread between the pair of Stockland bonds maturing in 2016 and 2020. The AER, however, will consider including these bonds for the final decision should APA GasNet substantiate their inclusion. The AER considers that excluding the Telstra </w:t>
      </w:r>
      <w:r w:rsidRPr="007E742F">
        <w:t>bonds and amending the Stockland pair is consistent with a benchmark DRP that reflects the risks involved in providing reference services.</w:t>
      </w:r>
    </w:p>
    <w:p w:rsidR="007E742F" w:rsidRPr="007E742F" w:rsidRDefault="007E742F" w:rsidP="007E742F">
      <w:pPr>
        <w:pStyle w:val="AERbodytext"/>
      </w:pPr>
      <w:r w:rsidRPr="007E742F">
        <w:t>In assessing APA GasNet‘s proposal, the AER has also taken into account the EUCV‘s submission.</w:t>
      </w:r>
      <w:r w:rsidRPr="007E742F">
        <w:rPr>
          <w:rStyle w:val="FootnoteReference"/>
        </w:rPr>
        <w:footnoteReference w:id="386"/>
      </w:r>
      <w:r w:rsidRPr="007E742F">
        <w:t xml:space="preserve"> The EUCV stated that the approach to determining the DRP used by the AER cannot be demonstrated to produce an efficient outcome. Further, the EUCV presented average debt premiums for each of the Victorian gas networks from the corresponding annual reports.</w:t>
      </w:r>
    </w:p>
    <w:p w:rsidR="007E742F" w:rsidRPr="007E742F" w:rsidRDefault="007E742F" w:rsidP="007E742F">
      <w:pPr>
        <w:pStyle w:val="AERbodytext"/>
      </w:pPr>
      <w:r w:rsidRPr="007E742F">
        <w:t>The AER, however, considers that the EUCV's analysis of annual report data is flawed. Most notably, it is unclear whether the average term of the debt referenced by the EUCV corresponds to the benchmark term adopted by the AER. In this context, it is inappropriate to calculate the DRP for an entire portfolio with reference only to the 10 year risk free rate.</w:t>
      </w:r>
      <w:r w:rsidRPr="007E742F">
        <w:rPr>
          <w:rStyle w:val="FootnoteReference"/>
        </w:rPr>
        <w:footnoteReference w:id="387"/>
      </w:r>
      <w:r w:rsidRPr="007E742F">
        <w:t xml:space="preserve"> This notwithstanding, the issues raised by the EUCV—for example, that the current DRP method does not reflect the full spectrum of debt options utilised by NSPs—warrant broader consideration. This is consistent with the Tribunal’s recommendation to undertake a public consultation process before selecting an alternative DRP methodology.</w:t>
      </w:r>
      <w:r w:rsidRPr="007E742F">
        <w:rPr>
          <w:rStyle w:val="FootnoteReference"/>
        </w:rPr>
        <w:footnoteReference w:id="388"/>
      </w:r>
      <w:r w:rsidRPr="007E742F">
        <w:t xml:space="preserve"> For these reasons, the AER has commenced an internal review into alternatives to the Bloomberg fair value curve. The AER will advise of a public consultation process on the development of an alternative in due course. </w:t>
      </w:r>
    </w:p>
    <w:p w:rsidR="007E742F" w:rsidRPr="007E742F" w:rsidRDefault="007E742F" w:rsidP="007E742F">
      <w:pPr>
        <w:pStyle w:val="AERheading3"/>
      </w:pPr>
      <w:r w:rsidRPr="007E742F">
        <w:t>Gearing ratio</w:t>
      </w:r>
    </w:p>
    <w:p w:rsidR="007E742F" w:rsidRPr="007E742F" w:rsidRDefault="007E742F" w:rsidP="007E742F">
      <w:pPr>
        <w:pStyle w:val="AERbodytext"/>
        <w:rPr>
          <w:rFonts w:eastAsia="Calibri"/>
        </w:rPr>
      </w:pPr>
      <w:r w:rsidRPr="007E742F">
        <w:rPr>
          <w:rFonts w:eastAsia="Calibri"/>
        </w:rPr>
        <w:t xml:space="preserve">The gearing ratio is the ratio of the value of debt to total capital (that is, both debt and equity) and is used to weight the costs of debt and equity when formulating the overall rate of return. Under rule 87 of the NGR, the AER needs to determine the gearing ratio based on the assumption that the service provider meets the benchmark level of efficiency. </w:t>
      </w:r>
    </w:p>
    <w:p w:rsidR="007E742F" w:rsidRPr="007E742F" w:rsidRDefault="007E742F" w:rsidP="007E742F">
      <w:r w:rsidRPr="007E742F">
        <w:rPr>
          <w:rFonts w:eastAsia="Calibri"/>
        </w:rPr>
        <w:t>APA GasNet proposed a gearing ratio of 60:40 (that is, 60 per cent debt).</w:t>
      </w:r>
      <w:r w:rsidRPr="007E742F">
        <w:rPr>
          <w:rStyle w:val="FootnoteReference"/>
          <w:rFonts w:eastAsia="Calibri"/>
        </w:rPr>
        <w:footnoteReference w:id="389"/>
      </w:r>
      <w:r w:rsidRPr="007E742F">
        <w:rPr>
          <w:rFonts w:eastAsia="Calibri"/>
        </w:rPr>
        <w:t xml:space="preserve"> The AER accepts this gearing ratio because it is supported by relevant available </w:t>
      </w:r>
      <w:r w:rsidRPr="007E742F">
        <w:t>empirical evidence.</w:t>
      </w:r>
      <w:r w:rsidRPr="007E742F">
        <w:rPr>
          <w:rStyle w:val="FootnoteReference"/>
        </w:rPr>
        <w:footnoteReference w:id="390"/>
      </w:r>
      <w:r w:rsidRPr="007E742F">
        <w:t xml:space="preserve"> Additionally, as the AER noted in its decision for ETSA SA, when determining this gearing ratio the </w:t>
      </w:r>
      <w:r w:rsidRPr="007E742F">
        <w:rPr>
          <w:rFonts w:eastAsia="Calibri"/>
        </w:rPr>
        <w:t>AER included gas businesses as close comparators to the benchmark electricity business. The AER considers that this reasoning also holds in reverse—that is, electricity businesses are close comparators for the benchmark efficient gas business.</w:t>
      </w:r>
      <w:r w:rsidRPr="007E742F">
        <w:rPr>
          <w:rStyle w:val="FootnoteReference"/>
          <w:rFonts w:eastAsia="Calibri"/>
        </w:rPr>
        <w:footnoteReference w:id="391"/>
      </w:r>
      <w:r w:rsidRPr="007E742F">
        <w:rPr>
          <w:rFonts w:eastAsia="Calibri"/>
        </w:rPr>
        <w:t xml:space="preserve"> For the reasons outlined in the AER's WACC review, the AER still considers that a gearing ratio of 60:40 will </w:t>
      </w:r>
      <w:r w:rsidRPr="007E742F">
        <w:t>to promote efficient investment in, and efficient operation and use of, natural gas services for the long term interests of consumers.</w:t>
      </w:r>
      <w:r w:rsidRPr="007E742F">
        <w:rPr>
          <w:rStyle w:val="FootnoteReference"/>
        </w:rPr>
        <w:footnoteReference w:id="392"/>
      </w:r>
    </w:p>
    <w:p w:rsidR="007E742F" w:rsidRPr="007E742F" w:rsidRDefault="007E742F" w:rsidP="007E742F">
      <w:pPr>
        <w:pStyle w:val="AERheading3"/>
      </w:pPr>
      <w:r w:rsidRPr="007E742F">
        <w:t>Forecast inflation</w:t>
      </w:r>
    </w:p>
    <w:p w:rsidR="007E742F" w:rsidRPr="007E742F" w:rsidRDefault="007E742F" w:rsidP="007E742F">
      <w:pPr>
        <w:pStyle w:val="AERbodytext"/>
      </w:pPr>
      <w:r w:rsidRPr="007E742F">
        <w:t xml:space="preserve">The AER accepts APA GasNet's proposed methodology for estimating forecast inflation. APA GasNet's proposed methodology is consistent with that adopted by the AER in previous regulatory decisions. APA GasNet recognised that inflation forecasts are likely to change over time, it adopted an indicative inflation forecast of 2.5 per cent in the access arrangement proposal, being the mid-point of the RBA inflation target. </w:t>
      </w:r>
    </w:p>
    <w:p w:rsidR="007E742F" w:rsidRPr="007E742F" w:rsidRDefault="007E742F" w:rsidP="007E742F">
      <w:pPr>
        <w:pStyle w:val="AERbodytext"/>
      </w:pPr>
      <w:r w:rsidRPr="007E742F">
        <w:t xml:space="preserve">In this draft decision, the AER updates the RBA short term inflation forecasts resulting in an indicative inflation forecast of 2.50 per cent. This is shown in </w:t>
      </w:r>
      <w:r w:rsidR="00DE0D6A" w:rsidRPr="007E742F">
        <w:fldChar w:fldCharType="begin"/>
      </w:r>
      <w:r w:rsidRPr="007E742F">
        <w:instrText xml:space="preserve"> REF _Ref334104728 \r \h </w:instrText>
      </w:r>
      <w:r w:rsidR="00DE0D6A" w:rsidRPr="007E742F">
        <w:fldChar w:fldCharType="separate"/>
      </w:r>
      <w:r w:rsidRPr="007E742F">
        <w:t>Table 4.6</w:t>
      </w:r>
      <w:r w:rsidR="00DE0D6A" w:rsidRPr="007E742F">
        <w:fldChar w:fldCharType="end"/>
      </w:r>
      <w:r w:rsidRPr="007E742F">
        <w:t>.</w:t>
      </w:r>
    </w:p>
    <w:p w:rsidR="007E742F" w:rsidRPr="007E742F" w:rsidRDefault="007E742F" w:rsidP="007E742F">
      <w:pPr>
        <w:pStyle w:val="AERtabletitle"/>
      </w:pPr>
      <w:bookmarkStart w:id="69" w:name="_Ref334104728"/>
      <w:r w:rsidRPr="007E742F">
        <w:t>AER inflation forecast (per cent)</w:t>
      </w:r>
      <w:bookmarkEnd w:id="69"/>
    </w:p>
    <w:tbl>
      <w:tblPr>
        <w:tblW w:w="4928" w:type="pct"/>
        <w:tblBorders>
          <w:top w:val="single" w:sz="4" w:space="0" w:color="auto"/>
          <w:bottom w:val="single" w:sz="4" w:space="0" w:color="auto"/>
        </w:tblBorders>
        <w:tblLook w:val="01E0"/>
      </w:tblPr>
      <w:tblGrid>
        <w:gridCol w:w="1920"/>
        <w:gridCol w:w="1343"/>
        <w:gridCol w:w="1333"/>
        <w:gridCol w:w="2034"/>
        <w:gridCol w:w="1775"/>
      </w:tblGrid>
      <w:tr w:rsidR="007E742F" w:rsidRPr="00BC16BD" w:rsidTr="006E1CEF">
        <w:trPr>
          <w:trHeight w:val="526"/>
        </w:trPr>
        <w:tc>
          <w:tcPr>
            <w:tcW w:w="1142"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
            </w:pPr>
          </w:p>
        </w:tc>
        <w:tc>
          <w:tcPr>
            <w:tcW w:w="799"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2013</w:t>
            </w:r>
          </w:p>
        </w:tc>
        <w:tc>
          <w:tcPr>
            <w:tcW w:w="79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2014</w:t>
            </w:r>
          </w:p>
        </w:tc>
        <w:tc>
          <w:tcPr>
            <w:tcW w:w="1210"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2015–2022</w:t>
            </w:r>
          </w:p>
        </w:tc>
        <w:tc>
          <w:tcPr>
            <w:tcW w:w="1056"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E742F" w:rsidRPr="007E742F" w:rsidRDefault="007E742F" w:rsidP="007E742F">
            <w:pPr>
              <w:pStyle w:val="AERtabletextheadingright"/>
            </w:pPr>
            <w:r w:rsidRPr="007E742F">
              <w:t>Geometric average</w:t>
            </w:r>
          </w:p>
        </w:tc>
      </w:tr>
      <w:tr w:rsidR="007E742F" w:rsidRPr="00BC16BD" w:rsidTr="006E1CEF">
        <w:trPr>
          <w:trHeight w:val="526"/>
        </w:trPr>
        <w:tc>
          <w:tcPr>
            <w:tcW w:w="1142" w:type="pct"/>
            <w:shd w:val="clear" w:color="auto" w:fill="auto"/>
            <w:noWrap/>
            <w:tcMar>
              <w:top w:w="0" w:type="dxa"/>
              <w:bottom w:w="0" w:type="dxa"/>
            </w:tcMar>
            <w:vAlign w:val="center"/>
          </w:tcPr>
          <w:p w:rsidR="007E742F" w:rsidRPr="007E742F" w:rsidRDefault="007E742F" w:rsidP="007E742F">
            <w:pPr>
              <w:pStyle w:val="AERtabletext"/>
            </w:pPr>
            <w:r w:rsidRPr="007E742F">
              <w:t>Forecast inflation</w:t>
            </w:r>
          </w:p>
        </w:tc>
        <w:tc>
          <w:tcPr>
            <w:tcW w:w="799" w:type="pct"/>
            <w:shd w:val="clear" w:color="auto" w:fill="auto"/>
            <w:noWrap/>
            <w:tcMar>
              <w:top w:w="0" w:type="dxa"/>
              <w:bottom w:w="0" w:type="dxa"/>
            </w:tcMar>
            <w:vAlign w:val="center"/>
          </w:tcPr>
          <w:p w:rsidR="007E742F" w:rsidRPr="007E742F" w:rsidRDefault="007E742F" w:rsidP="007E742F">
            <w:pPr>
              <w:pStyle w:val="AERtabletext-numbers"/>
            </w:pPr>
            <w:r w:rsidRPr="007E742F">
              <w:t>2.50</w:t>
            </w:r>
            <w:r w:rsidRPr="007E742F">
              <w:rPr>
                <w:rStyle w:val="AERsuperscript"/>
              </w:rPr>
              <w:t xml:space="preserve"> a</w:t>
            </w:r>
            <w:r w:rsidRPr="007E742F">
              <w:t xml:space="preserve"> </w:t>
            </w:r>
          </w:p>
        </w:tc>
        <w:tc>
          <w:tcPr>
            <w:tcW w:w="793" w:type="pct"/>
            <w:shd w:val="clear" w:color="auto" w:fill="auto"/>
            <w:noWrap/>
            <w:tcMar>
              <w:top w:w="0" w:type="dxa"/>
              <w:bottom w:w="0" w:type="dxa"/>
            </w:tcMar>
            <w:vAlign w:val="center"/>
          </w:tcPr>
          <w:p w:rsidR="007E742F" w:rsidRPr="007E742F" w:rsidRDefault="007E742F" w:rsidP="007E742F">
            <w:pPr>
              <w:pStyle w:val="AERtabletext-numbers"/>
            </w:pPr>
            <w:r w:rsidRPr="007E742F">
              <w:t>2.50</w:t>
            </w:r>
            <w:r w:rsidRPr="007E742F">
              <w:rPr>
                <w:rStyle w:val="AERsuperscript"/>
              </w:rPr>
              <w:t>a</w:t>
            </w:r>
          </w:p>
        </w:tc>
        <w:tc>
          <w:tcPr>
            <w:tcW w:w="1210" w:type="pct"/>
            <w:shd w:val="clear" w:color="auto" w:fill="auto"/>
            <w:noWrap/>
            <w:tcMar>
              <w:top w:w="0" w:type="dxa"/>
              <w:bottom w:w="0" w:type="dxa"/>
            </w:tcMar>
            <w:vAlign w:val="center"/>
          </w:tcPr>
          <w:p w:rsidR="007E742F" w:rsidRPr="007E742F" w:rsidRDefault="007E742F" w:rsidP="007E742F">
            <w:pPr>
              <w:pStyle w:val="AERtabletext-numbers"/>
            </w:pPr>
            <w:r w:rsidRPr="007E742F">
              <w:t>2.50</w:t>
            </w:r>
          </w:p>
        </w:tc>
        <w:tc>
          <w:tcPr>
            <w:tcW w:w="1056" w:type="pct"/>
            <w:shd w:val="clear" w:color="auto" w:fill="auto"/>
            <w:noWrap/>
            <w:tcMar>
              <w:top w:w="0" w:type="dxa"/>
              <w:bottom w:w="0" w:type="dxa"/>
            </w:tcMar>
            <w:vAlign w:val="center"/>
          </w:tcPr>
          <w:p w:rsidR="007E742F" w:rsidRPr="007E742F" w:rsidRDefault="007E742F" w:rsidP="007E742F">
            <w:pPr>
              <w:pStyle w:val="AERtabletext-numbers"/>
            </w:pPr>
            <w:r w:rsidRPr="007E742F">
              <w:t>2.50</w:t>
            </w:r>
          </w:p>
        </w:tc>
      </w:tr>
    </w:tbl>
    <w:p w:rsidR="007E742F" w:rsidRPr="007E742F" w:rsidRDefault="007E742F" w:rsidP="007E742F">
      <w:pPr>
        <w:pStyle w:val="AERtablesource"/>
      </w:pPr>
      <w:r w:rsidRPr="007E742F">
        <w:t>Source:</w:t>
      </w:r>
      <w:r w:rsidRPr="007E742F">
        <w:tab/>
        <w:t>RBA, Statement on Monetary Policy, August 2012, p. 67.</w:t>
      </w:r>
    </w:p>
    <w:p w:rsidR="007E742F" w:rsidRPr="007E742F" w:rsidRDefault="007E742F" w:rsidP="007E742F">
      <w:pPr>
        <w:pStyle w:val="AERtablesource"/>
      </w:pPr>
      <w:r w:rsidRPr="007E742F">
        <w:t>Notes:</w:t>
      </w:r>
      <w:r w:rsidRPr="007E742F">
        <w:tab/>
        <w:t>(a) The RBA published a range of 2-3 per cent for its 2013 and 2014 forecast inflation. The AER has selected the mid-point of 2.5 per cent for the purposes of this draft decision.</w:t>
      </w:r>
    </w:p>
    <w:p w:rsidR="007E742F" w:rsidRPr="007E742F" w:rsidRDefault="007E742F" w:rsidP="007E742F">
      <w:pPr>
        <w:pStyle w:val="AERbodytext"/>
      </w:pPr>
      <w:r w:rsidRPr="007E742F">
        <w:t>For the final decision, the AER will again update the RBA's short term inflation forecasts based on the most recent RBA Statement on Monetary Policy at the time of the final decision.</w:t>
      </w:r>
    </w:p>
    <w:p w:rsidR="007E742F" w:rsidRPr="007E742F" w:rsidRDefault="007E742F" w:rsidP="007E742F">
      <w:pPr>
        <w:pStyle w:val="AERheading3"/>
      </w:pPr>
      <w:bookmarkStart w:id="70" w:name="_Ref334103809"/>
      <w:r w:rsidRPr="007E742F">
        <w:t>Reasonableness checks on overall rate of return</w:t>
      </w:r>
      <w:bookmarkEnd w:id="70"/>
    </w:p>
    <w:p w:rsidR="007E742F" w:rsidRPr="007E742F" w:rsidRDefault="007E742F" w:rsidP="007E742F">
      <w:pPr>
        <w:pStyle w:val="AERbodytext"/>
      </w:pPr>
      <w:r w:rsidRPr="007E742F">
        <w:t xml:space="preserve">The AER considers the approach in this decision provides a reasonable estimate of the benchmark WACC. The AER recognises the overall rate of return in this decision is lower than previous decisions. However, there is no single robust methodology for estimating the overall rate of return. The AER’s reasonableness checks suggest this overall rate of return broadly accords with market expectations. </w:t>
      </w:r>
    </w:p>
    <w:p w:rsidR="007E742F" w:rsidRPr="007E742F" w:rsidRDefault="007E742F" w:rsidP="007E742F">
      <w:pPr>
        <w:pStyle w:val="AERbodytext"/>
      </w:pPr>
      <w:r w:rsidRPr="007E742F">
        <w:t>The overall rate of return is unobservable. The AER assesses overall rate of return using market data and finance theory. Techniques available to assess the overall rate of return can produce a range of plausible results. Each of these techniques has weaknesses that prevent them from being given significant weight. Nevertheless, they do provide a useful reasonableness check for the AER’s primary approach. The AER examined:</w:t>
      </w:r>
    </w:p>
    <w:p w:rsidR="007E742F" w:rsidRPr="007E742F" w:rsidRDefault="007E742F" w:rsidP="007E742F">
      <w:pPr>
        <w:pStyle w:val="AERbulletlistfirststyle"/>
      </w:pPr>
      <w:r w:rsidRPr="007E742F">
        <w:t>assets sales</w:t>
      </w:r>
    </w:p>
    <w:p w:rsidR="007E742F" w:rsidRPr="007E742F" w:rsidRDefault="007E742F" w:rsidP="007E742F">
      <w:pPr>
        <w:pStyle w:val="AERbulletlistfirststyle"/>
      </w:pPr>
      <w:r w:rsidRPr="007E742F">
        <w:t>trading multiples</w:t>
      </w:r>
    </w:p>
    <w:p w:rsidR="007E742F" w:rsidRPr="007E742F" w:rsidRDefault="007E742F" w:rsidP="007E742F">
      <w:pPr>
        <w:pStyle w:val="AERbulletlistfirststyle"/>
      </w:pPr>
      <w:r w:rsidRPr="007E742F">
        <w:t>broker WACC estimates</w:t>
      </w:r>
    </w:p>
    <w:p w:rsidR="007E742F" w:rsidRPr="007E742F" w:rsidRDefault="007E742F" w:rsidP="007E742F">
      <w:pPr>
        <w:pStyle w:val="AERbulletlistfirststyle"/>
      </w:pPr>
      <w:r w:rsidRPr="007E742F">
        <w:t xml:space="preserve">recent decisions by other regulators </w:t>
      </w:r>
    </w:p>
    <w:p w:rsidR="007E742F" w:rsidRPr="007E742F" w:rsidRDefault="007E742F" w:rsidP="007E742F">
      <w:pPr>
        <w:pStyle w:val="AERbulletlistfirststyle"/>
      </w:pPr>
      <w:r w:rsidRPr="007E742F">
        <w:t>the relationship between the cost of equity and the cost of debt.</w:t>
      </w:r>
    </w:p>
    <w:p w:rsidR="007E742F" w:rsidRPr="007E742F" w:rsidRDefault="007E742F" w:rsidP="007E742F">
      <w:pPr>
        <w:pStyle w:val="AERbodytext"/>
      </w:pPr>
      <w:r w:rsidRPr="007E742F">
        <w:t>For this draft decision, the AER determines a nominal vanilla WACC of 7.16 per cent. This is based on a cost of equity of 7.78 per cent, a cost of debt of 6.74 per cent and a gearing level of 60 per cent.  The cross checks listed above suggested this regulated rate of return is not unreasonable:</w:t>
      </w:r>
    </w:p>
    <w:p w:rsidR="007E742F" w:rsidRPr="007E742F" w:rsidRDefault="007E742F" w:rsidP="007E742F">
      <w:pPr>
        <w:pStyle w:val="AERbulletlistfirststyle"/>
      </w:pPr>
      <w:r w:rsidRPr="007E742F">
        <w:t xml:space="preserve">Recent regulated assets have generally been sold at a premium to the RAB. In addition, Grant Samuel and brokers' reports identified recent RAB trading multiplies are consistently greater than one (averaging around 1.2). This evidence provides the AER with a degree of confidence that its current approach in calculating the rate of return is reasonable. </w:t>
      </w:r>
    </w:p>
    <w:p w:rsidR="007E742F" w:rsidRPr="007E742F" w:rsidRDefault="007E742F" w:rsidP="007E742F">
      <w:pPr>
        <w:pStyle w:val="AERbulletlistfirststyle"/>
      </w:pPr>
      <w:r w:rsidRPr="007E742F">
        <w:t>The overall rate of return does fall below the range of estimates found in broker reports (7.76-10.02 per cent). However, the AER notes broker WACC technique is subject to known limitations and inherent imprecision. Further, broker WACC estimates do not demonstrate the overall rate of return is unreasonable.</w:t>
      </w:r>
    </w:p>
    <w:p w:rsidR="007E742F" w:rsidRPr="007E742F" w:rsidRDefault="007E742F" w:rsidP="007E742F">
      <w:pPr>
        <w:pStyle w:val="AERbulletlistfirststyle"/>
      </w:pPr>
      <w:r w:rsidRPr="007E742F">
        <w:t>This overall rate of return is in line with recent regulatory decisions made by other Australian regulators (6.45-9.08 per cent).</w:t>
      </w:r>
    </w:p>
    <w:p w:rsidR="007E742F" w:rsidRPr="007E742F" w:rsidRDefault="007E742F" w:rsidP="007E742F">
      <w:pPr>
        <w:pStyle w:val="AERbulletlistfirststyle"/>
      </w:pPr>
      <w:r w:rsidRPr="007E742F">
        <w:t>Consistent with previous decisions, the AER determined cost of equity is greater than the cost of debt for this draft decision.</w:t>
      </w:r>
    </w:p>
    <w:p w:rsidR="007E742F" w:rsidRPr="007E742F" w:rsidRDefault="007E742F" w:rsidP="007E742F">
      <w:pPr>
        <w:pStyle w:val="AERbodytext"/>
      </w:pPr>
      <w:r w:rsidRPr="007E742F">
        <w:t xml:space="preserve">Appendix B explores each of return reasonableness check techniques in detail.  </w:t>
      </w:r>
    </w:p>
    <w:p w:rsidR="007E742F" w:rsidRPr="007E742F" w:rsidRDefault="007E742F" w:rsidP="007E742F">
      <w:pPr>
        <w:pStyle w:val="AERheading3"/>
      </w:pPr>
      <w:bookmarkStart w:id="71" w:name="_Ref334788093"/>
      <w:r w:rsidRPr="007E742F">
        <w:t>Rate of return for speculative capex account</w:t>
      </w:r>
      <w:bookmarkEnd w:id="71"/>
    </w:p>
    <w:p w:rsidR="007E742F" w:rsidRPr="007E742F" w:rsidRDefault="007E742F" w:rsidP="007E742F">
      <w:pPr>
        <w:pStyle w:val="AERbodytext"/>
      </w:pPr>
      <w:r w:rsidRPr="007E742F">
        <w:t>Rule 84 provides for the inclusion of a speculative capex account in a full access arrangement. Under rule 84, an access arrangement may provide that the amount of non-conforming capex, to the extent not recovered through a surcharge or capital contribution, may enter into the speculative capital expenditure account. While in the account, the capex increases at a rate determined by the AER. If at any time the type or volume of services changes so that capex becomes conforming, then the value of the conforming capex plus the accrued return is rolled into the RAB at the commencement of the next access arrangement period.</w:t>
      </w:r>
      <w:r w:rsidRPr="007E742F">
        <w:rPr>
          <w:rStyle w:val="FootnoteReference"/>
        </w:rPr>
        <w:footnoteReference w:id="393"/>
      </w:r>
      <w:r w:rsidRPr="007E742F">
        <w:t xml:space="preserve"> Rule 84 is a full discretion provision.  </w:t>
      </w:r>
    </w:p>
    <w:p w:rsidR="007E742F" w:rsidRPr="007E742F" w:rsidRDefault="007E742F" w:rsidP="007E742F">
      <w:pPr>
        <w:pStyle w:val="AERbodytext"/>
      </w:pPr>
      <w:r w:rsidRPr="007E742F">
        <w:t>APA GasNet has proposed a rate of return on the speculative capital expenditure account, which would adopt all the regulated WACC parameters, except equity beta where it proposes an equity beta of 1.2 instead of 0.8. APA GasNet proposed the higher return to:</w:t>
      </w:r>
    </w:p>
    <w:p w:rsidR="007E742F" w:rsidRPr="007E742F" w:rsidRDefault="007E742F" w:rsidP="007E742F">
      <w:pPr>
        <w:pStyle w:val="AERbulletlistfirststyle"/>
      </w:pPr>
      <w:r w:rsidRPr="007E742F">
        <w:t>compensate for the additional risk to the gas network that the non-conforming investment may never result in any additional revenue; and</w:t>
      </w:r>
    </w:p>
    <w:p w:rsidR="007E742F" w:rsidRPr="007E742F" w:rsidRDefault="007E742F" w:rsidP="007E742F">
      <w:pPr>
        <w:pStyle w:val="AERbulletlistfirststyle"/>
      </w:pPr>
      <w:r w:rsidRPr="007E742F">
        <w:t>incentivise it to undertake prudent non-conforming investments.</w:t>
      </w:r>
      <w:r w:rsidRPr="007E742F">
        <w:rPr>
          <w:rStyle w:val="FootnoteReference"/>
        </w:rPr>
        <w:footnoteReference w:id="394"/>
      </w:r>
    </w:p>
    <w:p w:rsidR="007E742F" w:rsidRPr="007E742F" w:rsidRDefault="007E742F" w:rsidP="007E742F">
      <w:pPr>
        <w:pStyle w:val="AERbodytext"/>
      </w:pPr>
      <w:r w:rsidRPr="007E742F">
        <w:t>BHP Billiton (BHPB) and the Energy Users Coalition of Victoria (EUCV) made submissions on APA GasNet's proposal for a higher rate of return on its speculative capex account. These users held different views on the appropriate rate of return for APA GasNet's speculative capex account.</w:t>
      </w:r>
    </w:p>
    <w:p w:rsidR="007E742F" w:rsidRPr="007E742F" w:rsidRDefault="007E742F" w:rsidP="007E742F">
      <w:pPr>
        <w:pStyle w:val="AERbodytext"/>
      </w:pPr>
      <w:r w:rsidRPr="007E742F">
        <w:t>The EUCV submitted that speculative investment might face greater risk and that a higher equity beta is reasonable. It considered that the equity beta should be set between 0.8 and 1.0.</w:t>
      </w:r>
      <w:r w:rsidRPr="007E742F">
        <w:rPr>
          <w:rStyle w:val="FootnoteReference"/>
        </w:rPr>
        <w:footnoteReference w:id="395"/>
      </w:r>
      <w:r w:rsidRPr="007E742F">
        <w:t xml:space="preserve"> In contrast, BHPB considered that APA GasNet did not provide sufficient information to support its argument that the rate should be higher to compensate it for additional risk.</w:t>
      </w:r>
      <w:r w:rsidRPr="007E742F">
        <w:rPr>
          <w:rStyle w:val="FootnoteReference"/>
        </w:rPr>
        <w:footnoteReference w:id="396"/>
      </w:r>
    </w:p>
    <w:p w:rsidR="007E742F" w:rsidRPr="007E742F" w:rsidRDefault="007E742F" w:rsidP="007E742F">
      <w:pPr>
        <w:pStyle w:val="AERbodytext"/>
      </w:pPr>
      <w:r w:rsidRPr="007E742F">
        <w:t>Consistent with r 84, the AER’s draft decision is to set a return on the speculative capex account after the capex has been made—as flagged in section 3.4.5. Different speculative projects may have different risks, and hence it may be appropriate to set different returns. The AER considers that aligning the rate of return with the risk profile of the particular speculative capex will promote efficient investment in services. As APA GasNet has not proposed or identified any speculative capex that might be appropriate to add to a notional fund, the AER does not consider that it needs to set a rate of return on the speculative capex account at this time. Notwithstanding this draft decision, the following considerations on the proposed rate of return will be relevant at the time that speculative capex is made and identified for inclusion in the account. At that time the AER will set a rate of return appropriate to that investment. The AER would not accept APA GasNet's proposal for a 1.2 equity beta for equity for its speculative capex account on the basis of the information provided by APA GasNet in its initial access arrangement proposal. This is because:</w:t>
      </w:r>
    </w:p>
    <w:p w:rsidR="007E742F" w:rsidRPr="007E742F" w:rsidRDefault="007E742F" w:rsidP="007E742F">
      <w:pPr>
        <w:pStyle w:val="AERbulletlistfirststyle"/>
      </w:pPr>
      <w:r w:rsidRPr="007E742F">
        <w:t>APA GasNet has not provided a strong rationale for why 1.2, specifically, is an appropriate equity beta for its speculative capex account. The justification presented by APA GasNet for this quantification was based on a misrepresentation of its own proposal.</w:t>
      </w:r>
    </w:p>
    <w:p w:rsidR="007E742F" w:rsidRPr="007E742F" w:rsidRDefault="007E742F" w:rsidP="007E742F">
      <w:pPr>
        <w:pStyle w:val="AERbulletlistfirststyle"/>
      </w:pPr>
      <w:r w:rsidRPr="007E742F">
        <w:t>APA GasNet has not proposed or identified any speculative capex that would be added to the account and therefore it is not clear to the AER that investment in the speculative capex account faces greater risk such as to warrant a different equity beta than provided for reference services.</w:t>
      </w:r>
    </w:p>
    <w:p w:rsidR="007E742F" w:rsidRPr="007E742F" w:rsidRDefault="007E742F" w:rsidP="007E742F">
      <w:pPr>
        <w:pStyle w:val="AERbulletlistfirststyle"/>
      </w:pPr>
      <w:r w:rsidRPr="007E742F">
        <w:t>Even if investment in the speculative capex account does face greater risk, it is not clear to the AER that the risk is driven by systematic risk factors. The Sharpe Lintner CAPM has been proposed by APA GasNet and accepted by the AER as the well accepted model to estimate the cost of equity component of the rate of return. Under the Sharpe Lintner CAPM, only systematic risk is compensated for.</w:t>
      </w:r>
    </w:p>
    <w:p w:rsidR="007E742F" w:rsidRPr="007E742F" w:rsidRDefault="007E742F" w:rsidP="007E742F">
      <w:pPr>
        <w:pStyle w:val="AERbodytext"/>
      </w:pPr>
      <w:r w:rsidRPr="007E742F">
        <w:t>The AER does not consider that APA GasNet has justified a return on the speculative capex account of the WACC with specifically a 1.2 beta. BHPB also holds this view. BHPB considered that APA GasNet's argument that the higher rate should be determined by applying an equity beta of 1.20 appeared to be arbitrary, and was not supported by any evidence.</w:t>
      </w:r>
      <w:r w:rsidRPr="007E742F">
        <w:rPr>
          <w:rStyle w:val="FootnoteReference"/>
        </w:rPr>
        <w:footnoteReference w:id="397"/>
      </w:r>
      <w:r w:rsidRPr="007E742F">
        <w:t xml:space="preserve"> The AER agrees that there should be some analysis or reasonable basis to support a proposed return. Otherwise, it is unlikely that any return set would accord with the NGO.</w:t>
      </w:r>
      <w:r w:rsidRPr="007E742F">
        <w:rPr>
          <w:rStyle w:val="FootnoteReference"/>
        </w:rPr>
        <w:footnoteReference w:id="398"/>
      </w:r>
    </w:p>
    <w:p w:rsidR="007E742F" w:rsidRPr="007E742F" w:rsidRDefault="007E742F" w:rsidP="007E742F">
      <w:pPr>
        <w:pStyle w:val="AERbodytext"/>
      </w:pPr>
      <w:r w:rsidRPr="007E742F">
        <w:t xml:space="preserve">APA GasNet justified its proposed 1.2 equity beta for speculative capex on the basis that: </w:t>
      </w:r>
    </w:p>
    <w:p w:rsidR="007E742F" w:rsidRPr="007E742F" w:rsidRDefault="007E742F" w:rsidP="007E742F">
      <w:pPr>
        <w:pStyle w:val="AERquote"/>
      </w:pPr>
      <w:r w:rsidRPr="007E742F">
        <w:t>... APA GasNet submits that the beta applicable to its business should be 1.0. In order for the rate of return on speculative investment to reflect the greater risk relative to the core pipeline, it is necessary to adopt a beta value greater than 1.0. APA GasNet proposes that the rate of return on speculative investment should be based on a beta value of 1.2.</w:t>
      </w:r>
      <w:r w:rsidRPr="007E742F">
        <w:rPr>
          <w:rStyle w:val="FootnoteReference"/>
        </w:rPr>
        <w:footnoteReference w:id="399"/>
      </w:r>
    </w:p>
    <w:p w:rsidR="007E742F" w:rsidRPr="007E742F" w:rsidRDefault="007E742F" w:rsidP="007E742F">
      <w:pPr>
        <w:pStyle w:val="AERbodytext"/>
      </w:pPr>
      <w:r w:rsidRPr="007E742F">
        <w:t>The basis used by APA GasNet to support 1.2 beta is a misrepresentation of its proposal. The above reasoning assumed APA GasNet proposed a 1.0 equity beta for reference services. However, it actually proposed a beta of 0.8.</w:t>
      </w:r>
      <w:r w:rsidRPr="007E742F">
        <w:rPr>
          <w:rStyle w:val="FootnoteReference"/>
        </w:rPr>
        <w:footnoteReference w:id="400"/>
      </w:r>
      <w:r w:rsidRPr="007E742F">
        <w:t xml:space="preserve"> Further, the AER has discussed in section </w:t>
      </w:r>
      <w:r w:rsidR="00DE0D6A" w:rsidRPr="007E742F">
        <w:fldChar w:fldCharType="begin"/>
      </w:r>
      <w:r w:rsidRPr="007E742F">
        <w:instrText xml:space="preserve"> REF _Ref333929152 \r \h </w:instrText>
      </w:r>
      <w:r w:rsidR="00DE0D6A" w:rsidRPr="007E742F">
        <w:fldChar w:fldCharType="separate"/>
      </w:r>
      <w:r w:rsidRPr="007E742F">
        <w:t>4.3.5</w:t>
      </w:r>
      <w:r w:rsidR="00DE0D6A" w:rsidRPr="007E742F">
        <w:fldChar w:fldCharType="end"/>
      </w:r>
      <w:r w:rsidRPr="007E742F">
        <w:t xml:space="preserve"> that the appropriate beta for APA GasNet is 0.8. Accordingly, as APA GasNet's only criteria for its speculative capex equity beta is that it must be greater than that for references services, then 0.85, 0.9, 1.0 and 1.1 are equity betas that could also have been suggested. APA GasNet's arguments provide no rationale why 1.2 in particular is appropriate.</w:t>
      </w:r>
    </w:p>
    <w:p w:rsidR="007E742F" w:rsidRPr="007E742F" w:rsidRDefault="007E742F" w:rsidP="007E742F">
      <w:pPr>
        <w:pStyle w:val="AERbodytext"/>
      </w:pPr>
      <w:r w:rsidRPr="007E742F">
        <w:t>More generally, APA GasNet's basis for receiving a higher return on speculative capex is to compensate for the risk that the non-conforming investment may never result in any additional revenue.</w:t>
      </w:r>
      <w:r w:rsidRPr="007E742F">
        <w:rPr>
          <w:rStyle w:val="FootnoteReference"/>
        </w:rPr>
        <w:footnoteReference w:id="401"/>
      </w:r>
      <w:r w:rsidRPr="007E742F">
        <w:t xml:space="preserve"> Putting aside the fact that no speculative capex has been identified for inclusion in the account, the AER, has not been provided with any information to suggest that capex that might enter the account is any different to APA GasNet's other capex. Thus, on the information provided by APA GasNet to date, the AER is not convinced that setting a return higher than the WACC would promote efficient investment in, natural gas services for the long term interests of consumers of natural gas with respect to price.</w:t>
      </w:r>
      <w:r w:rsidRPr="007E742F">
        <w:rPr>
          <w:rStyle w:val="FootnoteReference"/>
        </w:rPr>
        <w:footnoteReference w:id="402"/>
      </w:r>
    </w:p>
    <w:p w:rsidR="007E742F" w:rsidRPr="007E742F" w:rsidRDefault="007E742F" w:rsidP="007E742F">
      <w:pPr>
        <w:pStyle w:val="AERbodytext"/>
      </w:pPr>
      <w:r w:rsidRPr="007E742F">
        <w:t>During the WACC review, the AER considered whether volume risk was a type of systematic risk. It concluded that it is arguable as to whether volume risk is a systematic risk factor.</w:t>
      </w:r>
      <w:r w:rsidRPr="007E742F">
        <w:rPr>
          <w:rStyle w:val="FootnoteReference"/>
        </w:rPr>
        <w:footnoteReference w:id="403"/>
      </w:r>
      <w:r w:rsidRPr="007E742F">
        <w:t xml:space="preserve"> This is important because APA GasNet made an adjustment to the beta parameter of the WACC to determine its proposed return on the account. However, the WACC compensates a network service provider for only systematic risk. APA GasNet's proposal to the AER does not make it clear that speculative capex has greater systematic risk than that for references services. </w:t>
      </w:r>
    </w:p>
    <w:p w:rsidR="007E742F" w:rsidRPr="007E742F" w:rsidRDefault="007E742F" w:rsidP="007E742F">
      <w:pPr>
        <w:pStyle w:val="AERbodytext"/>
      </w:pPr>
      <w:r w:rsidRPr="007E742F">
        <w:t xml:space="preserve">While the AER will not set a return on the speculative capex account until such time as APA GasNet identifies particular capex to be included in the account, at that time APA GasNet would need to provide more analysis and explanation to justify a return higher than that for reference services.  </w:t>
      </w:r>
    </w:p>
    <w:p w:rsidR="007E742F" w:rsidRPr="007E742F" w:rsidRDefault="007E742F" w:rsidP="007E742F">
      <w:pPr>
        <w:pStyle w:val="AERheading2"/>
      </w:pPr>
      <w:r w:rsidRPr="007E742F">
        <w:t xml:space="preserve">Revisions </w:t>
      </w:r>
    </w:p>
    <w:p w:rsidR="007E742F" w:rsidRPr="007E742F" w:rsidRDefault="007E742F" w:rsidP="007E742F">
      <w:pPr>
        <w:pStyle w:val="AERbodytext"/>
      </w:pPr>
      <w:r w:rsidRPr="007E742F">
        <w:t>The AER proposes the following revisions to make APA GasNet's access arrangement proposal acceptable:</w:t>
      </w:r>
    </w:p>
    <w:p w:rsidR="007E742F" w:rsidRPr="007E742F" w:rsidRDefault="007E742F" w:rsidP="007E742F">
      <w:pPr>
        <w:pStyle w:val="AERrevisionbox"/>
        <w:rPr>
          <w:rStyle w:val="AERtextbold"/>
        </w:rPr>
      </w:pPr>
      <w:r w:rsidRPr="007E742F">
        <w:rPr>
          <w:rStyle w:val="AERtextbold"/>
        </w:rPr>
        <w:t>Revision 4.1:</w:t>
      </w:r>
    </w:p>
    <w:p w:rsidR="007E742F" w:rsidRPr="007E742F" w:rsidRDefault="007E742F" w:rsidP="007E742F">
      <w:pPr>
        <w:pStyle w:val="AERrevisionbox"/>
      </w:pPr>
      <w:r w:rsidRPr="007E742F">
        <w:t xml:space="preserve">Make all necessary amendments to reflect the AER's draft decision on the rate of return on capital for the access arrangement period, as set out in </w:t>
      </w:r>
      <w:r w:rsidR="00DE0D6A" w:rsidRPr="007E742F">
        <w:fldChar w:fldCharType="begin"/>
      </w:r>
      <w:r w:rsidRPr="007E742F">
        <w:instrText xml:space="preserve"> REF _Ref334132286 \r \h </w:instrText>
      </w:r>
      <w:r w:rsidR="00DE0D6A" w:rsidRPr="007E742F">
        <w:fldChar w:fldCharType="separate"/>
      </w:r>
      <w:r w:rsidRPr="007E742F">
        <w:t>Table 4.1</w:t>
      </w:r>
      <w:r w:rsidR="00DE0D6A" w:rsidRPr="007E742F">
        <w:fldChar w:fldCharType="end"/>
      </w:r>
      <w:r w:rsidRPr="007E742F">
        <w:t xml:space="preserve"> of this attachment.</w:t>
      </w:r>
    </w:p>
    <w:p w:rsidR="007C1F9F" w:rsidRPr="002B0421" w:rsidRDefault="007C1F9F" w:rsidP="007C1F9F">
      <w:pPr>
        <w:pStyle w:val="AERbodytext"/>
      </w:pPr>
    </w:p>
    <w:p w:rsidR="007C1F9F" w:rsidRPr="003A447F" w:rsidRDefault="007C1F9F" w:rsidP="007C1F9F">
      <w:pPr>
        <w:pStyle w:val="AERheading1"/>
        <w:numPr>
          <w:ilvl w:val="0"/>
          <w:numId w:val="7"/>
        </w:numPr>
        <w:tabs>
          <w:tab w:val="clear" w:pos="-357"/>
          <w:tab w:val="left" w:pos="0"/>
        </w:tabs>
        <w:ind w:left="-354" w:hanging="360"/>
      </w:pPr>
      <w:bookmarkStart w:id="72" w:name="_Toc334543771"/>
      <w:r w:rsidRPr="003A447F">
        <w:t>Depreciation</w:t>
      </w:r>
      <w:bookmarkEnd w:id="55"/>
      <w:bookmarkEnd w:id="72"/>
    </w:p>
    <w:p w:rsidR="007C1F9F" w:rsidRPr="003A447F" w:rsidRDefault="007C1F9F" w:rsidP="007C1F9F">
      <w:pPr>
        <w:pStyle w:val="AERbodytext"/>
        <w:rPr>
          <w:rStyle w:val="AERbody"/>
        </w:rPr>
      </w:pPr>
      <w:bookmarkStart w:id="73" w:name="OLE_LINK49"/>
      <w:bookmarkStart w:id="74" w:name="OLE_LINK50"/>
      <w:r w:rsidRPr="003A447F">
        <w:rPr>
          <w:rStyle w:val="AERbody"/>
        </w:rPr>
        <w:t>When determining the total revenue for APA GasNet, the AER must decide on the depreciation for the projected capital base (or return of capital).</w:t>
      </w:r>
      <w:r w:rsidRPr="003A447F">
        <w:rPr>
          <w:rStyle w:val="AERsuperscript"/>
        </w:rPr>
        <w:footnoteReference w:id="404"/>
      </w:r>
      <w:r w:rsidRPr="003A447F">
        <w:rPr>
          <w:rStyle w:val="AERbody"/>
        </w:rPr>
        <w:t xml:space="preserve"> </w:t>
      </w:r>
      <w:bookmarkEnd w:id="73"/>
      <w:bookmarkEnd w:id="74"/>
      <w:r w:rsidRPr="003A447F">
        <w:t xml:space="preserve">Regulatory depreciation is used to model the nominal asset values over the </w:t>
      </w:r>
      <w:r w:rsidRPr="00C20157">
        <w:t xml:space="preserve">2013–17 </w:t>
      </w:r>
      <w:r w:rsidRPr="003A447F">
        <w:t>access arrangement period and the depreciation allowance in the total revenue requirement. The AER’s draft decision on APA GasNet’s annual regulatory depreciation allowances</w:t>
      </w:r>
      <w:r>
        <w:t xml:space="preserve"> </w:t>
      </w:r>
      <w:r w:rsidRPr="003A447F">
        <w:t>is outlined in this attachment.</w:t>
      </w:r>
      <w:r>
        <w:rPr>
          <w:rStyle w:val="FootnoteReference"/>
        </w:rPr>
        <w:footnoteReference w:id="405"/>
      </w:r>
      <w:r w:rsidRPr="003A447F">
        <w:t xml:space="preserve"> </w:t>
      </w:r>
      <w:r w:rsidRPr="003A447F">
        <w:rPr>
          <w:rStyle w:val="AERbody"/>
        </w:rPr>
        <w:t>The AER’s consideration of specific matters that affect the estimate of regulatory depreciation over the</w:t>
      </w:r>
      <w:r>
        <w:rPr>
          <w:rStyle w:val="AERbody"/>
        </w:rPr>
        <w:t xml:space="preserve"> </w:t>
      </w:r>
      <w:r w:rsidRPr="00CC1194">
        <w:rPr>
          <w:rStyle w:val="AERbody"/>
        </w:rPr>
        <w:t>2013–17</w:t>
      </w:r>
      <w:r w:rsidRPr="003A447F">
        <w:rPr>
          <w:rStyle w:val="AERbody"/>
        </w:rPr>
        <w:t xml:space="preserve"> access arrangement period is also o</w:t>
      </w:r>
      <w:r>
        <w:rPr>
          <w:rStyle w:val="AERbody"/>
        </w:rPr>
        <w:t>utlined in this attachment. These</w:t>
      </w:r>
      <w:r w:rsidRPr="003A447F">
        <w:rPr>
          <w:rStyle w:val="AERbody"/>
        </w:rPr>
        <w:t xml:space="preserve"> include:</w:t>
      </w:r>
    </w:p>
    <w:p w:rsidR="007C1F9F" w:rsidRPr="003A447F" w:rsidRDefault="007C1F9F" w:rsidP="007C1F9F">
      <w:pPr>
        <w:pStyle w:val="AERbulletlistfirststyle"/>
      </w:pPr>
      <w:r w:rsidRPr="003A447F">
        <w:t>the standard economic lives for depreciating new assets associated with forecast capex</w:t>
      </w:r>
    </w:p>
    <w:p w:rsidR="007C1F9F" w:rsidRPr="003A447F" w:rsidRDefault="007C1F9F" w:rsidP="007C1F9F">
      <w:pPr>
        <w:pStyle w:val="AERbulletlistfirststyle"/>
      </w:pPr>
      <w:r w:rsidRPr="003A447F">
        <w:t>the remaining economic lives for depreciating existing assets in the opening capital base.</w:t>
      </w:r>
    </w:p>
    <w:p w:rsidR="007C1F9F" w:rsidRPr="003A447F" w:rsidRDefault="007C1F9F" w:rsidP="007C1F9F">
      <w:pPr>
        <w:pStyle w:val="AERheading2"/>
        <w:numPr>
          <w:ilvl w:val="1"/>
          <w:numId w:val="7"/>
        </w:numPr>
        <w:tabs>
          <w:tab w:val="clear" w:pos="4317"/>
          <w:tab w:val="num" w:pos="0"/>
        </w:tabs>
        <w:ind w:left="0" w:hanging="720"/>
      </w:pPr>
      <w:bookmarkStart w:id="75" w:name="_Toc334543772"/>
      <w:r w:rsidRPr="003A447F">
        <w:t>Draft decision</w:t>
      </w:r>
      <w:bookmarkStart w:id="76" w:name="_Toc294695759"/>
      <w:bookmarkEnd w:id="75"/>
    </w:p>
    <w:p w:rsidR="007C1F9F" w:rsidRDefault="007C1F9F" w:rsidP="007C1F9F">
      <w:pPr>
        <w:pStyle w:val="AERbodytext"/>
      </w:pPr>
      <w:r w:rsidRPr="003A447F">
        <w:t xml:space="preserve">The AER approves APA GasNet's proposal to use the straight-line method to calculate the regulatory depreciation allowance as set out in the </w:t>
      </w:r>
      <w:r>
        <w:t>post-tax revenue model (</w:t>
      </w:r>
      <w:r w:rsidRPr="003A447F">
        <w:t>PTRM</w:t>
      </w:r>
      <w:r>
        <w:t>)</w:t>
      </w:r>
      <w:r w:rsidRPr="003A447F">
        <w:t>. However, the AER does not approve APA GasNet's proposed regulatory depreciation allowance of $157.5 million (</w:t>
      </w:r>
      <w:r>
        <w:t>$</w:t>
      </w:r>
      <w:r w:rsidRPr="003A447F">
        <w:t xml:space="preserve">nominal) for the </w:t>
      </w:r>
      <w:r w:rsidRPr="00CC1194">
        <w:rPr>
          <w:rStyle w:val="AERbody"/>
        </w:rPr>
        <w:t>2013–17</w:t>
      </w:r>
      <w:r w:rsidRPr="003A447F">
        <w:rPr>
          <w:rStyle w:val="AERbody"/>
        </w:rPr>
        <w:t xml:space="preserve"> </w:t>
      </w:r>
      <w:r w:rsidRPr="003A447F">
        <w:t>access arrangement period.</w:t>
      </w:r>
      <w:r>
        <w:rPr>
          <w:rStyle w:val="FootnoteReference"/>
        </w:rPr>
        <w:footnoteReference w:id="406"/>
      </w:r>
      <w:r w:rsidRPr="003A447F">
        <w:t xml:space="preserve"> This is because </w:t>
      </w:r>
      <w:r>
        <w:t>of the AER's required adjustments for this draft decision. These include:</w:t>
      </w:r>
    </w:p>
    <w:p w:rsidR="007C1F9F" w:rsidRDefault="007C1F9F" w:rsidP="007C1F9F">
      <w:pPr>
        <w:pStyle w:val="AERbulletlistfirststyle"/>
      </w:pPr>
      <w:r>
        <w:t xml:space="preserve">the proposed </w:t>
      </w:r>
      <w:r w:rsidRPr="003A447F">
        <w:t xml:space="preserve">approach for modelling the return of capital </w:t>
      </w:r>
      <w:r>
        <w:t xml:space="preserve">(and return on capital) </w:t>
      </w:r>
      <w:r w:rsidRPr="003A447F">
        <w:t xml:space="preserve">over the </w:t>
      </w:r>
      <w:r w:rsidRPr="00CC1194">
        <w:rPr>
          <w:rStyle w:val="AERbody"/>
        </w:rPr>
        <w:t>2013–17</w:t>
      </w:r>
      <w:r w:rsidRPr="003A447F">
        <w:rPr>
          <w:rStyle w:val="AERbody"/>
        </w:rPr>
        <w:t xml:space="preserve"> </w:t>
      </w:r>
      <w:r>
        <w:t>access arrangement period</w:t>
      </w:r>
    </w:p>
    <w:p w:rsidR="007C1F9F" w:rsidRDefault="007C1F9F" w:rsidP="007C1F9F">
      <w:pPr>
        <w:pStyle w:val="AERbulletlistfirststyle"/>
      </w:pPr>
      <w:r>
        <w:t xml:space="preserve">the proposed remaining economic lives as at 1 January 2013. </w:t>
      </w:r>
    </w:p>
    <w:p w:rsidR="007C1F9F" w:rsidRPr="003A447F" w:rsidRDefault="007C1F9F" w:rsidP="007C1F9F">
      <w:pPr>
        <w:pStyle w:val="AERbodytext"/>
      </w:pPr>
      <w:r>
        <w:t xml:space="preserve">The </w:t>
      </w:r>
      <w:r w:rsidRPr="003A447F">
        <w:t>AER does not a</w:t>
      </w:r>
      <w:r>
        <w:t>ccept</w:t>
      </w:r>
      <w:r w:rsidRPr="003A447F">
        <w:t xml:space="preserve"> APA GasNet’s proposed approach for modelling the return of capital </w:t>
      </w:r>
      <w:r>
        <w:t xml:space="preserve">(and return on capital) </w:t>
      </w:r>
      <w:r w:rsidRPr="003A447F">
        <w:t xml:space="preserve">over the </w:t>
      </w:r>
      <w:r w:rsidRPr="00CC1194">
        <w:rPr>
          <w:rStyle w:val="AERbody"/>
        </w:rPr>
        <w:t>2013–17</w:t>
      </w:r>
      <w:r w:rsidRPr="003A447F">
        <w:rPr>
          <w:rStyle w:val="AERbody"/>
        </w:rPr>
        <w:t xml:space="preserve"> </w:t>
      </w:r>
      <w:r w:rsidRPr="003A447F">
        <w:t xml:space="preserve">access arrangement period. </w:t>
      </w:r>
      <w:r w:rsidRPr="005D3D22">
        <w:t>APA GasNet propos</w:t>
      </w:r>
      <w:r>
        <w:t>ed</w:t>
      </w:r>
      <w:r w:rsidRPr="005D3D22">
        <w:t xml:space="preserve"> to change its depreciation approach to one that brings forward the cash flow it receives from customers.</w:t>
      </w:r>
      <w:r>
        <w:t xml:space="preserve"> </w:t>
      </w:r>
      <w:r w:rsidRPr="003A447F">
        <w:t xml:space="preserve">The AER considers that APA GasNet’s proposed </w:t>
      </w:r>
      <w:r>
        <w:t xml:space="preserve">forecast </w:t>
      </w:r>
      <w:r w:rsidRPr="003A447F">
        <w:t>depreciation approach does not meet the requirements of the NG</w:t>
      </w:r>
      <w:r>
        <w:t>R</w:t>
      </w:r>
      <w:r w:rsidRPr="003A447F">
        <w:t xml:space="preserve"> regarding the promotion of efficient growth of the market for reference services.</w:t>
      </w:r>
      <w:r>
        <w:rPr>
          <w:rStyle w:val="FootnoteReference"/>
        </w:rPr>
        <w:footnoteReference w:id="407"/>
      </w:r>
      <w:r w:rsidRPr="003A447F">
        <w:t xml:space="preserve"> </w:t>
      </w:r>
    </w:p>
    <w:p w:rsidR="007C1F9F" w:rsidRPr="003A447F" w:rsidRDefault="007C1F9F" w:rsidP="007C1F9F">
      <w:pPr>
        <w:pStyle w:val="AERbodytext"/>
      </w:pPr>
      <w:r w:rsidRPr="003A447F">
        <w:t xml:space="preserve">The AER approves APA GasNet's proposed standard economic lives assigned to each of its asset classes for the </w:t>
      </w:r>
      <w:r w:rsidRPr="00CC1194">
        <w:rPr>
          <w:rStyle w:val="AERbody"/>
        </w:rPr>
        <w:t>2013–17</w:t>
      </w:r>
      <w:r w:rsidRPr="003A447F">
        <w:rPr>
          <w:rStyle w:val="AERbody"/>
        </w:rPr>
        <w:t xml:space="preserve"> </w:t>
      </w:r>
      <w:r w:rsidRPr="003A447F">
        <w:t xml:space="preserve">access arrangement period. This is because they are consistent with the ACCC’s approved standard economic lives </w:t>
      </w:r>
      <w:r>
        <w:t>for</w:t>
      </w:r>
      <w:r w:rsidRPr="003A447F">
        <w:t xml:space="preserve"> the </w:t>
      </w:r>
      <w:r w:rsidRPr="00AB16BD">
        <w:t>2008–12</w:t>
      </w:r>
      <w:r w:rsidRPr="003A447F">
        <w:t xml:space="preserve"> access arrangement period. </w:t>
      </w:r>
    </w:p>
    <w:p w:rsidR="007C1F9F" w:rsidRPr="003A447F" w:rsidRDefault="007C1F9F" w:rsidP="007C1F9F">
      <w:pPr>
        <w:pStyle w:val="AERbodytext"/>
      </w:pPr>
      <w:r w:rsidRPr="003A447F">
        <w:t xml:space="preserve">The AER accepts APA GasNet's proposed weighted average method to calculate the remaining economic lives as at 1 January 2013. </w:t>
      </w:r>
      <w:r w:rsidRPr="003A447F">
        <w:rPr>
          <w:rStyle w:val="AERbody"/>
        </w:rPr>
        <w:t>In accepting the weighted average method</w:t>
      </w:r>
      <w:r>
        <w:rPr>
          <w:rStyle w:val="AERbody"/>
        </w:rPr>
        <w:t>,</w:t>
      </w:r>
      <w:r w:rsidRPr="003A447F">
        <w:t xml:space="preserve"> </w:t>
      </w:r>
      <w:r w:rsidRPr="003A447F">
        <w:rPr>
          <w:rStyle w:val="AERbody"/>
        </w:rPr>
        <w:t xml:space="preserve">the AER has updated APA GasNet's remaining economic lives as at </w:t>
      </w:r>
      <w:r w:rsidRPr="003A447F">
        <w:t>1 January 2013</w:t>
      </w:r>
      <w:r>
        <w:t xml:space="preserve"> </w:t>
      </w:r>
      <w:r w:rsidRPr="003A447F">
        <w:rPr>
          <w:rStyle w:val="AERbody"/>
        </w:rPr>
        <w:t>to reflect</w:t>
      </w:r>
      <w:r w:rsidRPr="003A447F">
        <w:t xml:space="preserve"> </w:t>
      </w:r>
      <w:r>
        <w:t>the</w:t>
      </w:r>
      <w:r w:rsidRPr="003A447F">
        <w:t xml:space="preserve"> revised </w:t>
      </w:r>
      <w:r w:rsidRPr="003A447F">
        <w:rPr>
          <w:rStyle w:val="AERbody"/>
        </w:rPr>
        <w:t xml:space="preserve">capital base roll forward </w:t>
      </w:r>
      <w:r w:rsidRPr="003A447F">
        <w:t xml:space="preserve">for the </w:t>
      </w:r>
      <w:r w:rsidRPr="00AB16BD">
        <w:t>2008–12</w:t>
      </w:r>
      <w:r>
        <w:t xml:space="preserve"> </w:t>
      </w:r>
      <w:r w:rsidRPr="003A447F">
        <w:t>access arrangement</w:t>
      </w:r>
      <w:r>
        <w:t xml:space="preserve"> period.</w:t>
      </w:r>
    </w:p>
    <w:p w:rsidR="007C1F9F" w:rsidRPr="003A447F" w:rsidRDefault="007C1F9F" w:rsidP="007C1F9F">
      <w:pPr>
        <w:pStyle w:val="AERbodytext"/>
      </w:pPr>
      <w:r w:rsidRPr="003A447F">
        <w:t xml:space="preserve">The AER’s </w:t>
      </w:r>
      <w:r>
        <w:t>draft decision</w:t>
      </w:r>
      <w:r w:rsidRPr="003A447F">
        <w:t xml:space="preserve"> regarding other components of APA GasNet’s proposal also affect the </w:t>
      </w:r>
      <w:r>
        <w:t xml:space="preserve">calculation of the </w:t>
      </w:r>
      <w:r w:rsidRPr="003A447F">
        <w:t xml:space="preserve">regulatory depreciation allowance. These are discussed in other attachments and include: </w:t>
      </w:r>
    </w:p>
    <w:p w:rsidR="007C1F9F" w:rsidRPr="003A447F" w:rsidRDefault="007C1F9F" w:rsidP="007C1F9F">
      <w:pPr>
        <w:pStyle w:val="AERbulletlistfirststyle"/>
      </w:pPr>
      <w:r w:rsidRPr="003A447F">
        <w:t xml:space="preserve">the </w:t>
      </w:r>
      <w:r>
        <w:t xml:space="preserve">projected </w:t>
      </w:r>
      <w:r w:rsidRPr="003A447F">
        <w:t xml:space="preserve">opening capital base (attachment </w:t>
      </w:r>
      <w:r>
        <w:t>2</w:t>
      </w:r>
      <w:r w:rsidRPr="003A447F">
        <w:t xml:space="preserve">) </w:t>
      </w:r>
    </w:p>
    <w:p w:rsidR="007C1F9F" w:rsidRDefault="007C1F9F" w:rsidP="007C1F9F">
      <w:pPr>
        <w:pStyle w:val="AERbulletlistfirststyle"/>
      </w:pPr>
      <w:r w:rsidRPr="003A447F">
        <w:t>forecast</w:t>
      </w:r>
      <w:r>
        <w:t xml:space="preserve"> net</w:t>
      </w:r>
      <w:r w:rsidRPr="003A447F">
        <w:t xml:space="preserve"> capex  (attachment </w:t>
      </w:r>
      <w:r>
        <w:t>3</w:t>
      </w:r>
      <w:r w:rsidRPr="003A447F">
        <w:t>)</w:t>
      </w:r>
    </w:p>
    <w:p w:rsidR="007C1F9F" w:rsidRPr="003A447F" w:rsidRDefault="007C1F9F" w:rsidP="007C1F9F">
      <w:pPr>
        <w:pStyle w:val="AERbulletlistfirststyle"/>
      </w:pPr>
      <w:r w:rsidRPr="003A447F">
        <w:t xml:space="preserve">forecast inflation (attachment </w:t>
      </w:r>
      <w:r>
        <w:t>4</w:t>
      </w:r>
      <w:r w:rsidRPr="003A447F">
        <w:t>).</w:t>
      </w:r>
    </w:p>
    <w:p w:rsidR="007C1F9F" w:rsidRPr="003A447F" w:rsidRDefault="007C1F9F" w:rsidP="007C1F9F">
      <w:pPr>
        <w:pStyle w:val="AERbodytext"/>
      </w:pPr>
      <w:r w:rsidRPr="003A447F">
        <w:t xml:space="preserve">The AER's draft decision on APA GasNet's total regulatory depreciation allowance over the </w:t>
      </w:r>
      <w:r w:rsidRPr="00CC1194">
        <w:rPr>
          <w:rStyle w:val="AERbody"/>
        </w:rPr>
        <w:t>2013–17</w:t>
      </w:r>
      <w:r w:rsidRPr="003A447F">
        <w:rPr>
          <w:rStyle w:val="AERbody"/>
        </w:rPr>
        <w:t xml:space="preserve"> </w:t>
      </w:r>
      <w:r w:rsidRPr="003A447F">
        <w:t>access arrangement period is $</w:t>
      </w:r>
      <w:r>
        <w:t xml:space="preserve">56.2 </w:t>
      </w:r>
      <w:r w:rsidRPr="003A447F">
        <w:t>million ($nominal)</w:t>
      </w:r>
      <w:r w:rsidRPr="00327C21">
        <w:t xml:space="preserve"> </w:t>
      </w:r>
      <w:r w:rsidRPr="00874BD1">
        <w:t>as shown in</w:t>
      </w:r>
      <w:r>
        <w:t xml:space="preserve"> </w:t>
      </w:r>
      <w:r w:rsidR="00DE0D6A">
        <w:fldChar w:fldCharType="begin"/>
      </w:r>
      <w:r>
        <w:instrText xml:space="preserve"> REF  _Ref329688382 \* Lower \h \r </w:instrText>
      </w:r>
      <w:r w:rsidR="00DE0D6A">
        <w:fldChar w:fldCharType="separate"/>
      </w:r>
      <w:r>
        <w:t>table 5.1</w:t>
      </w:r>
      <w:r w:rsidR="00DE0D6A">
        <w:fldChar w:fldCharType="end"/>
      </w:r>
      <w:r>
        <w:t>.</w:t>
      </w:r>
      <w:r w:rsidRPr="003A447F">
        <w:t xml:space="preserve"> This represents a reduction of $</w:t>
      </w:r>
      <w:r>
        <w:t xml:space="preserve">101.3 </w:t>
      </w:r>
      <w:r w:rsidRPr="003A447F">
        <w:t>million (</w:t>
      </w:r>
      <w:r>
        <w:t>$</w:t>
      </w:r>
      <w:r w:rsidRPr="003A447F">
        <w:t xml:space="preserve">nominal) or </w:t>
      </w:r>
      <w:r>
        <w:t xml:space="preserve">64.3 </w:t>
      </w:r>
      <w:r w:rsidRPr="003A447F">
        <w:t xml:space="preserve">per cent of APA GasNet's proposed total regulatory depreciation allowance. </w:t>
      </w:r>
    </w:p>
    <w:p w:rsidR="007C1F9F" w:rsidRPr="003A447F" w:rsidRDefault="007C1F9F" w:rsidP="007C1F9F">
      <w:pPr>
        <w:pStyle w:val="AERtabletitle"/>
      </w:pPr>
      <w:bookmarkStart w:id="77" w:name="_Ref307994754"/>
      <w:bookmarkStart w:id="78" w:name="_Ref329688382"/>
      <w:r w:rsidRPr="003A447F">
        <w:t xml:space="preserve">AER's draft decision on APA GasNet's depreciation allowance </w:t>
      </w:r>
      <w:r w:rsidRPr="003A447F">
        <w:br/>
      </w:r>
      <w:bookmarkEnd w:id="77"/>
      <w:r w:rsidRPr="003A447F">
        <w:t>($million, nominal)</w:t>
      </w:r>
      <w:bookmarkEnd w:id="78"/>
    </w:p>
    <w:tbl>
      <w:tblPr>
        <w:tblW w:w="0" w:type="auto"/>
        <w:tblBorders>
          <w:top w:val="single" w:sz="4" w:space="0" w:color="auto"/>
          <w:bottom w:val="single" w:sz="4" w:space="0" w:color="auto"/>
        </w:tblBorders>
        <w:tblLayout w:type="fixed"/>
        <w:tblLook w:val="01E0"/>
      </w:tblPr>
      <w:tblGrid>
        <w:gridCol w:w="2680"/>
        <w:gridCol w:w="967"/>
        <w:gridCol w:w="968"/>
        <w:gridCol w:w="968"/>
        <w:gridCol w:w="968"/>
        <w:gridCol w:w="968"/>
        <w:gridCol w:w="968"/>
      </w:tblGrid>
      <w:tr w:rsidR="007C1F9F" w:rsidRPr="00C1288F" w:rsidTr="00186172">
        <w:tc>
          <w:tcPr>
            <w:tcW w:w="268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
            </w:pPr>
          </w:p>
        </w:tc>
        <w:tc>
          <w:tcPr>
            <w:tcW w:w="96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2013</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2014</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2015</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2016</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2017</w:t>
            </w:r>
          </w:p>
        </w:tc>
        <w:tc>
          <w:tcPr>
            <w:tcW w:w="968"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Total</w:t>
            </w:r>
          </w:p>
        </w:tc>
      </w:tr>
      <w:tr w:rsidR="007C1F9F" w:rsidTr="00186172">
        <w:trPr>
          <w:trHeight w:val="574"/>
        </w:trPr>
        <w:tc>
          <w:tcPr>
            <w:tcW w:w="2680" w:type="dxa"/>
            <w:shd w:val="clear" w:color="auto" w:fill="auto"/>
            <w:noWrap/>
            <w:tcMar>
              <w:top w:w="0" w:type="dxa"/>
              <w:bottom w:w="0" w:type="dxa"/>
            </w:tcMar>
            <w:vAlign w:val="center"/>
          </w:tcPr>
          <w:p w:rsidR="007C1F9F" w:rsidRPr="00B2121C" w:rsidRDefault="007C1F9F" w:rsidP="00186172">
            <w:pPr>
              <w:pStyle w:val="AERtabletext"/>
            </w:pPr>
            <w:r w:rsidRPr="00B2121C">
              <w:t xml:space="preserve">Straight-line depreciation </w:t>
            </w:r>
          </w:p>
        </w:tc>
        <w:tc>
          <w:tcPr>
            <w:tcW w:w="967" w:type="dxa"/>
            <w:shd w:val="clear" w:color="auto" w:fill="auto"/>
            <w:noWrap/>
            <w:tcMar>
              <w:top w:w="0" w:type="dxa"/>
              <w:bottom w:w="0" w:type="dxa"/>
            </w:tcMar>
            <w:vAlign w:val="center"/>
          </w:tcPr>
          <w:p w:rsidR="007C1F9F" w:rsidRPr="00B2121C" w:rsidRDefault="007C1F9F" w:rsidP="00186172">
            <w:pPr>
              <w:pStyle w:val="AERtabletext"/>
            </w:pPr>
            <w:r w:rsidRPr="00B2121C">
              <w:t>24.6</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26.0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29.5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31.2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29.8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140.9</w:t>
            </w:r>
          </w:p>
        </w:tc>
      </w:tr>
      <w:tr w:rsidR="007C1F9F" w:rsidTr="00186172">
        <w:tc>
          <w:tcPr>
            <w:tcW w:w="2680" w:type="dxa"/>
            <w:shd w:val="clear" w:color="auto" w:fill="F8B47C"/>
            <w:noWrap/>
            <w:tcMar>
              <w:top w:w="0" w:type="dxa"/>
              <w:bottom w:w="0" w:type="dxa"/>
            </w:tcMar>
            <w:vAlign w:val="center"/>
          </w:tcPr>
          <w:p w:rsidR="007C1F9F" w:rsidRPr="00B2121C" w:rsidRDefault="007C1F9F" w:rsidP="00186172">
            <w:pPr>
              <w:pStyle w:val="AERtabletext"/>
            </w:pPr>
            <w:r w:rsidRPr="00B2121C">
              <w:t>Less: indexation on opening capital base</w:t>
            </w:r>
          </w:p>
        </w:tc>
        <w:tc>
          <w:tcPr>
            <w:tcW w:w="967" w:type="dxa"/>
            <w:shd w:val="clear" w:color="auto" w:fill="F8B47C"/>
            <w:noWrap/>
            <w:tcMar>
              <w:top w:w="0" w:type="dxa"/>
              <w:bottom w:w="0" w:type="dxa"/>
            </w:tcMar>
            <w:vAlign w:val="center"/>
          </w:tcPr>
          <w:p w:rsidR="007C1F9F" w:rsidRPr="00B2121C" w:rsidRDefault="007C1F9F" w:rsidP="00186172">
            <w:pPr>
              <w:pStyle w:val="AERtabletext"/>
            </w:pPr>
            <w:r w:rsidRPr="00B2121C">
              <w:t xml:space="preserve">15.3 </w:t>
            </w:r>
          </w:p>
        </w:tc>
        <w:tc>
          <w:tcPr>
            <w:tcW w:w="968" w:type="dxa"/>
            <w:shd w:val="clear" w:color="auto" w:fill="F8B47C"/>
            <w:noWrap/>
            <w:tcMar>
              <w:top w:w="0" w:type="dxa"/>
              <w:bottom w:w="0" w:type="dxa"/>
            </w:tcMar>
            <w:vAlign w:val="center"/>
          </w:tcPr>
          <w:p w:rsidR="007C1F9F" w:rsidRPr="00B2121C" w:rsidRDefault="007C1F9F" w:rsidP="00186172">
            <w:pPr>
              <w:pStyle w:val="AERtabletext"/>
            </w:pPr>
            <w:r w:rsidRPr="00B2121C">
              <w:t xml:space="preserve">15.8 </w:t>
            </w:r>
          </w:p>
        </w:tc>
        <w:tc>
          <w:tcPr>
            <w:tcW w:w="968" w:type="dxa"/>
            <w:shd w:val="clear" w:color="auto" w:fill="F8B47C"/>
            <w:noWrap/>
            <w:tcMar>
              <w:top w:w="0" w:type="dxa"/>
              <w:bottom w:w="0" w:type="dxa"/>
            </w:tcMar>
            <w:vAlign w:val="center"/>
          </w:tcPr>
          <w:p w:rsidR="007C1F9F" w:rsidRPr="00B2121C" w:rsidRDefault="007C1F9F" w:rsidP="00186172">
            <w:pPr>
              <w:pStyle w:val="AERtabletext"/>
            </w:pPr>
            <w:r w:rsidRPr="00B2121C">
              <w:t xml:space="preserve">17.7 </w:t>
            </w:r>
          </w:p>
        </w:tc>
        <w:tc>
          <w:tcPr>
            <w:tcW w:w="968" w:type="dxa"/>
            <w:shd w:val="clear" w:color="auto" w:fill="F8B47C"/>
            <w:noWrap/>
            <w:tcMar>
              <w:top w:w="0" w:type="dxa"/>
              <w:bottom w:w="0" w:type="dxa"/>
            </w:tcMar>
            <w:vAlign w:val="center"/>
          </w:tcPr>
          <w:p w:rsidR="007C1F9F" w:rsidRPr="00B2121C" w:rsidRDefault="007C1F9F" w:rsidP="00186172">
            <w:pPr>
              <w:pStyle w:val="AERtabletext"/>
            </w:pPr>
            <w:r w:rsidRPr="00B2121C">
              <w:t xml:space="preserve">18.0 </w:t>
            </w:r>
          </w:p>
        </w:tc>
        <w:tc>
          <w:tcPr>
            <w:tcW w:w="968" w:type="dxa"/>
            <w:shd w:val="clear" w:color="auto" w:fill="F8B47C"/>
            <w:noWrap/>
            <w:tcMar>
              <w:top w:w="0" w:type="dxa"/>
              <w:bottom w:w="0" w:type="dxa"/>
            </w:tcMar>
            <w:vAlign w:val="center"/>
          </w:tcPr>
          <w:p w:rsidR="007C1F9F" w:rsidRPr="00B2121C" w:rsidRDefault="007C1F9F" w:rsidP="00186172">
            <w:pPr>
              <w:pStyle w:val="AERtabletext"/>
            </w:pPr>
            <w:r w:rsidRPr="00B2121C">
              <w:t xml:space="preserve">18.0 </w:t>
            </w:r>
          </w:p>
        </w:tc>
        <w:tc>
          <w:tcPr>
            <w:tcW w:w="968" w:type="dxa"/>
            <w:shd w:val="clear" w:color="auto" w:fill="F8B47C"/>
            <w:noWrap/>
            <w:tcMar>
              <w:top w:w="0" w:type="dxa"/>
              <w:bottom w:w="0" w:type="dxa"/>
            </w:tcMar>
            <w:vAlign w:val="center"/>
          </w:tcPr>
          <w:p w:rsidR="007C1F9F" w:rsidRPr="00B2121C" w:rsidRDefault="007C1F9F" w:rsidP="00186172">
            <w:pPr>
              <w:pStyle w:val="AERtabletext"/>
            </w:pPr>
            <w:r w:rsidRPr="00B2121C">
              <w:t xml:space="preserve"> 84.8 </w:t>
            </w:r>
          </w:p>
        </w:tc>
      </w:tr>
      <w:tr w:rsidR="007C1F9F" w:rsidTr="00186172">
        <w:trPr>
          <w:trHeight w:val="395"/>
        </w:trPr>
        <w:tc>
          <w:tcPr>
            <w:tcW w:w="2680" w:type="dxa"/>
            <w:shd w:val="clear" w:color="auto" w:fill="auto"/>
            <w:noWrap/>
            <w:tcMar>
              <w:top w:w="0" w:type="dxa"/>
              <w:bottom w:w="0" w:type="dxa"/>
            </w:tcMar>
            <w:vAlign w:val="center"/>
          </w:tcPr>
          <w:p w:rsidR="007C1F9F" w:rsidRPr="00B2121C" w:rsidRDefault="007C1F9F" w:rsidP="00186172">
            <w:pPr>
              <w:pStyle w:val="AERtabletext"/>
            </w:pPr>
            <w:r w:rsidRPr="00B2121C">
              <w:t>Regulatory depreciation</w:t>
            </w:r>
          </w:p>
        </w:tc>
        <w:tc>
          <w:tcPr>
            <w:tcW w:w="967" w:type="dxa"/>
            <w:shd w:val="clear" w:color="auto" w:fill="auto"/>
            <w:noWrap/>
            <w:tcMar>
              <w:top w:w="0" w:type="dxa"/>
              <w:bottom w:w="0" w:type="dxa"/>
            </w:tcMar>
            <w:vAlign w:val="center"/>
          </w:tcPr>
          <w:p w:rsidR="007C1F9F" w:rsidRPr="00B2121C" w:rsidRDefault="007C1F9F" w:rsidP="00186172">
            <w:pPr>
              <w:pStyle w:val="AERtabletext"/>
            </w:pPr>
            <w:r w:rsidRPr="00B2121C">
              <w:t xml:space="preserve">9.3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10.2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11.8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13.2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11.7 </w:t>
            </w:r>
          </w:p>
        </w:tc>
        <w:tc>
          <w:tcPr>
            <w:tcW w:w="968" w:type="dxa"/>
            <w:shd w:val="clear" w:color="auto" w:fill="auto"/>
            <w:noWrap/>
            <w:tcMar>
              <w:top w:w="0" w:type="dxa"/>
              <w:bottom w:w="0" w:type="dxa"/>
            </w:tcMar>
            <w:vAlign w:val="center"/>
          </w:tcPr>
          <w:p w:rsidR="007C1F9F" w:rsidRPr="00B2121C" w:rsidRDefault="007C1F9F" w:rsidP="00186172">
            <w:pPr>
              <w:pStyle w:val="AERtabletext"/>
            </w:pPr>
            <w:r w:rsidRPr="00B2121C">
              <w:t xml:space="preserve">56.2 </w:t>
            </w:r>
          </w:p>
        </w:tc>
      </w:tr>
    </w:tbl>
    <w:p w:rsidR="007C1F9F" w:rsidRPr="003A447F" w:rsidRDefault="007C1F9F" w:rsidP="007C1F9F">
      <w:pPr>
        <w:pStyle w:val="AERtablesource"/>
      </w:pPr>
      <w:r w:rsidRPr="003A447F">
        <w:t>Source:</w:t>
      </w:r>
      <w:r w:rsidRPr="003A447F">
        <w:tab/>
        <w:t>AER analysis.</w:t>
      </w:r>
    </w:p>
    <w:p w:rsidR="007C1F9F" w:rsidRPr="003A447F" w:rsidRDefault="007C1F9F" w:rsidP="007C1F9F">
      <w:pPr>
        <w:pStyle w:val="AERheading2"/>
        <w:numPr>
          <w:ilvl w:val="1"/>
          <w:numId w:val="7"/>
        </w:numPr>
        <w:tabs>
          <w:tab w:val="clear" w:pos="4317"/>
          <w:tab w:val="num" w:pos="0"/>
        </w:tabs>
        <w:ind w:left="0" w:hanging="720"/>
      </w:pPr>
      <w:bookmarkStart w:id="79" w:name="_Ref307996459"/>
      <w:bookmarkStart w:id="80" w:name="_Toc334543773"/>
      <w:r w:rsidRPr="003A447F">
        <w:t>APA GasNet's proposal</w:t>
      </w:r>
      <w:bookmarkEnd w:id="79"/>
      <w:bookmarkEnd w:id="80"/>
    </w:p>
    <w:p w:rsidR="007C1F9F" w:rsidRPr="003A447F" w:rsidRDefault="007C1F9F" w:rsidP="007C1F9F">
      <w:pPr>
        <w:pStyle w:val="AERbodytext"/>
      </w:pPr>
      <w:r w:rsidRPr="003A447F">
        <w:t xml:space="preserve">APA GasNet proposed a forecast regulatory depreciation allowance of $157.5 million ($nominal) over the </w:t>
      </w:r>
      <w:r w:rsidRPr="00CC1194">
        <w:t>2013–17</w:t>
      </w:r>
      <w:r>
        <w:t xml:space="preserve"> </w:t>
      </w:r>
      <w:r w:rsidRPr="003A447F">
        <w:t>access arrangement period</w:t>
      </w:r>
      <w:r>
        <w:t>,</w:t>
      </w:r>
      <w:r w:rsidRPr="003A447F">
        <w:t xml:space="preserve"> as set out in </w:t>
      </w:r>
      <w:r w:rsidR="00DE0D6A" w:rsidRPr="003A447F">
        <w:fldChar w:fldCharType="begin"/>
      </w:r>
      <w:r w:rsidRPr="003A447F">
        <w:instrText xml:space="preserve"> REF  _Ref307994767 \* Lower \h \r </w:instrText>
      </w:r>
      <w:r w:rsidR="00DE0D6A" w:rsidRPr="003A447F">
        <w:fldChar w:fldCharType="separate"/>
      </w:r>
      <w:r>
        <w:t>table 5.2</w:t>
      </w:r>
      <w:r w:rsidR="00DE0D6A" w:rsidRPr="003A447F">
        <w:fldChar w:fldCharType="end"/>
      </w:r>
      <w:r w:rsidRPr="003A447F">
        <w:t>. To calculate the depreciation allowance, APA GasNet proposed:</w:t>
      </w:r>
      <w:r w:rsidRPr="003A447F">
        <w:rPr>
          <w:rStyle w:val="FootnoteReference"/>
        </w:rPr>
        <w:t xml:space="preserve"> </w:t>
      </w:r>
      <w:r w:rsidRPr="003A447F">
        <w:rPr>
          <w:rStyle w:val="FootnoteReference"/>
        </w:rPr>
        <w:footnoteReference w:id="408"/>
      </w:r>
    </w:p>
    <w:p w:rsidR="007C1F9F" w:rsidRPr="003A447F" w:rsidRDefault="007C1F9F" w:rsidP="007C1F9F">
      <w:pPr>
        <w:pStyle w:val="AERbulletlistfirststyle"/>
      </w:pPr>
      <w:r w:rsidRPr="003A447F">
        <w:t>to depreciat</w:t>
      </w:r>
      <w:r>
        <w:t>e</w:t>
      </w:r>
      <w:r w:rsidRPr="003A447F">
        <w:t xml:space="preserve"> a historical cost capital base using straight-line depreciation. APA GasNet</w:t>
      </w:r>
      <w:r>
        <w:t>'s</w:t>
      </w:r>
      <w:r w:rsidRPr="003A447F">
        <w:t xml:space="preserve"> proposed </w:t>
      </w:r>
      <w:r>
        <w:t>approach results in no</w:t>
      </w:r>
      <w:r w:rsidRPr="003A447F">
        <w:t xml:space="preserve"> indexation of the capital base for inflation. Therefore, the </w:t>
      </w:r>
      <w:r>
        <w:t xml:space="preserve">estimate of </w:t>
      </w:r>
      <w:r w:rsidRPr="003A447F">
        <w:t xml:space="preserve">straight-line depreciation would match the regulatory depreciation allowance because there is no offsetting indexation adjustment. </w:t>
      </w:r>
    </w:p>
    <w:p w:rsidR="007C1F9F" w:rsidRPr="003A447F" w:rsidRDefault="007C1F9F" w:rsidP="007C1F9F">
      <w:pPr>
        <w:pStyle w:val="AERbulletlistfirststyle"/>
      </w:pPr>
      <w:r w:rsidRPr="003A447F">
        <w:t xml:space="preserve">standard </w:t>
      </w:r>
      <w:r>
        <w:t>economic</w:t>
      </w:r>
      <w:r w:rsidRPr="003A447F">
        <w:t xml:space="preserve"> lives as set out in its proposed PTRM for depreciating new assets associated with forecast capex</w:t>
      </w:r>
      <w:r>
        <w:t xml:space="preserve">. </w:t>
      </w:r>
    </w:p>
    <w:p w:rsidR="007C1F9F" w:rsidRPr="003A447F" w:rsidRDefault="007C1F9F" w:rsidP="007C1F9F">
      <w:pPr>
        <w:pStyle w:val="AERbulletlistfirststyle"/>
      </w:pPr>
      <w:r>
        <w:t>r</w:t>
      </w:r>
      <w:r w:rsidRPr="003A447F">
        <w:t>emaining economic lives as set out in its proposed PTRM for depreciating existing assets in the opening capital base.</w:t>
      </w:r>
    </w:p>
    <w:p w:rsidR="007C1F9F" w:rsidRPr="003A447F" w:rsidRDefault="007C1F9F" w:rsidP="007C1F9F">
      <w:pPr>
        <w:pStyle w:val="AERtabletitle"/>
      </w:pPr>
      <w:bookmarkStart w:id="81" w:name="_Ref307994767"/>
      <w:r>
        <w:br w:type="page"/>
      </w:r>
      <w:r w:rsidRPr="003A447F">
        <w:t xml:space="preserve">APA GasNet's proposed depreciation allowance </w:t>
      </w:r>
      <w:bookmarkEnd w:id="81"/>
      <w:r w:rsidRPr="003A447F">
        <w:t>($million, nominal)</w:t>
      </w:r>
    </w:p>
    <w:tbl>
      <w:tblPr>
        <w:tblW w:w="8568" w:type="dxa"/>
        <w:tblBorders>
          <w:top w:val="single" w:sz="4" w:space="0" w:color="auto"/>
          <w:bottom w:val="single" w:sz="4" w:space="0" w:color="auto"/>
        </w:tblBorders>
        <w:tblLayout w:type="fixed"/>
        <w:tblLook w:val="01E0"/>
      </w:tblPr>
      <w:tblGrid>
        <w:gridCol w:w="2376"/>
        <w:gridCol w:w="1315"/>
        <w:gridCol w:w="975"/>
        <w:gridCol w:w="976"/>
        <w:gridCol w:w="975"/>
        <w:gridCol w:w="975"/>
        <w:gridCol w:w="976"/>
      </w:tblGrid>
      <w:tr w:rsidR="007C1F9F" w:rsidRPr="00460EBA" w:rsidTr="00186172">
        <w:tc>
          <w:tcPr>
            <w:tcW w:w="2376"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p>
        </w:tc>
        <w:tc>
          <w:tcPr>
            <w:tcW w:w="131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right"/>
            </w:pPr>
            <w:r w:rsidRPr="009660CE">
              <w:t>2013</w:t>
            </w:r>
          </w:p>
        </w:tc>
        <w:tc>
          <w:tcPr>
            <w:tcW w:w="9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right"/>
            </w:pPr>
            <w:r w:rsidRPr="009660CE">
              <w:t>2014</w:t>
            </w:r>
          </w:p>
        </w:tc>
        <w:tc>
          <w:tcPr>
            <w:tcW w:w="9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right"/>
            </w:pPr>
            <w:r w:rsidRPr="009660CE">
              <w:t>2015</w:t>
            </w:r>
          </w:p>
        </w:tc>
        <w:tc>
          <w:tcPr>
            <w:tcW w:w="9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right"/>
            </w:pPr>
            <w:r w:rsidRPr="009660CE">
              <w:t>2016</w:t>
            </w:r>
          </w:p>
        </w:tc>
        <w:tc>
          <w:tcPr>
            <w:tcW w:w="9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right"/>
            </w:pPr>
            <w:r w:rsidRPr="009660CE">
              <w:t>2017</w:t>
            </w:r>
          </w:p>
        </w:tc>
        <w:tc>
          <w:tcPr>
            <w:tcW w:w="97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9660CE" w:rsidRDefault="007C1F9F" w:rsidP="00186172">
            <w:pPr>
              <w:pStyle w:val="AERtabletextheadingright"/>
            </w:pPr>
            <w:r w:rsidRPr="009660CE">
              <w:t>Total</w:t>
            </w:r>
          </w:p>
        </w:tc>
      </w:tr>
      <w:tr w:rsidR="007C1F9F" w:rsidTr="00186172">
        <w:tc>
          <w:tcPr>
            <w:tcW w:w="2376" w:type="dxa"/>
            <w:shd w:val="clear" w:color="auto" w:fill="auto"/>
            <w:noWrap/>
            <w:tcMar>
              <w:top w:w="0" w:type="dxa"/>
              <w:bottom w:w="0" w:type="dxa"/>
            </w:tcMar>
            <w:vAlign w:val="center"/>
          </w:tcPr>
          <w:p w:rsidR="007C1F9F" w:rsidRPr="003A447F" w:rsidRDefault="007C1F9F" w:rsidP="00186172">
            <w:pPr>
              <w:pStyle w:val="AERtabletext"/>
            </w:pPr>
            <w:r w:rsidRPr="003A447F">
              <w:t>Depreciation allowance</w:t>
            </w:r>
          </w:p>
        </w:tc>
        <w:tc>
          <w:tcPr>
            <w:tcW w:w="1315" w:type="dxa"/>
            <w:shd w:val="clear" w:color="auto" w:fill="auto"/>
            <w:noWrap/>
            <w:tcMar>
              <w:top w:w="0" w:type="dxa"/>
              <w:bottom w:w="0" w:type="dxa"/>
            </w:tcMar>
            <w:vAlign w:val="center"/>
          </w:tcPr>
          <w:p w:rsidR="007C1F9F" w:rsidRPr="003A447F" w:rsidRDefault="007C1F9F" w:rsidP="00186172">
            <w:pPr>
              <w:pStyle w:val="AERtabletext-numbers"/>
            </w:pPr>
            <w:r w:rsidRPr="003A447F">
              <w:t>26.7</w:t>
            </w:r>
          </w:p>
        </w:tc>
        <w:tc>
          <w:tcPr>
            <w:tcW w:w="975" w:type="dxa"/>
            <w:shd w:val="clear" w:color="auto" w:fill="auto"/>
            <w:noWrap/>
            <w:tcMar>
              <w:top w:w="0" w:type="dxa"/>
              <w:bottom w:w="0" w:type="dxa"/>
            </w:tcMar>
            <w:vAlign w:val="center"/>
          </w:tcPr>
          <w:p w:rsidR="007C1F9F" w:rsidRPr="003A447F" w:rsidRDefault="007C1F9F" w:rsidP="00186172">
            <w:pPr>
              <w:pStyle w:val="AERtabletext-numbers"/>
            </w:pPr>
            <w:r w:rsidRPr="003A447F">
              <w:t>27.3</w:t>
            </w:r>
          </w:p>
        </w:tc>
        <w:tc>
          <w:tcPr>
            <w:tcW w:w="976" w:type="dxa"/>
            <w:shd w:val="clear" w:color="auto" w:fill="auto"/>
            <w:noWrap/>
            <w:tcMar>
              <w:top w:w="0" w:type="dxa"/>
              <w:bottom w:w="0" w:type="dxa"/>
            </w:tcMar>
            <w:vAlign w:val="center"/>
          </w:tcPr>
          <w:p w:rsidR="007C1F9F" w:rsidRPr="003A447F" w:rsidRDefault="007C1F9F" w:rsidP="00186172">
            <w:pPr>
              <w:pStyle w:val="AERtabletext-numbers"/>
            </w:pPr>
            <w:r w:rsidRPr="003A447F">
              <w:t>34.5</w:t>
            </w:r>
          </w:p>
        </w:tc>
        <w:tc>
          <w:tcPr>
            <w:tcW w:w="975" w:type="dxa"/>
            <w:shd w:val="clear" w:color="auto" w:fill="auto"/>
            <w:noWrap/>
            <w:tcMar>
              <w:top w:w="0" w:type="dxa"/>
              <w:bottom w:w="0" w:type="dxa"/>
            </w:tcMar>
            <w:vAlign w:val="center"/>
          </w:tcPr>
          <w:p w:rsidR="007C1F9F" w:rsidRPr="003A447F" w:rsidRDefault="007C1F9F" w:rsidP="00186172">
            <w:pPr>
              <w:pStyle w:val="AERtabletext-numbers"/>
            </w:pPr>
            <w:r w:rsidRPr="003A447F">
              <w:t>35.5</w:t>
            </w:r>
          </w:p>
        </w:tc>
        <w:tc>
          <w:tcPr>
            <w:tcW w:w="975" w:type="dxa"/>
            <w:shd w:val="clear" w:color="auto" w:fill="auto"/>
            <w:noWrap/>
            <w:tcMar>
              <w:top w:w="0" w:type="dxa"/>
              <w:bottom w:w="0" w:type="dxa"/>
            </w:tcMar>
            <w:vAlign w:val="center"/>
          </w:tcPr>
          <w:p w:rsidR="007C1F9F" w:rsidRPr="003A447F" w:rsidRDefault="007C1F9F" w:rsidP="00186172">
            <w:pPr>
              <w:pStyle w:val="AERtabletext-numbers"/>
            </w:pPr>
            <w:r w:rsidRPr="003A447F">
              <w:t>33.5</w:t>
            </w:r>
          </w:p>
        </w:tc>
        <w:tc>
          <w:tcPr>
            <w:tcW w:w="976" w:type="dxa"/>
            <w:shd w:val="clear" w:color="auto" w:fill="auto"/>
            <w:noWrap/>
            <w:tcMar>
              <w:top w:w="0" w:type="dxa"/>
              <w:bottom w:w="0" w:type="dxa"/>
            </w:tcMar>
            <w:vAlign w:val="center"/>
          </w:tcPr>
          <w:p w:rsidR="007C1F9F" w:rsidRPr="003A447F" w:rsidRDefault="007C1F9F" w:rsidP="00186172">
            <w:pPr>
              <w:pStyle w:val="AERtabletext-numbers"/>
            </w:pPr>
            <w:r w:rsidRPr="003A447F">
              <w:t>157.5</w:t>
            </w:r>
          </w:p>
        </w:tc>
      </w:tr>
    </w:tbl>
    <w:p w:rsidR="007C1F9F" w:rsidRPr="003A447F" w:rsidRDefault="007C1F9F" w:rsidP="007C1F9F">
      <w:pPr>
        <w:pStyle w:val="AERtablesource"/>
      </w:pPr>
      <w:r w:rsidRPr="003A447F">
        <w:t>Source:</w:t>
      </w:r>
      <w:r w:rsidRPr="003A447F">
        <w:tab/>
        <w:t xml:space="preserve">APA GasNet, </w:t>
      </w:r>
      <w:r w:rsidRPr="00920AC6">
        <w:rPr>
          <w:rStyle w:val="AERtextitalic"/>
        </w:rPr>
        <w:t xml:space="preserve">Access arrangement </w:t>
      </w:r>
      <w:r>
        <w:rPr>
          <w:rStyle w:val="AERtextitalic"/>
        </w:rPr>
        <w:t>i</w:t>
      </w:r>
      <w:r w:rsidRPr="00920AC6">
        <w:rPr>
          <w:rStyle w:val="AERtextitalic"/>
        </w:rPr>
        <w:t>nformation</w:t>
      </w:r>
      <w:r w:rsidRPr="003A447F">
        <w:t>, March 2012, p. 10.</w:t>
      </w:r>
    </w:p>
    <w:p w:rsidR="007C1F9F" w:rsidRPr="003A447F" w:rsidRDefault="007C1F9F" w:rsidP="007C1F9F">
      <w:pPr>
        <w:pStyle w:val="AERheading2"/>
        <w:numPr>
          <w:ilvl w:val="1"/>
          <w:numId w:val="7"/>
        </w:numPr>
        <w:tabs>
          <w:tab w:val="clear" w:pos="4317"/>
          <w:tab w:val="num" w:pos="0"/>
        </w:tabs>
        <w:ind w:left="0" w:hanging="720"/>
      </w:pPr>
      <w:bookmarkStart w:id="82" w:name="_Toc334543774"/>
      <w:r w:rsidRPr="003A447F">
        <w:t>Assessment approach</w:t>
      </w:r>
      <w:bookmarkEnd w:id="82"/>
    </w:p>
    <w:p w:rsidR="007C1F9F" w:rsidRPr="007E3923" w:rsidRDefault="007C1F9F" w:rsidP="007C1F9F">
      <w:pPr>
        <w:pStyle w:val="AERbodytext"/>
        <w:rPr>
          <w:rStyle w:val="AERbody"/>
          <w:rFonts w:eastAsia="Calibri"/>
        </w:rPr>
      </w:pPr>
      <w:r w:rsidRPr="003A447F">
        <w:t xml:space="preserve">In its access arrangement proposal, APA GasNet must provide a forecast of depreciation for the </w:t>
      </w:r>
      <w:r w:rsidRPr="00CC1194">
        <w:rPr>
          <w:rStyle w:val="AERbody"/>
        </w:rPr>
        <w:t>2013–17</w:t>
      </w:r>
      <w:r w:rsidRPr="003A447F">
        <w:rPr>
          <w:rStyle w:val="AERbody"/>
        </w:rPr>
        <w:t xml:space="preserve"> </w:t>
      </w:r>
      <w:r w:rsidRPr="003A447F">
        <w:t>access arrangement period</w:t>
      </w:r>
      <w:r>
        <w:t>,</w:t>
      </w:r>
      <w:r w:rsidRPr="003A447F">
        <w:t xml:space="preserve"> including a demonstration of how the forecast is derived on the basis of the proposed depreciation method.</w:t>
      </w:r>
      <w:r w:rsidRPr="003A447F">
        <w:rPr>
          <w:rStyle w:val="FootnoteReference"/>
        </w:rPr>
        <w:footnoteReference w:id="409"/>
      </w:r>
      <w:r w:rsidRPr="003A447F">
        <w:t xml:space="preserve"> </w:t>
      </w:r>
      <w:r w:rsidRPr="007E3923">
        <w:rPr>
          <w:rFonts w:eastAsia="Calibri"/>
        </w:rPr>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7E3923">
        <w:rPr>
          <w:rStyle w:val="FootnoteReference"/>
          <w:rFonts w:eastAsia="Calibri"/>
        </w:rPr>
        <w:footnoteReference w:id="410"/>
      </w:r>
      <w:r w:rsidRPr="007E3923">
        <w:rPr>
          <w:rFonts w:eastAsia="Calibri"/>
        </w:rPr>
        <w:t xml:space="preserve"> In making a decision on the proposed depreciation schedule, the AER is to assess the compliance of the proposed depreciation schedule with the depreciation criteria set out in the NG</w:t>
      </w:r>
      <w:r w:rsidRPr="007E3923">
        <w:rPr>
          <w:rStyle w:val="AERbody"/>
          <w:rFonts w:eastAsia="Calibri"/>
        </w:rPr>
        <w:t>R.</w:t>
      </w:r>
      <w:r w:rsidRPr="007E3923">
        <w:rPr>
          <w:rStyle w:val="FootnoteReference"/>
          <w:rFonts w:eastAsia="Calibri"/>
        </w:rPr>
        <w:footnoteReference w:id="411"/>
      </w:r>
      <w:r w:rsidRPr="007E3923">
        <w:rPr>
          <w:rStyle w:val="AERbody"/>
          <w:rFonts w:eastAsia="Calibri"/>
        </w:rPr>
        <w:t xml:space="preserve"> </w:t>
      </w:r>
      <w:r w:rsidRPr="007B6DEF">
        <w:t>The AER must also take into account the depreciation schedule approved in the 2008</w:t>
      </w:r>
      <w:r>
        <w:t>–</w:t>
      </w:r>
      <w:r w:rsidRPr="007B6DEF">
        <w:t>12 access arrangement period</w:t>
      </w:r>
      <w:r>
        <w:t>,</w:t>
      </w:r>
      <w:r w:rsidRPr="00F42CFD">
        <w:rPr>
          <w:rStyle w:val="FootnoteReference"/>
        </w:rPr>
        <w:footnoteReference w:id="412"/>
      </w:r>
      <w:r>
        <w:t xml:space="preserve"> the NGO</w:t>
      </w:r>
      <w:r w:rsidRPr="00857A9B">
        <w:t xml:space="preserve"> </w:t>
      </w:r>
      <w:r w:rsidRPr="000A48EB">
        <w:t>and the revenue and pricing principles.</w:t>
      </w:r>
      <w:r>
        <w:rPr>
          <w:rStyle w:val="FootnoteReference"/>
        </w:rPr>
        <w:footnoteReference w:id="413"/>
      </w:r>
    </w:p>
    <w:p w:rsidR="007C1F9F" w:rsidRPr="00CC1194" w:rsidRDefault="007C1F9F" w:rsidP="007C1F9F">
      <w:pPr>
        <w:pStyle w:val="AERbodytext"/>
        <w:rPr>
          <w:rStyle w:val="AERbody"/>
        </w:rPr>
      </w:pPr>
      <w:r w:rsidRPr="003A447F">
        <w:rPr>
          <w:rStyle w:val="AERbody"/>
        </w:rPr>
        <w:t xml:space="preserve">The AER’s discretion under </w:t>
      </w:r>
      <w:r>
        <w:rPr>
          <w:rStyle w:val="AERbody"/>
        </w:rPr>
        <w:t xml:space="preserve">the </w:t>
      </w:r>
      <w:r w:rsidRPr="007E3923">
        <w:rPr>
          <w:rFonts w:eastAsia="Calibri"/>
        </w:rPr>
        <w:t xml:space="preserve">depreciation criteria </w:t>
      </w:r>
      <w:r w:rsidRPr="003A447F">
        <w:rPr>
          <w:rStyle w:val="AERbody"/>
        </w:rPr>
        <w:t>is limited.</w:t>
      </w:r>
      <w:r w:rsidRPr="003A447F">
        <w:rPr>
          <w:rStyle w:val="FootnoteReference"/>
        </w:rPr>
        <w:footnoteReference w:id="414"/>
      </w:r>
      <w:r>
        <w:rPr>
          <w:rStyle w:val="AERbody"/>
        </w:rPr>
        <w:t xml:space="preserve"> The depreciation criteria </w:t>
      </w:r>
      <w:r w:rsidRPr="00CC1194">
        <w:rPr>
          <w:rStyle w:val="AERbody"/>
        </w:rPr>
        <w:t xml:space="preserve">state that </w:t>
      </w:r>
      <w:r w:rsidRPr="00CC1194">
        <w:t>the depreciation schedule should be designed:</w:t>
      </w:r>
    </w:p>
    <w:p w:rsidR="007C1F9F" w:rsidRPr="00CC1194" w:rsidRDefault="007C1F9F" w:rsidP="007C1F9F">
      <w:pPr>
        <w:pStyle w:val="AERbulletlistfirststyle"/>
      </w:pPr>
      <w:r w:rsidRPr="00CC1194">
        <w:t>so that reference tariffs will vary, over time, in a way that promotes efficient growth in the market for reference services</w:t>
      </w:r>
      <w:r w:rsidRPr="00CC1194">
        <w:rPr>
          <w:rStyle w:val="FootnoteReference"/>
        </w:rPr>
        <w:footnoteReference w:id="415"/>
      </w:r>
    </w:p>
    <w:p w:rsidR="007C1F9F" w:rsidRPr="00CC1194" w:rsidRDefault="007C1F9F" w:rsidP="007C1F9F">
      <w:pPr>
        <w:pStyle w:val="AERbulletlistfirststyle"/>
      </w:pPr>
      <w:r w:rsidRPr="00CC1194">
        <w:t>so that each asset or group of assets is depreciated over the economic life of that asset or group of assets</w:t>
      </w:r>
      <w:r w:rsidRPr="00CC1194">
        <w:rPr>
          <w:rStyle w:val="FootnoteReference"/>
        </w:rPr>
        <w:footnoteReference w:id="416"/>
      </w:r>
    </w:p>
    <w:p w:rsidR="007C1F9F" w:rsidRPr="00CC1194" w:rsidRDefault="007C1F9F" w:rsidP="007C1F9F">
      <w:pPr>
        <w:pStyle w:val="AERbulletlistfirststyle"/>
      </w:pPr>
      <w:r w:rsidRPr="00CC1194">
        <w:t>so as to allow, as far as reasonably practicable, for adjustment reflecting changes in the expected economic life of a particular asset, or a particular group of assets</w:t>
      </w:r>
      <w:r w:rsidRPr="00CC1194">
        <w:rPr>
          <w:rStyle w:val="FootnoteReference"/>
        </w:rPr>
        <w:footnoteReference w:id="417"/>
      </w:r>
    </w:p>
    <w:p w:rsidR="007C1F9F" w:rsidRPr="00CC1194" w:rsidRDefault="007C1F9F" w:rsidP="007C1F9F">
      <w:pPr>
        <w:pStyle w:val="AERbulletlistfirststyle"/>
      </w:pPr>
      <w:r w:rsidRPr="00CC1194">
        <w:t>so that (subject to the rules about capital redundancy), an asset is depreciated only once</w:t>
      </w:r>
      <w:r w:rsidRPr="00CC1194">
        <w:rPr>
          <w:rStyle w:val="FootnoteReference"/>
        </w:rPr>
        <w:footnoteReference w:id="418"/>
      </w:r>
      <w:r w:rsidRPr="00CC1194">
        <w:t xml:space="preserve"> </w:t>
      </w:r>
    </w:p>
    <w:p w:rsidR="007C1F9F" w:rsidRPr="00CC1194" w:rsidRDefault="007C1F9F" w:rsidP="007C1F9F">
      <w:pPr>
        <w:pStyle w:val="AERbulletlistfirststyle"/>
      </w:pPr>
      <w:r w:rsidRPr="00CC1194">
        <w:t>so as to allow for the service provider's reasonable needs for cash flow to meet financing, non-capital and other costs</w:t>
      </w:r>
      <w:r w:rsidRPr="00CC1194">
        <w:rPr>
          <w:rStyle w:val="FootnoteReference"/>
        </w:rPr>
        <w:footnoteReference w:id="419"/>
      </w:r>
    </w:p>
    <w:p w:rsidR="007C1F9F" w:rsidRPr="000106C6" w:rsidRDefault="007C1F9F" w:rsidP="007C1F9F">
      <w:pPr>
        <w:pStyle w:val="AERbodytext"/>
        <w:rPr>
          <w:rStyle w:val="AERbody"/>
        </w:rPr>
      </w:pPr>
      <w:r w:rsidRPr="000106C6">
        <w:rPr>
          <w:rStyle w:val="AERbody"/>
        </w:rPr>
        <w:t>The depreciation criteria also</w:t>
      </w:r>
      <w:r w:rsidRPr="007E3923">
        <w:rPr>
          <w:rStyle w:val="AERbody"/>
          <w:rFonts w:eastAsia="Calibri"/>
        </w:rPr>
        <w:t xml:space="preserve"> state that to comply with the rule regarding efficient growth in the market for reference services, a substantial amount of depreciation may be deferred.</w:t>
      </w:r>
      <w:r w:rsidRPr="007E3923">
        <w:rPr>
          <w:rStyle w:val="FootnoteReference"/>
          <w:rFonts w:eastAsia="Calibri"/>
        </w:rPr>
        <w:footnoteReference w:id="420"/>
      </w:r>
    </w:p>
    <w:p w:rsidR="007C1F9F" w:rsidRPr="003A447F" w:rsidRDefault="007C1F9F" w:rsidP="007C1F9F">
      <w:pPr>
        <w:pStyle w:val="AERbodytext"/>
      </w:pPr>
      <w:r>
        <w:t>Regulatory depreciation allowance is the net total</w:t>
      </w:r>
      <w:r w:rsidRPr="003A447F">
        <w:t xml:space="preserve"> of the straight-line depreciation (negative) and the annual inflation indexation (positive) on the projected capital base</w:t>
      </w:r>
      <w:r>
        <w:t xml:space="preserve">. </w:t>
      </w:r>
      <w:r w:rsidRPr="003A447F">
        <w:t>The AER’s PTRM employs the straight-line method</w:t>
      </w:r>
      <w:r>
        <w:t xml:space="preserve"> for calculating depreciation</w:t>
      </w:r>
      <w:r w:rsidRPr="003A447F">
        <w:t xml:space="preserve"> and the regulatory depreciation allowance is an output of the PTRM.</w:t>
      </w:r>
      <w:r w:rsidRPr="003A447F">
        <w:rPr>
          <w:rStyle w:val="FootnoteReference"/>
        </w:rPr>
        <w:footnoteReference w:id="421"/>
      </w:r>
      <w:r w:rsidRPr="003A447F">
        <w:t xml:space="preserve"> </w:t>
      </w:r>
      <w:r>
        <w:t>The AER considers that the straight-line method satisfies the depreciation criteria.</w:t>
      </w:r>
      <w:r>
        <w:rPr>
          <w:rStyle w:val="FootnoteReference"/>
        </w:rPr>
        <w:footnoteReference w:id="422"/>
      </w:r>
      <w:r>
        <w:t xml:space="preserve"> This is because the straight-line method smooths changes in the reference tariffs, promotes efficient growth of the market, allows assets to be depreciated only once and over its economic life, and allows for a service provider's reasonable needs for cash flow. </w:t>
      </w:r>
      <w:r w:rsidRPr="003A447F">
        <w:t xml:space="preserve">APA GasNet used a modified version of the AER’s PTRM for calculating its </w:t>
      </w:r>
      <w:r>
        <w:t xml:space="preserve">forecast </w:t>
      </w:r>
      <w:r w:rsidRPr="003A447F">
        <w:t>depreciation. The AER has assessed APA GasNet’s regulatory depreciation allowance by analysing APA GasNet’s proposed inputs to the PTRM for calculating depreciation. These inputs include:</w:t>
      </w:r>
    </w:p>
    <w:p w:rsidR="007C1F9F" w:rsidRPr="003A447F" w:rsidRDefault="007C1F9F" w:rsidP="007C1F9F">
      <w:pPr>
        <w:pStyle w:val="AERbulletlistfirststyle"/>
      </w:pPr>
      <w:r w:rsidRPr="003A447F">
        <w:t>the opening capital base as at 1 January 201</w:t>
      </w:r>
      <w:r>
        <w:t>3</w:t>
      </w:r>
      <w:r w:rsidRPr="003A447F">
        <w:t xml:space="preserve"> </w:t>
      </w:r>
    </w:p>
    <w:p w:rsidR="007C1F9F" w:rsidRPr="003A447F" w:rsidRDefault="007C1F9F" w:rsidP="007C1F9F">
      <w:pPr>
        <w:pStyle w:val="AERbulletlistfirststyle"/>
      </w:pPr>
      <w:r w:rsidRPr="003A447F">
        <w:t xml:space="preserve">the forecast </w:t>
      </w:r>
      <w:r>
        <w:t xml:space="preserve">net </w:t>
      </w:r>
      <w:r w:rsidRPr="003A447F">
        <w:t xml:space="preserve">capex in the </w:t>
      </w:r>
      <w:r w:rsidRPr="00CC1194">
        <w:rPr>
          <w:rStyle w:val="AERbody"/>
        </w:rPr>
        <w:t>2013–17</w:t>
      </w:r>
      <w:r w:rsidRPr="003A447F">
        <w:rPr>
          <w:rStyle w:val="AERbody"/>
        </w:rPr>
        <w:t xml:space="preserve"> </w:t>
      </w:r>
      <w:r w:rsidRPr="003A447F">
        <w:t>access arrangement period</w:t>
      </w:r>
    </w:p>
    <w:p w:rsidR="007C1F9F" w:rsidRPr="003A447F" w:rsidRDefault="007C1F9F" w:rsidP="007C1F9F">
      <w:pPr>
        <w:pStyle w:val="AERbulletlistfirststyle"/>
      </w:pPr>
      <w:r w:rsidRPr="003A447F">
        <w:t xml:space="preserve">the forecast inflation rate for the </w:t>
      </w:r>
      <w:r w:rsidRPr="00CC1194">
        <w:rPr>
          <w:rStyle w:val="AERbody"/>
        </w:rPr>
        <w:t>2013–17</w:t>
      </w:r>
      <w:r w:rsidRPr="003A447F">
        <w:rPr>
          <w:rStyle w:val="AERbody"/>
        </w:rPr>
        <w:t xml:space="preserve"> </w:t>
      </w:r>
      <w:r w:rsidRPr="003A447F">
        <w:t>access arrangement period</w:t>
      </w:r>
    </w:p>
    <w:p w:rsidR="007C1F9F" w:rsidRPr="003A447F" w:rsidRDefault="007C1F9F" w:rsidP="007C1F9F">
      <w:pPr>
        <w:pStyle w:val="AERbulletlistfirststyle"/>
      </w:pPr>
      <w:r w:rsidRPr="003A447F">
        <w:t>the standard economic life for each asset class</w:t>
      </w:r>
      <w:r>
        <w:t>—</w:t>
      </w:r>
      <w:r w:rsidRPr="003A447F">
        <w:t xml:space="preserve">used for calculating the depreciation of new assets associated with forecast </w:t>
      </w:r>
      <w:r>
        <w:t xml:space="preserve">net </w:t>
      </w:r>
      <w:r w:rsidRPr="003A447F">
        <w:t xml:space="preserve">capex in the </w:t>
      </w:r>
      <w:r w:rsidRPr="00C2201D">
        <w:t>2013–17</w:t>
      </w:r>
      <w:r>
        <w:t xml:space="preserve"> </w:t>
      </w:r>
      <w:r w:rsidRPr="003A447F">
        <w:t>access arrangement period</w:t>
      </w:r>
    </w:p>
    <w:p w:rsidR="007C1F9F" w:rsidRPr="003A447F" w:rsidRDefault="007C1F9F" w:rsidP="007C1F9F">
      <w:pPr>
        <w:pStyle w:val="AERbulletlistfirststyle"/>
      </w:pPr>
      <w:r w:rsidRPr="003A447F">
        <w:t>the remaining eco</w:t>
      </w:r>
      <w:r>
        <w:t>nomic life for each asset class—</w:t>
      </w:r>
      <w:r w:rsidRPr="003A447F">
        <w:t>used for calculating the depreciation of existing assets associated with the opening capital base as at 1 January 2013</w:t>
      </w:r>
      <w:r>
        <w:t>.</w:t>
      </w:r>
    </w:p>
    <w:p w:rsidR="007C1F9F" w:rsidRPr="0075522F" w:rsidRDefault="007C1F9F" w:rsidP="007C1F9F">
      <w:pPr>
        <w:pStyle w:val="AERbodytext"/>
      </w:pPr>
      <w:r w:rsidRPr="0075522F">
        <w:t xml:space="preserve">The AER’s determinations affecting the first three inputs in the above list are discussed elsewhere: opening capital base (attachment </w:t>
      </w:r>
      <w:r>
        <w:t>2</w:t>
      </w:r>
      <w:r w:rsidRPr="0075522F">
        <w:t>)</w:t>
      </w:r>
      <w:r>
        <w:t xml:space="preserve">, </w:t>
      </w:r>
      <w:r w:rsidRPr="0075522F">
        <w:t xml:space="preserve">forecast net capex (attachment </w:t>
      </w:r>
      <w:r>
        <w:t>3</w:t>
      </w:r>
      <w:r w:rsidRPr="0075522F">
        <w:t>)</w:t>
      </w:r>
      <w:r>
        <w:t xml:space="preserve"> and forecast inflation (attachment 4)</w:t>
      </w:r>
      <w:r w:rsidRPr="0075522F">
        <w:t xml:space="preserve">. The AER's decision on the required amendments to </w:t>
      </w:r>
      <w:r>
        <w:t>APA GasNet</w:t>
      </w:r>
      <w:r w:rsidRPr="0075522F">
        <w:t xml:space="preserve">’s proposed regulatory depreciation allowance reflects the AER’s determinations on these building block components. The AER’s assessment approach on the remaining two inputs in the above list is set out below. </w:t>
      </w:r>
    </w:p>
    <w:p w:rsidR="007C1F9F" w:rsidRPr="003A447F" w:rsidRDefault="007C1F9F" w:rsidP="007C1F9F">
      <w:pPr>
        <w:pStyle w:val="AERbodytext"/>
      </w:pPr>
      <w:r>
        <w:t>In general, t</w:t>
      </w:r>
      <w:r w:rsidRPr="003A447F">
        <w:t>he AER considers that consistency in the standard economic life for each asset class across access arrangement periods will allow reference tariffs to vary smoothly over time. This will promote efficient growth in the market for reference services.</w:t>
      </w:r>
      <w:r w:rsidRPr="003A447F">
        <w:rPr>
          <w:rStyle w:val="FootnoteReference"/>
        </w:rPr>
        <w:footnoteReference w:id="423"/>
      </w:r>
      <w:r w:rsidRPr="003A447F">
        <w:t xml:space="preserve"> The AER's </w:t>
      </w:r>
      <w:r>
        <w:t xml:space="preserve">standard </w:t>
      </w:r>
      <w:r w:rsidRPr="003A447F">
        <w:t xml:space="preserve">method </w:t>
      </w:r>
      <w:r>
        <w:t>for determining</w:t>
      </w:r>
      <w:r w:rsidRPr="003A447F">
        <w:t xml:space="preserve"> the remaining economic lives is the weighted average method.</w:t>
      </w:r>
      <w:r w:rsidRPr="003A447F">
        <w:rPr>
          <w:rStyle w:val="FootnoteReference"/>
        </w:rPr>
        <w:footnoteReference w:id="424"/>
      </w:r>
      <w:r w:rsidRPr="003A447F">
        <w:t xml:space="preserve"> The weighted average method </w:t>
      </w:r>
      <w:r>
        <w:t>rolls forward the remaining economic life for an asset class from the beginning of the earlier access arrangement period. This approach</w:t>
      </w:r>
      <w:r w:rsidRPr="00334ADF">
        <w:t xml:space="preserve"> reflect</w:t>
      </w:r>
      <w:r>
        <w:t>s</w:t>
      </w:r>
      <w:r w:rsidRPr="00334ADF">
        <w:t xml:space="preserve"> the mix of assets within that asset class, when they were acquired over that period (or if they were existing asset</w:t>
      </w:r>
      <w:r>
        <w:t>s</w:t>
      </w:r>
      <w:r w:rsidRPr="00334ADF">
        <w:t xml:space="preserve"> at </w:t>
      </w:r>
      <w:r>
        <w:t>the</w:t>
      </w:r>
      <w:r w:rsidRPr="00334ADF">
        <w:t xml:space="preserve"> beginning), and the remaining value of those assets (used as a weight) at the end of the period. The AER will assess the outcomes of other approaches against </w:t>
      </w:r>
      <w:r>
        <w:t>the outcomes of t</w:t>
      </w:r>
      <w:r w:rsidRPr="00334ADF">
        <w:t>his standard approach</w:t>
      </w:r>
      <w:r>
        <w:t>.</w:t>
      </w:r>
    </w:p>
    <w:p w:rsidR="007C1F9F" w:rsidRPr="003A447F" w:rsidRDefault="007C1F9F" w:rsidP="007C1F9F">
      <w:pPr>
        <w:pStyle w:val="AERheading2"/>
        <w:numPr>
          <w:ilvl w:val="1"/>
          <w:numId w:val="7"/>
        </w:numPr>
        <w:tabs>
          <w:tab w:val="clear" w:pos="4317"/>
          <w:tab w:val="num" w:pos="0"/>
        </w:tabs>
        <w:ind w:left="0" w:hanging="720"/>
      </w:pPr>
      <w:bookmarkStart w:id="83" w:name="_Toc334543775"/>
      <w:bookmarkEnd w:id="76"/>
      <w:r w:rsidRPr="003A447F">
        <w:t>Reasons for draft decision</w:t>
      </w:r>
      <w:bookmarkEnd w:id="83"/>
    </w:p>
    <w:p w:rsidR="007C1F9F" w:rsidRPr="003A447F" w:rsidRDefault="007C1F9F" w:rsidP="007C1F9F">
      <w:pPr>
        <w:pStyle w:val="AERbodytext"/>
      </w:pPr>
      <w:r w:rsidRPr="003A447F">
        <w:t>The AER's draft decision on APA GasNet's regulatory depreciation allowance is $</w:t>
      </w:r>
      <w:r>
        <w:t>56.2</w:t>
      </w:r>
      <w:r w:rsidRPr="003A447F">
        <w:t xml:space="preserve"> million ($nominal)</w:t>
      </w:r>
      <w:r>
        <w:t xml:space="preserve"> over the 2013</w:t>
      </w:r>
      <w:r w:rsidRPr="008179B8">
        <w:t>–</w:t>
      </w:r>
      <w:r>
        <w:t>17 access arrangement period</w:t>
      </w:r>
      <w:r w:rsidRPr="003A447F">
        <w:t xml:space="preserve">. </w:t>
      </w:r>
    </w:p>
    <w:p w:rsidR="007C1F9F" w:rsidRDefault="007C1F9F" w:rsidP="007C1F9F">
      <w:pPr>
        <w:pStyle w:val="AERbodytext"/>
      </w:pPr>
      <w:r>
        <w:t>T</w:t>
      </w:r>
      <w:r w:rsidRPr="003A447F">
        <w:t>he AER does not a</w:t>
      </w:r>
      <w:r>
        <w:t>ccept</w:t>
      </w:r>
      <w:r w:rsidRPr="003A447F">
        <w:t xml:space="preserve"> APA GasNet's proposed regulat</w:t>
      </w:r>
      <w:r>
        <w:t>ory depreciation allowance of $</w:t>
      </w:r>
      <w:r w:rsidRPr="003A447F">
        <w:t>157.5 million ($nominal) for the</w:t>
      </w:r>
      <w:r>
        <w:t xml:space="preserve"> </w:t>
      </w:r>
      <w:r w:rsidRPr="00924917">
        <w:t>2013–17</w:t>
      </w:r>
      <w:r>
        <w:t xml:space="preserve"> </w:t>
      </w:r>
      <w:r w:rsidRPr="003A447F">
        <w:t xml:space="preserve">access arrangement period. This is mainly because APA GasNet’s proposed </w:t>
      </w:r>
      <w:r>
        <w:t xml:space="preserve">forecast </w:t>
      </w:r>
      <w:r w:rsidRPr="003A447F">
        <w:t>depreciation approach does not meet the requirement of the NGR regarding the promotion of efficient growth of the market for reference services.</w:t>
      </w:r>
      <w:r>
        <w:rPr>
          <w:rStyle w:val="FootnoteReference"/>
        </w:rPr>
        <w:footnoteReference w:id="425"/>
      </w:r>
      <w:r w:rsidRPr="003A447F">
        <w:t xml:space="preserve"> </w:t>
      </w:r>
    </w:p>
    <w:p w:rsidR="007C1F9F" w:rsidRPr="003A447F" w:rsidRDefault="007C1F9F" w:rsidP="007C1F9F">
      <w:pPr>
        <w:pStyle w:val="AERbodytext"/>
      </w:pPr>
      <w:r w:rsidRPr="003A447F">
        <w:t>The AER a</w:t>
      </w:r>
      <w:r>
        <w:t>pproves</w:t>
      </w:r>
      <w:r w:rsidRPr="003A447F">
        <w:t xml:space="preserve"> APA GasNet's proposed standard economic lives and the proposed weighted average method to calculate the remaining economic lives as at 1 January 2013. However, the AER has updated APA GasNet's remaining economic lives as at 1 January 2013 to reflect </w:t>
      </w:r>
      <w:r>
        <w:t>the</w:t>
      </w:r>
      <w:r w:rsidRPr="003A447F">
        <w:t xml:space="preserve">s revised </w:t>
      </w:r>
      <w:r w:rsidRPr="003A447F">
        <w:rPr>
          <w:rStyle w:val="AERbody"/>
        </w:rPr>
        <w:t xml:space="preserve">capital base roll forward </w:t>
      </w:r>
      <w:r w:rsidRPr="003A447F">
        <w:t xml:space="preserve">for the </w:t>
      </w:r>
      <w:r w:rsidRPr="00AB16BD">
        <w:t>2008–12</w:t>
      </w:r>
      <w:r w:rsidRPr="003A447F">
        <w:t xml:space="preserve"> access arrangement</w:t>
      </w:r>
      <w:r>
        <w:t xml:space="preserve"> period</w:t>
      </w:r>
      <w:r w:rsidRPr="003A447F">
        <w:t xml:space="preserve">. </w:t>
      </w:r>
    </w:p>
    <w:p w:rsidR="007C1F9F" w:rsidRDefault="007C1F9F" w:rsidP="007C1F9F">
      <w:pPr>
        <w:pStyle w:val="AERbodytext"/>
      </w:pPr>
      <w:r w:rsidRPr="003A447F">
        <w:t xml:space="preserve">In addition, the AER has made changes to other </w:t>
      </w:r>
      <w:r>
        <w:t xml:space="preserve">building block </w:t>
      </w:r>
      <w:r w:rsidRPr="003A447F">
        <w:t xml:space="preserve">components of APA GasNet's proposal that impact on the proposed regulatory depreciation allowance. </w:t>
      </w:r>
    </w:p>
    <w:p w:rsidR="007C1F9F" w:rsidRDefault="007C1F9F" w:rsidP="007C1F9F">
      <w:pPr>
        <w:pStyle w:val="AERheading3"/>
        <w:numPr>
          <w:ilvl w:val="2"/>
          <w:numId w:val="7"/>
        </w:numPr>
        <w:tabs>
          <w:tab w:val="clear" w:pos="-357"/>
          <w:tab w:val="num" w:pos="0"/>
        </w:tabs>
        <w:ind w:left="0" w:hanging="714"/>
      </w:pPr>
      <w:bookmarkStart w:id="84" w:name="_Ref331675811"/>
      <w:r w:rsidRPr="003A447F">
        <w:t>Change of depreciation approach</w:t>
      </w:r>
      <w:bookmarkEnd w:id="84"/>
    </w:p>
    <w:p w:rsidR="007C1F9F" w:rsidRPr="003A447F" w:rsidRDefault="007C1F9F" w:rsidP="007C1F9F">
      <w:pPr>
        <w:pStyle w:val="AERbodytext"/>
      </w:pPr>
      <w:r w:rsidRPr="003A447F">
        <w:t xml:space="preserve">The AER does not accept APA GasNet's proposed </w:t>
      </w:r>
      <w:r>
        <w:t xml:space="preserve">forecast </w:t>
      </w:r>
      <w:r w:rsidRPr="003A447F">
        <w:t xml:space="preserve">depreciation approach. The AER considers that it would not promote efficient growth of the market for reference services in accordance with </w:t>
      </w:r>
      <w:r>
        <w:t>the</w:t>
      </w:r>
      <w:r w:rsidRPr="003A447F">
        <w:t xml:space="preserve"> NGR.</w:t>
      </w:r>
      <w:r>
        <w:rPr>
          <w:rStyle w:val="FootnoteReference"/>
        </w:rPr>
        <w:footnoteReference w:id="426"/>
      </w:r>
      <w:r>
        <w:t xml:space="preserve"> </w:t>
      </w:r>
      <w:r w:rsidRPr="003A447F">
        <w:t>The AER is concerned with the incentives created by APA GasNet's proposed approach</w:t>
      </w:r>
      <w:r w:rsidR="00A43FAC">
        <w:t xml:space="preserve"> and the potential for unnecessarily high prices in the short to medium term</w:t>
      </w:r>
      <w:r w:rsidRPr="003A447F">
        <w:t xml:space="preserve">. There </w:t>
      </w:r>
      <w:r>
        <w:t>appear to be</w:t>
      </w:r>
      <w:r w:rsidRPr="003A447F">
        <w:t xml:space="preserve"> no offsetting benefits to users arising from the proposed approach that could be considered to be in customers’ long term interests.</w:t>
      </w:r>
      <w:r>
        <w:t xml:space="preserve"> Nor does the AER consider that continuation of the current approach would impinge upon APA GasNet's reasonable cash flow needs consistent with the NGR.</w:t>
      </w:r>
      <w:r>
        <w:rPr>
          <w:rStyle w:val="FootnoteReference"/>
        </w:rPr>
        <w:footnoteReference w:id="427"/>
      </w:r>
      <w:r>
        <w:t xml:space="preserve"> </w:t>
      </w:r>
    </w:p>
    <w:p w:rsidR="007C1F9F" w:rsidRPr="003A447F" w:rsidRDefault="007C1F9F" w:rsidP="007C1F9F">
      <w:pPr>
        <w:pStyle w:val="AERbodytext"/>
      </w:pPr>
      <w:r w:rsidRPr="003A447F">
        <w:t xml:space="preserve">APA GasNet proposed to change its method for modelling the return of capital </w:t>
      </w:r>
      <w:r>
        <w:t xml:space="preserve">(and return on capital) </w:t>
      </w:r>
      <w:r w:rsidRPr="003A447F">
        <w:t xml:space="preserve">over the </w:t>
      </w:r>
      <w:r w:rsidRPr="00924917">
        <w:t>2013–17</w:t>
      </w:r>
      <w:r>
        <w:t xml:space="preserve"> </w:t>
      </w:r>
      <w:r w:rsidRPr="003A447F">
        <w:t xml:space="preserve">access arrangement period from that used previously in the </w:t>
      </w:r>
      <w:r>
        <w:br/>
      </w:r>
      <w:r w:rsidRPr="00AB16BD">
        <w:t>2008–12</w:t>
      </w:r>
      <w:r w:rsidRPr="003A447F">
        <w:t xml:space="preserve"> access arrangement. Its previous approach was consistent with the AER's standard approach to modelling the returns. APA GasNet’s </w:t>
      </w:r>
      <w:r>
        <w:t xml:space="preserve">proposed </w:t>
      </w:r>
      <w:r w:rsidRPr="003A447F">
        <w:t xml:space="preserve">approach has not been adopted for (or proposed by) any business regulated by the AER to date. Under APA GasNet's proposal: </w:t>
      </w:r>
    </w:p>
    <w:p w:rsidR="007C1F9F" w:rsidRPr="003A447F" w:rsidRDefault="007C1F9F" w:rsidP="007C1F9F">
      <w:pPr>
        <w:pStyle w:val="AERbulletlistfirststyle"/>
      </w:pPr>
      <w:r>
        <w:t>T</w:t>
      </w:r>
      <w:r w:rsidRPr="003A447F">
        <w:t xml:space="preserve">he opening capital base is based on historical costs and is not indexed for inflation over the </w:t>
      </w:r>
      <w:r w:rsidRPr="00924917">
        <w:t>2013–17</w:t>
      </w:r>
      <w:r>
        <w:t xml:space="preserve"> </w:t>
      </w:r>
      <w:r w:rsidRPr="003A447F">
        <w:t xml:space="preserve">access arrangement period. In contrast the AER’s approach does index the capital base by the forecast rate of inflation when forecasting the revenue requirements (and subsequently indexed by actual inflation during the roll forward of the capital base </w:t>
      </w:r>
      <w:r>
        <w:t>in</w:t>
      </w:r>
      <w:r w:rsidRPr="003A447F">
        <w:t xml:space="preserve"> future </w:t>
      </w:r>
      <w:r>
        <w:t xml:space="preserve">access arrangement </w:t>
      </w:r>
      <w:r w:rsidRPr="003A447F">
        <w:t>reviews).</w:t>
      </w:r>
    </w:p>
    <w:p w:rsidR="007C1F9F" w:rsidRPr="003A447F" w:rsidRDefault="007C1F9F" w:rsidP="007C1F9F">
      <w:pPr>
        <w:pStyle w:val="AERbulletlistfirststyle"/>
      </w:pPr>
      <w:r>
        <w:t>T</w:t>
      </w:r>
      <w:r w:rsidRPr="003A447F">
        <w:t xml:space="preserve">he return on capital for each year is determined based on multiplying the nominal WACC by the historical cost value of the opening capital base of the relevant year.  </w:t>
      </w:r>
    </w:p>
    <w:p w:rsidR="007C1F9F" w:rsidRPr="003A447F" w:rsidRDefault="007C1F9F" w:rsidP="007C1F9F">
      <w:pPr>
        <w:pStyle w:val="AERbulletlistfirststyle"/>
      </w:pPr>
      <w:r>
        <w:t>The r</w:t>
      </w:r>
      <w:r w:rsidRPr="003A447F">
        <w:t xml:space="preserve">egulatory depreciation </w:t>
      </w:r>
      <w:r>
        <w:t xml:space="preserve">allowance </w:t>
      </w:r>
      <w:r w:rsidRPr="003A447F">
        <w:t xml:space="preserve">in each year is equal to </w:t>
      </w:r>
      <w:r>
        <w:t xml:space="preserve">the </w:t>
      </w:r>
      <w:r w:rsidRPr="003A447F">
        <w:t>straight</w:t>
      </w:r>
      <w:r>
        <w:t>-</w:t>
      </w:r>
      <w:r w:rsidRPr="003A447F">
        <w:t>line depreciation</w:t>
      </w:r>
      <w:r>
        <w:t xml:space="preserve"> amount</w:t>
      </w:r>
      <w:r w:rsidRPr="003A447F">
        <w:t>. Because the capital base is not indexed for inflation, there is no required offsetting inflation adjustment to the depreciation allowance (that is, there is no negative depreciation/revaluation gain to be accounted for) as occurs under the AER approach.</w:t>
      </w:r>
    </w:p>
    <w:p w:rsidR="007C1F9F" w:rsidRDefault="007C1F9F" w:rsidP="007C1F9F">
      <w:pPr>
        <w:pStyle w:val="AERbodytext"/>
      </w:pPr>
      <w:r>
        <w:t>The change in approach alters the profile of APA GasNet's cash flow over the useful life of its assets (for both new and existing assets). Compared to the current approach, the proposed approach brings forward cash flows for APA GasNet by requiring customers to pay a greater proportion of an asset's costs earlier in its life (or remaining economic life in the case of existing assets).</w:t>
      </w:r>
      <w:r>
        <w:rPr>
          <w:rStyle w:val="FootnoteReference"/>
        </w:rPr>
        <w:footnoteReference w:id="428"/>
      </w:r>
      <w:r>
        <w:t xml:space="preserve">  </w:t>
      </w:r>
    </w:p>
    <w:p w:rsidR="007C1F9F" w:rsidRPr="003A447F" w:rsidRDefault="007C1F9F" w:rsidP="007C1F9F">
      <w:pPr>
        <w:pStyle w:val="AERbodytext"/>
      </w:pPr>
      <w:r w:rsidRPr="003A447F">
        <w:t xml:space="preserve">APA GasNet </w:t>
      </w:r>
      <w:r>
        <w:t>did</w:t>
      </w:r>
      <w:r w:rsidRPr="003A447F">
        <w:t xml:space="preserve"> not offer any explanation for its change of approach</w:t>
      </w:r>
      <w:r>
        <w:t xml:space="preserve"> in its proposal</w:t>
      </w:r>
      <w:r w:rsidRPr="003A447F">
        <w:t xml:space="preserve">. APA GasNet stated that its proposal to adopt a historical cost capital base and apply </w:t>
      </w:r>
      <w:r>
        <w:t xml:space="preserve">the </w:t>
      </w:r>
      <w:r w:rsidRPr="003A447F">
        <w:t>straight-line</w:t>
      </w:r>
      <w:r>
        <w:t xml:space="preserve"> method for</w:t>
      </w:r>
      <w:r w:rsidRPr="003A447F">
        <w:t xml:space="preserve"> depreciation to this capital base would result in revenue recovery that is net present value (NPV) neutral over the life of its assets, albeit with a different profile of cash flows.</w:t>
      </w:r>
      <w:r w:rsidRPr="003A447F">
        <w:rPr>
          <w:rStyle w:val="FootnoteReference"/>
        </w:rPr>
        <w:footnoteReference w:id="429"/>
      </w:r>
      <w:r w:rsidRPr="003A447F">
        <w:t xml:space="preserve"> It used a simplified example to demonstrate this. In response to a request from the AER for further explanation for its proposed change of approach, APA GasNet stated that its proposal complies with the NGR</w:t>
      </w:r>
      <w:r>
        <w:rPr>
          <w:rStyle w:val="FootnoteReference"/>
        </w:rPr>
        <w:footnoteReference w:id="430"/>
      </w:r>
      <w:r w:rsidRPr="003A447F">
        <w:t xml:space="preserve"> and therefore no further explanation is necessary.</w:t>
      </w:r>
      <w:r w:rsidRPr="003A447F">
        <w:rPr>
          <w:rStyle w:val="FootnoteReference"/>
        </w:rPr>
        <w:footnoteReference w:id="431"/>
      </w:r>
      <w:r w:rsidRPr="003A447F">
        <w:t xml:space="preserve"> </w:t>
      </w:r>
      <w:r>
        <w:t>In a subsequent meeting with APA GasNet staff on various matters, bringing forward cash flows was suggested by APA GasNet staff as a key motivation for the change of approach.</w:t>
      </w:r>
      <w:r>
        <w:rPr>
          <w:rStyle w:val="FootnoteReference"/>
        </w:rPr>
        <w:footnoteReference w:id="432"/>
      </w:r>
      <w:r w:rsidRPr="00753A0A">
        <w:t xml:space="preserve"> </w:t>
      </w:r>
      <w:r>
        <w:t>APA GasNet</w:t>
      </w:r>
      <w:r w:rsidRPr="00753A0A">
        <w:t xml:space="preserve"> indicated that it anticipated a lower rate of return (given recent AER decisions) for the 2013</w:t>
      </w:r>
      <w:r>
        <w:t>–</w:t>
      </w:r>
      <w:r w:rsidRPr="00753A0A">
        <w:t>17 access arrangement period than for the 2008</w:t>
      </w:r>
      <w:r>
        <w:t>–</w:t>
      </w:r>
      <w:r w:rsidRPr="00753A0A">
        <w:t>1</w:t>
      </w:r>
      <w:r>
        <w:t>2</w:t>
      </w:r>
      <w:r w:rsidRPr="00753A0A">
        <w:t xml:space="preserve"> access arrangement period, and that the change of approach offers a legitimate means for APA GasNet to maintain its cash flows. </w:t>
      </w:r>
      <w:r>
        <w:t xml:space="preserve">APA GasNet </w:t>
      </w:r>
      <w:r w:rsidRPr="00753A0A">
        <w:t xml:space="preserve">reiterated that it did not consider it was in violation of any </w:t>
      </w:r>
      <w:r w:rsidRPr="00680116">
        <w:t>NGL/NGR provisions on depreciation</w:t>
      </w:r>
      <w:r w:rsidRPr="00753A0A">
        <w:t>.</w:t>
      </w:r>
      <w:r>
        <w:rPr>
          <w:rStyle w:val="FootnoteReference"/>
        </w:rPr>
        <w:footnoteReference w:id="433"/>
      </w:r>
    </w:p>
    <w:p w:rsidR="007C1F9F" w:rsidRDefault="007C1F9F" w:rsidP="007C1F9F">
      <w:pPr>
        <w:pStyle w:val="AERbodytext"/>
      </w:pPr>
      <w:r>
        <w:t>The AER does not consider that</w:t>
      </w:r>
      <w:r w:rsidRPr="00650650">
        <w:t xml:space="preserve"> </w:t>
      </w:r>
      <w:r>
        <w:t>continuation of the current depreciation approach would impinge upon APA GasNet's reasonable cash flow needs consistent with the NGR.</w:t>
      </w:r>
      <w:r>
        <w:rPr>
          <w:rStyle w:val="FootnoteReference"/>
        </w:rPr>
        <w:footnoteReference w:id="434"/>
      </w:r>
      <w:r>
        <w:t xml:space="preserve"> APA GasNet's financing, non-capital and other costs are met by the various other building blocks of APA GasNet's total revenue requirement. Further, the AER can smooth the forecast revenues over the </w:t>
      </w:r>
      <w:r w:rsidRPr="00924917">
        <w:t>2013–17</w:t>
      </w:r>
      <w:r>
        <w:t xml:space="preserve"> access arrangement period through the X factors that are set in its decision. </w:t>
      </w:r>
    </w:p>
    <w:p w:rsidR="007C1F9F" w:rsidRPr="003A447F" w:rsidRDefault="007C1F9F" w:rsidP="007C1F9F">
      <w:pPr>
        <w:pStyle w:val="AERbodytext"/>
      </w:pPr>
      <w:r w:rsidRPr="003A447F">
        <w:t>The AER considers that APA GasNet's proposed approach could result in a revenue profile that is effectively NPV neutral over the life of the assets, just as the AER's standard approach does. However, the AER considers that APA GasNet's proposed approach does not comply with the NGR, which states that reference tariffs should be determined in a way to promote the efficient growth in the market for reference services.</w:t>
      </w:r>
      <w:r>
        <w:rPr>
          <w:rStyle w:val="FootnoteReference"/>
        </w:rPr>
        <w:footnoteReference w:id="435"/>
      </w:r>
      <w:r w:rsidRPr="003A447F">
        <w:t xml:space="preserve"> There are several reasons to expect APA GasNet’s proposal will inhibit efficient growth of the market. These include:</w:t>
      </w:r>
    </w:p>
    <w:p w:rsidR="007C1F9F" w:rsidRPr="003A447F" w:rsidRDefault="007C1F9F" w:rsidP="007C1F9F">
      <w:pPr>
        <w:pStyle w:val="AERbulletlistfirststyle"/>
      </w:pPr>
      <w:r>
        <w:t>I</w:t>
      </w:r>
      <w:r w:rsidRPr="003A447F">
        <w:t>nefficient asset utilisation–Depreciation schedules which provide for price paths that encourage inefficient utilisation of assets, that is, under or over utilisation of the asset at different times in its life cycle.</w:t>
      </w:r>
    </w:p>
    <w:p w:rsidR="007C1F9F" w:rsidRPr="003A447F" w:rsidRDefault="007C1F9F" w:rsidP="007C1F9F">
      <w:pPr>
        <w:pStyle w:val="AERbulletlistfirststyle"/>
      </w:pPr>
      <w:r>
        <w:t>Unnecessary high prices in the short to medium term</w:t>
      </w:r>
      <w:r w:rsidRPr="003A447F">
        <w:t>–These could discourage gas usage and downstream investment.</w:t>
      </w:r>
    </w:p>
    <w:p w:rsidR="007C1F9F" w:rsidRDefault="007C1F9F" w:rsidP="007C1F9F">
      <w:pPr>
        <w:pStyle w:val="AERbulletlistfirststyle"/>
      </w:pPr>
      <w:r w:rsidRPr="003A447F">
        <w:t xml:space="preserve">Inefficient management of assets–Incentives to manage assets based on reasons other than the efficient provision of reference services.   </w:t>
      </w:r>
    </w:p>
    <w:p w:rsidR="007C1F9F" w:rsidRDefault="007C1F9F" w:rsidP="007C1F9F">
      <w:pPr>
        <w:pStyle w:val="AERbodytext"/>
      </w:pPr>
      <w:r>
        <w:t>Each of these reasons is discussed in greater detail below.</w:t>
      </w:r>
    </w:p>
    <w:p w:rsidR="007C1F9F" w:rsidRPr="009D4399" w:rsidRDefault="007C1F9F" w:rsidP="007C1F9F">
      <w:pPr>
        <w:pStyle w:val="AERheading4"/>
      </w:pPr>
      <w:r w:rsidRPr="009D4399">
        <w:t>Inefficient asset utilisation</w:t>
      </w:r>
    </w:p>
    <w:p w:rsidR="007C1F9F" w:rsidRPr="003A447F" w:rsidRDefault="007C1F9F" w:rsidP="007C1F9F">
      <w:pPr>
        <w:pStyle w:val="AERbodytext"/>
      </w:pPr>
      <w:r w:rsidRPr="003A447F">
        <w:t xml:space="preserve">The AER considers that there are three possible methods for determining revenue profiles using straight-line depreciation and asset lives based on their expected usefulness:  </w:t>
      </w:r>
    </w:p>
    <w:p w:rsidR="007C1F9F" w:rsidRPr="003A447F" w:rsidRDefault="007C1F9F" w:rsidP="007C1F9F">
      <w:pPr>
        <w:pStyle w:val="AERnumberedlistfirststyle"/>
      </w:pPr>
      <w:r w:rsidRPr="003A447F">
        <w:t>Applying a real WACC to a capital base indexed for inflation to determine the return on capital and applying straight-line depreciation to the indexed capital base to determine the return of capital.</w:t>
      </w:r>
    </w:p>
    <w:p w:rsidR="007C1F9F" w:rsidRPr="003A447F" w:rsidRDefault="007C1F9F" w:rsidP="007C1F9F">
      <w:pPr>
        <w:pStyle w:val="AERnumberedlistfirststyle"/>
      </w:pPr>
      <w:r w:rsidRPr="003A447F">
        <w:t>Applying a nominal WACC to a capital base indexed for inflation to determine the return on capital and applying straight-line depreciation to the indexed capital base, and an adjustment for the inflation of the capital base, to determine the return of capital (the AER's standard approach)</w:t>
      </w:r>
    </w:p>
    <w:p w:rsidR="007C1F9F" w:rsidRPr="003A447F" w:rsidRDefault="007C1F9F" w:rsidP="007C1F9F">
      <w:pPr>
        <w:pStyle w:val="AERnumberedlistfirststyle"/>
      </w:pPr>
      <w:r w:rsidRPr="003A447F">
        <w:t>Applying a nominal WACC to a capital base at historical costs to determine the return on capital and applying straight-line depreciation to the historical cost capital base to determine the return of capital (APA GasNet's proposal).</w:t>
      </w:r>
    </w:p>
    <w:p w:rsidR="007C1F9F" w:rsidRPr="003A447F" w:rsidRDefault="007C1F9F" w:rsidP="007C1F9F">
      <w:pPr>
        <w:pStyle w:val="AERbodytext"/>
      </w:pPr>
      <w:r w:rsidRPr="003A447F">
        <w:t>All three methods essentially lead to a NPV revenue profile over the life of the asset.</w:t>
      </w:r>
      <w:r>
        <w:rPr>
          <w:rStyle w:val="FootnoteReference"/>
        </w:rPr>
        <w:footnoteReference w:id="436"/>
      </w:r>
      <w:r w:rsidRPr="003A447F">
        <w:t xml:space="preserve"> Some Australian jurisdictional regulators have adopted the first approach in their regulation of network industries.</w:t>
      </w:r>
      <w:r w:rsidRPr="003A447F">
        <w:rPr>
          <w:rStyle w:val="FootnoteReference"/>
        </w:rPr>
        <w:footnoteReference w:id="437"/>
      </w:r>
      <w:r w:rsidRPr="003A447F">
        <w:t xml:space="preserve"> However, the AER is not aware of any regulators adopting the approach in APA GasNet's proposal.</w:t>
      </w:r>
    </w:p>
    <w:p w:rsidR="007C1F9F" w:rsidRPr="003A447F" w:rsidRDefault="007C1F9F" w:rsidP="007C1F9F">
      <w:pPr>
        <w:pStyle w:val="AERbodytext"/>
      </w:pPr>
      <w:r w:rsidRPr="003A447F">
        <w:t>The first and second approaches above deliver the same cash flow outcomes. The cash flows of these methods lead to a relatively flat revenue profile which is expected to generate relatively stable prices, and a relatively even utilisation of the asset over its life. In contrast, the third method proposed by APA GasNet front loads cash flows and consequently produces a steeper revenue profile leading to higher prices early in the asset's life, and lower prices later in the asset's life.</w:t>
      </w:r>
      <w:r w:rsidRPr="003A447F">
        <w:rPr>
          <w:rStyle w:val="FootnoteReference"/>
        </w:rPr>
        <w:footnoteReference w:id="438"/>
      </w:r>
      <w:r w:rsidRPr="003A447F">
        <w:t xml:space="preserve"> </w:t>
      </w:r>
    </w:p>
    <w:p w:rsidR="007C1F9F" w:rsidRPr="003A447F" w:rsidRDefault="00DE0D6A" w:rsidP="007C1F9F">
      <w:pPr>
        <w:pStyle w:val="AERbodytext"/>
      </w:pPr>
      <w:r>
        <w:fldChar w:fldCharType="begin"/>
      </w:r>
      <w:r w:rsidR="007C1F9F">
        <w:instrText xml:space="preserve"> REF _Ref331079977 \r \h </w:instrText>
      </w:r>
      <w:r>
        <w:fldChar w:fldCharType="separate"/>
      </w:r>
      <w:r w:rsidR="00377B37">
        <w:t>Figure 5.1</w:t>
      </w:r>
      <w:r>
        <w:fldChar w:fldCharType="end"/>
      </w:r>
      <w:r w:rsidR="007C1F9F">
        <w:t xml:space="preserve"> </w:t>
      </w:r>
      <w:r w:rsidR="007C1F9F" w:rsidRPr="003A447F">
        <w:t>shows the revenue profiles derived from the three methods by expanding on the example provided by APA GasNet.</w:t>
      </w:r>
      <w:r w:rsidR="007C1F9F" w:rsidRPr="003A447F">
        <w:rPr>
          <w:rStyle w:val="FootnoteReference"/>
        </w:rPr>
        <w:footnoteReference w:id="439"/>
      </w:r>
      <w:r w:rsidR="007C1F9F" w:rsidRPr="003A447F">
        <w:t xml:space="preserve"> It shows recovery of revenue over the assumed entire useful life of an asset of 25 years, with a real WACC of 7.32 per cent, CPI of 2.5 per cent and nominal WACC of 10 per cent. The cost of the asset is initially $100. </w:t>
      </w:r>
    </w:p>
    <w:p w:rsidR="007C1F9F" w:rsidRPr="009660CE" w:rsidRDefault="007C1F9F" w:rsidP="002C5036">
      <w:pPr>
        <w:pStyle w:val="AERfigureheading"/>
        <w:numPr>
          <w:ilvl w:val="3"/>
          <w:numId w:val="47"/>
        </w:numPr>
      </w:pPr>
      <w:bookmarkStart w:id="85" w:name="_Ref331079977"/>
      <w:r>
        <w:t>Forecast r</w:t>
      </w:r>
      <w:r w:rsidRPr="009660CE">
        <w:t xml:space="preserve">evenue profiles under different approaches to capital base </w:t>
      </w:r>
      <w:r w:rsidRPr="009660CE">
        <w:tab/>
      </w:r>
      <w:r w:rsidRPr="009660CE">
        <w:tab/>
        <w:t>indexation</w:t>
      </w:r>
      <w:bookmarkEnd w:id="85"/>
      <w:r w:rsidRPr="009660CE">
        <w:t xml:space="preserve"> </w:t>
      </w:r>
    </w:p>
    <w:p w:rsidR="007C1F9F" w:rsidRPr="003A447F" w:rsidRDefault="00AB287B" w:rsidP="007C1F9F">
      <w:pPr>
        <w:pStyle w:val="AERbodytext"/>
      </w:pPr>
      <w:r>
        <w:pict>
          <v:shape id="_x0000_i1031" type="#_x0000_t75" style="width:416.1pt;height:234.4pt">
            <v:imagedata r:id="rId26" o:title=""/>
          </v:shape>
        </w:pict>
      </w:r>
    </w:p>
    <w:p w:rsidR="007C1F9F" w:rsidRPr="003A447F" w:rsidRDefault="007C1F9F" w:rsidP="007C1F9F">
      <w:pPr>
        <w:pStyle w:val="AERbodytext"/>
      </w:pPr>
      <w:r w:rsidRPr="003A447F">
        <w:t xml:space="preserve">The AER considers that APA GasNet’s approach is likely to lead to inefficient growth of the market if it unnecessarily discourages demand early in an asset's life (due to the relatively higher prices at this time) and then encourages greater use near the end of its life (due to relatively lower prices). The outcomes under APA GasNet's proposed approach are at odds with what would be expected by efficient growth of the market. In an efficient market relatively lower prices could be expected initially to encourage use of new assets and to attain economies of scale and scope on the network. While APA GasNet's network may be relatively mature, the change of approach would also affect any future extensions and expansions to the network where demand would be less mature with ongoing implications for customers. </w:t>
      </w:r>
      <w:r>
        <w:t xml:space="preserve">To this end, </w:t>
      </w:r>
      <w:r w:rsidRPr="003A447F">
        <w:t>the NGR recognises that a substantial proportion of depreciation may have to be deferred to encourage utilisation.</w:t>
      </w:r>
      <w:r>
        <w:rPr>
          <w:rStyle w:val="FootnoteReference"/>
        </w:rPr>
        <w:footnoteReference w:id="440"/>
      </w:r>
    </w:p>
    <w:p w:rsidR="007C1F9F" w:rsidRPr="003A447F" w:rsidRDefault="007C1F9F" w:rsidP="007C1F9F">
      <w:pPr>
        <w:pStyle w:val="AERbodytext"/>
      </w:pPr>
      <w:r>
        <w:t>Further, a</w:t>
      </w:r>
      <w:r w:rsidRPr="003A447F">
        <w:t xml:space="preserve">s an asset nears the end of its </w:t>
      </w:r>
      <w:r>
        <w:t xml:space="preserve">useful </w:t>
      </w:r>
      <w:r w:rsidRPr="003A447F">
        <w:t>life it would become more susceptible to breakdowns</w:t>
      </w:r>
      <w:r>
        <w:t>. In this case,</w:t>
      </w:r>
      <w:r w:rsidRPr="003A447F">
        <w:t xml:space="preserve"> over utilisation </w:t>
      </w:r>
      <w:r>
        <w:t>might</w:t>
      </w:r>
      <w:r w:rsidRPr="003A447F">
        <w:t xml:space="preserve"> be encouraged through inefficiently low prices. Replacement may be required sooner than otherwise necessary in such circumstances. </w:t>
      </w:r>
    </w:p>
    <w:p w:rsidR="007C1F9F" w:rsidRPr="003A447F" w:rsidRDefault="007C1F9F" w:rsidP="007C1F9F">
      <w:pPr>
        <w:pStyle w:val="AERbodytext"/>
      </w:pPr>
      <w:r w:rsidRPr="003A447F">
        <w:t xml:space="preserve">In its submission, AGL </w:t>
      </w:r>
      <w:r>
        <w:t>set out its views on</w:t>
      </w:r>
      <w:r w:rsidRPr="003A447F">
        <w:t xml:space="preserve"> a desirable price path. It stated that any significant changes in network costs should be gradual and incremental. AGL suggested that any steep rate of change in network costs should be managed through the access arrangement.</w:t>
      </w:r>
      <w:r w:rsidRPr="003A447F">
        <w:rPr>
          <w:rStyle w:val="FootnoteReference"/>
        </w:rPr>
        <w:footnoteReference w:id="441"/>
      </w:r>
      <w:r w:rsidRPr="003A447F">
        <w:t xml:space="preserve"> The AER considers that APA GasNet’s proposed depreciation approach, by encouraging a steeper price path, goes against these customer interests.</w:t>
      </w:r>
    </w:p>
    <w:p w:rsidR="007C1F9F" w:rsidRPr="009D4399" w:rsidRDefault="007C1F9F" w:rsidP="007C1F9F">
      <w:pPr>
        <w:pStyle w:val="AERheading4"/>
      </w:pPr>
      <w:r>
        <w:t>Unnecessary high prices in the short to medium term</w:t>
      </w:r>
    </w:p>
    <w:p w:rsidR="007C1F9F" w:rsidRPr="003A447F" w:rsidRDefault="007C1F9F" w:rsidP="007C1F9F">
      <w:pPr>
        <w:pStyle w:val="AERbodytext"/>
      </w:pPr>
      <w:r w:rsidRPr="003A447F">
        <w:t xml:space="preserve">APA GasNet's proposed approach would represent a switch away from the AER's standard approach. Over the </w:t>
      </w:r>
      <w:r w:rsidRPr="00924917">
        <w:t>2013–17</w:t>
      </w:r>
      <w:r>
        <w:t xml:space="preserve"> </w:t>
      </w:r>
      <w:r w:rsidRPr="003A447F">
        <w:t>access arrangement period and based on APA GasNet’s proposed inputs</w:t>
      </w:r>
      <w:r>
        <w:t>,</w:t>
      </w:r>
      <w:r w:rsidRPr="003A447F">
        <w:rPr>
          <w:rStyle w:val="FootnoteReference"/>
        </w:rPr>
        <w:footnoteReference w:id="442"/>
      </w:r>
      <w:r w:rsidRPr="003A447F">
        <w:t xml:space="preserve"> APA GasNet would recover $764.5 million </w:t>
      </w:r>
      <w:r>
        <w:t xml:space="preserve">in </w:t>
      </w:r>
      <w:r w:rsidRPr="003A447F">
        <w:t>revenues under its proposed approach, compared to $662.9 million if it maintained the AER’s approach. This represents a 15.3 per cent increase in revenues over the 2013–17 access arrangement period.</w:t>
      </w:r>
    </w:p>
    <w:p w:rsidR="007C1F9F" w:rsidRDefault="007C1F9F" w:rsidP="007C1F9F">
      <w:pPr>
        <w:pStyle w:val="AERbodytext"/>
      </w:pPr>
      <w:r w:rsidRPr="003A447F">
        <w:t xml:space="preserve">The AER considers that the magnitude of this revenue increase is significant and is likely to cause </w:t>
      </w:r>
      <w:r>
        <w:t>unnecessary high prices in the short to medium term</w:t>
      </w:r>
      <w:r w:rsidRPr="003A447F">
        <w:t xml:space="preserve"> to customers. This </w:t>
      </w:r>
      <w:r>
        <w:t>scenario</w:t>
      </w:r>
      <w:r w:rsidRPr="003A447F">
        <w:t xml:space="preserve"> could discourage gas usage and downstream investment. There has been no change in costs to the service provider that would warrant such a price impact.</w:t>
      </w:r>
      <w:r>
        <w:t xml:space="preserve"> </w:t>
      </w:r>
    </w:p>
    <w:p w:rsidR="007C1F9F" w:rsidRPr="003A447F" w:rsidRDefault="007C1F9F" w:rsidP="007C1F9F">
      <w:pPr>
        <w:pStyle w:val="AERbodytext"/>
      </w:pPr>
      <w:r>
        <w:t>Even if the additional revenues from the change of approach are offset by falls in other building block components, such as the rate of return and consequently the return on capital, the price impact cannot be ignored. Customers would expect prices to fall if the rate of return and other cost components are reduced.</w:t>
      </w:r>
      <w:r w:rsidRPr="0085388B">
        <w:t xml:space="preserve"> </w:t>
      </w:r>
      <w:r>
        <w:t>The regulatory regime is not intended to shield a service provider from such reductions. The AER considers the price impact should be measured against this counterfactual, notwithstanding the NGR regarding APA GasNet's reasonable cash flow needs.</w:t>
      </w:r>
      <w:r>
        <w:rPr>
          <w:rStyle w:val="FootnoteReference"/>
        </w:rPr>
        <w:footnoteReference w:id="443"/>
      </w:r>
    </w:p>
    <w:p w:rsidR="007C1F9F" w:rsidRPr="003A447F" w:rsidRDefault="007C1F9F" w:rsidP="007C1F9F">
      <w:pPr>
        <w:pStyle w:val="AERbodytext"/>
      </w:pPr>
      <w:r w:rsidRPr="003A447F">
        <w:t>The steeper recovery profile of revenues under APA GasNet’s approach (as shown above) also means that all future capex will be recovered more quickly. Any step up in capex (regardless of its purpose) will cause a greater step up in revenues than would be the case under the AER’s approach. APA GasNet’s proposed approach effectively amplifies any step changes in capex</w:t>
      </w:r>
      <w:r>
        <w:t xml:space="preserve"> for all future periods</w:t>
      </w:r>
      <w:r w:rsidRPr="003A447F">
        <w:t>. The AER does not consider that such an outcome encourage</w:t>
      </w:r>
      <w:r>
        <w:t>s</w:t>
      </w:r>
      <w:r w:rsidRPr="003A447F">
        <w:t xml:space="preserve"> efficient growth </w:t>
      </w:r>
      <w:r>
        <w:t>in</w:t>
      </w:r>
      <w:r w:rsidRPr="003A447F">
        <w:t xml:space="preserve"> the market for reference services.</w:t>
      </w:r>
    </w:p>
    <w:p w:rsidR="007C1F9F" w:rsidRPr="003A447F" w:rsidRDefault="007C1F9F" w:rsidP="007C1F9F">
      <w:pPr>
        <w:pStyle w:val="AERbodytext"/>
      </w:pPr>
      <w:r w:rsidRPr="003A447F">
        <w:t>In its submission, AGL stated that it aims to ensure customers were not subject to unreasonable steep cost fluctuations and that this depended in large part on the predictability of network costs. AGL submitted that effective management of network cost will encourage the development of long term offers and create opportunities for better financial planning and management.</w:t>
      </w:r>
      <w:r w:rsidRPr="003A447F">
        <w:rPr>
          <w:rStyle w:val="FootnoteReference"/>
        </w:rPr>
        <w:footnoteReference w:id="444"/>
      </w:r>
      <w:r w:rsidRPr="003A447F">
        <w:t xml:space="preserve"> The AER considers that APA GasNet’s proposed change of depreciation approach is not consistent with these customer interests.</w:t>
      </w:r>
    </w:p>
    <w:p w:rsidR="007C1F9F" w:rsidRPr="009D4399" w:rsidRDefault="007C1F9F" w:rsidP="007C1F9F">
      <w:pPr>
        <w:pStyle w:val="AERheading4"/>
      </w:pPr>
      <w:r w:rsidRPr="009D4399">
        <w:t>Inefficient management of assets</w:t>
      </w:r>
    </w:p>
    <w:p w:rsidR="007C1F9F" w:rsidRPr="003A447F" w:rsidRDefault="007C1F9F" w:rsidP="007C1F9F">
      <w:pPr>
        <w:pStyle w:val="AERbodytext"/>
      </w:pPr>
      <w:r w:rsidRPr="003A447F">
        <w:t xml:space="preserve">APA GasNet's proposed approach leads to a lower depreciated historical cost valuation of the capital base relative to a continuation of the AER's approach. This may create an incentive for APA GasNet to replace assets sooner than may otherwise be the case, so as to be able to earn a return on the replacement cost of a new asset. Such an incentive is at odds with </w:t>
      </w:r>
      <w:r>
        <w:t xml:space="preserve">the </w:t>
      </w:r>
      <w:r w:rsidRPr="003A447F">
        <w:t xml:space="preserve">efficient provision of reference services. </w:t>
      </w:r>
      <w:r>
        <w:t>The</w:t>
      </w:r>
      <w:r w:rsidRPr="003A447F">
        <w:t xml:space="preserve"> significan</w:t>
      </w:r>
      <w:r>
        <w:t>ce of</w:t>
      </w:r>
      <w:r w:rsidRPr="003A447F">
        <w:t xml:space="preserve"> this incentive will depend on other factors such as the approved rate of return. Customers are concerned that assets which are depreciated too soon could be replaced before it is really necessary.</w:t>
      </w:r>
      <w:r w:rsidRPr="003A447F">
        <w:rPr>
          <w:rStyle w:val="FootnoteReference"/>
        </w:rPr>
        <w:footnoteReference w:id="445"/>
      </w:r>
      <w:r w:rsidRPr="003A447F">
        <w:t xml:space="preserve"> The AER considers the creation of such an incentive </w:t>
      </w:r>
      <w:r>
        <w:t xml:space="preserve">is not consistent with efficient development of the market or the NGO with regards to the </w:t>
      </w:r>
      <w:r w:rsidRPr="003A447F">
        <w:t>promoti</w:t>
      </w:r>
      <w:r>
        <w:t>on of</w:t>
      </w:r>
      <w:r w:rsidRPr="003A447F">
        <w:t xml:space="preserve"> </w:t>
      </w:r>
      <w:r w:rsidRPr="00A25AB9">
        <w:t xml:space="preserve">efficient investment </w:t>
      </w:r>
      <w:r>
        <w:t xml:space="preserve">in, and efficient operation and use of, natural gas services </w:t>
      </w:r>
      <w:r w:rsidRPr="00A25AB9">
        <w:t>for the long term interests of consumers</w:t>
      </w:r>
      <w:r w:rsidRPr="003A447F">
        <w:t>.</w:t>
      </w:r>
    </w:p>
    <w:p w:rsidR="007C1F9F" w:rsidRPr="003A447F" w:rsidRDefault="007C1F9F" w:rsidP="007C1F9F">
      <w:pPr>
        <w:pStyle w:val="AERbodytext"/>
      </w:pPr>
      <w:r w:rsidRPr="003A447F">
        <w:t>APA GasNet may also be encouraged to sell assets where the potential sale price exceeds the depreciated historical cost of the capital base. This incentive is reduced if the capital base is indexed as under the AER's approach. Such an incentive need not deter efficient development of the market, although it is not an incentive based on the consideration of customers’ long term interests.</w:t>
      </w:r>
    </w:p>
    <w:p w:rsidR="007C1F9F" w:rsidRPr="003A447F" w:rsidRDefault="007C1F9F" w:rsidP="007C1F9F">
      <w:pPr>
        <w:pStyle w:val="AERheading3"/>
        <w:numPr>
          <w:ilvl w:val="2"/>
          <w:numId w:val="7"/>
        </w:numPr>
        <w:tabs>
          <w:tab w:val="clear" w:pos="-357"/>
          <w:tab w:val="num" w:pos="0"/>
        </w:tabs>
        <w:ind w:left="0" w:hanging="714"/>
      </w:pPr>
      <w:r w:rsidRPr="003A447F">
        <w:t>Standard economic lives and remaining economic lives</w:t>
      </w:r>
    </w:p>
    <w:p w:rsidR="007C1F9F" w:rsidRDefault="007C1F9F" w:rsidP="007C1F9F">
      <w:pPr>
        <w:pStyle w:val="AERbodytext"/>
      </w:pPr>
      <w:r w:rsidRPr="003A447F">
        <w:t xml:space="preserve">The AER approves APA GasNet's proposed standard economic lives assigned to each of its asset classes for the </w:t>
      </w:r>
      <w:r w:rsidRPr="00924917">
        <w:t>2013–17</w:t>
      </w:r>
      <w:r>
        <w:t xml:space="preserve"> </w:t>
      </w:r>
      <w:r w:rsidRPr="003A447F">
        <w:t>access arrangement period. The AER considers that the proposed standard economic lives are</w:t>
      </w:r>
      <w:r>
        <w:t xml:space="preserve"> </w:t>
      </w:r>
      <w:r w:rsidRPr="003A447F">
        <w:t>consistent with the ACCC’s app</w:t>
      </w:r>
      <w:r>
        <w:t>roved standard economic lives for</w:t>
      </w:r>
      <w:r w:rsidRPr="003A447F">
        <w:t xml:space="preserve"> the </w:t>
      </w:r>
      <w:r w:rsidRPr="00AB16BD">
        <w:t>2008–12</w:t>
      </w:r>
      <w:r w:rsidRPr="003A447F">
        <w:t xml:space="preserve"> access arrangement period</w:t>
      </w:r>
      <w:r>
        <w:t>.</w:t>
      </w:r>
      <w:r w:rsidRPr="003A447F">
        <w:rPr>
          <w:rStyle w:val="FootnoteReference"/>
        </w:rPr>
        <w:footnoteReference w:id="446"/>
      </w:r>
      <w:r>
        <w:t xml:space="preserve"> APA GasNet did not propose any new asset classes for the </w:t>
      </w:r>
      <w:r w:rsidRPr="00924917">
        <w:t>2013–17</w:t>
      </w:r>
      <w:r>
        <w:t xml:space="preserve"> </w:t>
      </w:r>
      <w:r w:rsidRPr="003A447F">
        <w:t>access arrangement period.</w:t>
      </w:r>
    </w:p>
    <w:p w:rsidR="007C1F9F" w:rsidRDefault="007C1F9F" w:rsidP="007C1F9F">
      <w:pPr>
        <w:pStyle w:val="AERbodytext"/>
      </w:pPr>
      <w:r w:rsidRPr="003A447F">
        <w:rPr>
          <w:rStyle w:val="AERbody"/>
        </w:rPr>
        <w:t xml:space="preserve">The AER accepts APA GasNet's proposed weighted average method to calculate the remaining economic lives as at 1 January 2013. In accepting the weighted average method, the AER has updated APA GasNet's remaining economic lives as at 1 January 2013 to reflect the </w:t>
      </w:r>
      <w:r>
        <w:rPr>
          <w:rStyle w:val="AERbody"/>
        </w:rPr>
        <w:t>AER's adjustments to APA GasNet's remaining economic lives as at</w:t>
      </w:r>
      <w:r w:rsidRPr="003A447F">
        <w:rPr>
          <w:rStyle w:val="AERbody"/>
        </w:rPr>
        <w:t xml:space="preserve"> </w:t>
      </w:r>
      <w:r>
        <w:rPr>
          <w:rStyle w:val="AERbody"/>
        </w:rPr>
        <w:t xml:space="preserve">1 January 2008 </w:t>
      </w:r>
      <w:r w:rsidRPr="003A447F">
        <w:rPr>
          <w:rStyle w:val="AERbody"/>
        </w:rPr>
        <w:t>in the RFM.</w:t>
      </w:r>
      <w:r w:rsidRPr="003A447F">
        <w:rPr>
          <w:rStyle w:val="FootnoteReference"/>
        </w:rPr>
        <w:footnoteReference w:id="447"/>
      </w:r>
      <w:r>
        <w:rPr>
          <w:rStyle w:val="AERbody"/>
        </w:rPr>
        <w:t xml:space="preserve"> The RFM requires the remaining economic lives as at 1 January 2008 for each asset class as inputs. The AER has reviewed APA GasNet's calculation of the weighted remaining economic lives as at </w:t>
      </w:r>
      <w:r w:rsidRPr="00EF66EA">
        <w:rPr>
          <w:rStyle w:val="AERbody"/>
        </w:rPr>
        <w:t>1 January 2008</w:t>
      </w:r>
      <w:r>
        <w:rPr>
          <w:rStyle w:val="AERbody"/>
        </w:rPr>
        <w:t>.</w:t>
      </w:r>
      <w:r>
        <w:rPr>
          <w:rStyle w:val="FootnoteReference"/>
        </w:rPr>
        <w:footnoteReference w:id="448"/>
      </w:r>
      <w:r w:rsidRPr="00EF66EA">
        <w:rPr>
          <w:rStyle w:val="AERbody"/>
        </w:rPr>
        <w:t xml:space="preserve"> </w:t>
      </w:r>
      <w:r>
        <w:rPr>
          <w:rStyle w:val="AERbody"/>
        </w:rPr>
        <w:t>It</w:t>
      </w:r>
      <w:r w:rsidRPr="00DE1C9D">
        <w:t xml:space="preserve"> </w:t>
      </w:r>
      <w:r>
        <w:t xml:space="preserve">found that the </w:t>
      </w:r>
      <w:r w:rsidRPr="00DE1C9D">
        <w:t xml:space="preserve">remaining </w:t>
      </w:r>
      <w:r w:rsidRPr="002E0483">
        <w:t>economic lives as at 1 January 2008 in the proposed RFM</w:t>
      </w:r>
      <w:r>
        <w:t xml:space="preserve"> reflected the remaining economic</w:t>
      </w:r>
      <w:r w:rsidRPr="002E0483">
        <w:t xml:space="preserve"> lives as at 1</w:t>
      </w:r>
      <w:r>
        <w:t> </w:t>
      </w:r>
      <w:r w:rsidRPr="002E0483">
        <w:t>January 2007</w:t>
      </w:r>
      <w:r>
        <w:t xml:space="preserve">. The AER also identified an error in APA GasNet's formulae used to calculate the remaining economic lives as at 1 January 2007. Therefore, the AER has corrected the remaining economic lives as at 1 January 2007 and rolled them forward to 1 January 2008 by taking into account actual capex for 2007. These adjustments result in slightly longer remaining economic lives as at </w:t>
      </w:r>
      <w:r w:rsidRPr="00F35BE4">
        <w:t>1 January 2008</w:t>
      </w:r>
      <w:r>
        <w:t xml:space="preserve"> compared to those in </w:t>
      </w:r>
      <w:r w:rsidRPr="00F35BE4">
        <w:t>APA GasNet</w:t>
      </w:r>
      <w:r>
        <w:t xml:space="preserve">'s proposed RFM. </w:t>
      </w:r>
    </w:p>
    <w:p w:rsidR="007C1F9F" w:rsidRDefault="007C1F9F" w:rsidP="007C1F9F">
      <w:pPr>
        <w:pStyle w:val="AERbodytext"/>
      </w:pPr>
      <w:r>
        <w:t xml:space="preserve">The AER's adjustments to APA GasNet's opening capital base to take into account asset disposals also have a consequential impact to the </w:t>
      </w:r>
      <w:r w:rsidRPr="003A447F">
        <w:rPr>
          <w:rStyle w:val="AERbody"/>
        </w:rPr>
        <w:t>remaining economic lives as at 1</w:t>
      </w:r>
      <w:r>
        <w:rPr>
          <w:rStyle w:val="AERbody"/>
        </w:rPr>
        <w:t> </w:t>
      </w:r>
      <w:r w:rsidRPr="003A447F">
        <w:rPr>
          <w:rStyle w:val="AERbody"/>
        </w:rPr>
        <w:t>January</w:t>
      </w:r>
      <w:r>
        <w:rPr>
          <w:rStyle w:val="AERbody"/>
        </w:rPr>
        <w:t> </w:t>
      </w:r>
      <w:r w:rsidRPr="003A447F">
        <w:rPr>
          <w:rStyle w:val="AERbody"/>
        </w:rPr>
        <w:t>2013</w:t>
      </w:r>
      <w:r>
        <w:rPr>
          <w:rStyle w:val="AERbody"/>
        </w:rPr>
        <w:t xml:space="preserve"> (see attachment 2).</w:t>
      </w:r>
      <w:r>
        <w:t xml:space="preserve">  </w:t>
      </w:r>
    </w:p>
    <w:p w:rsidR="007C1F9F" w:rsidRPr="003A447F" w:rsidRDefault="007C1F9F" w:rsidP="007C1F9F">
      <w:pPr>
        <w:pStyle w:val="AERbodytext"/>
      </w:pPr>
      <w:r w:rsidRPr="003A447F">
        <w:t>The AER’s draft decision on APA GasNet’s standard economic lives and remaining economic lives</w:t>
      </w:r>
      <w:r>
        <w:rPr>
          <w:rStyle w:val="FootnoteReference"/>
        </w:rPr>
        <w:footnoteReference w:id="449"/>
      </w:r>
      <w:r w:rsidRPr="003A447F">
        <w:t xml:space="preserve"> for each of its asset classes for the </w:t>
      </w:r>
      <w:r w:rsidRPr="00924917">
        <w:t>2013–17</w:t>
      </w:r>
      <w:r>
        <w:t xml:space="preserve"> </w:t>
      </w:r>
      <w:r w:rsidRPr="003A447F">
        <w:t xml:space="preserve">access arrangement period is set out in </w:t>
      </w:r>
      <w:r w:rsidR="00DE0D6A" w:rsidRPr="003A447F">
        <w:fldChar w:fldCharType="begin"/>
      </w:r>
      <w:r w:rsidRPr="003A447F">
        <w:instrText xml:space="preserve"> REF  _Ref308105394 \* Lower \h \w </w:instrText>
      </w:r>
      <w:r w:rsidR="00DE0D6A" w:rsidRPr="003A447F">
        <w:fldChar w:fldCharType="separate"/>
      </w:r>
      <w:r>
        <w:t>table 5.3</w:t>
      </w:r>
      <w:r w:rsidR="00DE0D6A" w:rsidRPr="003A447F">
        <w:fldChar w:fldCharType="end"/>
      </w:r>
      <w:r w:rsidRPr="003A447F">
        <w:t xml:space="preserve">. </w:t>
      </w:r>
    </w:p>
    <w:p w:rsidR="007C1F9F" w:rsidRPr="003A447F" w:rsidRDefault="007C1F9F" w:rsidP="007C1F9F">
      <w:pPr>
        <w:pStyle w:val="AERtabletitle"/>
      </w:pPr>
      <w:bookmarkStart w:id="86" w:name="_Ref329879927"/>
      <w:bookmarkStart w:id="87" w:name="_Ref307995390"/>
      <w:bookmarkStart w:id="88" w:name="_Ref308105394"/>
      <w:r w:rsidRPr="003A447F">
        <w:t>AER's draft decision on APA GasNet's standard and remaining economic lives as at 1 January 2013</w:t>
      </w:r>
      <w:bookmarkEnd w:id="86"/>
      <w:r>
        <w:t xml:space="preserve"> </w:t>
      </w:r>
      <w:r w:rsidRPr="003A447F">
        <w:t>(years)</w:t>
      </w:r>
    </w:p>
    <w:tbl>
      <w:tblPr>
        <w:tblW w:w="0" w:type="auto"/>
        <w:tblBorders>
          <w:top w:val="single" w:sz="4" w:space="0" w:color="auto"/>
          <w:bottom w:val="single" w:sz="4" w:space="0" w:color="auto"/>
        </w:tblBorders>
        <w:tblLayout w:type="fixed"/>
        <w:tblLook w:val="01E0"/>
      </w:tblPr>
      <w:tblGrid>
        <w:gridCol w:w="1951"/>
        <w:gridCol w:w="2054"/>
        <w:gridCol w:w="2445"/>
        <w:gridCol w:w="2078"/>
      </w:tblGrid>
      <w:tr w:rsidR="007C1F9F" w:rsidTr="00186172">
        <w:tc>
          <w:tcPr>
            <w:tcW w:w="195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bookmarkStart w:id="89" w:name="_Ref307997875"/>
            <w:bookmarkEnd w:id="87"/>
            <w:bookmarkEnd w:id="88"/>
            <w:r w:rsidRPr="009660CE">
              <w:t>Asset classes</w:t>
            </w:r>
          </w:p>
        </w:tc>
        <w:tc>
          <w:tcPr>
            <w:tcW w:w="205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AER's approved standard economic life</w:t>
            </w:r>
          </w:p>
        </w:tc>
        <w:tc>
          <w:tcPr>
            <w:tcW w:w="244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APA GasNet's proposed remaining economic life</w:t>
            </w:r>
          </w:p>
        </w:tc>
        <w:tc>
          <w:tcPr>
            <w:tcW w:w="2078"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9660CE" w:rsidRDefault="007C1F9F" w:rsidP="00186172">
            <w:pPr>
              <w:pStyle w:val="AERtabletextheading"/>
            </w:pPr>
            <w:r w:rsidRPr="009660CE">
              <w:t>AER's approved remaining economic life</w:t>
            </w:r>
          </w:p>
        </w:tc>
      </w:tr>
      <w:tr w:rsidR="007C1F9F" w:rsidTr="00186172">
        <w:tc>
          <w:tcPr>
            <w:tcW w:w="1951" w:type="dxa"/>
            <w:shd w:val="clear" w:color="auto" w:fill="auto"/>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Pipelines</w:t>
            </w:r>
          </w:p>
        </w:tc>
        <w:tc>
          <w:tcPr>
            <w:tcW w:w="2054" w:type="dxa"/>
            <w:shd w:val="clear" w:color="auto" w:fill="auto"/>
            <w:noWrap/>
            <w:tcMar>
              <w:top w:w="0" w:type="dxa"/>
              <w:bottom w:w="0" w:type="dxa"/>
            </w:tcMar>
            <w:vAlign w:val="center"/>
          </w:tcPr>
          <w:p w:rsidR="007C1F9F" w:rsidRPr="003A447F" w:rsidRDefault="007C1F9F" w:rsidP="00186172">
            <w:pPr>
              <w:pStyle w:val="AERtabletext-numbers"/>
            </w:pPr>
            <w:r w:rsidRPr="003A447F">
              <w:t>55</w:t>
            </w:r>
          </w:p>
        </w:tc>
        <w:tc>
          <w:tcPr>
            <w:tcW w:w="2445" w:type="dxa"/>
            <w:shd w:val="clear" w:color="auto" w:fill="auto"/>
            <w:noWrap/>
            <w:tcMar>
              <w:top w:w="0" w:type="dxa"/>
              <w:bottom w:w="0" w:type="dxa"/>
            </w:tcMar>
            <w:vAlign w:val="center"/>
          </w:tcPr>
          <w:p w:rsidR="007C1F9F" w:rsidRPr="003A447F" w:rsidRDefault="007C1F9F" w:rsidP="00186172">
            <w:pPr>
              <w:pStyle w:val="AERtabletext-numbers"/>
            </w:pPr>
            <w:r w:rsidRPr="003A447F">
              <w:t>26.4</w:t>
            </w:r>
          </w:p>
        </w:tc>
        <w:tc>
          <w:tcPr>
            <w:tcW w:w="2078" w:type="dxa"/>
            <w:shd w:val="clear" w:color="auto" w:fill="auto"/>
            <w:noWrap/>
            <w:tcMar>
              <w:top w:w="0" w:type="dxa"/>
              <w:bottom w:w="0" w:type="dxa"/>
            </w:tcMar>
            <w:vAlign w:val="center"/>
          </w:tcPr>
          <w:p w:rsidR="007C1F9F" w:rsidRPr="009660CE" w:rsidRDefault="007C1F9F" w:rsidP="00186172">
            <w:pPr>
              <w:pStyle w:val="AERtabletext-numbers"/>
            </w:pPr>
            <w:r w:rsidRPr="00CB44ED">
              <w:t>29.3</w:t>
            </w:r>
          </w:p>
        </w:tc>
      </w:tr>
      <w:tr w:rsidR="007C1F9F" w:rsidTr="00186172">
        <w:tc>
          <w:tcPr>
            <w:tcW w:w="1951" w:type="dxa"/>
            <w:shd w:val="clear" w:color="auto" w:fill="F8B47C"/>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Compressors</w:t>
            </w:r>
          </w:p>
        </w:tc>
        <w:tc>
          <w:tcPr>
            <w:tcW w:w="2054" w:type="dxa"/>
            <w:shd w:val="clear" w:color="auto" w:fill="F8B47C"/>
            <w:noWrap/>
            <w:tcMar>
              <w:top w:w="0" w:type="dxa"/>
              <w:bottom w:w="0" w:type="dxa"/>
            </w:tcMar>
            <w:vAlign w:val="center"/>
          </w:tcPr>
          <w:p w:rsidR="007C1F9F" w:rsidRPr="003A447F" w:rsidRDefault="007C1F9F" w:rsidP="00186172">
            <w:pPr>
              <w:pStyle w:val="AERtabletext-numbers"/>
            </w:pPr>
            <w:r w:rsidRPr="003A447F">
              <w:t>30</w:t>
            </w:r>
          </w:p>
        </w:tc>
        <w:tc>
          <w:tcPr>
            <w:tcW w:w="2445" w:type="dxa"/>
            <w:shd w:val="clear" w:color="auto" w:fill="F8B47C"/>
            <w:noWrap/>
            <w:tcMar>
              <w:top w:w="0" w:type="dxa"/>
              <w:bottom w:w="0" w:type="dxa"/>
            </w:tcMar>
            <w:vAlign w:val="center"/>
          </w:tcPr>
          <w:p w:rsidR="007C1F9F" w:rsidRPr="003A447F" w:rsidRDefault="007C1F9F" w:rsidP="00186172">
            <w:pPr>
              <w:pStyle w:val="AERtabletext-numbers"/>
            </w:pPr>
            <w:r w:rsidRPr="003A447F">
              <w:t>21.5</w:t>
            </w:r>
          </w:p>
        </w:tc>
        <w:tc>
          <w:tcPr>
            <w:tcW w:w="2078" w:type="dxa"/>
            <w:shd w:val="clear" w:color="auto" w:fill="F8B47C"/>
            <w:noWrap/>
            <w:tcMar>
              <w:top w:w="0" w:type="dxa"/>
              <w:bottom w:w="0" w:type="dxa"/>
            </w:tcMar>
            <w:vAlign w:val="center"/>
          </w:tcPr>
          <w:p w:rsidR="007C1F9F" w:rsidRPr="009660CE" w:rsidRDefault="007C1F9F" w:rsidP="00186172">
            <w:pPr>
              <w:pStyle w:val="AERtabletext-numbers"/>
            </w:pPr>
            <w:r>
              <w:t>23.6</w:t>
            </w:r>
          </w:p>
        </w:tc>
      </w:tr>
      <w:tr w:rsidR="007C1F9F" w:rsidTr="00186172">
        <w:tc>
          <w:tcPr>
            <w:tcW w:w="1951" w:type="dxa"/>
            <w:shd w:val="clear" w:color="auto" w:fill="auto"/>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City gates and field regulators</w:t>
            </w:r>
          </w:p>
        </w:tc>
        <w:tc>
          <w:tcPr>
            <w:tcW w:w="2054" w:type="dxa"/>
            <w:shd w:val="clear" w:color="auto" w:fill="auto"/>
            <w:noWrap/>
            <w:tcMar>
              <w:top w:w="0" w:type="dxa"/>
              <w:bottom w:w="0" w:type="dxa"/>
            </w:tcMar>
            <w:vAlign w:val="center"/>
          </w:tcPr>
          <w:p w:rsidR="007C1F9F" w:rsidRPr="003A447F" w:rsidRDefault="007C1F9F" w:rsidP="00186172">
            <w:pPr>
              <w:pStyle w:val="AERtabletext-numbers"/>
            </w:pPr>
            <w:r w:rsidRPr="003A447F">
              <w:t>30</w:t>
            </w:r>
          </w:p>
        </w:tc>
        <w:tc>
          <w:tcPr>
            <w:tcW w:w="2445" w:type="dxa"/>
            <w:shd w:val="clear" w:color="auto" w:fill="auto"/>
            <w:noWrap/>
            <w:tcMar>
              <w:top w:w="0" w:type="dxa"/>
              <w:bottom w:w="0" w:type="dxa"/>
            </w:tcMar>
            <w:vAlign w:val="center"/>
          </w:tcPr>
          <w:p w:rsidR="007C1F9F" w:rsidRPr="003A447F" w:rsidRDefault="007C1F9F" w:rsidP="00186172">
            <w:pPr>
              <w:pStyle w:val="AERtabletext-numbers"/>
            </w:pPr>
            <w:r w:rsidRPr="003A447F">
              <w:t>23.8</w:t>
            </w:r>
          </w:p>
        </w:tc>
        <w:tc>
          <w:tcPr>
            <w:tcW w:w="2078" w:type="dxa"/>
            <w:shd w:val="clear" w:color="auto" w:fill="auto"/>
            <w:noWrap/>
            <w:tcMar>
              <w:top w:w="0" w:type="dxa"/>
              <w:bottom w:w="0" w:type="dxa"/>
            </w:tcMar>
            <w:vAlign w:val="center"/>
          </w:tcPr>
          <w:p w:rsidR="007C1F9F" w:rsidRPr="009660CE" w:rsidRDefault="007C1F9F" w:rsidP="00186172">
            <w:pPr>
              <w:pStyle w:val="AERtabletext-numbers"/>
            </w:pPr>
            <w:r>
              <w:t>24.0</w:t>
            </w:r>
          </w:p>
        </w:tc>
      </w:tr>
      <w:tr w:rsidR="007C1F9F" w:rsidTr="00186172">
        <w:tc>
          <w:tcPr>
            <w:tcW w:w="1951" w:type="dxa"/>
            <w:shd w:val="clear" w:color="auto" w:fill="F8B47C"/>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Odourant plants</w:t>
            </w:r>
          </w:p>
        </w:tc>
        <w:tc>
          <w:tcPr>
            <w:tcW w:w="2054" w:type="dxa"/>
            <w:shd w:val="clear" w:color="auto" w:fill="F8B47C"/>
            <w:noWrap/>
            <w:tcMar>
              <w:top w:w="0" w:type="dxa"/>
              <w:bottom w:w="0" w:type="dxa"/>
            </w:tcMar>
            <w:vAlign w:val="center"/>
          </w:tcPr>
          <w:p w:rsidR="007C1F9F" w:rsidRPr="003A447F" w:rsidRDefault="007C1F9F" w:rsidP="00186172">
            <w:pPr>
              <w:pStyle w:val="AERtabletext-numbers"/>
            </w:pPr>
            <w:r w:rsidRPr="003A447F">
              <w:t xml:space="preserve"> 30</w:t>
            </w:r>
          </w:p>
        </w:tc>
        <w:tc>
          <w:tcPr>
            <w:tcW w:w="2445" w:type="dxa"/>
            <w:shd w:val="clear" w:color="auto" w:fill="F8B47C"/>
            <w:noWrap/>
            <w:tcMar>
              <w:top w:w="0" w:type="dxa"/>
              <w:bottom w:w="0" w:type="dxa"/>
            </w:tcMar>
            <w:vAlign w:val="center"/>
          </w:tcPr>
          <w:p w:rsidR="007C1F9F" w:rsidRPr="003A447F" w:rsidRDefault="007C1F9F" w:rsidP="00186172">
            <w:pPr>
              <w:pStyle w:val="AERtabletext-numbers"/>
            </w:pPr>
            <w:r w:rsidRPr="003A447F">
              <w:t>23.6</w:t>
            </w:r>
          </w:p>
        </w:tc>
        <w:tc>
          <w:tcPr>
            <w:tcW w:w="2078" w:type="dxa"/>
            <w:shd w:val="clear" w:color="auto" w:fill="F8B47C"/>
            <w:noWrap/>
            <w:tcMar>
              <w:top w:w="0" w:type="dxa"/>
              <w:bottom w:w="0" w:type="dxa"/>
            </w:tcMar>
            <w:vAlign w:val="center"/>
          </w:tcPr>
          <w:p w:rsidR="007C1F9F" w:rsidRPr="009660CE" w:rsidRDefault="007C1F9F" w:rsidP="00186172">
            <w:pPr>
              <w:pStyle w:val="AERtabletext-numbers"/>
            </w:pPr>
            <w:r>
              <w:t>22.3</w:t>
            </w:r>
          </w:p>
        </w:tc>
      </w:tr>
      <w:tr w:rsidR="007C1F9F" w:rsidTr="00186172">
        <w:tc>
          <w:tcPr>
            <w:tcW w:w="1951" w:type="dxa"/>
            <w:shd w:val="clear" w:color="auto" w:fill="auto"/>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Gas quality</w:t>
            </w:r>
          </w:p>
        </w:tc>
        <w:tc>
          <w:tcPr>
            <w:tcW w:w="2054" w:type="dxa"/>
            <w:shd w:val="clear" w:color="auto" w:fill="auto"/>
            <w:noWrap/>
            <w:tcMar>
              <w:top w:w="0" w:type="dxa"/>
              <w:bottom w:w="0" w:type="dxa"/>
            </w:tcMar>
            <w:vAlign w:val="center"/>
          </w:tcPr>
          <w:p w:rsidR="007C1F9F" w:rsidRPr="003A447F" w:rsidRDefault="007C1F9F" w:rsidP="00186172">
            <w:pPr>
              <w:pStyle w:val="AERtabletext-numbers"/>
            </w:pPr>
            <w:r w:rsidRPr="003A447F">
              <w:t>10</w:t>
            </w:r>
          </w:p>
        </w:tc>
        <w:tc>
          <w:tcPr>
            <w:tcW w:w="2445" w:type="dxa"/>
            <w:shd w:val="clear" w:color="auto" w:fill="auto"/>
            <w:noWrap/>
            <w:tcMar>
              <w:top w:w="0" w:type="dxa"/>
              <w:bottom w:w="0" w:type="dxa"/>
            </w:tcMar>
            <w:vAlign w:val="center"/>
          </w:tcPr>
          <w:p w:rsidR="007C1F9F" w:rsidRPr="003A447F" w:rsidRDefault="007C1F9F" w:rsidP="00186172">
            <w:pPr>
              <w:pStyle w:val="AERtabletext-numbers"/>
            </w:pPr>
            <w:r w:rsidRPr="003A447F">
              <w:t>0.0</w:t>
            </w:r>
          </w:p>
        </w:tc>
        <w:tc>
          <w:tcPr>
            <w:tcW w:w="2078" w:type="dxa"/>
            <w:shd w:val="clear" w:color="auto" w:fill="auto"/>
            <w:noWrap/>
            <w:tcMar>
              <w:top w:w="0" w:type="dxa"/>
              <w:bottom w:w="0" w:type="dxa"/>
            </w:tcMar>
            <w:vAlign w:val="center"/>
          </w:tcPr>
          <w:p w:rsidR="007C1F9F" w:rsidRPr="009660CE" w:rsidRDefault="007C1F9F" w:rsidP="00186172">
            <w:pPr>
              <w:pStyle w:val="AERtabletext-numbers"/>
            </w:pPr>
            <w:r>
              <w:t>0.9</w:t>
            </w:r>
          </w:p>
        </w:tc>
      </w:tr>
      <w:tr w:rsidR="007C1F9F" w:rsidTr="00186172">
        <w:tc>
          <w:tcPr>
            <w:tcW w:w="1951" w:type="dxa"/>
            <w:shd w:val="clear" w:color="auto" w:fill="F8B47C"/>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Other</w:t>
            </w:r>
          </w:p>
        </w:tc>
        <w:tc>
          <w:tcPr>
            <w:tcW w:w="2054" w:type="dxa"/>
            <w:shd w:val="clear" w:color="auto" w:fill="F8B47C"/>
            <w:noWrap/>
            <w:tcMar>
              <w:top w:w="0" w:type="dxa"/>
              <w:bottom w:w="0" w:type="dxa"/>
            </w:tcMar>
            <w:vAlign w:val="center"/>
          </w:tcPr>
          <w:p w:rsidR="007C1F9F" w:rsidRPr="003A447F" w:rsidRDefault="007C1F9F" w:rsidP="00186172">
            <w:pPr>
              <w:pStyle w:val="AERtabletext-numbers"/>
            </w:pPr>
            <w:r w:rsidRPr="003A447F">
              <w:t>5</w:t>
            </w:r>
          </w:p>
        </w:tc>
        <w:tc>
          <w:tcPr>
            <w:tcW w:w="2445" w:type="dxa"/>
            <w:shd w:val="clear" w:color="auto" w:fill="F8B47C"/>
            <w:noWrap/>
            <w:tcMar>
              <w:top w:w="0" w:type="dxa"/>
              <w:bottom w:w="0" w:type="dxa"/>
            </w:tcMar>
            <w:vAlign w:val="center"/>
          </w:tcPr>
          <w:p w:rsidR="007C1F9F" w:rsidRPr="003A447F" w:rsidRDefault="007C1F9F" w:rsidP="00186172">
            <w:pPr>
              <w:pStyle w:val="AERtabletext-numbers"/>
            </w:pPr>
            <w:r w:rsidRPr="003A447F">
              <w:t>4.1</w:t>
            </w:r>
          </w:p>
        </w:tc>
        <w:tc>
          <w:tcPr>
            <w:tcW w:w="2078" w:type="dxa"/>
            <w:shd w:val="clear" w:color="auto" w:fill="F8B47C"/>
            <w:noWrap/>
            <w:tcMar>
              <w:top w:w="0" w:type="dxa"/>
              <w:bottom w:w="0" w:type="dxa"/>
            </w:tcMar>
            <w:vAlign w:val="center"/>
          </w:tcPr>
          <w:p w:rsidR="007C1F9F" w:rsidRPr="009660CE" w:rsidRDefault="007C1F9F" w:rsidP="00186172">
            <w:pPr>
              <w:pStyle w:val="AERtabletext-numbers"/>
            </w:pPr>
            <w:r>
              <w:t>4.1</w:t>
            </w:r>
          </w:p>
        </w:tc>
      </w:tr>
      <w:tr w:rsidR="007C1F9F" w:rsidTr="00186172">
        <w:tc>
          <w:tcPr>
            <w:tcW w:w="1951" w:type="dxa"/>
            <w:shd w:val="clear" w:color="auto" w:fill="auto"/>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General buildings</w:t>
            </w:r>
          </w:p>
        </w:tc>
        <w:tc>
          <w:tcPr>
            <w:tcW w:w="2054" w:type="dxa"/>
            <w:shd w:val="clear" w:color="auto" w:fill="auto"/>
            <w:noWrap/>
            <w:tcMar>
              <w:top w:w="0" w:type="dxa"/>
              <w:bottom w:w="0" w:type="dxa"/>
            </w:tcMar>
            <w:vAlign w:val="center"/>
          </w:tcPr>
          <w:p w:rsidR="007C1F9F" w:rsidRPr="003A447F" w:rsidRDefault="007C1F9F" w:rsidP="00186172">
            <w:pPr>
              <w:pStyle w:val="AERtabletext-numbers"/>
            </w:pPr>
            <w:r w:rsidRPr="003A447F">
              <w:t>60</w:t>
            </w:r>
          </w:p>
        </w:tc>
        <w:tc>
          <w:tcPr>
            <w:tcW w:w="2445" w:type="dxa"/>
            <w:shd w:val="clear" w:color="auto" w:fill="auto"/>
            <w:noWrap/>
            <w:tcMar>
              <w:top w:w="0" w:type="dxa"/>
              <w:bottom w:w="0" w:type="dxa"/>
            </w:tcMar>
            <w:vAlign w:val="center"/>
          </w:tcPr>
          <w:p w:rsidR="007C1F9F" w:rsidRPr="003A447F" w:rsidRDefault="007C1F9F" w:rsidP="00186172">
            <w:pPr>
              <w:pStyle w:val="AERtabletext-numbers"/>
            </w:pPr>
            <w:r w:rsidRPr="003A447F">
              <w:t>33.5</w:t>
            </w:r>
          </w:p>
        </w:tc>
        <w:tc>
          <w:tcPr>
            <w:tcW w:w="2078" w:type="dxa"/>
            <w:shd w:val="clear" w:color="auto" w:fill="auto"/>
            <w:noWrap/>
            <w:tcMar>
              <w:top w:w="0" w:type="dxa"/>
              <w:bottom w:w="0" w:type="dxa"/>
            </w:tcMar>
            <w:vAlign w:val="center"/>
          </w:tcPr>
          <w:p w:rsidR="007C1F9F" w:rsidRPr="009660CE" w:rsidRDefault="007C1F9F" w:rsidP="00186172">
            <w:pPr>
              <w:pStyle w:val="AERtabletext-numbers"/>
            </w:pPr>
            <w:r>
              <w:t>34.5</w:t>
            </w:r>
          </w:p>
        </w:tc>
      </w:tr>
      <w:tr w:rsidR="007C1F9F" w:rsidTr="00186172">
        <w:tc>
          <w:tcPr>
            <w:tcW w:w="1951" w:type="dxa"/>
            <w:shd w:val="clear" w:color="auto" w:fill="F8B47C"/>
            <w:noWrap/>
            <w:tcMar>
              <w:top w:w="0" w:type="dxa"/>
              <w:bottom w:w="0" w:type="dxa"/>
            </w:tcMar>
            <w:vAlign w:val="center"/>
          </w:tcPr>
          <w:p w:rsidR="007C1F9F" w:rsidRPr="009660CE" w:rsidRDefault="007C1F9F" w:rsidP="00186172">
            <w:pPr>
              <w:pStyle w:val="AERtabletext"/>
              <w:rPr>
                <w:rStyle w:val="AERtextbold"/>
              </w:rPr>
            </w:pPr>
            <w:r w:rsidRPr="009660CE">
              <w:rPr>
                <w:rStyle w:val="AERtextbold"/>
              </w:rPr>
              <w:t>General land</w:t>
            </w:r>
          </w:p>
        </w:tc>
        <w:tc>
          <w:tcPr>
            <w:tcW w:w="2054" w:type="dxa"/>
            <w:shd w:val="clear" w:color="auto" w:fill="F8B47C"/>
            <w:noWrap/>
            <w:tcMar>
              <w:top w:w="0" w:type="dxa"/>
              <w:bottom w:w="0" w:type="dxa"/>
            </w:tcMar>
            <w:vAlign w:val="center"/>
          </w:tcPr>
          <w:p w:rsidR="007C1F9F" w:rsidRPr="003A447F" w:rsidRDefault="007C1F9F" w:rsidP="00186172">
            <w:pPr>
              <w:pStyle w:val="AERtabletext-numbers"/>
            </w:pPr>
            <w:r w:rsidRPr="003A447F">
              <w:t>n/a</w:t>
            </w:r>
          </w:p>
        </w:tc>
        <w:tc>
          <w:tcPr>
            <w:tcW w:w="2445" w:type="dxa"/>
            <w:shd w:val="clear" w:color="auto" w:fill="F8B47C"/>
            <w:noWrap/>
            <w:tcMar>
              <w:top w:w="0" w:type="dxa"/>
              <w:bottom w:w="0" w:type="dxa"/>
            </w:tcMar>
            <w:vAlign w:val="center"/>
          </w:tcPr>
          <w:p w:rsidR="007C1F9F" w:rsidRPr="003A447F" w:rsidRDefault="007C1F9F" w:rsidP="00186172">
            <w:pPr>
              <w:pStyle w:val="AERtabletext-numbers"/>
            </w:pPr>
            <w:r w:rsidRPr="003A447F">
              <w:t>n/a</w:t>
            </w:r>
          </w:p>
        </w:tc>
        <w:tc>
          <w:tcPr>
            <w:tcW w:w="2078" w:type="dxa"/>
            <w:shd w:val="clear" w:color="auto" w:fill="F8B47C"/>
            <w:noWrap/>
            <w:tcMar>
              <w:top w:w="0" w:type="dxa"/>
              <w:bottom w:w="0" w:type="dxa"/>
            </w:tcMar>
            <w:vAlign w:val="center"/>
          </w:tcPr>
          <w:p w:rsidR="007C1F9F" w:rsidRPr="009660CE" w:rsidRDefault="007C1F9F" w:rsidP="00186172">
            <w:pPr>
              <w:pStyle w:val="AERtabletext-numbers"/>
            </w:pPr>
            <w:r>
              <w:t>n/a</w:t>
            </w:r>
          </w:p>
        </w:tc>
      </w:tr>
    </w:tbl>
    <w:bookmarkEnd w:id="89"/>
    <w:p w:rsidR="007C1F9F" w:rsidRPr="003A447F" w:rsidRDefault="007C1F9F" w:rsidP="007C1F9F">
      <w:pPr>
        <w:pStyle w:val="AERtablesource"/>
      </w:pPr>
      <w:r w:rsidRPr="003A447F">
        <w:t>Source:</w:t>
      </w:r>
      <w:r w:rsidRPr="003A447F">
        <w:tab/>
        <w:t xml:space="preserve">APA GasNet, </w:t>
      </w:r>
      <w:r w:rsidRPr="00F06E53">
        <w:rPr>
          <w:rStyle w:val="AERtextitalic"/>
        </w:rPr>
        <w:t>PTRM</w:t>
      </w:r>
      <w:r w:rsidRPr="003A447F">
        <w:t>, March 2013; AER analysis.</w:t>
      </w:r>
    </w:p>
    <w:p w:rsidR="007C1F9F" w:rsidRPr="003A447F" w:rsidRDefault="007C1F9F" w:rsidP="007C1F9F">
      <w:pPr>
        <w:pStyle w:val="AERheading2"/>
        <w:numPr>
          <w:ilvl w:val="1"/>
          <w:numId w:val="7"/>
        </w:numPr>
        <w:tabs>
          <w:tab w:val="clear" w:pos="4317"/>
          <w:tab w:val="num" w:pos="0"/>
        </w:tabs>
        <w:ind w:left="0" w:hanging="720"/>
      </w:pPr>
      <w:bookmarkStart w:id="90" w:name="_Toc334543776"/>
      <w:r w:rsidRPr="003A447F">
        <w:t>Revisions</w:t>
      </w:r>
      <w:bookmarkEnd w:id="90"/>
    </w:p>
    <w:p w:rsidR="007C1F9F" w:rsidRPr="0045293F" w:rsidRDefault="007C1F9F" w:rsidP="007C1F9F">
      <w:pPr>
        <w:pStyle w:val="AERbodytext"/>
      </w:pPr>
      <w:r w:rsidRPr="00924917">
        <w:rPr>
          <w:rStyle w:val="AERbody"/>
        </w:rPr>
        <w:t>The AER requires the following revisions to make the access arrangement proposal acceptable</w:t>
      </w:r>
      <w:r>
        <w:t>:</w:t>
      </w:r>
    </w:p>
    <w:p w:rsidR="007C1F9F" w:rsidRDefault="007C1F9F" w:rsidP="007C1F9F">
      <w:pPr>
        <w:pStyle w:val="AERrevisionbox"/>
      </w:pPr>
      <w:r w:rsidRPr="00212237">
        <w:rPr>
          <w:rStyle w:val="AERtextbold"/>
        </w:rPr>
        <w:t xml:space="preserve">Revision </w:t>
      </w:r>
      <w:fldSimple w:instr=" REF _Ref308171124 \r \h  \* MERGEFORMAT ">
        <w:r w:rsidRPr="00B4665B">
          <w:rPr>
            <w:rStyle w:val="AERtextbold"/>
          </w:rPr>
          <w:t>5</w:t>
        </w:r>
      </w:fldSimple>
      <w:r w:rsidRPr="00212237">
        <w:rPr>
          <w:rStyle w:val="AERtextbold"/>
        </w:rPr>
        <w:t>.1</w:t>
      </w:r>
      <w:r w:rsidRPr="003A447F">
        <w:t xml:space="preserve">: </w:t>
      </w:r>
      <w:r w:rsidRPr="00212237">
        <w:t xml:space="preserve">Make all necessary amendments to reflect the AER’s draft decision on the </w:t>
      </w:r>
      <w:r w:rsidRPr="002F0E1D">
        <w:t xml:space="preserve">proposed </w:t>
      </w:r>
      <w:r>
        <w:t xml:space="preserve">forecast regulatory depreciation </w:t>
      </w:r>
      <w:r w:rsidRPr="002F0E1D">
        <w:t xml:space="preserve">allowance for the </w:t>
      </w:r>
      <w:r w:rsidRPr="00924917">
        <w:t>2013–17</w:t>
      </w:r>
      <w:r>
        <w:t xml:space="preserve"> </w:t>
      </w:r>
      <w:r w:rsidRPr="002F0E1D">
        <w:t xml:space="preserve">access arrangement period, as set out in </w:t>
      </w:r>
      <w:r w:rsidR="00DE0D6A">
        <w:fldChar w:fldCharType="begin"/>
      </w:r>
      <w:r>
        <w:instrText xml:space="preserve"> REF _Ref329688382 \r \h </w:instrText>
      </w:r>
      <w:r w:rsidR="00DE0D6A">
        <w:fldChar w:fldCharType="separate"/>
      </w:r>
      <w:r>
        <w:t>Table 5.1</w:t>
      </w:r>
      <w:r w:rsidR="00DE0D6A">
        <w:fldChar w:fldCharType="end"/>
      </w:r>
      <w:r>
        <w:t>.</w:t>
      </w:r>
    </w:p>
    <w:p w:rsidR="007C1F9F" w:rsidRPr="003A447F" w:rsidRDefault="007C1F9F" w:rsidP="007C1F9F">
      <w:pPr>
        <w:pStyle w:val="AERrevisionbox"/>
      </w:pPr>
      <w:r w:rsidRPr="00212237">
        <w:rPr>
          <w:rStyle w:val="AERtextbold"/>
        </w:rPr>
        <w:t>Revision</w:t>
      </w:r>
      <w:r w:rsidRPr="003A447F">
        <w:t xml:space="preserve"> </w:t>
      </w:r>
      <w:fldSimple w:instr=" REF _Ref308171124 \r \h  \* MERGEFORMAT ">
        <w:r w:rsidRPr="00B4665B">
          <w:rPr>
            <w:rStyle w:val="AERtextbold"/>
          </w:rPr>
          <w:t>5</w:t>
        </w:r>
      </w:fldSimple>
      <w:r w:rsidRPr="00212237">
        <w:rPr>
          <w:rStyle w:val="AERtextbold"/>
        </w:rPr>
        <w:t>.2</w:t>
      </w:r>
      <w:r w:rsidRPr="003A447F">
        <w:t xml:space="preserve">: </w:t>
      </w:r>
      <w:r w:rsidRPr="001937DE">
        <w:t xml:space="preserve">Make all necessary amendments to reflect the AER’s draft decision </w:t>
      </w:r>
      <w:r>
        <w:t xml:space="preserve">on the </w:t>
      </w:r>
      <w:r w:rsidRPr="002F0E1D">
        <w:t>proposed</w:t>
      </w:r>
      <w:r>
        <w:t xml:space="preserve"> m</w:t>
      </w:r>
      <w:r w:rsidRPr="002F0E1D">
        <w:t>ethod for modelling</w:t>
      </w:r>
      <w:r>
        <w:t xml:space="preserve"> the </w:t>
      </w:r>
      <w:r w:rsidRPr="002F0E1D">
        <w:t>return of capital (and return on capital)</w:t>
      </w:r>
      <w:r w:rsidRPr="00212237">
        <w:t xml:space="preserve"> </w:t>
      </w:r>
      <w:r w:rsidRPr="002F0E1D">
        <w:t xml:space="preserve">for the </w:t>
      </w:r>
      <w:r w:rsidRPr="00924917">
        <w:t>2013–17</w:t>
      </w:r>
      <w:r>
        <w:t xml:space="preserve"> </w:t>
      </w:r>
      <w:r w:rsidRPr="002F0E1D">
        <w:t>access arrangement period</w:t>
      </w:r>
      <w:r>
        <w:t xml:space="preserve">, as set out in section </w:t>
      </w:r>
      <w:r w:rsidR="00DE0D6A">
        <w:fldChar w:fldCharType="begin"/>
      </w:r>
      <w:r>
        <w:instrText xml:space="preserve"> REF _Ref331675811 \r \h </w:instrText>
      </w:r>
      <w:r w:rsidR="00DE0D6A">
        <w:fldChar w:fldCharType="separate"/>
      </w:r>
      <w:r>
        <w:t>5.4.1</w:t>
      </w:r>
      <w:r w:rsidR="00DE0D6A">
        <w:fldChar w:fldCharType="end"/>
      </w:r>
      <w:r w:rsidRPr="003A447F">
        <w:t xml:space="preserve">. </w:t>
      </w:r>
    </w:p>
    <w:p w:rsidR="007C1F9F" w:rsidRPr="003A447F" w:rsidRDefault="007C1F9F" w:rsidP="007C1F9F">
      <w:pPr>
        <w:pStyle w:val="AERrevisionbox"/>
      </w:pPr>
      <w:r w:rsidRPr="00212237">
        <w:rPr>
          <w:rStyle w:val="AERtextbold"/>
        </w:rPr>
        <w:t xml:space="preserve">Revision </w:t>
      </w:r>
      <w:fldSimple w:instr=" REF _Ref308171124 \r \h  \* MERGEFORMAT ">
        <w:r w:rsidRPr="00B4665B">
          <w:rPr>
            <w:rStyle w:val="AERtextbold"/>
          </w:rPr>
          <w:t>5</w:t>
        </w:r>
      </w:fldSimple>
      <w:r w:rsidRPr="00212237">
        <w:rPr>
          <w:rStyle w:val="AERtextbold"/>
        </w:rPr>
        <w:t>.3</w:t>
      </w:r>
      <w:r w:rsidRPr="003A447F">
        <w:t xml:space="preserve">: </w:t>
      </w:r>
      <w:r w:rsidRPr="001937DE">
        <w:t xml:space="preserve">Make all necessary amendments to reflect the AER’s draft decision </w:t>
      </w:r>
      <w:r>
        <w:t>on the</w:t>
      </w:r>
      <w:r w:rsidRPr="003A447F">
        <w:t xml:space="preserve"> remaining economic lives as at </w:t>
      </w:r>
      <w:r>
        <w:t>1 January 2013, as</w:t>
      </w:r>
      <w:r w:rsidRPr="003A447F">
        <w:t xml:space="preserve"> set out in </w:t>
      </w:r>
      <w:r w:rsidR="00DE0D6A">
        <w:fldChar w:fldCharType="begin"/>
      </w:r>
      <w:r>
        <w:instrText xml:space="preserve"> REF  _Ref329879927 \* Lower \h \r </w:instrText>
      </w:r>
      <w:r w:rsidR="00DE0D6A">
        <w:fldChar w:fldCharType="separate"/>
      </w:r>
      <w:r>
        <w:t>table 5.3</w:t>
      </w:r>
      <w:r w:rsidR="00DE0D6A">
        <w:fldChar w:fldCharType="end"/>
      </w:r>
      <w:r w:rsidRPr="003A447F">
        <w:t xml:space="preserve">. </w:t>
      </w:r>
    </w:p>
    <w:p w:rsidR="007C1F9F" w:rsidRDefault="007C1F9F" w:rsidP="007C1F9F">
      <w:pPr>
        <w:pStyle w:val="AERheading1"/>
        <w:numPr>
          <w:ilvl w:val="0"/>
          <w:numId w:val="7"/>
        </w:numPr>
        <w:tabs>
          <w:tab w:val="clear" w:pos="-357"/>
          <w:tab w:val="left" w:pos="0"/>
        </w:tabs>
        <w:ind w:left="-354" w:hanging="360"/>
      </w:pPr>
      <w:bookmarkStart w:id="91" w:name="_Toc334543777"/>
      <w:r>
        <w:t>Operating expenditure</w:t>
      </w:r>
      <w:bookmarkEnd w:id="91"/>
    </w:p>
    <w:p w:rsidR="007C1F9F" w:rsidRDefault="007C1F9F" w:rsidP="007C1F9F">
      <w:pPr>
        <w:pStyle w:val="AERheading2"/>
        <w:numPr>
          <w:ilvl w:val="1"/>
          <w:numId w:val="7"/>
        </w:numPr>
        <w:tabs>
          <w:tab w:val="clear" w:pos="4317"/>
          <w:tab w:val="num" w:pos="0"/>
        </w:tabs>
        <w:ind w:left="0" w:hanging="720"/>
      </w:pPr>
      <w:bookmarkStart w:id="92" w:name="_Toc334543778"/>
      <w:r>
        <w:t>Draft decision</w:t>
      </w:r>
      <w:bookmarkEnd w:id="92"/>
    </w:p>
    <w:p w:rsidR="007C1F9F" w:rsidRDefault="007C1F9F" w:rsidP="007C1F9F">
      <w:pPr>
        <w:pStyle w:val="AERbodytext"/>
      </w:pPr>
      <w:r>
        <w:t xml:space="preserve">The AER's draft decision is not to approve a forecast of opex of $182.2 million ($2012) for the 2013–17 access arrangement period for APA GasNet. The AER is not satisfied that APA GasNet's forecast of opex for the 2013–17 access arrangement period </w:t>
      </w:r>
      <w:r w:rsidRPr="007E3923">
        <w:rPr>
          <w:rStyle w:val="AERbody"/>
          <w:rFonts w:eastAsia="Calibri"/>
        </w:rPr>
        <w:t>complies with the opex criteria and the criteria for forecasts and estimates.</w:t>
      </w:r>
      <w:r w:rsidRPr="007E3923">
        <w:rPr>
          <w:rStyle w:val="FootnoteReference"/>
          <w:rFonts w:eastAsia="Calibri"/>
        </w:rPr>
        <w:footnoteReference w:id="450"/>
      </w:r>
    </w:p>
    <w:p w:rsidR="007C1F9F" w:rsidRDefault="007C1F9F" w:rsidP="007C1F9F">
      <w:pPr>
        <w:pStyle w:val="AERbodytext"/>
      </w:pPr>
      <w:r>
        <w:t>The AER instead considers a forecast opex of $140.6 million ($2012) complies with the criteria governing opex and the criteria for forecasts and estimates.</w:t>
      </w:r>
      <w:r>
        <w:rPr>
          <w:rStyle w:val="FootnoteReference"/>
        </w:rPr>
        <w:footnoteReference w:id="451"/>
      </w:r>
    </w:p>
    <w:p w:rsidR="007C1F9F" w:rsidRDefault="007C1F9F" w:rsidP="007C1F9F">
      <w:pPr>
        <w:pStyle w:val="AERbodytext"/>
      </w:pPr>
      <w:r>
        <w:t>Figure 6.1 shows how the AER's draft decision compares to APA GasNet's proposal, its opex in the 2008–12 access arrangement period, and the opex approved by the ACCC for the 2008–12 access arrangement period.</w:t>
      </w:r>
      <w:r w:rsidRPr="007E3923">
        <w:rPr>
          <w:rFonts w:eastAsia="Calibri"/>
        </w:rPr>
        <w:t xml:space="preserve"> </w:t>
      </w:r>
    </w:p>
    <w:p w:rsidR="007C1F9F" w:rsidRPr="00302755" w:rsidRDefault="007C1F9F" w:rsidP="00377B37">
      <w:pPr>
        <w:pStyle w:val="AERfigureheading"/>
        <w:numPr>
          <w:ilvl w:val="3"/>
          <w:numId w:val="18"/>
        </w:numPr>
        <w:tabs>
          <w:tab w:val="clear" w:pos="357"/>
          <w:tab w:val="num" w:pos="1418"/>
        </w:tabs>
        <w:ind w:left="1418" w:hanging="1418"/>
        <w:rPr>
          <w:rFonts w:eastAsia="Calibri"/>
        </w:rPr>
      </w:pPr>
      <w:r w:rsidRPr="00302755">
        <w:t>Comparison of APA GasNet's historical and forecast opex, and AER draft decision</w:t>
      </w:r>
      <w:r w:rsidRPr="00302755" w:rsidDel="00425F31">
        <w:rPr>
          <w:rFonts w:eastAsia="Calibri"/>
        </w:rPr>
        <w:t xml:space="preserve"> </w:t>
      </w:r>
      <w:r w:rsidRPr="00302755">
        <w:rPr>
          <w:rFonts w:eastAsia="Calibri"/>
        </w:rPr>
        <w:t>($million, 2012)</w:t>
      </w:r>
    </w:p>
    <w:p w:rsidR="007C1F9F" w:rsidRPr="007E3923" w:rsidRDefault="00DE0D6A" w:rsidP="007C1F9F">
      <w:pPr>
        <w:pStyle w:val="NoSpacing"/>
        <w:rPr>
          <w:rFonts w:eastAsia="Calibri"/>
        </w:rPr>
      </w:pPr>
      <w:r w:rsidRPr="00DE0D6A">
        <w:rPr>
          <w:rFonts w:eastAsia="Calibri"/>
        </w:rPr>
        <w:pict>
          <v:shape id="_x0000_i1032" type="#_x0000_t75" style="width:416.1pt;height:287.15pt">
            <v:imagedata r:id="rId27" o:title=""/>
          </v:shape>
        </w:pict>
      </w:r>
    </w:p>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APA GasNet's RIN submission. Note that figures from 2011 onwards are forecasts</w:t>
      </w:r>
      <w:r>
        <w:rPr>
          <w:rFonts w:eastAsia="Calibri"/>
        </w:rPr>
        <w:t>.</w:t>
      </w:r>
    </w:p>
    <w:p w:rsidR="007C1F9F" w:rsidRPr="007E3923" w:rsidRDefault="00DE0D6A" w:rsidP="007C1F9F">
      <w:pPr>
        <w:pStyle w:val="AERbodytext"/>
        <w:rPr>
          <w:rFonts w:eastAsia="Calibri"/>
        </w:rPr>
      </w:pPr>
      <w:r w:rsidRPr="007E3923">
        <w:rPr>
          <w:rFonts w:eastAsia="Calibri"/>
        </w:rPr>
        <w:fldChar w:fldCharType="begin"/>
      </w:r>
      <w:r w:rsidR="007C1F9F" w:rsidRPr="007E3923">
        <w:rPr>
          <w:rFonts w:eastAsia="Calibri"/>
        </w:rPr>
        <w:instrText xml:space="preserve"> REF _Ref330803404 \r \h </w:instrText>
      </w:r>
      <w:r w:rsidRPr="007E3923">
        <w:rPr>
          <w:rFonts w:eastAsia="Calibri"/>
        </w:rPr>
      </w:r>
      <w:r w:rsidRPr="007E3923">
        <w:rPr>
          <w:rFonts w:eastAsia="Calibri"/>
        </w:rPr>
        <w:fldChar w:fldCharType="separate"/>
      </w:r>
      <w:r w:rsidR="007C1F9F">
        <w:rPr>
          <w:rFonts w:eastAsia="Calibri"/>
        </w:rPr>
        <w:t>Table 6.1</w:t>
      </w:r>
      <w:r w:rsidRPr="007E3923">
        <w:rPr>
          <w:rFonts w:eastAsia="Calibri"/>
        </w:rPr>
        <w:fldChar w:fldCharType="end"/>
      </w:r>
      <w:r w:rsidR="007C1F9F" w:rsidRPr="007E3923">
        <w:rPr>
          <w:rFonts w:eastAsia="Calibri"/>
        </w:rPr>
        <w:t xml:space="preserve"> sets out the AER's draft decision on APA GasNet's opex allowance for the 2013–17 access arrangement period.</w:t>
      </w:r>
    </w:p>
    <w:p w:rsidR="007C1F9F" w:rsidRPr="007E3923" w:rsidRDefault="007C1F9F" w:rsidP="007C1F9F">
      <w:pPr>
        <w:pStyle w:val="AERbodytext"/>
        <w:rPr>
          <w:rFonts w:eastAsia="Calibri"/>
        </w:rPr>
      </w:pPr>
    </w:p>
    <w:p w:rsidR="007C1F9F" w:rsidRPr="007E3923" w:rsidRDefault="007C1F9F" w:rsidP="007C1F9F">
      <w:pPr>
        <w:pStyle w:val="AERtabletitle"/>
        <w:rPr>
          <w:rFonts w:eastAsia="Calibri"/>
        </w:rPr>
      </w:pPr>
      <w:bookmarkStart w:id="93" w:name="_Ref330803404"/>
      <w:r w:rsidRPr="009A6F5C">
        <w:t xml:space="preserve">Comparison of </w:t>
      </w:r>
      <w:r>
        <w:t>APA GasNet</w:t>
      </w:r>
      <w:r w:rsidRPr="009A6F5C">
        <w:t>'</w:t>
      </w:r>
      <w:r>
        <w:t>s</w:t>
      </w:r>
      <w:r w:rsidRPr="009A6F5C">
        <w:t xml:space="preserve"> proposal, and AER draft decision</w:t>
      </w:r>
      <w:r w:rsidRPr="007E3923" w:rsidDel="00425F31">
        <w:rPr>
          <w:rFonts w:eastAsia="Calibri"/>
        </w:rPr>
        <w:t xml:space="preserve"> </w:t>
      </w:r>
      <w:r w:rsidRPr="007E3923">
        <w:rPr>
          <w:rFonts w:eastAsia="Calibri"/>
        </w:rPr>
        <w:t>($million, 2012)</w:t>
      </w:r>
      <w:bookmarkEnd w:id="93"/>
    </w:p>
    <w:tbl>
      <w:tblPr>
        <w:tblW w:w="5000" w:type="pct"/>
        <w:tblBorders>
          <w:top w:val="single" w:sz="4" w:space="0" w:color="auto"/>
          <w:bottom w:val="single" w:sz="4" w:space="0" w:color="auto"/>
        </w:tblBorders>
        <w:tblLook w:val="04A0"/>
      </w:tblPr>
      <w:tblGrid>
        <w:gridCol w:w="2344"/>
        <w:gridCol w:w="1005"/>
        <w:gridCol w:w="1001"/>
        <w:gridCol w:w="1001"/>
        <w:gridCol w:w="1001"/>
        <w:gridCol w:w="1001"/>
        <w:gridCol w:w="1175"/>
      </w:tblGrid>
      <w:tr w:rsidR="007C1F9F" w:rsidRPr="001E0A72" w:rsidTr="00FD4236">
        <w:trPr>
          <w:trHeight w:val="300"/>
        </w:trPr>
        <w:tc>
          <w:tcPr>
            <w:tcW w:w="137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1E0A72" w:rsidRDefault="007C1F9F" w:rsidP="00FD4236">
            <w:pPr>
              <w:pStyle w:val="AERtabletextheadingright"/>
            </w:pPr>
            <w:r w:rsidRPr="001E0A72">
              <w:t> </w:t>
            </w:r>
          </w:p>
        </w:tc>
        <w:tc>
          <w:tcPr>
            <w:tcW w:w="589"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2013</w:t>
            </w:r>
          </w:p>
        </w:tc>
        <w:tc>
          <w:tcPr>
            <w:tcW w:w="58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2014</w:t>
            </w:r>
          </w:p>
        </w:tc>
        <w:tc>
          <w:tcPr>
            <w:tcW w:w="58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2015</w:t>
            </w:r>
          </w:p>
        </w:tc>
        <w:tc>
          <w:tcPr>
            <w:tcW w:w="58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2016</w:t>
            </w:r>
          </w:p>
        </w:tc>
        <w:tc>
          <w:tcPr>
            <w:tcW w:w="58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2017</w:t>
            </w:r>
          </w:p>
        </w:tc>
        <w:tc>
          <w:tcPr>
            <w:tcW w:w="690"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Total</w:t>
            </w:r>
          </w:p>
        </w:tc>
      </w:tr>
      <w:tr w:rsidR="00FD4236" w:rsidRPr="001E0A72" w:rsidTr="00FD4236">
        <w:trPr>
          <w:trHeight w:val="255"/>
        </w:trPr>
        <w:tc>
          <w:tcPr>
            <w:tcW w:w="1374" w:type="pct"/>
            <w:shd w:val="clear" w:color="auto" w:fill="auto"/>
            <w:noWrap/>
            <w:tcMar>
              <w:top w:w="0" w:type="dxa"/>
              <w:bottom w:w="0" w:type="dxa"/>
            </w:tcMar>
            <w:vAlign w:val="center"/>
            <w:hideMark/>
          </w:tcPr>
          <w:p w:rsidR="00FD4236" w:rsidRPr="00FD4236" w:rsidRDefault="00FD4236" w:rsidP="00FD4236">
            <w:pPr>
              <w:pStyle w:val="AERtabletext"/>
            </w:pPr>
            <w:r w:rsidRPr="00FD4236">
              <w:t>APA GasNet proposed</w:t>
            </w:r>
          </w:p>
        </w:tc>
        <w:tc>
          <w:tcPr>
            <w:tcW w:w="589"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32.58</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35.15</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37.39</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38.56</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38.56</w:t>
            </w:r>
          </w:p>
        </w:tc>
        <w:tc>
          <w:tcPr>
            <w:tcW w:w="690"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182.25</w:t>
            </w:r>
          </w:p>
        </w:tc>
      </w:tr>
      <w:tr w:rsidR="00FD4236" w:rsidRPr="001E0A72" w:rsidTr="00FD4236">
        <w:trPr>
          <w:trHeight w:val="255"/>
        </w:trPr>
        <w:tc>
          <w:tcPr>
            <w:tcW w:w="1374" w:type="pct"/>
            <w:shd w:val="clear" w:color="auto" w:fill="F8B47C"/>
            <w:noWrap/>
            <w:tcMar>
              <w:top w:w="0" w:type="dxa"/>
              <w:bottom w:w="0" w:type="dxa"/>
            </w:tcMar>
            <w:vAlign w:val="center"/>
            <w:hideMark/>
          </w:tcPr>
          <w:p w:rsidR="00FD4236" w:rsidRPr="00FD4236" w:rsidRDefault="00FD4236" w:rsidP="00FD4236">
            <w:pPr>
              <w:pStyle w:val="AERtabletext"/>
            </w:pPr>
            <w:r w:rsidRPr="00FD4236">
              <w:t>AER draft decision</w:t>
            </w:r>
          </w:p>
        </w:tc>
        <w:tc>
          <w:tcPr>
            <w:tcW w:w="589"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27.03</w:t>
            </w:r>
          </w:p>
        </w:tc>
        <w:tc>
          <w:tcPr>
            <w:tcW w:w="587"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27.30</w:t>
            </w:r>
          </w:p>
        </w:tc>
        <w:tc>
          <w:tcPr>
            <w:tcW w:w="587"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28.15</w:t>
            </w:r>
          </w:p>
        </w:tc>
        <w:tc>
          <w:tcPr>
            <w:tcW w:w="587"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29.06</w:t>
            </w:r>
          </w:p>
        </w:tc>
        <w:tc>
          <w:tcPr>
            <w:tcW w:w="587"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29.07</w:t>
            </w:r>
          </w:p>
        </w:tc>
        <w:tc>
          <w:tcPr>
            <w:tcW w:w="690"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140.61</w:t>
            </w:r>
          </w:p>
        </w:tc>
      </w:tr>
      <w:tr w:rsidR="00FD4236" w:rsidRPr="001E0A72" w:rsidTr="00FD4236">
        <w:trPr>
          <w:trHeight w:val="255"/>
        </w:trPr>
        <w:tc>
          <w:tcPr>
            <w:tcW w:w="1374" w:type="pct"/>
            <w:shd w:val="clear" w:color="auto" w:fill="auto"/>
            <w:noWrap/>
            <w:tcMar>
              <w:top w:w="0" w:type="dxa"/>
              <w:bottom w:w="0" w:type="dxa"/>
            </w:tcMar>
            <w:vAlign w:val="center"/>
            <w:hideMark/>
          </w:tcPr>
          <w:p w:rsidR="00FD4236" w:rsidRPr="00FD4236" w:rsidRDefault="00FD4236" w:rsidP="00FD4236">
            <w:pPr>
              <w:pStyle w:val="AERtabletext"/>
            </w:pPr>
            <w:r w:rsidRPr="00FD4236">
              <w:t>Difference</w:t>
            </w:r>
          </w:p>
        </w:tc>
        <w:tc>
          <w:tcPr>
            <w:tcW w:w="589"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–5.55</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–7.85</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–9.24</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–9.50</w:t>
            </w:r>
          </w:p>
        </w:tc>
        <w:tc>
          <w:tcPr>
            <w:tcW w:w="587"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–9.49</w:t>
            </w:r>
          </w:p>
        </w:tc>
        <w:tc>
          <w:tcPr>
            <w:tcW w:w="690"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–41.63</w:t>
            </w:r>
          </w:p>
        </w:tc>
      </w:tr>
    </w:tbl>
    <w:p w:rsidR="007C1F9F" w:rsidRPr="002D165B" w:rsidRDefault="007C1F9F" w:rsidP="007C1F9F">
      <w:pPr>
        <w:pStyle w:val="AERtablesource"/>
      </w:pPr>
      <w:r>
        <w:t xml:space="preserve">Source: </w:t>
      </w:r>
      <w:r>
        <w:tab/>
        <w:t>AER analysis.</w:t>
      </w:r>
    </w:p>
    <w:p w:rsidR="007C1F9F" w:rsidRDefault="007C1F9F" w:rsidP="007C1F9F">
      <w:pPr>
        <w:pStyle w:val="AERheading2"/>
        <w:numPr>
          <w:ilvl w:val="1"/>
          <w:numId w:val="7"/>
        </w:numPr>
        <w:tabs>
          <w:tab w:val="clear" w:pos="4317"/>
          <w:tab w:val="num" w:pos="0"/>
        </w:tabs>
        <w:ind w:left="0" w:hanging="720"/>
      </w:pPr>
      <w:bookmarkStart w:id="94" w:name="_Ref331603816"/>
      <w:bookmarkStart w:id="95" w:name="_Toc334543779"/>
      <w:r>
        <w:t>APA GasNet's proposal</w:t>
      </w:r>
      <w:bookmarkEnd w:id="94"/>
      <w:bookmarkEnd w:id="95"/>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Summary</w:t>
      </w:r>
    </w:p>
    <w:p w:rsidR="007C1F9F" w:rsidRPr="007E3923" w:rsidRDefault="007C1F9F" w:rsidP="007C1F9F">
      <w:pPr>
        <w:pStyle w:val="AERbodytext"/>
        <w:rPr>
          <w:rFonts w:eastAsia="Calibri"/>
        </w:rPr>
      </w:pPr>
      <w:r w:rsidRPr="007E3923">
        <w:rPr>
          <w:rFonts w:eastAsia="Calibri"/>
        </w:rPr>
        <w:t xml:space="preserve">APA GasNet has proposed total opex of $182.2 million ($2012) for the </w:t>
      </w:r>
      <w:r>
        <w:rPr>
          <w:rFonts w:eastAsia="Calibri"/>
        </w:rPr>
        <w:t>2013–17</w:t>
      </w:r>
      <w:r w:rsidRPr="007E3923">
        <w:rPr>
          <w:rFonts w:eastAsia="Calibri"/>
        </w:rPr>
        <w:t xml:space="preserve"> access arrangement period, a 38 per cent real increase compared to the </w:t>
      </w:r>
      <w:r>
        <w:rPr>
          <w:rFonts w:eastAsia="Calibri"/>
        </w:rPr>
        <w:t>2008–12 A</w:t>
      </w:r>
      <w:r w:rsidRPr="007E3923">
        <w:rPr>
          <w:rFonts w:eastAsia="Calibri"/>
        </w:rPr>
        <w:t>ccess arrangement.</w:t>
      </w:r>
      <w:r w:rsidRPr="007E3923">
        <w:rPr>
          <w:rStyle w:val="FootnoteReference"/>
          <w:rFonts w:eastAsia="Calibri"/>
        </w:rPr>
        <w:footnoteReference w:id="452"/>
      </w:r>
      <w:r w:rsidRPr="007E3923">
        <w:rPr>
          <w:rFonts w:eastAsia="Calibri"/>
        </w:rPr>
        <w:t xml:space="preserve">  </w:t>
      </w:r>
      <w:r w:rsidR="00DE0D6A" w:rsidRPr="007E3923">
        <w:rPr>
          <w:rFonts w:eastAsia="Calibri"/>
        </w:rPr>
        <w:fldChar w:fldCharType="begin"/>
      </w:r>
      <w:r w:rsidRPr="007E3923">
        <w:rPr>
          <w:rFonts w:eastAsia="Calibri"/>
        </w:rPr>
        <w:instrText xml:space="preserve"> REF _Ref325976299 \r \h </w:instrText>
      </w:r>
      <w:r w:rsidR="00DE0D6A" w:rsidRPr="007E3923">
        <w:rPr>
          <w:rFonts w:eastAsia="Calibri"/>
        </w:rPr>
      </w:r>
      <w:r w:rsidR="00DE0D6A" w:rsidRPr="007E3923">
        <w:rPr>
          <w:rFonts w:eastAsia="Calibri"/>
        </w:rPr>
        <w:fldChar w:fldCharType="separate"/>
      </w:r>
      <w:r>
        <w:rPr>
          <w:rFonts w:eastAsia="Calibri"/>
        </w:rPr>
        <w:t>Figure 6.2</w:t>
      </w:r>
      <w:r w:rsidR="00DE0D6A" w:rsidRPr="007E3923">
        <w:rPr>
          <w:rFonts w:eastAsia="Calibri"/>
        </w:rPr>
        <w:fldChar w:fldCharType="end"/>
      </w:r>
      <w:r w:rsidRPr="007E3923">
        <w:rPr>
          <w:rFonts w:eastAsia="Calibri"/>
        </w:rPr>
        <w:t xml:space="preserve"> disaggregates APA GasNet's proposals into five different cost categories:</w:t>
      </w:r>
    </w:p>
    <w:p w:rsidR="007C1F9F" w:rsidRPr="007E3923" w:rsidRDefault="007C1F9F" w:rsidP="007C1F9F">
      <w:pPr>
        <w:pStyle w:val="AERbulletlistfirststyle"/>
        <w:rPr>
          <w:rFonts w:eastAsia="Calibri"/>
        </w:rPr>
      </w:pPr>
      <w:r w:rsidRPr="007E3923">
        <w:rPr>
          <w:rFonts w:eastAsia="Calibri"/>
        </w:rPr>
        <w:t>base year costs</w:t>
      </w:r>
    </w:p>
    <w:p w:rsidR="007C1F9F" w:rsidRPr="007E3923" w:rsidRDefault="007C1F9F" w:rsidP="007C1F9F">
      <w:pPr>
        <w:pStyle w:val="AERbulletlistfirststyle"/>
        <w:rPr>
          <w:rFonts w:eastAsia="Calibri"/>
        </w:rPr>
      </w:pPr>
      <w:r w:rsidRPr="007E3923">
        <w:rPr>
          <w:rFonts w:eastAsia="Calibri"/>
        </w:rPr>
        <w:t>labour cost escalation</w:t>
      </w:r>
    </w:p>
    <w:p w:rsidR="007C1F9F" w:rsidRPr="007E3923" w:rsidRDefault="007C1F9F" w:rsidP="007C1F9F">
      <w:pPr>
        <w:pStyle w:val="AERbulletlistfirststyle"/>
        <w:rPr>
          <w:rFonts w:eastAsia="Calibri"/>
        </w:rPr>
      </w:pPr>
      <w:r w:rsidRPr="007E3923">
        <w:rPr>
          <w:rFonts w:eastAsia="Calibri"/>
        </w:rPr>
        <w:t>scope changes</w:t>
      </w:r>
    </w:p>
    <w:p w:rsidR="007C1F9F" w:rsidRPr="007E3923" w:rsidRDefault="007C1F9F" w:rsidP="007C1F9F">
      <w:pPr>
        <w:pStyle w:val="AERbulletlistfirststyle"/>
        <w:rPr>
          <w:rFonts w:eastAsia="Calibri"/>
        </w:rPr>
      </w:pPr>
      <w:r w:rsidRPr="007E3923">
        <w:rPr>
          <w:rFonts w:eastAsia="Calibri"/>
        </w:rPr>
        <w:t>step changes; and</w:t>
      </w:r>
    </w:p>
    <w:p w:rsidR="007C1F9F" w:rsidRPr="007E3923" w:rsidRDefault="007C1F9F" w:rsidP="007C1F9F">
      <w:pPr>
        <w:pStyle w:val="AERbulletlistfirststyle"/>
        <w:rPr>
          <w:rFonts w:eastAsia="Calibri"/>
        </w:rPr>
      </w:pPr>
      <w:r w:rsidRPr="007E3923">
        <w:rPr>
          <w:rFonts w:eastAsia="Calibri"/>
        </w:rPr>
        <w:t>errors</w:t>
      </w:r>
      <w:r w:rsidRPr="007E3923">
        <w:rPr>
          <w:rStyle w:val="FootnoteReference"/>
          <w:rFonts w:eastAsia="Calibri"/>
        </w:rPr>
        <w:footnoteReference w:id="453"/>
      </w:r>
    </w:p>
    <w:p w:rsidR="007C1F9F" w:rsidRPr="007E3923" w:rsidRDefault="007C1F9F" w:rsidP="007C1F9F">
      <w:pPr>
        <w:pStyle w:val="AERbodytext"/>
        <w:rPr>
          <w:rFonts w:eastAsia="Calibri"/>
        </w:rPr>
      </w:pPr>
    </w:p>
    <w:p w:rsidR="007C1F9F" w:rsidRPr="007E3923" w:rsidRDefault="007C1F9F" w:rsidP="007C1F9F">
      <w:pPr>
        <w:pStyle w:val="AERfigureheading"/>
        <w:rPr>
          <w:rFonts w:eastAsia="Calibri"/>
        </w:rPr>
      </w:pPr>
      <w:bookmarkStart w:id="96" w:name="_Ref331602089"/>
      <w:bookmarkStart w:id="97" w:name="_Ref325976299"/>
      <w:r w:rsidRPr="007E3923">
        <w:rPr>
          <w:rFonts w:eastAsia="Calibri"/>
        </w:rPr>
        <w:t>Disaggregation of APA GasNet's proposal</w:t>
      </w:r>
      <w:bookmarkEnd w:id="96"/>
      <w:r w:rsidRPr="007E3923" w:rsidDel="00425F31">
        <w:rPr>
          <w:rFonts w:eastAsia="Calibri"/>
        </w:rPr>
        <w:t xml:space="preserve"> </w:t>
      </w:r>
      <w:bookmarkEnd w:id="97"/>
      <w:r w:rsidRPr="007E3923">
        <w:rPr>
          <w:rFonts w:eastAsia="Calibri"/>
        </w:rPr>
        <w:t>($million, 2012)</w:t>
      </w:r>
    </w:p>
    <w:p w:rsidR="007C1F9F" w:rsidRPr="007E3923" w:rsidRDefault="00AB287B" w:rsidP="007C1F9F">
      <w:pPr>
        <w:pStyle w:val="NoSpacing"/>
        <w:rPr>
          <w:rFonts w:eastAsia="Calibri"/>
        </w:rPr>
      </w:pPr>
      <w:r w:rsidRPr="00DE0D6A">
        <w:rPr>
          <w:rFonts w:eastAsia="Calibri"/>
        </w:rPr>
        <w:pict>
          <v:shape id="_x0000_i1033" type="#_x0000_t75" style="width:410.25pt;height:287.15pt">
            <v:imagedata r:id="rId28" o:title=""/>
          </v:shape>
        </w:pict>
      </w:r>
      <w:r w:rsidR="007C1F9F" w:rsidRPr="00630A75">
        <w:t xml:space="preserve"> </w:t>
      </w:r>
    </w:p>
    <w:p w:rsidR="007C1F9F" w:rsidRPr="007E3923" w:rsidRDefault="007C1F9F" w:rsidP="007C1F9F">
      <w:pPr>
        <w:pStyle w:val="AERtablesource"/>
        <w:rPr>
          <w:rFonts w:eastAsia="Calibri"/>
        </w:rPr>
      </w:pPr>
      <w:r w:rsidRPr="007E3923">
        <w:rPr>
          <w:rFonts w:eastAsia="Calibri"/>
        </w:rPr>
        <w:t xml:space="preserve"> Source: </w:t>
      </w:r>
      <w:r w:rsidRPr="007E3923">
        <w:rPr>
          <w:rFonts w:eastAsia="Calibri"/>
        </w:rPr>
        <w:tab/>
        <w:t xml:space="preserve">APA GasNet RIN submission. </w:t>
      </w:r>
    </w:p>
    <w:p w:rsidR="007C1F9F" w:rsidRDefault="007C1F9F" w:rsidP="007C1F9F">
      <w:pPr>
        <w:pStyle w:val="AERheading3"/>
        <w:numPr>
          <w:ilvl w:val="2"/>
          <w:numId w:val="7"/>
        </w:numPr>
        <w:tabs>
          <w:tab w:val="clear" w:pos="-357"/>
          <w:tab w:val="num" w:pos="0"/>
        </w:tabs>
        <w:ind w:left="0" w:hanging="714"/>
      </w:pPr>
      <w:bookmarkStart w:id="98" w:name="_Ref331591066"/>
      <w:r>
        <w:t>Forecasting methodology</w:t>
      </w:r>
      <w:bookmarkEnd w:id="98"/>
    </w:p>
    <w:p w:rsidR="007C1F9F" w:rsidRPr="00302755" w:rsidRDefault="007C1F9F" w:rsidP="007C1F9F">
      <w:pPr>
        <w:pStyle w:val="AERbodytext"/>
        <w:rPr>
          <w:rFonts w:eastAsia="Calibri"/>
        </w:rPr>
      </w:pPr>
      <w:r>
        <w:t>APA GasNet forecast its 2013–17 opex allowance using a base year roll forward methodology.</w:t>
      </w:r>
      <w:r>
        <w:rPr>
          <w:rStyle w:val="FootnoteReference"/>
        </w:rPr>
        <w:footnoteReference w:id="454"/>
      </w:r>
      <w:r>
        <w:t xml:space="preserve"> APA GasNet submitted that there is a </w:t>
      </w:r>
      <w:r w:rsidRPr="007E3923">
        <w:rPr>
          <w:rFonts w:eastAsia="Calibri"/>
        </w:rPr>
        <w:t xml:space="preserve">fixed principle at clause 7.2(h) of its 2008–12 Access </w:t>
      </w:r>
      <w:r>
        <w:rPr>
          <w:rFonts w:eastAsia="Calibri"/>
        </w:rPr>
        <w:t>a</w:t>
      </w:r>
      <w:r w:rsidRPr="007E3923">
        <w:rPr>
          <w:rFonts w:eastAsia="Calibri"/>
        </w:rPr>
        <w:t>rrangement which limits the scope of APA GasNet’s discretion in developing its opex forecast, and the AER’s discretion in assessing APA GasNet’s opex forecast.</w:t>
      </w:r>
      <w:r w:rsidRPr="007E3923">
        <w:rPr>
          <w:rStyle w:val="FootnoteReference"/>
          <w:rFonts w:eastAsia="Calibri"/>
        </w:rPr>
        <w:footnoteReference w:id="455"/>
      </w:r>
      <w:r w:rsidRPr="007E3923">
        <w:rPr>
          <w:rFonts w:eastAsia="Calibri"/>
        </w:rPr>
        <w:t xml:space="preserve"> APA GasNet submitted that it prepared its operating expenditure forecast in accordance with this fixed principle.</w:t>
      </w:r>
      <w:r w:rsidRPr="007E3923">
        <w:rPr>
          <w:rStyle w:val="FootnoteReference"/>
          <w:rFonts w:eastAsia="Calibri"/>
        </w:rPr>
        <w:footnoteReference w:id="456"/>
      </w:r>
      <w:r w:rsidRPr="007E3923">
        <w:rPr>
          <w:rFonts w:eastAsia="Calibri"/>
        </w:rPr>
        <w:t xml:space="preserve"> Clause 7.2(h) of its 2008–12  A</w:t>
      </w:r>
      <w:r>
        <w:rPr>
          <w:rFonts w:eastAsia="Calibri"/>
        </w:rPr>
        <w:t>ccess a</w:t>
      </w:r>
      <w:r w:rsidRPr="007E3923">
        <w:rPr>
          <w:rFonts w:eastAsia="Calibri"/>
        </w:rPr>
        <w:t>rrangement states:</w:t>
      </w:r>
    </w:p>
    <w:p w:rsidR="007C1F9F" w:rsidRPr="0068510D" w:rsidRDefault="007C1F9F" w:rsidP="007C1F9F">
      <w:pPr>
        <w:pStyle w:val="AERquote"/>
      </w:pPr>
      <w:r w:rsidRPr="0068510D">
        <w:t>In calculating the allowable revenues for operations and maintenance expenditure for</w:t>
      </w:r>
      <w:r>
        <w:t xml:space="preserve"> </w:t>
      </w:r>
      <w:r w:rsidRPr="0068510D">
        <w:t>the Fourth Access Arrangement Period, the Regulator must:</w:t>
      </w:r>
    </w:p>
    <w:p w:rsidR="007C1F9F" w:rsidRPr="0068510D" w:rsidRDefault="007C1F9F" w:rsidP="007C1F9F">
      <w:pPr>
        <w:pStyle w:val="AERquoteindent1"/>
      </w:pPr>
      <w:r w:rsidRPr="0068510D">
        <w:t>(i) comply with the requirements of the Code;</w:t>
      </w:r>
    </w:p>
    <w:p w:rsidR="007C1F9F" w:rsidRPr="0068510D" w:rsidRDefault="007C1F9F" w:rsidP="007C1F9F">
      <w:pPr>
        <w:pStyle w:val="AERquoteindent1"/>
      </w:pPr>
      <w:r w:rsidRPr="0068510D">
        <w:t>(ii) take into account the actual operating costs in 2011, adjusted for the change</w:t>
      </w:r>
      <w:r>
        <w:t xml:space="preserve"> </w:t>
      </w:r>
      <w:r w:rsidRPr="0068510D">
        <w:t>in forecast operating costs between 2011 and 2012 and, to avoid doubt, not taking into</w:t>
      </w:r>
      <w:r>
        <w:t xml:space="preserve"> </w:t>
      </w:r>
      <w:r w:rsidRPr="0068510D">
        <w:t>account the efficiency gain (loss) made in 2012;</w:t>
      </w:r>
    </w:p>
    <w:p w:rsidR="007C1F9F" w:rsidRPr="0068510D" w:rsidRDefault="007C1F9F" w:rsidP="007C1F9F">
      <w:pPr>
        <w:pStyle w:val="AERquoteindent1"/>
      </w:pPr>
      <w:r w:rsidRPr="0068510D">
        <w:t>(iii) take into account forecast changes in workload, taxes, Regulatory Events,</w:t>
      </w:r>
      <w:r>
        <w:t xml:space="preserve"> </w:t>
      </w:r>
      <w:r w:rsidRPr="0068510D">
        <w:t>insurance premiums and other relevant costs between 2011 and each year of the</w:t>
      </w:r>
      <w:r>
        <w:t xml:space="preserve"> </w:t>
      </w:r>
      <w:r w:rsidRPr="0068510D">
        <w:t>Fourth Access Arrangement Period; and</w:t>
      </w:r>
    </w:p>
    <w:p w:rsidR="007C1F9F" w:rsidRPr="0068510D" w:rsidRDefault="007C1F9F" w:rsidP="007C1F9F">
      <w:pPr>
        <w:pStyle w:val="AERquoteindent1"/>
      </w:pPr>
      <w:r w:rsidRPr="0068510D">
        <w:t>(iv) take into account a percentage trend factor.</w:t>
      </w:r>
    </w:p>
    <w:p w:rsidR="007C1F9F" w:rsidRPr="007E3923" w:rsidRDefault="007C1F9F" w:rsidP="007C1F9F">
      <w:pPr>
        <w:pStyle w:val="AERbodytext"/>
        <w:rPr>
          <w:rFonts w:eastAsia="Calibri"/>
        </w:rPr>
      </w:pPr>
      <w:r w:rsidRPr="007E3923">
        <w:rPr>
          <w:rFonts w:eastAsia="Calibri"/>
        </w:rPr>
        <w:t>On this basis, APA GasNet applied the following methodology to forecast its 2013–17 opex allowance:</w:t>
      </w:r>
    </w:p>
    <w:p w:rsidR="007C1F9F" w:rsidRPr="0068510D" w:rsidRDefault="007C1F9F" w:rsidP="007C1F9F">
      <w:pPr>
        <w:pStyle w:val="AERbulletlistfirststyle"/>
      </w:pPr>
      <w:r w:rsidRPr="0068510D">
        <w:t>used 2011 as the base year</w:t>
      </w:r>
    </w:p>
    <w:p w:rsidR="007C1F9F" w:rsidRPr="0068510D" w:rsidRDefault="007C1F9F" w:rsidP="007C1F9F">
      <w:pPr>
        <w:pStyle w:val="AERbulletlistfirststyle"/>
      </w:pPr>
      <w:r w:rsidRPr="0068510D">
        <w:t>adjusted the base year as necessary to reflect changes in policy or approach</w:t>
      </w:r>
      <w:r>
        <w:t xml:space="preserve"> </w:t>
      </w:r>
      <w:r w:rsidRPr="0068510D">
        <w:t>for operating expenditure</w:t>
      </w:r>
    </w:p>
    <w:p w:rsidR="007C1F9F" w:rsidRPr="0068510D" w:rsidRDefault="007C1F9F" w:rsidP="007C1F9F">
      <w:pPr>
        <w:pStyle w:val="AERbulletlistfirststyle"/>
      </w:pPr>
      <w:r w:rsidRPr="0068510D">
        <w:t>applied step and scope changes compared to the base year, including nonannual</w:t>
      </w:r>
      <w:r>
        <w:t xml:space="preserve"> </w:t>
      </w:r>
      <w:r w:rsidRPr="0068510D">
        <w:t>operating expenditure</w:t>
      </w:r>
    </w:p>
    <w:p w:rsidR="007C1F9F" w:rsidRPr="0068510D" w:rsidRDefault="007C1F9F" w:rsidP="007C1F9F">
      <w:pPr>
        <w:pStyle w:val="AERbulletlistfirststyle"/>
      </w:pPr>
      <w:r w:rsidRPr="0068510D">
        <w:t>applied a percentage trend factor.</w:t>
      </w:r>
      <w:r>
        <w:rPr>
          <w:rStyle w:val="FootnoteReference"/>
        </w:rPr>
        <w:footnoteReference w:id="457"/>
      </w:r>
    </w:p>
    <w:p w:rsidR="007C1F9F" w:rsidRPr="007E3923" w:rsidRDefault="007C1F9F" w:rsidP="007C1F9F">
      <w:pPr>
        <w:pStyle w:val="AERbulletlistfirststyle"/>
        <w:rPr>
          <w:rFonts w:eastAsia="Calibri"/>
        </w:rPr>
      </w:pPr>
      <w:r w:rsidRPr="007E3923">
        <w:rPr>
          <w:rFonts w:eastAsia="Calibri"/>
        </w:rPr>
        <w:t xml:space="preserve">APA GasNet also proposed a number of allowances </w:t>
      </w:r>
      <w:r w:rsidRPr="00791B25">
        <w:t>which supplement the total forecast opex.</w:t>
      </w:r>
      <w:r w:rsidRPr="00791B25">
        <w:rPr>
          <w:rStyle w:val="FootnoteReference"/>
        </w:rPr>
        <w:footnoteReference w:id="458"/>
      </w:r>
      <w:r w:rsidRPr="007E3923">
        <w:rPr>
          <w:rFonts w:eastAsia="Calibri"/>
        </w:rPr>
        <w:t xml:space="preserve"> </w:t>
      </w:r>
    </w:p>
    <w:p w:rsidR="007C1F9F" w:rsidRPr="007E3923" w:rsidRDefault="007C1F9F" w:rsidP="007C1F9F">
      <w:pPr>
        <w:pStyle w:val="AERheading3"/>
        <w:numPr>
          <w:ilvl w:val="2"/>
          <w:numId w:val="7"/>
        </w:numPr>
        <w:tabs>
          <w:tab w:val="clear" w:pos="-357"/>
          <w:tab w:val="num" w:pos="0"/>
        </w:tabs>
        <w:ind w:left="0" w:hanging="714"/>
        <w:rPr>
          <w:rFonts w:eastAsia="Calibri"/>
        </w:rPr>
      </w:pPr>
      <w:r>
        <w:t>Base year</w:t>
      </w:r>
    </w:p>
    <w:p w:rsidR="007C1F9F" w:rsidRPr="007E3923" w:rsidRDefault="007C1F9F" w:rsidP="007C1F9F">
      <w:pPr>
        <w:pStyle w:val="AERbodytext"/>
        <w:rPr>
          <w:rFonts w:eastAsia="Calibri"/>
        </w:rPr>
      </w:pPr>
      <w:r w:rsidRPr="007E3923">
        <w:rPr>
          <w:rFonts w:eastAsia="Calibri"/>
        </w:rPr>
        <w:t>APA GasNet proposed 2011 as the opex base year, in accordance with the fixed principle.</w:t>
      </w:r>
      <w:r w:rsidRPr="007E3923">
        <w:rPr>
          <w:rStyle w:val="FootnoteReference"/>
          <w:rFonts w:eastAsia="Calibri"/>
        </w:rPr>
        <w:footnoteReference w:id="459"/>
      </w:r>
      <w:r w:rsidRPr="007E3923">
        <w:rPr>
          <w:rFonts w:eastAsia="Calibri"/>
        </w:rPr>
        <w:t xml:space="preserve"> APA GasNet proposed base year opex of $27.5 million </w:t>
      </w:r>
      <w:r>
        <w:t>($2012)</w:t>
      </w:r>
      <w:r w:rsidRPr="007E3923">
        <w:rPr>
          <w:rFonts w:eastAsia="Calibri"/>
        </w:rPr>
        <w:t>.</w:t>
      </w:r>
      <w:r w:rsidRPr="007E3923">
        <w:rPr>
          <w:rStyle w:val="FootnoteReference"/>
          <w:rFonts w:eastAsia="Calibri"/>
        </w:rPr>
        <w:footnoteReference w:id="460"/>
      </w:r>
      <w:r w:rsidRPr="007E3923">
        <w:rPr>
          <w:rFonts w:eastAsia="Calibri"/>
        </w:rPr>
        <w:t xml:space="preserve"> </w:t>
      </w:r>
    </w:p>
    <w:p w:rsidR="007C1F9F" w:rsidRPr="007E3923" w:rsidRDefault="007C1F9F" w:rsidP="007C1F9F">
      <w:pPr>
        <w:pStyle w:val="AERheading3"/>
        <w:numPr>
          <w:ilvl w:val="2"/>
          <w:numId w:val="7"/>
        </w:numPr>
        <w:tabs>
          <w:tab w:val="clear" w:pos="-357"/>
          <w:tab w:val="num" w:pos="0"/>
        </w:tabs>
        <w:ind w:left="0" w:hanging="714"/>
        <w:rPr>
          <w:rFonts w:eastAsia="Calibri"/>
        </w:rPr>
      </w:pPr>
      <w:bookmarkStart w:id="99" w:name="_Ref332281409"/>
      <w:r w:rsidRPr="007E3923">
        <w:rPr>
          <w:rFonts w:eastAsia="Calibri"/>
        </w:rPr>
        <w:t>Base year adjustments</w:t>
      </w:r>
      <w:bookmarkEnd w:id="99"/>
    </w:p>
    <w:p w:rsidR="007C1F9F" w:rsidRPr="007E3923" w:rsidRDefault="007C1F9F" w:rsidP="007C1F9F">
      <w:pPr>
        <w:pStyle w:val="AERbodytext"/>
        <w:rPr>
          <w:rFonts w:eastAsia="Calibri"/>
        </w:rPr>
      </w:pPr>
      <w:r w:rsidRPr="007E3923">
        <w:rPr>
          <w:rFonts w:eastAsia="Calibri"/>
        </w:rPr>
        <w:t xml:space="preserve">APA GasNet proposed to adjust its base year expenditure for four non-recurrent opex items. Additionally, </w:t>
      </w:r>
      <w:r>
        <w:rPr>
          <w:rFonts w:eastAsia="Calibri"/>
        </w:rPr>
        <w:t xml:space="preserve">APA </w:t>
      </w:r>
      <w:r w:rsidRPr="007E3923">
        <w:rPr>
          <w:rFonts w:eastAsia="Calibri"/>
        </w:rPr>
        <w:t>GasNet applied forecast escalation, based on expected escalation over the 2013–17 access arrangement period to arrive at the 2012 expected opex (</w:t>
      </w:r>
      <w:fldSimple w:instr=" REF  _Ref325979517 \* Lower \h \r  \* MERGEFORMAT ">
        <w:r>
          <w:t>table 6.2</w:t>
        </w:r>
      </w:fldSimple>
      <w:r>
        <w:t>).</w:t>
      </w:r>
      <w:r w:rsidRPr="007E3923">
        <w:rPr>
          <w:rStyle w:val="FootnoteReference"/>
          <w:rFonts w:eastAsia="Calibri"/>
        </w:rPr>
        <w:footnoteReference w:id="461"/>
      </w:r>
    </w:p>
    <w:p w:rsidR="007C1F9F" w:rsidRPr="007E3923" w:rsidRDefault="007C1F9F" w:rsidP="007C1F9F">
      <w:pPr>
        <w:pStyle w:val="AERtabletitle"/>
        <w:rPr>
          <w:rFonts w:eastAsia="Calibri"/>
        </w:rPr>
      </w:pPr>
      <w:bookmarkStart w:id="100" w:name="_Ref325979517"/>
      <w:r w:rsidRPr="007E3923">
        <w:rPr>
          <w:rFonts w:eastAsia="Calibri"/>
        </w:rPr>
        <w:t>Base year adjustments proposed by APA GasNet ($million, 2012)</w:t>
      </w:r>
      <w:bookmarkEnd w:id="100"/>
    </w:p>
    <w:tbl>
      <w:tblPr>
        <w:tblW w:w="5000" w:type="pct"/>
        <w:tblBorders>
          <w:top w:val="single" w:sz="4" w:space="0" w:color="auto"/>
          <w:bottom w:val="single" w:sz="4" w:space="0" w:color="auto"/>
        </w:tblBorders>
        <w:tblLook w:val="04A0"/>
      </w:tblPr>
      <w:tblGrid>
        <w:gridCol w:w="6555"/>
        <w:gridCol w:w="1973"/>
      </w:tblGrid>
      <w:tr w:rsidR="007C1F9F" w:rsidRPr="001E0A72" w:rsidTr="00186172">
        <w:trPr>
          <w:trHeight w:val="270"/>
        </w:trPr>
        <w:tc>
          <w:tcPr>
            <w:tcW w:w="3843"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Opex item</w:t>
            </w:r>
          </w:p>
        </w:tc>
        <w:tc>
          <w:tcPr>
            <w:tcW w:w="1157"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p>
        </w:tc>
      </w:tr>
      <w:tr w:rsidR="007C1F9F" w:rsidRPr="001E0A72" w:rsidTr="00186172">
        <w:trPr>
          <w:trHeight w:val="255"/>
        </w:trPr>
        <w:tc>
          <w:tcPr>
            <w:tcW w:w="3843" w:type="pct"/>
            <w:shd w:val="clear" w:color="auto" w:fill="auto"/>
            <w:noWrap/>
            <w:tcMar>
              <w:top w:w="0" w:type="dxa"/>
              <w:bottom w:w="0" w:type="dxa"/>
            </w:tcMar>
            <w:vAlign w:val="center"/>
            <w:hideMark/>
          </w:tcPr>
          <w:p w:rsidR="007C1F9F" w:rsidRPr="00F82810" w:rsidRDefault="007C1F9F" w:rsidP="00186172">
            <w:pPr>
              <w:pStyle w:val="AERtabletext"/>
            </w:pPr>
            <w:r w:rsidRPr="00F82810">
              <w:t>Unadjusted 2011 opex</w:t>
            </w:r>
          </w:p>
        </w:tc>
        <w:tc>
          <w:tcPr>
            <w:tcW w:w="1157" w:type="pct"/>
            <w:shd w:val="clear" w:color="auto" w:fill="auto"/>
            <w:noWrap/>
            <w:tcMar>
              <w:top w:w="0" w:type="dxa"/>
              <w:bottom w:w="0" w:type="dxa"/>
            </w:tcMar>
            <w:vAlign w:val="center"/>
            <w:hideMark/>
          </w:tcPr>
          <w:p w:rsidR="007C1F9F" w:rsidRPr="00F82810" w:rsidRDefault="007C1F9F" w:rsidP="00186172">
            <w:pPr>
              <w:pStyle w:val="AERtabletext-numbers"/>
            </w:pPr>
            <w:r w:rsidRPr="00F82810">
              <w:t>27.50</w:t>
            </w:r>
          </w:p>
        </w:tc>
      </w:tr>
      <w:tr w:rsidR="007C1F9F" w:rsidRPr="001E0A72" w:rsidTr="00186172">
        <w:trPr>
          <w:trHeight w:val="255"/>
        </w:trPr>
        <w:tc>
          <w:tcPr>
            <w:tcW w:w="3843" w:type="pct"/>
            <w:shd w:val="clear" w:color="auto" w:fill="F8B47C"/>
            <w:noWrap/>
            <w:tcMar>
              <w:top w:w="0" w:type="dxa"/>
              <w:bottom w:w="0" w:type="dxa"/>
            </w:tcMar>
            <w:vAlign w:val="center"/>
            <w:hideMark/>
          </w:tcPr>
          <w:p w:rsidR="007C1F9F" w:rsidRPr="00F82810" w:rsidRDefault="007C1F9F" w:rsidP="00186172">
            <w:pPr>
              <w:pStyle w:val="AERtabletext"/>
            </w:pPr>
            <w:r w:rsidRPr="00F82810">
              <w:t>Change in capitalisation policy</w:t>
            </w:r>
          </w:p>
        </w:tc>
        <w:tc>
          <w:tcPr>
            <w:tcW w:w="1157" w:type="pct"/>
            <w:shd w:val="clear" w:color="auto" w:fill="F8B47C"/>
            <w:noWrap/>
            <w:tcMar>
              <w:top w:w="0" w:type="dxa"/>
              <w:bottom w:w="0" w:type="dxa"/>
            </w:tcMar>
            <w:vAlign w:val="center"/>
            <w:hideMark/>
          </w:tcPr>
          <w:p w:rsidR="007C1F9F" w:rsidRPr="00F82810" w:rsidRDefault="007C1F9F" w:rsidP="00186172">
            <w:pPr>
              <w:pStyle w:val="AERtabletext-numbers"/>
            </w:pPr>
            <w:r w:rsidRPr="00F82810">
              <w:t>–1.</w:t>
            </w:r>
            <w:r>
              <w:t>16</w:t>
            </w:r>
          </w:p>
        </w:tc>
      </w:tr>
      <w:tr w:rsidR="007C1F9F" w:rsidRPr="001E0A72" w:rsidTr="00186172">
        <w:trPr>
          <w:trHeight w:val="255"/>
        </w:trPr>
        <w:tc>
          <w:tcPr>
            <w:tcW w:w="3843" w:type="pct"/>
            <w:shd w:val="clear" w:color="auto" w:fill="auto"/>
            <w:noWrap/>
            <w:tcMar>
              <w:top w:w="0" w:type="dxa"/>
              <w:bottom w:w="0" w:type="dxa"/>
            </w:tcMar>
            <w:vAlign w:val="center"/>
            <w:hideMark/>
          </w:tcPr>
          <w:p w:rsidR="007C1F9F" w:rsidRPr="00F82810" w:rsidRDefault="007C1F9F" w:rsidP="00186172">
            <w:pPr>
              <w:pStyle w:val="AERtabletext"/>
            </w:pPr>
            <w:r w:rsidRPr="00F82810">
              <w:t>Recalculation of cost allocations between regulated and non-regulated functions</w:t>
            </w:r>
          </w:p>
        </w:tc>
        <w:tc>
          <w:tcPr>
            <w:tcW w:w="1157" w:type="pct"/>
            <w:shd w:val="clear" w:color="auto" w:fill="auto"/>
            <w:noWrap/>
            <w:tcMar>
              <w:top w:w="0" w:type="dxa"/>
              <w:bottom w:w="0" w:type="dxa"/>
            </w:tcMar>
            <w:vAlign w:val="center"/>
            <w:hideMark/>
          </w:tcPr>
          <w:p w:rsidR="007C1F9F" w:rsidRPr="00F82810" w:rsidRDefault="007C1F9F" w:rsidP="00186172">
            <w:pPr>
              <w:pStyle w:val="AERtabletext-numbers"/>
            </w:pPr>
            <w:r w:rsidRPr="00F82810">
              <w:t>0.30</w:t>
            </w:r>
          </w:p>
        </w:tc>
      </w:tr>
      <w:tr w:rsidR="007C1F9F" w:rsidRPr="001E0A72" w:rsidTr="00186172">
        <w:trPr>
          <w:trHeight w:val="255"/>
        </w:trPr>
        <w:tc>
          <w:tcPr>
            <w:tcW w:w="3843" w:type="pct"/>
            <w:shd w:val="clear" w:color="auto" w:fill="F8B47C"/>
            <w:noWrap/>
            <w:tcMar>
              <w:top w:w="0" w:type="dxa"/>
              <w:bottom w:w="0" w:type="dxa"/>
            </w:tcMar>
            <w:vAlign w:val="center"/>
            <w:hideMark/>
          </w:tcPr>
          <w:p w:rsidR="007C1F9F" w:rsidRPr="00F82810" w:rsidRDefault="007C1F9F" w:rsidP="00186172">
            <w:pPr>
              <w:pStyle w:val="AERtabletext"/>
            </w:pPr>
            <w:r w:rsidRPr="00F82810">
              <w:t>ESV levy increase</w:t>
            </w:r>
          </w:p>
        </w:tc>
        <w:tc>
          <w:tcPr>
            <w:tcW w:w="1157" w:type="pct"/>
            <w:shd w:val="clear" w:color="auto" w:fill="F8B47C"/>
            <w:noWrap/>
            <w:tcMar>
              <w:top w:w="0" w:type="dxa"/>
              <w:bottom w:w="0" w:type="dxa"/>
            </w:tcMar>
            <w:vAlign w:val="center"/>
            <w:hideMark/>
          </w:tcPr>
          <w:p w:rsidR="007C1F9F" w:rsidRPr="00F82810" w:rsidRDefault="007C1F9F" w:rsidP="00186172">
            <w:pPr>
              <w:pStyle w:val="AERtabletext-numbers"/>
            </w:pPr>
            <w:r w:rsidRPr="00F82810">
              <w:t>0.</w:t>
            </w:r>
            <w:r>
              <w:t>09</w:t>
            </w:r>
          </w:p>
        </w:tc>
      </w:tr>
      <w:tr w:rsidR="007C1F9F" w:rsidRPr="001E0A72" w:rsidTr="00186172">
        <w:trPr>
          <w:trHeight w:val="255"/>
        </w:trPr>
        <w:tc>
          <w:tcPr>
            <w:tcW w:w="3843" w:type="pct"/>
            <w:shd w:val="clear" w:color="auto" w:fill="auto"/>
            <w:noWrap/>
            <w:tcMar>
              <w:top w:w="0" w:type="dxa"/>
              <w:bottom w:w="0" w:type="dxa"/>
            </w:tcMar>
            <w:vAlign w:val="center"/>
            <w:hideMark/>
          </w:tcPr>
          <w:p w:rsidR="007C1F9F" w:rsidRPr="00F82810" w:rsidRDefault="007C1F9F" w:rsidP="00186172">
            <w:pPr>
              <w:pStyle w:val="AERtabletext"/>
            </w:pPr>
            <w:r w:rsidRPr="00F82810">
              <w:t>Insurance costs</w:t>
            </w:r>
          </w:p>
        </w:tc>
        <w:tc>
          <w:tcPr>
            <w:tcW w:w="1157" w:type="pct"/>
            <w:shd w:val="clear" w:color="auto" w:fill="auto"/>
            <w:noWrap/>
            <w:tcMar>
              <w:top w:w="0" w:type="dxa"/>
              <w:bottom w:w="0" w:type="dxa"/>
            </w:tcMar>
            <w:vAlign w:val="center"/>
            <w:hideMark/>
          </w:tcPr>
          <w:p w:rsidR="007C1F9F" w:rsidRPr="00F82810" w:rsidRDefault="007C1F9F" w:rsidP="00186172">
            <w:pPr>
              <w:pStyle w:val="AERtabletext-numbers"/>
            </w:pPr>
            <w:r>
              <w:t>0.53</w:t>
            </w:r>
          </w:p>
        </w:tc>
      </w:tr>
      <w:tr w:rsidR="007C1F9F" w:rsidRPr="001E0A72" w:rsidTr="00186172">
        <w:trPr>
          <w:trHeight w:val="255"/>
        </w:trPr>
        <w:tc>
          <w:tcPr>
            <w:tcW w:w="3843" w:type="pct"/>
            <w:shd w:val="clear" w:color="auto" w:fill="F8B47C"/>
            <w:noWrap/>
            <w:tcMar>
              <w:top w:w="0" w:type="dxa"/>
              <w:bottom w:w="0" w:type="dxa"/>
            </w:tcMar>
            <w:vAlign w:val="center"/>
            <w:hideMark/>
          </w:tcPr>
          <w:p w:rsidR="007C1F9F" w:rsidRPr="00F82810" w:rsidRDefault="007C1F9F" w:rsidP="00186172">
            <w:pPr>
              <w:pStyle w:val="AERtabletext"/>
            </w:pPr>
            <w:r w:rsidRPr="00F82810">
              <w:t>Expected escalation of base year costs in 2012</w:t>
            </w:r>
          </w:p>
        </w:tc>
        <w:tc>
          <w:tcPr>
            <w:tcW w:w="1157" w:type="pct"/>
            <w:shd w:val="clear" w:color="auto" w:fill="F8B47C"/>
            <w:noWrap/>
            <w:tcMar>
              <w:top w:w="0" w:type="dxa"/>
              <w:bottom w:w="0" w:type="dxa"/>
            </w:tcMar>
            <w:vAlign w:val="center"/>
            <w:hideMark/>
          </w:tcPr>
          <w:p w:rsidR="007C1F9F" w:rsidRPr="00F82810" w:rsidRDefault="007C1F9F" w:rsidP="00186172">
            <w:pPr>
              <w:pStyle w:val="AERtabletext-numbers"/>
            </w:pPr>
            <w:r w:rsidRPr="00F82810">
              <w:t>1.35</w:t>
            </w:r>
          </w:p>
        </w:tc>
      </w:tr>
      <w:tr w:rsidR="007C1F9F" w:rsidRPr="001E0A72" w:rsidTr="00186172">
        <w:trPr>
          <w:trHeight w:val="255"/>
        </w:trPr>
        <w:tc>
          <w:tcPr>
            <w:tcW w:w="3843" w:type="pct"/>
            <w:shd w:val="clear" w:color="auto" w:fill="auto"/>
            <w:noWrap/>
            <w:tcMar>
              <w:top w:w="0" w:type="dxa"/>
              <w:bottom w:w="0" w:type="dxa"/>
            </w:tcMar>
            <w:vAlign w:val="center"/>
            <w:hideMark/>
          </w:tcPr>
          <w:p w:rsidR="007C1F9F" w:rsidRPr="003D0DFE" w:rsidRDefault="007C1F9F" w:rsidP="00186172">
            <w:pPr>
              <w:pStyle w:val="AERtabletext"/>
            </w:pPr>
            <w:r w:rsidRPr="003D0DFE">
              <w:t>Expected opex in 2012</w:t>
            </w:r>
          </w:p>
        </w:tc>
        <w:tc>
          <w:tcPr>
            <w:tcW w:w="1157" w:type="pct"/>
            <w:shd w:val="clear" w:color="auto" w:fill="auto"/>
            <w:noWrap/>
            <w:tcMar>
              <w:top w:w="0" w:type="dxa"/>
              <w:bottom w:w="0" w:type="dxa"/>
            </w:tcMar>
            <w:vAlign w:val="center"/>
            <w:hideMark/>
          </w:tcPr>
          <w:p w:rsidR="007C1F9F" w:rsidRPr="003D0DFE" w:rsidRDefault="007C1F9F" w:rsidP="00186172">
            <w:pPr>
              <w:pStyle w:val="AERtabletext-numbers"/>
            </w:pPr>
            <w:r w:rsidRPr="003D0DFE">
              <w:t>2</w:t>
            </w:r>
            <w:r>
              <w:t>8</w:t>
            </w:r>
            <w:r w:rsidRPr="003D0DFE">
              <w:t>.</w:t>
            </w:r>
            <w:r>
              <w:t>61</w:t>
            </w:r>
          </w:p>
        </w:tc>
      </w:tr>
    </w:tbl>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APA GasNet, Access arrangement proposal.</w:t>
      </w:r>
      <w:r w:rsidRPr="007E3923">
        <w:rPr>
          <w:rStyle w:val="FootnoteReference"/>
          <w:rFonts w:eastAsia="Calibri"/>
        </w:rPr>
        <w:footnoteReference w:id="462"/>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Step changes</w:t>
      </w:r>
    </w:p>
    <w:p w:rsidR="007C1F9F" w:rsidRPr="007E3923" w:rsidRDefault="007C1F9F" w:rsidP="007C1F9F">
      <w:pPr>
        <w:pStyle w:val="AERbodytext"/>
        <w:rPr>
          <w:rFonts w:eastAsia="Calibri"/>
        </w:rPr>
      </w:pPr>
      <w:r w:rsidRPr="007E3923">
        <w:rPr>
          <w:rFonts w:eastAsia="Calibri"/>
        </w:rPr>
        <w:t xml:space="preserve">APA GasNet proposed 13 step changes totalling $20.26 million ($2012) over the </w:t>
      </w:r>
      <w:r>
        <w:rPr>
          <w:rFonts w:eastAsia="Calibri"/>
        </w:rPr>
        <w:t>2013–17</w:t>
      </w:r>
      <w:r w:rsidRPr="007E3923">
        <w:rPr>
          <w:rFonts w:eastAsia="Calibri"/>
        </w:rPr>
        <w:t xml:space="preserve"> access arrangement period. The largest forecast step change is attributed to the impact of carbon costs. </w:t>
      </w:r>
      <w:r w:rsidR="00DE0D6A" w:rsidRPr="007E3923">
        <w:rPr>
          <w:rFonts w:eastAsia="Calibri"/>
        </w:rPr>
        <w:fldChar w:fldCharType="begin"/>
      </w:r>
      <w:r w:rsidRPr="007E3923">
        <w:rPr>
          <w:rFonts w:eastAsia="Calibri"/>
        </w:rPr>
        <w:instrText xml:space="preserve"> REF _Ref325969521 \r \h </w:instrText>
      </w:r>
      <w:r w:rsidR="00DE0D6A" w:rsidRPr="007E3923">
        <w:rPr>
          <w:rFonts w:eastAsia="Calibri"/>
        </w:rPr>
      </w:r>
      <w:r w:rsidR="00DE0D6A" w:rsidRPr="007E3923">
        <w:rPr>
          <w:rFonts w:eastAsia="Calibri"/>
        </w:rPr>
        <w:fldChar w:fldCharType="separate"/>
      </w:r>
      <w:r>
        <w:rPr>
          <w:rFonts w:eastAsia="Calibri"/>
        </w:rPr>
        <w:t>Table 6.3</w:t>
      </w:r>
      <w:r w:rsidR="00DE0D6A" w:rsidRPr="007E3923">
        <w:rPr>
          <w:rFonts w:eastAsia="Calibri"/>
        </w:rPr>
        <w:fldChar w:fldCharType="end"/>
      </w:r>
      <w:r w:rsidRPr="007E3923">
        <w:rPr>
          <w:rFonts w:eastAsia="Calibri"/>
        </w:rPr>
        <w:t xml:space="preserve"> provides a summary of the proposed changes. The details of these step changes are discussed in the following sections.</w:t>
      </w:r>
    </w:p>
    <w:p w:rsidR="007C1F9F" w:rsidRPr="007E3923" w:rsidRDefault="007C1F9F" w:rsidP="007C1F9F">
      <w:pPr>
        <w:pStyle w:val="AERtabletitle"/>
        <w:rPr>
          <w:rFonts w:eastAsia="Calibri"/>
        </w:rPr>
      </w:pPr>
      <w:bookmarkStart w:id="101" w:name="_Ref325969521"/>
      <w:r w:rsidRPr="007E3923">
        <w:rPr>
          <w:rFonts w:eastAsia="Calibri"/>
        </w:rPr>
        <w:t xml:space="preserve">Proposed step changes for APA GasNet </w:t>
      </w:r>
      <w:bookmarkEnd w:id="101"/>
      <w:r w:rsidRPr="007E3923">
        <w:rPr>
          <w:rFonts w:eastAsia="Calibri"/>
        </w:rPr>
        <w:t>($million, 2012)</w:t>
      </w:r>
    </w:p>
    <w:tbl>
      <w:tblPr>
        <w:tblW w:w="8528" w:type="dxa"/>
        <w:tblBorders>
          <w:top w:val="single" w:sz="4" w:space="0" w:color="auto"/>
          <w:bottom w:val="single" w:sz="4" w:space="0" w:color="auto"/>
        </w:tblBorders>
        <w:tblLook w:val="04A0"/>
      </w:tblPr>
      <w:tblGrid>
        <w:gridCol w:w="3279"/>
        <w:gridCol w:w="874"/>
        <w:gridCol w:w="875"/>
        <w:gridCol w:w="875"/>
        <w:gridCol w:w="875"/>
        <w:gridCol w:w="875"/>
        <w:gridCol w:w="875"/>
      </w:tblGrid>
      <w:tr w:rsidR="007C1F9F" w:rsidRPr="003F0A1C" w:rsidTr="00186172">
        <w:trPr>
          <w:trHeight w:val="300"/>
        </w:trPr>
        <w:tc>
          <w:tcPr>
            <w:tcW w:w="32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rPr>
                <w:rStyle w:val="AERtextbold"/>
              </w:rPr>
            </w:pPr>
            <w:r w:rsidRPr="00791B25">
              <w:rPr>
                <w:rStyle w:val="AERtextbold"/>
              </w:rPr>
              <w:t>Step change</w:t>
            </w:r>
          </w:p>
        </w:tc>
        <w:tc>
          <w:tcPr>
            <w:tcW w:w="87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right"/>
            </w:pPr>
            <w:r w:rsidRPr="00791B25">
              <w:t>2013</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right"/>
            </w:pPr>
            <w:r w:rsidRPr="00791B25">
              <w:t>2014</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right"/>
            </w:pPr>
            <w:r w:rsidRPr="00791B25">
              <w:t>2015</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right"/>
            </w:pPr>
            <w:r w:rsidRPr="00791B25">
              <w:t>2016</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right"/>
            </w:pPr>
            <w:r w:rsidRPr="00791B25">
              <w:t>2017</w:t>
            </w:r>
          </w:p>
        </w:tc>
        <w:tc>
          <w:tcPr>
            <w:tcW w:w="8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91B25" w:rsidRDefault="007C1F9F" w:rsidP="00186172">
            <w:pPr>
              <w:pStyle w:val="AERtabletextheadingright"/>
            </w:pPr>
            <w:r w:rsidRPr="00791B25">
              <w:t>Total</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656882" w:rsidRDefault="007C1F9F" w:rsidP="00186172">
            <w:pPr>
              <w:pStyle w:val="AERtabletext"/>
            </w:pPr>
            <w:r w:rsidRPr="00656882">
              <w:t>Environmental net gain obligations</w:t>
            </w:r>
          </w:p>
        </w:tc>
        <w:tc>
          <w:tcPr>
            <w:tcW w:w="874" w:type="dxa"/>
            <w:shd w:val="clear" w:color="auto" w:fill="auto"/>
            <w:noWrap/>
            <w:tcMar>
              <w:top w:w="0" w:type="dxa"/>
              <w:bottom w:w="0" w:type="dxa"/>
            </w:tcMar>
            <w:vAlign w:val="bottom"/>
            <w:hideMark/>
          </w:tcPr>
          <w:p w:rsidR="007C1F9F" w:rsidRPr="00656882" w:rsidRDefault="007C1F9F" w:rsidP="00186172">
            <w:pPr>
              <w:pStyle w:val="AERtabletext-numbers"/>
            </w:pPr>
            <w:r w:rsidRPr="00656882">
              <w:t>0.12</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0.20</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0.22</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0.22</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0.22</w:t>
            </w:r>
          </w:p>
        </w:tc>
        <w:tc>
          <w:tcPr>
            <w:tcW w:w="875" w:type="dxa"/>
            <w:shd w:val="clear" w:color="auto" w:fill="auto"/>
            <w:noWrap/>
            <w:tcMar>
              <w:top w:w="0" w:type="dxa"/>
              <w:bottom w:w="0" w:type="dxa"/>
            </w:tcMar>
            <w:vAlign w:val="bottom"/>
          </w:tcPr>
          <w:p w:rsidR="007C1F9F" w:rsidRPr="00656882" w:rsidRDefault="007C1F9F" w:rsidP="00186172">
            <w:pPr>
              <w:pStyle w:val="AERtabletext-numbers"/>
            </w:pPr>
            <w:r w:rsidRPr="00656882">
              <w:t>0.98</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656882" w:rsidRDefault="007C1F9F" w:rsidP="00186172">
            <w:pPr>
              <w:pStyle w:val="AERtabletext"/>
            </w:pPr>
            <w:r w:rsidRPr="00656882">
              <w:t>Safety management studies</w:t>
            </w:r>
          </w:p>
        </w:tc>
        <w:tc>
          <w:tcPr>
            <w:tcW w:w="874"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0.18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0.18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0.18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0.18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0.18</w:t>
            </w:r>
          </w:p>
        </w:tc>
        <w:tc>
          <w:tcPr>
            <w:tcW w:w="875" w:type="dxa"/>
            <w:shd w:val="clear" w:color="auto" w:fill="F8B47C"/>
            <w:noWrap/>
            <w:tcMar>
              <w:top w:w="0" w:type="dxa"/>
              <w:bottom w:w="0" w:type="dxa"/>
            </w:tcMar>
            <w:vAlign w:val="bottom"/>
          </w:tcPr>
          <w:p w:rsidR="007C1F9F" w:rsidRPr="00656882" w:rsidRDefault="007C1F9F" w:rsidP="00186172">
            <w:pPr>
              <w:pStyle w:val="AERtabletext-numbers"/>
            </w:pPr>
            <w:r w:rsidRPr="00656882">
              <w:t>0.90</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656882" w:rsidRDefault="007C1F9F" w:rsidP="00186172">
            <w:pPr>
              <w:pStyle w:val="AERtabletext"/>
            </w:pPr>
            <w:r w:rsidRPr="00656882">
              <w:t>Hazardous areas dossiers</w:t>
            </w:r>
          </w:p>
        </w:tc>
        <w:tc>
          <w:tcPr>
            <w:tcW w:w="874"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0.25</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0.25</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0.25</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0.25</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0.25</w:t>
            </w:r>
          </w:p>
        </w:tc>
        <w:tc>
          <w:tcPr>
            <w:tcW w:w="875" w:type="dxa"/>
            <w:shd w:val="clear" w:color="auto" w:fill="auto"/>
            <w:noWrap/>
            <w:tcMar>
              <w:top w:w="0" w:type="dxa"/>
              <w:bottom w:w="0" w:type="dxa"/>
            </w:tcMar>
            <w:vAlign w:val="bottom"/>
          </w:tcPr>
          <w:p w:rsidR="007C1F9F" w:rsidRPr="00656882" w:rsidRDefault="007C1F9F" w:rsidP="00186172">
            <w:pPr>
              <w:pStyle w:val="AERtabletext-numbers"/>
            </w:pPr>
            <w:r w:rsidRPr="00656882">
              <w:t>1.25</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656882" w:rsidRDefault="007C1F9F" w:rsidP="00186172">
            <w:pPr>
              <w:pStyle w:val="AERtabletext"/>
            </w:pPr>
            <w:r w:rsidRPr="00656882">
              <w:t>ESV levy rises</w:t>
            </w:r>
          </w:p>
        </w:tc>
        <w:tc>
          <w:tcPr>
            <w:tcW w:w="874"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0.03</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0.06</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0.06</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0.06</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0.06</w:t>
            </w:r>
          </w:p>
        </w:tc>
        <w:tc>
          <w:tcPr>
            <w:tcW w:w="875" w:type="dxa"/>
            <w:shd w:val="clear" w:color="auto" w:fill="F8B47C"/>
            <w:noWrap/>
            <w:tcMar>
              <w:top w:w="0" w:type="dxa"/>
              <w:bottom w:w="0" w:type="dxa"/>
            </w:tcMar>
            <w:vAlign w:val="bottom"/>
          </w:tcPr>
          <w:p w:rsidR="007C1F9F" w:rsidRPr="00656882" w:rsidRDefault="007C1F9F" w:rsidP="00186172">
            <w:pPr>
              <w:pStyle w:val="AERtabletext-numbers"/>
            </w:pPr>
            <w:r w:rsidRPr="00656882">
              <w:t>0.27</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656882" w:rsidRDefault="007C1F9F" w:rsidP="00186172">
            <w:pPr>
              <w:pStyle w:val="AERtabletext"/>
            </w:pPr>
            <w:r w:rsidRPr="00656882">
              <w:t>Increases in electricity costs</w:t>
            </w:r>
          </w:p>
        </w:tc>
        <w:tc>
          <w:tcPr>
            <w:tcW w:w="874" w:type="dxa"/>
            <w:shd w:val="clear" w:color="auto" w:fill="auto"/>
            <w:noWrap/>
            <w:tcMar>
              <w:top w:w="0" w:type="dxa"/>
              <w:bottom w:w="0" w:type="dxa"/>
            </w:tcMar>
            <w:vAlign w:val="bottom"/>
            <w:hideMark/>
          </w:tcPr>
          <w:p w:rsidR="007C1F9F" w:rsidRPr="00656882" w:rsidRDefault="007C1F9F" w:rsidP="00186172">
            <w:pPr>
              <w:pStyle w:val="AERtabletext-numbers"/>
            </w:pPr>
            <w:r w:rsidRPr="00656882">
              <w:t>0.03</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0.06</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0.10</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0.14</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0.18</w:t>
            </w:r>
          </w:p>
        </w:tc>
        <w:tc>
          <w:tcPr>
            <w:tcW w:w="875" w:type="dxa"/>
            <w:shd w:val="clear" w:color="auto" w:fill="auto"/>
            <w:noWrap/>
            <w:tcMar>
              <w:top w:w="0" w:type="dxa"/>
              <w:bottom w:w="0" w:type="dxa"/>
            </w:tcMar>
            <w:vAlign w:val="bottom"/>
          </w:tcPr>
          <w:p w:rsidR="007C1F9F" w:rsidRPr="00656882" w:rsidRDefault="007C1F9F" w:rsidP="00186172">
            <w:pPr>
              <w:pStyle w:val="AERtabletext-numbers"/>
            </w:pPr>
            <w:r w:rsidRPr="00656882">
              <w:t>0.51</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656882" w:rsidRDefault="007C1F9F" w:rsidP="00186172">
            <w:pPr>
              <w:pStyle w:val="AERtabletext"/>
            </w:pPr>
            <w:r w:rsidRPr="00656882">
              <w:t>Carbon costs</w:t>
            </w:r>
          </w:p>
        </w:tc>
        <w:tc>
          <w:tcPr>
            <w:tcW w:w="874"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2.15</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2.28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2.47</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2.70</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2.82</w:t>
            </w:r>
          </w:p>
        </w:tc>
        <w:tc>
          <w:tcPr>
            <w:tcW w:w="875" w:type="dxa"/>
            <w:shd w:val="clear" w:color="auto" w:fill="F8B47C"/>
            <w:noWrap/>
            <w:tcMar>
              <w:top w:w="0" w:type="dxa"/>
              <w:bottom w:w="0" w:type="dxa"/>
            </w:tcMar>
            <w:vAlign w:val="bottom"/>
          </w:tcPr>
          <w:p w:rsidR="007C1F9F" w:rsidRPr="00656882" w:rsidRDefault="007C1F9F" w:rsidP="00186172">
            <w:pPr>
              <w:pStyle w:val="AERtabletext-numbers"/>
            </w:pPr>
            <w:r w:rsidRPr="00656882">
              <w:t>12.43</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656882" w:rsidRDefault="007C1F9F" w:rsidP="00186172">
            <w:pPr>
              <w:pStyle w:val="AERtabletext"/>
            </w:pPr>
            <w:r w:rsidRPr="00656882">
              <w:t>Expanded apprenticeship program</w:t>
            </w:r>
          </w:p>
        </w:tc>
        <w:tc>
          <w:tcPr>
            <w:tcW w:w="874" w:type="dxa"/>
            <w:shd w:val="clear" w:color="auto" w:fill="auto"/>
            <w:noWrap/>
            <w:tcMar>
              <w:top w:w="0" w:type="dxa"/>
              <w:bottom w:w="0" w:type="dxa"/>
            </w:tcMar>
            <w:vAlign w:val="bottom"/>
            <w:hideMark/>
          </w:tcPr>
          <w:p w:rsidR="007C1F9F" w:rsidRPr="00656882" w:rsidRDefault="007C1F9F" w:rsidP="00186172">
            <w:pPr>
              <w:pStyle w:val="AERtabletext-numbers"/>
            </w:pPr>
            <w:r w:rsidRPr="00656882">
              <w:t>0.16</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0.24</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0.24</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0.24</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0.24</w:t>
            </w:r>
          </w:p>
        </w:tc>
        <w:tc>
          <w:tcPr>
            <w:tcW w:w="875" w:type="dxa"/>
            <w:shd w:val="clear" w:color="auto" w:fill="auto"/>
            <w:noWrap/>
            <w:tcMar>
              <w:top w:w="0" w:type="dxa"/>
              <w:bottom w:w="0" w:type="dxa"/>
            </w:tcMar>
            <w:vAlign w:val="bottom"/>
          </w:tcPr>
          <w:p w:rsidR="007C1F9F" w:rsidRPr="00656882" w:rsidRDefault="007C1F9F" w:rsidP="00186172">
            <w:pPr>
              <w:pStyle w:val="AERtabletext-numbers"/>
            </w:pPr>
            <w:r w:rsidRPr="00656882">
              <w:t>1.12</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656882" w:rsidRDefault="007C1F9F" w:rsidP="00186172">
            <w:pPr>
              <w:pStyle w:val="AERtabletext"/>
            </w:pPr>
            <w:r w:rsidRPr="00656882">
              <w:t>Western district depot</w:t>
            </w:r>
          </w:p>
        </w:tc>
        <w:tc>
          <w:tcPr>
            <w:tcW w:w="874"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tcPr>
          <w:p w:rsidR="007C1F9F" w:rsidRPr="00656882" w:rsidRDefault="007C1F9F" w:rsidP="00186172">
            <w:pPr>
              <w:pStyle w:val="AERtabletext-numbers"/>
            </w:pPr>
            <w:r w:rsidRPr="00656882">
              <w:t>0.40</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656882" w:rsidRDefault="007C1F9F" w:rsidP="00186172">
            <w:pPr>
              <w:pStyle w:val="AERtabletext"/>
            </w:pPr>
            <w:r w:rsidRPr="00656882">
              <w:t>Heating facilities</w:t>
            </w:r>
          </w:p>
        </w:tc>
        <w:tc>
          <w:tcPr>
            <w:tcW w:w="874"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0.20</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0.20</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0.10</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w:t>
            </w:r>
          </w:p>
        </w:tc>
        <w:tc>
          <w:tcPr>
            <w:tcW w:w="875" w:type="dxa"/>
            <w:shd w:val="clear" w:color="auto" w:fill="auto"/>
            <w:noWrap/>
            <w:tcMar>
              <w:top w:w="0" w:type="dxa"/>
              <w:bottom w:w="0" w:type="dxa"/>
            </w:tcMar>
            <w:vAlign w:val="bottom"/>
          </w:tcPr>
          <w:p w:rsidR="007C1F9F" w:rsidRPr="00656882" w:rsidRDefault="007C1F9F" w:rsidP="00186172">
            <w:pPr>
              <w:pStyle w:val="AERtabletext-numbers"/>
            </w:pPr>
            <w:r w:rsidRPr="00656882">
              <w:t>0.50</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656882" w:rsidRDefault="007C1F9F" w:rsidP="00186172">
            <w:pPr>
              <w:pStyle w:val="AERtabletext"/>
            </w:pPr>
            <w:r w:rsidRPr="00656882">
              <w:t>Line valve actuator overhauls</w:t>
            </w:r>
          </w:p>
        </w:tc>
        <w:tc>
          <w:tcPr>
            <w:tcW w:w="874"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0.15</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0.10</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0.04</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0.02</w:t>
            </w:r>
          </w:p>
        </w:tc>
        <w:tc>
          <w:tcPr>
            <w:tcW w:w="875" w:type="dxa"/>
            <w:shd w:val="clear" w:color="auto" w:fill="F8B47C"/>
            <w:noWrap/>
            <w:tcMar>
              <w:top w:w="0" w:type="dxa"/>
              <w:bottom w:w="0" w:type="dxa"/>
            </w:tcMar>
            <w:vAlign w:val="bottom"/>
          </w:tcPr>
          <w:p w:rsidR="007C1F9F" w:rsidRPr="00656882" w:rsidRDefault="007C1F9F" w:rsidP="00186172">
            <w:pPr>
              <w:pStyle w:val="AERtabletext-numbers"/>
            </w:pPr>
            <w:r w:rsidRPr="00656882">
              <w:t>0.30</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656882" w:rsidRDefault="007C1F9F" w:rsidP="00186172">
            <w:pPr>
              <w:pStyle w:val="AERtabletext"/>
            </w:pPr>
            <w:r w:rsidRPr="00656882">
              <w:t>Pressure vessel inspections</w:t>
            </w:r>
          </w:p>
        </w:tc>
        <w:tc>
          <w:tcPr>
            <w:tcW w:w="874" w:type="dxa"/>
            <w:shd w:val="clear" w:color="auto" w:fill="auto"/>
            <w:noWrap/>
            <w:tcMar>
              <w:top w:w="0" w:type="dxa"/>
              <w:bottom w:w="0" w:type="dxa"/>
            </w:tcMar>
            <w:vAlign w:val="bottom"/>
            <w:hideMark/>
          </w:tcPr>
          <w:p w:rsidR="007C1F9F" w:rsidRPr="00656882" w:rsidRDefault="007C1F9F" w:rsidP="00186172">
            <w:pPr>
              <w:pStyle w:val="AERtabletext-numbers"/>
            </w:pPr>
            <w:r w:rsidRPr="00656882">
              <w:t>0.05</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0.03</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0.04</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0.02</w:t>
            </w:r>
          </w:p>
        </w:tc>
        <w:tc>
          <w:tcPr>
            <w:tcW w:w="875" w:type="dxa"/>
            <w:shd w:val="clear" w:color="auto" w:fill="auto"/>
            <w:noWrap/>
            <w:tcMar>
              <w:top w:w="0" w:type="dxa"/>
              <w:bottom w:w="0" w:type="dxa"/>
            </w:tcMar>
            <w:vAlign w:val="bottom"/>
          </w:tcPr>
          <w:p w:rsidR="007C1F9F" w:rsidRPr="00656882" w:rsidRDefault="007C1F9F" w:rsidP="00186172">
            <w:pPr>
              <w:pStyle w:val="AERtabletext-numbers"/>
            </w:pPr>
            <w:r w:rsidRPr="00656882">
              <w:t>0.14</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656882" w:rsidRDefault="007C1F9F" w:rsidP="00186172">
            <w:pPr>
              <w:pStyle w:val="AERtabletext"/>
            </w:pPr>
            <w:r w:rsidRPr="00656882">
              <w:t>Restore hard standing</w:t>
            </w:r>
          </w:p>
        </w:tc>
        <w:tc>
          <w:tcPr>
            <w:tcW w:w="874"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0.04</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hideMark/>
          </w:tcPr>
          <w:p w:rsidR="007C1F9F" w:rsidRPr="00656882" w:rsidRDefault="007C1F9F" w:rsidP="00186172">
            <w:pPr>
              <w:pStyle w:val="AERtabletext-numbers"/>
            </w:pPr>
            <w:r w:rsidRPr="00656882">
              <w:t>0.08</w:t>
            </w:r>
          </w:p>
        </w:tc>
        <w:tc>
          <w:tcPr>
            <w:tcW w:w="875" w:type="dxa"/>
            <w:shd w:val="clear" w:color="auto" w:fill="F8B47C"/>
            <w:noWrap/>
            <w:tcMar>
              <w:top w:w="0" w:type="dxa"/>
              <w:bottom w:w="0" w:type="dxa"/>
            </w:tcMar>
            <w:vAlign w:val="bottom"/>
          </w:tcPr>
          <w:p w:rsidR="007C1F9F" w:rsidRPr="00656882" w:rsidRDefault="007C1F9F" w:rsidP="00186172">
            <w:pPr>
              <w:pStyle w:val="AERtabletext-numbers"/>
            </w:pPr>
            <w:r w:rsidRPr="00656882">
              <w:t>0.36</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656882" w:rsidRDefault="007C1F9F" w:rsidP="00186172">
            <w:pPr>
              <w:pStyle w:val="AERtabletext"/>
            </w:pPr>
            <w:r w:rsidRPr="00656882">
              <w:t>Reset costs</w:t>
            </w:r>
          </w:p>
        </w:tc>
        <w:tc>
          <w:tcPr>
            <w:tcW w:w="874" w:type="dxa"/>
            <w:shd w:val="clear" w:color="auto" w:fill="auto"/>
            <w:noWrap/>
            <w:tcMar>
              <w:top w:w="0" w:type="dxa"/>
              <w:bottom w:w="0" w:type="dxa"/>
            </w:tcMar>
            <w:vAlign w:val="bottom"/>
            <w:hideMark/>
          </w:tcPr>
          <w:p w:rsidR="007C1F9F" w:rsidRPr="00656882" w:rsidRDefault="007C1F9F" w:rsidP="00186172">
            <w:pPr>
              <w:pStyle w:val="AERtabletext-numbers"/>
            </w:pPr>
            <w:r w:rsidRPr="00656882">
              <w:t>–</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0.66</w:t>
            </w:r>
          </w:p>
        </w:tc>
        <w:tc>
          <w:tcPr>
            <w:tcW w:w="875" w:type="dxa"/>
            <w:shd w:val="clear" w:color="auto" w:fill="auto"/>
            <w:noWrap/>
            <w:tcMar>
              <w:top w:w="0" w:type="dxa"/>
              <w:bottom w:w="0" w:type="dxa"/>
            </w:tcMar>
            <w:vAlign w:val="bottom"/>
            <w:hideMark/>
          </w:tcPr>
          <w:p w:rsidR="007C1F9F" w:rsidRPr="00656882" w:rsidRDefault="007C1F9F" w:rsidP="00186172">
            <w:pPr>
              <w:pStyle w:val="AERtabletext-numbers"/>
            </w:pPr>
            <w:r w:rsidRPr="00656882">
              <w:t>0.44</w:t>
            </w:r>
          </w:p>
        </w:tc>
        <w:tc>
          <w:tcPr>
            <w:tcW w:w="875" w:type="dxa"/>
            <w:shd w:val="clear" w:color="auto" w:fill="auto"/>
            <w:noWrap/>
            <w:tcMar>
              <w:top w:w="0" w:type="dxa"/>
              <w:bottom w:w="0" w:type="dxa"/>
            </w:tcMar>
            <w:vAlign w:val="bottom"/>
          </w:tcPr>
          <w:p w:rsidR="007C1F9F" w:rsidRPr="00656882" w:rsidRDefault="007C1F9F" w:rsidP="00186172">
            <w:pPr>
              <w:pStyle w:val="AERtabletext-numbers"/>
            </w:pPr>
            <w:r w:rsidRPr="00656882">
              <w:t>1.10</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656882" w:rsidRDefault="007C1F9F" w:rsidP="00186172">
            <w:pPr>
              <w:pStyle w:val="AERtabletext"/>
              <w:rPr>
                <w:rStyle w:val="AERtextbold"/>
              </w:rPr>
            </w:pPr>
            <w:r w:rsidRPr="00656882">
              <w:rPr>
                <w:rStyle w:val="AERtextbold"/>
              </w:rPr>
              <w:t>Total step changes</w:t>
            </w:r>
          </w:p>
        </w:tc>
        <w:tc>
          <w:tcPr>
            <w:tcW w:w="874" w:type="dxa"/>
            <w:shd w:val="clear" w:color="auto" w:fill="F8B47C"/>
            <w:noWrap/>
            <w:tcMar>
              <w:top w:w="0" w:type="dxa"/>
              <w:bottom w:w="0" w:type="dxa"/>
            </w:tcMar>
            <w:vAlign w:val="bottom"/>
            <w:hideMark/>
          </w:tcPr>
          <w:p w:rsidR="007C1F9F" w:rsidRPr="00656882" w:rsidRDefault="007C1F9F" w:rsidP="00186172">
            <w:pPr>
              <w:pStyle w:val="AERtabletextheadingright"/>
            </w:pPr>
            <w:r w:rsidRPr="00656882">
              <w:t>3.29</w:t>
            </w:r>
          </w:p>
        </w:tc>
        <w:tc>
          <w:tcPr>
            <w:tcW w:w="875" w:type="dxa"/>
            <w:shd w:val="clear" w:color="auto" w:fill="F8B47C"/>
            <w:noWrap/>
            <w:tcMar>
              <w:top w:w="0" w:type="dxa"/>
              <w:bottom w:w="0" w:type="dxa"/>
            </w:tcMar>
            <w:vAlign w:val="bottom"/>
            <w:hideMark/>
          </w:tcPr>
          <w:p w:rsidR="007C1F9F" w:rsidRPr="00656882" w:rsidRDefault="007C1F9F" w:rsidP="00186172">
            <w:pPr>
              <w:pStyle w:val="AERtabletextheadingright"/>
            </w:pPr>
            <w:r w:rsidRPr="00656882">
              <w:t>3.81</w:t>
            </w:r>
          </w:p>
        </w:tc>
        <w:tc>
          <w:tcPr>
            <w:tcW w:w="875" w:type="dxa"/>
            <w:shd w:val="clear" w:color="auto" w:fill="F8B47C"/>
            <w:noWrap/>
            <w:tcMar>
              <w:top w:w="0" w:type="dxa"/>
              <w:bottom w:w="0" w:type="dxa"/>
            </w:tcMar>
            <w:vAlign w:val="bottom"/>
            <w:hideMark/>
          </w:tcPr>
          <w:p w:rsidR="007C1F9F" w:rsidRPr="00656882" w:rsidRDefault="007C1F9F" w:rsidP="00186172">
            <w:pPr>
              <w:pStyle w:val="AERtabletextheadingright"/>
            </w:pPr>
            <w:r w:rsidRPr="00656882">
              <w:t>3.91</w:t>
            </w:r>
          </w:p>
        </w:tc>
        <w:tc>
          <w:tcPr>
            <w:tcW w:w="875" w:type="dxa"/>
            <w:shd w:val="clear" w:color="auto" w:fill="F8B47C"/>
            <w:noWrap/>
            <w:tcMar>
              <w:top w:w="0" w:type="dxa"/>
              <w:bottom w:w="0" w:type="dxa"/>
            </w:tcMar>
            <w:vAlign w:val="bottom"/>
            <w:hideMark/>
          </w:tcPr>
          <w:p w:rsidR="007C1F9F" w:rsidRPr="00656882" w:rsidRDefault="007C1F9F" w:rsidP="00186172">
            <w:pPr>
              <w:pStyle w:val="AERtabletextheadingright"/>
            </w:pPr>
            <w:r w:rsidRPr="00656882">
              <w:t>4.65</w:t>
            </w:r>
          </w:p>
        </w:tc>
        <w:tc>
          <w:tcPr>
            <w:tcW w:w="875" w:type="dxa"/>
            <w:shd w:val="clear" w:color="auto" w:fill="F8B47C"/>
            <w:noWrap/>
            <w:tcMar>
              <w:top w:w="0" w:type="dxa"/>
              <w:bottom w:w="0" w:type="dxa"/>
            </w:tcMar>
            <w:vAlign w:val="bottom"/>
            <w:hideMark/>
          </w:tcPr>
          <w:p w:rsidR="007C1F9F" w:rsidRPr="00656882" w:rsidRDefault="007C1F9F" w:rsidP="00186172">
            <w:pPr>
              <w:pStyle w:val="AERtabletextheadingright"/>
            </w:pPr>
            <w:r w:rsidRPr="00656882">
              <w:t>4.59</w:t>
            </w:r>
          </w:p>
        </w:tc>
        <w:tc>
          <w:tcPr>
            <w:tcW w:w="875" w:type="dxa"/>
            <w:shd w:val="clear" w:color="auto" w:fill="F8B47C"/>
            <w:noWrap/>
            <w:tcMar>
              <w:top w:w="0" w:type="dxa"/>
              <w:bottom w:w="0" w:type="dxa"/>
            </w:tcMar>
            <w:vAlign w:val="bottom"/>
          </w:tcPr>
          <w:p w:rsidR="007C1F9F" w:rsidRPr="00656882" w:rsidRDefault="007C1F9F" w:rsidP="00186172">
            <w:pPr>
              <w:pStyle w:val="AERtabletextheadingright"/>
            </w:pPr>
            <w:r w:rsidRPr="00656882">
              <w:t>20.26</w:t>
            </w:r>
          </w:p>
        </w:tc>
      </w:tr>
    </w:tbl>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APA GasNet, Access arrangement proposal.</w:t>
      </w:r>
      <w:r w:rsidRPr="007E3923">
        <w:rPr>
          <w:rStyle w:val="FootnoteReference"/>
          <w:rFonts w:eastAsia="Calibri"/>
        </w:rPr>
        <w:t xml:space="preserve"> </w:t>
      </w:r>
      <w:r w:rsidRPr="007E3923">
        <w:rPr>
          <w:rStyle w:val="FootnoteReference"/>
          <w:rFonts w:eastAsia="Calibri"/>
        </w:rPr>
        <w:footnoteReference w:id="463"/>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Network growth (scope changes)</w:t>
      </w:r>
    </w:p>
    <w:p w:rsidR="007C1F9F" w:rsidRPr="007E3923" w:rsidRDefault="007C1F9F" w:rsidP="007C1F9F">
      <w:pPr>
        <w:pStyle w:val="AERbodytext"/>
        <w:rPr>
          <w:rFonts w:eastAsia="Calibri"/>
        </w:rPr>
      </w:pPr>
      <w:r w:rsidRPr="007E3923">
        <w:rPr>
          <w:rFonts w:eastAsia="Calibri"/>
        </w:rPr>
        <w:t>APA GasNet proposed additional opex of $7.0 million ($2012) for the 2013–17 access arrangement period for opex related to three new compressor stations and six pipeline extensions.</w:t>
      </w:r>
      <w:r w:rsidRPr="007E3923">
        <w:rPr>
          <w:rStyle w:val="FootnoteReference"/>
          <w:rFonts w:eastAsia="Calibri"/>
        </w:rPr>
        <w:footnoteReference w:id="464"/>
      </w:r>
    </w:p>
    <w:p w:rsidR="007C1F9F" w:rsidRPr="007E3923" w:rsidRDefault="007C1F9F" w:rsidP="007C1F9F">
      <w:pPr>
        <w:pStyle w:val="AERtabletitle"/>
        <w:rPr>
          <w:rFonts w:eastAsia="Calibri"/>
        </w:rPr>
      </w:pPr>
      <w:r w:rsidRPr="007E3923">
        <w:rPr>
          <w:rFonts w:eastAsia="Calibri"/>
        </w:rPr>
        <w:t>APA GasNet's proposed scope changes ($million, 2012)</w:t>
      </w:r>
    </w:p>
    <w:tbl>
      <w:tblPr>
        <w:tblW w:w="5000" w:type="pct"/>
        <w:tblBorders>
          <w:top w:val="single" w:sz="4" w:space="0" w:color="auto"/>
          <w:bottom w:val="single" w:sz="4" w:space="0" w:color="auto"/>
        </w:tblBorders>
        <w:tblLook w:val="04A0"/>
      </w:tblPr>
      <w:tblGrid>
        <w:gridCol w:w="3178"/>
        <w:gridCol w:w="892"/>
        <w:gridCol w:w="892"/>
        <w:gridCol w:w="892"/>
        <w:gridCol w:w="892"/>
        <w:gridCol w:w="892"/>
        <w:gridCol w:w="890"/>
      </w:tblGrid>
      <w:tr w:rsidR="007C1F9F" w:rsidRPr="00C77DBA" w:rsidTr="00186172">
        <w:trPr>
          <w:trHeight w:val="300"/>
        </w:trPr>
        <w:tc>
          <w:tcPr>
            <w:tcW w:w="1863"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Step change</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2013</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2014</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2015</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2016</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2017</w:t>
            </w:r>
          </w:p>
        </w:tc>
        <w:tc>
          <w:tcPr>
            <w:tcW w:w="523"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Total</w:t>
            </w:r>
          </w:p>
        </w:tc>
      </w:tr>
      <w:tr w:rsidR="007C1F9F" w:rsidRPr="00C77DBA" w:rsidTr="00186172">
        <w:trPr>
          <w:trHeight w:val="255"/>
        </w:trPr>
        <w:tc>
          <w:tcPr>
            <w:tcW w:w="1863" w:type="pct"/>
            <w:shd w:val="clear" w:color="auto" w:fill="auto"/>
            <w:noWrap/>
            <w:tcMar>
              <w:top w:w="0" w:type="dxa"/>
              <w:bottom w:w="0" w:type="dxa"/>
            </w:tcMar>
            <w:vAlign w:val="center"/>
            <w:hideMark/>
          </w:tcPr>
          <w:p w:rsidR="007C1F9F" w:rsidRPr="00CC50A2" w:rsidRDefault="007C1F9F" w:rsidP="00186172">
            <w:pPr>
              <w:pStyle w:val="AERtabletext"/>
            </w:pPr>
            <w:r w:rsidRPr="00CC50A2">
              <w:t>Compressor Stations</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0.45</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0.75</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1.05</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1.05</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1.05</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4.36</w:t>
            </w:r>
          </w:p>
        </w:tc>
      </w:tr>
      <w:tr w:rsidR="007C1F9F" w:rsidRPr="00C77DBA" w:rsidTr="00186172">
        <w:trPr>
          <w:trHeight w:val="255"/>
        </w:trPr>
        <w:tc>
          <w:tcPr>
            <w:tcW w:w="1863" w:type="pct"/>
            <w:shd w:val="clear" w:color="auto" w:fill="F8B47C"/>
            <w:noWrap/>
            <w:tcMar>
              <w:top w:w="0" w:type="dxa"/>
              <w:bottom w:w="0" w:type="dxa"/>
            </w:tcMar>
            <w:vAlign w:val="center"/>
            <w:hideMark/>
          </w:tcPr>
          <w:p w:rsidR="007C1F9F" w:rsidRPr="00CC50A2" w:rsidRDefault="007C1F9F" w:rsidP="00186172">
            <w:pPr>
              <w:pStyle w:val="AERtabletext"/>
            </w:pPr>
            <w:r w:rsidRPr="00CC50A2">
              <w:t>Pipelines</w:t>
            </w:r>
          </w:p>
        </w:tc>
        <w:tc>
          <w:tcPr>
            <w:tcW w:w="523" w:type="pct"/>
            <w:shd w:val="clear" w:color="auto" w:fill="F8B47C"/>
            <w:noWrap/>
            <w:tcMar>
              <w:top w:w="0" w:type="dxa"/>
              <w:bottom w:w="0" w:type="dxa"/>
            </w:tcMar>
            <w:vAlign w:val="center"/>
            <w:hideMark/>
          </w:tcPr>
          <w:p w:rsidR="007C1F9F" w:rsidRPr="00CC50A2" w:rsidRDefault="007C1F9F" w:rsidP="00186172">
            <w:pPr>
              <w:pStyle w:val="AERtabletext-numbers"/>
            </w:pPr>
            <w:r w:rsidRPr="00CC50A2">
              <w:t>0.19</w:t>
            </w:r>
          </w:p>
        </w:tc>
        <w:tc>
          <w:tcPr>
            <w:tcW w:w="523" w:type="pct"/>
            <w:shd w:val="clear" w:color="auto" w:fill="F8B47C"/>
            <w:noWrap/>
            <w:tcMar>
              <w:top w:w="0" w:type="dxa"/>
              <w:bottom w:w="0" w:type="dxa"/>
            </w:tcMar>
            <w:vAlign w:val="center"/>
            <w:hideMark/>
          </w:tcPr>
          <w:p w:rsidR="007C1F9F" w:rsidRPr="00CC50A2" w:rsidRDefault="007C1F9F" w:rsidP="00186172">
            <w:pPr>
              <w:pStyle w:val="AERtabletext-numbers"/>
            </w:pPr>
            <w:r w:rsidRPr="00CC50A2">
              <w:t>0.22</w:t>
            </w:r>
          </w:p>
        </w:tc>
        <w:tc>
          <w:tcPr>
            <w:tcW w:w="523" w:type="pct"/>
            <w:shd w:val="clear" w:color="auto" w:fill="F8B47C"/>
            <w:noWrap/>
            <w:tcMar>
              <w:top w:w="0" w:type="dxa"/>
              <w:bottom w:w="0" w:type="dxa"/>
            </w:tcMar>
            <w:vAlign w:val="center"/>
            <w:hideMark/>
          </w:tcPr>
          <w:p w:rsidR="007C1F9F" w:rsidRPr="00CC50A2" w:rsidRDefault="007C1F9F" w:rsidP="00186172">
            <w:pPr>
              <w:pStyle w:val="AERtabletext-numbers"/>
            </w:pPr>
            <w:r w:rsidRPr="00CC50A2">
              <w:t>0.72</w:t>
            </w:r>
          </w:p>
        </w:tc>
        <w:tc>
          <w:tcPr>
            <w:tcW w:w="523" w:type="pct"/>
            <w:shd w:val="clear" w:color="auto" w:fill="F8B47C"/>
            <w:noWrap/>
            <w:tcMar>
              <w:top w:w="0" w:type="dxa"/>
              <w:bottom w:w="0" w:type="dxa"/>
            </w:tcMar>
            <w:vAlign w:val="center"/>
            <w:hideMark/>
          </w:tcPr>
          <w:p w:rsidR="007C1F9F" w:rsidRPr="00CC50A2" w:rsidRDefault="007C1F9F" w:rsidP="00186172">
            <w:pPr>
              <w:pStyle w:val="AERtabletext-numbers"/>
            </w:pPr>
            <w:r w:rsidRPr="00CC50A2">
              <w:t>0.76</w:t>
            </w:r>
          </w:p>
        </w:tc>
        <w:tc>
          <w:tcPr>
            <w:tcW w:w="523" w:type="pct"/>
            <w:shd w:val="clear" w:color="auto" w:fill="F8B47C"/>
            <w:noWrap/>
            <w:tcMar>
              <w:top w:w="0" w:type="dxa"/>
              <w:bottom w:w="0" w:type="dxa"/>
            </w:tcMar>
            <w:vAlign w:val="center"/>
            <w:hideMark/>
          </w:tcPr>
          <w:p w:rsidR="007C1F9F" w:rsidRPr="00CC50A2" w:rsidRDefault="007C1F9F" w:rsidP="00186172">
            <w:pPr>
              <w:pStyle w:val="AERtabletext-numbers"/>
            </w:pPr>
            <w:r w:rsidRPr="00CC50A2">
              <w:t>0.76</w:t>
            </w:r>
          </w:p>
        </w:tc>
        <w:tc>
          <w:tcPr>
            <w:tcW w:w="523" w:type="pct"/>
            <w:shd w:val="clear" w:color="auto" w:fill="F8B47C"/>
            <w:noWrap/>
            <w:tcMar>
              <w:top w:w="0" w:type="dxa"/>
              <w:bottom w:w="0" w:type="dxa"/>
            </w:tcMar>
            <w:vAlign w:val="center"/>
            <w:hideMark/>
          </w:tcPr>
          <w:p w:rsidR="007C1F9F" w:rsidRPr="00CC50A2" w:rsidRDefault="007C1F9F" w:rsidP="00186172">
            <w:pPr>
              <w:pStyle w:val="AERtabletext-numbers"/>
            </w:pPr>
            <w:r w:rsidRPr="00CC50A2">
              <w:t>2.66</w:t>
            </w:r>
          </w:p>
        </w:tc>
      </w:tr>
      <w:tr w:rsidR="007C1F9F" w:rsidRPr="00C77DBA" w:rsidTr="00186172">
        <w:trPr>
          <w:trHeight w:val="255"/>
        </w:trPr>
        <w:tc>
          <w:tcPr>
            <w:tcW w:w="1863" w:type="pct"/>
            <w:shd w:val="clear" w:color="auto" w:fill="auto"/>
            <w:noWrap/>
            <w:tcMar>
              <w:top w:w="0" w:type="dxa"/>
              <w:bottom w:w="0" w:type="dxa"/>
            </w:tcMar>
            <w:vAlign w:val="center"/>
            <w:hideMark/>
          </w:tcPr>
          <w:p w:rsidR="007C1F9F" w:rsidRPr="00CC50A2" w:rsidRDefault="007C1F9F" w:rsidP="00186172">
            <w:pPr>
              <w:pStyle w:val="AERtabletext"/>
            </w:pPr>
            <w:r w:rsidRPr="00CC50A2">
              <w:t>Total Scope changes</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0.64</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0.98</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1.77</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1.81</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1.81</w:t>
            </w:r>
          </w:p>
        </w:tc>
        <w:tc>
          <w:tcPr>
            <w:tcW w:w="523" w:type="pct"/>
            <w:shd w:val="clear" w:color="auto" w:fill="auto"/>
            <w:noWrap/>
            <w:tcMar>
              <w:top w:w="0" w:type="dxa"/>
              <w:bottom w:w="0" w:type="dxa"/>
            </w:tcMar>
            <w:vAlign w:val="center"/>
            <w:hideMark/>
          </w:tcPr>
          <w:p w:rsidR="007C1F9F" w:rsidRPr="00CC50A2" w:rsidRDefault="007C1F9F" w:rsidP="00186172">
            <w:pPr>
              <w:pStyle w:val="AERtabletext-numbers"/>
            </w:pPr>
            <w:r w:rsidRPr="00CC50A2">
              <w:t>7.02</w:t>
            </w:r>
          </w:p>
        </w:tc>
      </w:tr>
    </w:tbl>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APA GasNet, Access arrangement proposal</w:t>
      </w:r>
      <w:r>
        <w:rPr>
          <w:rFonts w:eastAsia="Calibri"/>
        </w:rPr>
        <w:t>.</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Real cost escalation</w:t>
      </w:r>
    </w:p>
    <w:p w:rsidR="007C1F9F" w:rsidRPr="007E3923" w:rsidRDefault="007C1F9F" w:rsidP="007C1F9F">
      <w:pPr>
        <w:pStyle w:val="AERbodytext"/>
        <w:rPr>
          <w:rFonts w:eastAsia="Calibri"/>
        </w:rPr>
      </w:pPr>
      <w:r w:rsidRPr="007E3923">
        <w:rPr>
          <w:rFonts w:eastAsia="Calibri"/>
        </w:rPr>
        <w:t>After making the appropriate scope and step changes APA GasNet escalated its forecast opex for expected real cost increases, forecast by BIS Shrapnel.</w:t>
      </w:r>
      <w:r w:rsidRPr="007E3923">
        <w:rPr>
          <w:rStyle w:val="FootnoteReference"/>
          <w:rFonts w:eastAsia="Calibri"/>
        </w:rPr>
        <w:footnoteReference w:id="465"/>
      </w:r>
      <w:r w:rsidRPr="007E3923">
        <w:rPr>
          <w:rFonts w:eastAsia="Calibri"/>
        </w:rPr>
        <w:t xml:space="preserve"> APA GasNet escalated its gas network related internal labour using BIS Shrapnel's forecast increases in average weekly ordinary time earnings (AWOTE) for the Victorian electricity, gas and water sector. It escalated general internal labour by forecast increases in the property and business services sector AWOTE and it escalated contract labour by forecast increases in the Victorian construction sector.</w:t>
      </w:r>
    </w:p>
    <w:p w:rsidR="007C1F9F" w:rsidRPr="007E3923" w:rsidRDefault="007C1F9F" w:rsidP="007C1F9F">
      <w:pPr>
        <w:pStyle w:val="AERbodytext"/>
        <w:rPr>
          <w:rFonts w:eastAsia="Calibri"/>
        </w:rPr>
      </w:pPr>
      <w:r w:rsidRPr="007E3923">
        <w:rPr>
          <w:rFonts w:eastAsia="Calibri"/>
        </w:rPr>
        <w:t>All non-labour operating costs have been escalated by CPI.</w:t>
      </w:r>
    </w:p>
    <w:p w:rsidR="007C1F9F" w:rsidRPr="007E3923" w:rsidRDefault="007C1F9F" w:rsidP="007C1F9F">
      <w:pPr>
        <w:pStyle w:val="AERheading3"/>
        <w:numPr>
          <w:ilvl w:val="2"/>
          <w:numId w:val="7"/>
        </w:numPr>
        <w:tabs>
          <w:tab w:val="clear" w:pos="-357"/>
          <w:tab w:val="num" w:pos="0"/>
        </w:tabs>
        <w:ind w:left="0" w:hanging="714"/>
        <w:rPr>
          <w:rFonts w:eastAsia="Calibri"/>
        </w:rPr>
      </w:pPr>
      <w:r w:rsidRPr="007E3923">
        <w:rPr>
          <w:rFonts w:eastAsia="Calibri"/>
        </w:rPr>
        <w:t>Allowances</w:t>
      </w:r>
    </w:p>
    <w:p w:rsidR="007C1F9F" w:rsidRDefault="007C1F9F" w:rsidP="007C1F9F">
      <w:pPr>
        <w:pStyle w:val="AERbodytext"/>
      </w:pPr>
      <w:r>
        <w:t>APA GasNet submitted that its f</w:t>
      </w:r>
      <w:r w:rsidRPr="00746CC3">
        <w:t xml:space="preserve">orecast </w:t>
      </w:r>
      <w:r>
        <w:t>opex</w:t>
      </w:r>
      <w:r w:rsidRPr="00746CC3">
        <w:t xml:space="preserve"> is supplemented by a number of</w:t>
      </w:r>
      <w:r>
        <w:t xml:space="preserve"> </w:t>
      </w:r>
      <w:r w:rsidRPr="00746CC3">
        <w:t xml:space="preserve">other allowances to make up the total forecast </w:t>
      </w:r>
      <w:r>
        <w:t xml:space="preserve">opex allowance. </w:t>
      </w:r>
      <w:r w:rsidR="00DE0D6A">
        <w:fldChar w:fldCharType="begin"/>
      </w:r>
      <w:r>
        <w:instrText xml:space="preserve"> REF _Ref330220455 \r \h </w:instrText>
      </w:r>
      <w:r w:rsidR="00DE0D6A">
        <w:fldChar w:fldCharType="separate"/>
      </w:r>
      <w:r>
        <w:t>Table 6.5</w:t>
      </w:r>
      <w:r w:rsidR="00DE0D6A">
        <w:fldChar w:fldCharType="end"/>
      </w:r>
      <w:r>
        <w:t xml:space="preserve"> provides a summary of the allowances proposed by APA GasNet. </w:t>
      </w:r>
    </w:p>
    <w:p w:rsidR="007C1F9F" w:rsidRPr="007E3923" w:rsidRDefault="007C1F9F" w:rsidP="007C1F9F">
      <w:pPr>
        <w:pStyle w:val="AERtabletitle"/>
        <w:rPr>
          <w:rFonts w:eastAsia="Calibri"/>
        </w:rPr>
      </w:pPr>
      <w:bookmarkStart w:id="102" w:name="_Ref330220455"/>
      <w:r w:rsidRPr="007E3923">
        <w:rPr>
          <w:rFonts w:eastAsia="Calibri"/>
        </w:rPr>
        <w:t xml:space="preserve">APA GasNet's proposed allowances </w:t>
      </w:r>
      <w:bookmarkEnd w:id="102"/>
      <w:r w:rsidRPr="007E3923">
        <w:rPr>
          <w:rFonts w:eastAsia="Calibri"/>
        </w:rPr>
        <w:t>($million, 2012)</w:t>
      </w:r>
    </w:p>
    <w:tbl>
      <w:tblPr>
        <w:tblW w:w="8528" w:type="dxa"/>
        <w:tblBorders>
          <w:top w:val="single" w:sz="4" w:space="0" w:color="auto"/>
          <w:bottom w:val="single" w:sz="4" w:space="0" w:color="auto"/>
        </w:tblBorders>
        <w:tblLook w:val="04A0"/>
      </w:tblPr>
      <w:tblGrid>
        <w:gridCol w:w="3279"/>
        <w:gridCol w:w="874"/>
        <w:gridCol w:w="875"/>
        <w:gridCol w:w="875"/>
        <w:gridCol w:w="875"/>
        <w:gridCol w:w="875"/>
        <w:gridCol w:w="875"/>
      </w:tblGrid>
      <w:tr w:rsidR="007C1F9F" w:rsidRPr="003F0A1C" w:rsidTr="00186172">
        <w:trPr>
          <w:trHeight w:val="300"/>
        </w:trPr>
        <w:tc>
          <w:tcPr>
            <w:tcW w:w="32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
              <w:rPr>
                <w:rStyle w:val="AERtextbold"/>
              </w:rPr>
            </w:pPr>
            <w:r w:rsidRPr="00887FFA">
              <w:rPr>
                <w:rStyle w:val="AERtextbold"/>
              </w:rPr>
              <w:t>Step change</w:t>
            </w:r>
          </w:p>
        </w:tc>
        <w:tc>
          <w:tcPr>
            <w:tcW w:w="87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2013</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2014</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2015</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2016</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2017</w:t>
            </w:r>
          </w:p>
        </w:tc>
        <w:tc>
          <w:tcPr>
            <w:tcW w:w="8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887FFA" w:rsidRDefault="007C1F9F" w:rsidP="00186172">
            <w:pPr>
              <w:pStyle w:val="AERtabletextheadingright"/>
            </w:pPr>
            <w:r w:rsidRPr="00887FFA">
              <w:t>Total</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887FFA" w:rsidRDefault="007C1F9F" w:rsidP="00186172">
            <w:pPr>
              <w:pStyle w:val="AERtabletext"/>
            </w:pPr>
            <w:r>
              <w:t>Efficiency carryover mechanism allowance</w:t>
            </w:r>
          </w:p>
        </w:tc>
        <w:tc>
          <w:tcPr>
            <w:tcW w:w="874" w:type="dxa"/>
            <w:shd w:val="clear" w:color="auto" w:fill="auto"/>
            <w:noWrap/>
            <w:tcMar>
              <w:top w:w="0" w:type="dxa"/>
              <w:bottom w:w="0" w:type="dxa"/>
            </w:tcMar>
            <w:vAlign w:val="center"/>
            <w:hideMark/>
          </w:tcPr>
          <w:p w:rsidR="007C1F9F" w:rsidRPr="007461BD" w:rsidRDefault="007C1F9F" w:rsidP="00186172">
            <w:pPr>
              <w:pStyle w:val="AERtabletext-numbers"/>
            </w:pPr>
            <w:r>
              <w:t>2.0</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0.4</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–2.2</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–3.3</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0.0</w:t>
            </w:r>
          </w:p>
        </w:tc>
        <w:tc>
          <w:tcPr>
            <w:tcW w:w="875" w:type="dxa"/>
            <w:shd w:val="clear" w:color="auto" w:fill="auto"/>
            <w:noWrap/>
            <w:tcMar>
              <w:top w:w="0" w:type="dxa"/>
              <w:bottom w:w="0" w:type="dxa"/>
            </w:tcMar>
            <w:vAlign w:val="center"/>
          </w:tcPr>
          <w:p w:rsidR="007C1F9F" w:rsidRPr="007461BD" w:rsidRDefault="007C1F9F" w:rsidP="00186172">
            <w:pPr>
              <w:pStyle w:val="AERtabletext-numbers"/>
            </w:pPr>
            <w:r>
              <w:t>–3.1</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887FFA" w:rsidRDefault="007C1F9F" w:rsidP="00186172">
            <w:pPr>
              <w:pStyle w:val="AERtabletext"/>
            </w:pPr>
            <w:r>
              <w:t>Reset costs</w:t>
            </w:r>
          </w:p>
        </w:tc>
        <w:tc>
          <w:tcPr>
            <w:tcW w:w="874" w:type="dxa"/>
            <w:shd w:val="clear" w:color="auto" w:fill="F8B47C"/>
            <w:noWrap/>
            <w:tcMar>
              <w:top w:w="0" w:type="dxa"/>
              <w:bottom w:w="0" w:type="dxa"/>
            </w:tcMar>
            <w:vAlign w:val="center"/>
            <w:hideMark/>
          </w:tcPr>
          <w:p w:rsidR="007C1F9F" w:rsidRPr="007461BD" w:rsidRDefault="007C1F9F" w:rsidP="00186172">
            <w:pPr>
              <w:pStyle w:val="AERtabletext-numbers"/>
            </w:pPr>
            <w:r>
              <w:t>1.1</w:t>
            </w: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r>
              <w:t>0.0</w:t>
            </w: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r>
              <w:t>0.0</w:t>
            </w: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r>
              <w:t>0.0</w:t>
            </w: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r>
              <w:t>0.0</w:t>
            </w:r>
          </w:p>
        </w:tc>
        <w:tc>
          <w:tcPr>
            <w:tcW w:w="875" w:type="dxa"/>
            <w:shd w:val="clear" w:color="auto" w:fill="F8B47C"/>
            <w:noWrap/>
            <w:tcMar>
              <w:top w:w="0" w:type="dxa"/>
              <w:bottom w:w="0" w:type="dxa"/>
            </w:tcMar>
            <w:vAlign w:val="center"/>
          </w:tcPr>
          <w:p w:rsidR="007C1F9F" w:rsidRPr="007461BD" w:rsidRDefault="007C1F9F" w:rsidP="00186172">
            <w:pPr>
              <w:pStyle w:val="AERtabletext-numbers"/>
            </w:pPr>
            <w:r>
              <w:t>1.1</w:t>
            </w: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887FFA" w:rsidRDefault="007C1F9F" w:rsidP="00186172">
            <w:pPr>
              <w:pStyle w:val="AERtabletext"/>
            </w:pPr>
            <w:r>
              <w:t>Debt raising costs</w:t>
            </w:r>
          </w:p>
        </w:tc>
        <w:tc>
          <w:tcPr>
            <w:tcW w:w="874" w:type="dxa"/>
            <w:shd w:val="clear" w:color="auto" w:fill="auto"/>
            <w:noWrap/>
            <w:tcMar>
              <w:top w:w="0" w:type="dxa"/>
              <w:bottom w:w="0" w:type="dxa"/>
            </w:tcMar>
            <w:vAlign w:val="center"/>
            <w:hideMark/>
          </w:tcPr>
          <w:p w:rsidR="007C1F9F" w:rsidRPr="007461BD" w:rsidRDefault="007C1F9F" w:rsidP="00186172">
            <w:pPr>
              <w:pStyle w:val="AERtabletext-numbers"/>
            </w:pPr>
            <w:r>
              <w:t>0.4</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0.4</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0.5</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0.5</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0.5</w:t>
            </w:r>
          </w:p>
        </w:tc>
        <w:tc>
          <w:tcPr>
            <w:tcW w:w="875" w:type="dxa"/>
            <w:shd w:val="clear" w:color="auto" w:fill="auto"/>
            <w:noWrap/>
            <w:tcMar>
              <w:top w:w="0" w:type="dxa"/>
              <w:bottom w:w="0" w:type="dxa"/>
            </w:tcMar>
            <w:vAlign w:val="center"/>
          </w:tcPr>
          <w:p w:rsidR="007C1F9F" w:rsidRPr="007461BD" w:rsidRDefault="007C1F9F" w:rsidP="00186172">
            <w:pPr>
              <w:pStyle w:val="AERtabletext-numbers"/>
            </w:pPr>
            <w:r>
              <w:t>2.3</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887FFA" w:rsidRDefault="007C1F9F" w:rsidP="00186172">
            <w:pPr>
              <w:pStyle w:val="AERtabletext"/>
            </w:pPr>
            <w:r>
              <w:t>Revenue cap allowance*</w:t>
            </w:r>
          </w:p>
        </w:tc>
        <w:tc>
          <w:tcPr>
            <w:tcW w:w="874" w:type="dxa"/>
            <w:shd w:val="clear" w:color="auto" w:fill="F8B47C"/>
            <w:noWrap/>
            <w:tcMar>
              <w:top w:w="0" w:type="dxa"/>
              <w:bottom w:w="0" w:type="dxa"/>
            </w:tcMar>
            <w:vAlign w:val="center"/>
            <w:hideMark/>
          </w:tcPr>
          <w:p w:rsidR="007C1F9F" w:rsidRPr="007461BD" w:rsidRDefault="007C1F9F" w:rsidP="00186172">
            <w:pPr>
              <w:pStyle w:val="AERtabletext-numbers"/>
            </w:pP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p>
        </w:tc>
        <w:tc>
          <w:tcPr>
            <w:tcW w:w="875" w:type="dxa"/>
            <w:shd w:val="clear" w:color="auto" w:fill="F8B47C"/>
            <w:noWrap/>
            <w:tcMar>
              <w:top w:w="0" w:type="dxa"/>
              <w:bottom w:w="0" w:type="dxa"/>
            </w:tcMar>
            <w:vAlign w:val="center"/>
            <w:hideMark/>
          </w:tcPr>
          <w:p w:rsidR="007C1F9F" w:rsidRPr="007461BD" w:rsidRDefault="007C1F9F" w:rsidP="00186172">
            <w:pPr>
              <w:pStyle w:val="AERtabletext-numbers"/>
            </w:pPr>
          </w:p>
        </w:tc>
        <w:tc>
          <w:tcPr>
            <w:tcW w:w="875" w:type="dxa"/>
            <w:shd w:val="clear" w:color="auto" w:fill="F8B47C"/>
            <w:noWrap/>
            <w:tcMar>
              <w:top w:w="0" w:type="dxa"/>
              <w:bottom w:w="0" w:type="dxa"/>
            </w:tcMar>
            <w:vAlign w:val="center"/>
          </w:tcPr>
          <w:p w:rsidR="007C1F9F" w:rsidRPr="007461BD" w:rsidRDefault="007C1F9F" w:rsidP="00186172">
            <w:pPr>
              <w:pStyle w:val="AERtabletext-numbers"/>
            </w:pPr>
          </w:p>
        </w:tc>
      </w:tr>
      <w:tr w:rsidR="007C1F9F" w:rsidRPr="003F0A1C" w:rsidTr="00186172">
        <w:trPr>
          <w:trHeight w:val="300"/>
        </w:trPr>
        <w:tc>
          <w:tcPr>
            <w:tcW w:w="3279" w:type="dxa"/>
            <w:shd w:val="clear" w:color="auto" w:fill="auto"/>
            <w:noWrap/>
            <w:tcMar>
              <w:top w:w="0" w:type="dxa"/>
              <w:bottom w:w="0" w:type="dxa"/>
            </w:tcMar>
            <w:vAlign w:val="center"/>
            <w:hideMark/>
          </w:tcPr>
          <w:p w:rsidR="007C1F9F" w:rsidRPr="00887FFA" w:rsidRDefault="007C1F9F" w:rsidP="00186172">
            <w:pPr>
              <w:pStyle w:val="AERtabletext"/>
            </w:pPr>
            <w:r>
              <w:t>Other Allowances</w:t>
            </w:r>
          </w:p>
        </w:tc>
        <w:tc>
          <w:tcPr>
            <w:tcW w:w="874" w:type="dxa"/>
            <w:shd w:val="clear" w:color="auto" w:fill="auto"/>
            <w:noWrap/>
            <w:tcMar>
              <w:top w:w="0" w:type="dxa"/>
              <w:bottom w:w="0" w:type="dxa"/>
            </w:tcMar>
            <w:vAlign w:val="center"/>
            <w:hideMark/>
          </w:tcPr>
          <w:p w:rsidR="007C1F9F" w:rsidRPr="007461BD" w:rsidRDefault="007C1F9F" w:rsidP="00186172">
            <w:pPr>
              <w:pStyle w:val="AERtabletext-numbers"/>
            </w:pPr>
            <w:r>
              <w:t>0.2</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0.2</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0.2</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0.2</w:t>
            </w:r>
          </w:p>
        </w:tc>
        <w:tc>
          <w:tcPr>
            <w:tcW w:w="875" w:type="dxa"/>
            <w:shd w:val="clear" w:color="auto" w:fill="auto"/>
            <w:noWrap/>
            <w:tcMar>
              <w:top w:w="0" w:type="dxa"/>
              <w:bottom w:w="0" w:type="dxa"/>
            </w:tcMar>
            <w:vAlign w:val="center"/>
            <w:hideMark/>
          </w:tcPr>
          <w:p w:rsidR="007C1F9F" w:rsidRPr="007461BD" w:rsidRDefault="007C1F9F" w:rsidP="00186172">
            <w:pPr>
              <w:pStyle w:val="AERtabletext-numbers"/>
            </w:pPr>
            <w:r>
              <w:t>0.2</w:t>
            </w:r>
          </w:p>
        </w:tc>
        <w:tc>
          <w:tcPr>
            <w:tcW w:w="875" w:type="dxa"/>
            <w:shd w:val="clear" w:color="auto" w:fill="auto"/>
            <w:noWrap/>
            <w:tcMar>
              <w:top w:w="0" w:type="dxa"/>
              <w:bottom w:w="0" w:type="dxa"/>
            </w:tcMar>
            <w:vAlign w:val="center"/>
          </w:tcPr>
          <w:p w:rsidR="007C1F9F" w:rsidRPr="007461BD" w:rsidRDefault="007C1F9F" w:rsidP="00186172">
            <w:pPr>
              <w:pStyle w:val="AERtabletext-numbers"/>
            </w:pPr>
            <w:r>
              <w:t>1.0</w:t>
            </w:r>
          </w:p>
        </w:tc>
      </w:tr>
      <w:tr w:rsidR="007C1F9F" w:rsidRPr="003F0A1C" w:rsidTr="00186172">
        <w:trPr>
          <w:trHeight w:val="300"/>
        </w:trPr>
        <w:tc>
          <w:tcPr>
            <w:tcW w:w="3279" w:type="dxa"/>
            <w:shd w:val="clear" w:color="auto" w:fill="F8B47C"/>
            <w:noWrap/>
            <w:tcMar>
              <w:top w:w="0" w:type="dxa"/>
              <w:bottom w:w="0" w:type="dxa"/>
            </w:tcMar>
            <w:vAlign w:val="center"/>
            <w:hideMark/>
          </w:tcPr>
          <w:p w:rsidR="007C1F9F" w:rsidRPr="00250361" w:rsidRDefault="007C1F9F" w:rsidP="00186172">
            <w:pPr>
              <w:pStyle w:val="AERtabletextheading"/>
              <w:rPr>
                <w:rStyle w:val="AERtextbold"/>
              </w:rPr>
            </w:pPr>
            <w:r w:rsidRPr="00250361">
              <w:rPr>
                <w:rStyle w:val="AERtextbold"/>
              </w:rPr>
              <w:t>Total Allowances</w:t>
            </w:r>
          </w:p>
        </w:tc>
        <w:tc>
          <w:tcPr>
            <w:tcW w:w="874" w:type="dxa"/>
            <w:shd w:val="clear" w:color="auto" w:fill="F8B47C"/>
            <w:noWrap/>
            <w:tcMar>
              <w:top w:w="0" w:type="dxa"/>
              <w:bottom w:w="0" w:type="dxa"/>
            </w:tcMar>
            <w:vAlign w:val="bottom"/>
            <w:hideMark/>
          </w:tcPr>
          <w:p w:rsidR="007C1F9F" w:rsidRPr="00250361" w:rsidRDefault="007C1F9F" w:rsidP="00186172">
            <w:pPr>
              <w:pStyle w:val="AERtabletextheadingright"/>
            </w:pPr>
            <w:r w:rsidRPr="00250361">
              <w:t>3.7</w:t>
            </w:r>
          </w:p>
        </w:tc>
        <w:tc>
          <w:tcPr>
            <w:tcW w:w="875" w:type="dxa"/>
            <w:shd w:val="clear" w:color="auto" w:fill="F8B47C"/>
            <w:noWrap/>
            <w:tcMar>
              <w:top w:w="0" w:type="dxa"/>
              <w:bottom w:w="0" w:type="dxa"/>
            </w:tcMar>
            <w:vAlign w:val="bottom"/>
            <w:hideMark/>
          </w:tcPr>
          <w:p w:rsidR="007C1F9F" w:rsidRPr="00250361" w:rsidRDefault="007C1F9F" w:rsidP="00186172">
            <w:pPr>
              <w:pStyle w:val="AERtabletextheadingright"/>
            </w:pPr>
            <w:r w:rsidRPr="00250361">
              <w:t>1</w:t>
            </w:r>
          </w:p>
        </w:tc>
        <w:tc>
          <w:tcPr>
            <w:tcW w:w="875" w:type="dxa"/>
            <w:shd w:val="clear" w:color="auto" w:fill="F8B47C"/>
            <w:noWrap/>
            <w:tcMar>
              <w:top w:w="0" w:type="dxa"/>
              <w:bottom w:w="0" w:type="dxa"/>
            </w:tcMar>
            <w:vAlign w:val="bottom"/>
            <w:hideMark/>
          </w:tcPr>
          <w:p w:rsidR="007C1F9F" w:rsidRPr="00250361" w:rsidRDefault="007C1F9F" w:rsidP="00186172">
            <w:pPr>
              <w:pStyle w:val="AERtabletextheadingright"/>
            </w:pPr>
            <w:r>
              <w:t>–</w:t>
            </w:r>
            <w:r w:rsidRPr="00250361">
              <w:t>1.5</w:t>
            </w:r>
          </w:p>
        </w:tc>
        <w:tc>
          <w:tcPr>
            <w:tcW w:w="875" w:type="dxa"/>
            <w:shd w:val="clear" w:color="auto" w:fill="F8B47C"/>
            <w:noWrap/>
            <w:tcMar>
              <w:top w:w="0" w:type="dxa"/>
              <w:bottom w:w="0" w:type="dxa"/>
            </w:tcMar>
            <w:vAlign w:val="bottom"/>
            <w:hideMark/>
          </w:tcPr>
          <w:p w:rsidR="007C1F9F" w:rsidRPr="00250361" w:rsidRDefault="007C1F9F" w:rsidP="00186172">
            <w:pPr>
              <w:pStyle w:val="AERtabletextheadingright"/>
            </w:pPr>
            <w:r>
              <w:t>–</w:t>
            </w:r>
            <w:r w:rsidRPr="00250361">
              <w:t>2.6</w:t>
            </w:r>
          </w:p>
        </w:tc>
        <w:tc>
          <w:tcPr>
            <w:tcW w:w="875" w:type="dxa"/>
            <w:shd w:val="clear" w:color="auto" w:fill="F8B47C"/>
            <w:noWrap/>
            <w:tcMar>
              <w:top w:w="0" w:type="dxa"/>
              <w:bottom w:w="0" w:type="dxa"/>
            </w:tcMar>
            <w:vAlign w:val="bottom"/>
            <w:hideMark/>
          </w:tcPr>
          <w:p w:rsidR="007C1F9F" w:rsidRPr="00250361" w:rsidRDefault="007C1F9F" w:rsidP="00186172">
            <w:pPr>
              <w:pStyle w:val="AERtabletextheadingright"/>
            </w:pPr>
            <w:r w:rsidRPr="00250361">
              <w:t>0.7</w:t>
            </w:r>
          </w:p>
        </w:tc>
        <w:tc>
          <w:tcPr>
            <w:tcW w:w="875" w:type="dxa"/>
            <w:shd w:val="clear" w:color="auto" w:fill="F8B47C"/>
            <w:noWrap/>
            <w:tcMar>
              <w:top w:w="0" w:type="dxa"/>
              <w:bottom w:w="0" w:type="dxa"/>
            </w:tcMar>
            <w:vAlign w:val="bottom"/>
          </w:tcPr>
          <w:p w:rsidR="007C1F9F" w:rsidRPr="00250361" w:rsidRDefault="007C1F9F" w:rsidP="00186172">
            <w:pPr>
              <w:pStyle w:val="AERtabletextheadingright"/>
            </w:pPr>
            <w:r w:rsidRPr="00250361">
              <w:t>1.3</w:t>
            </w:r>
          </w:p>
        </w:tc>
      </w:tr>
    </w:tbl>
    <w:p w:rsidR="007C1F9F" w:rsidRDefault="007C1F9F" w:rsidP="007C1F9F">
      <w:pPr>
        <w:pStyle w:val="AERtablesource"/>
      </w:pPr>
      <w:r>
        <w:t xml:space="preserve">Source: </w:t>
      </w:r>
      <w:r>
        <w:tab/>
        <w:t xml:space="preserve">APA GasNet, </w:t>
      </w:r>
      <w:r w:rsidRPr="00FC7F7F">
        <w:rPr>
          <w:rStyle w:val="AERtextitalic"/>
        </w:rPr>
        <w:t>Access Arrangement Revision Proposal Submission</w:t>
      </w:r>
      <w:r>
        <w:t>, 31 March 2012, p. 185.</w:t>
      </w:r>
    </w:p>
    <w:p w:rsidR="007C1F9F" w:rsidRPr="00062982" w:rsidRDefault="007C1F9F" w:rsidP="007C1F9F">
      <w:pPr>
        <w:pStyle w:val="AERtablesource"/>
      </w:pPr>
      <w:r>
        <w:t xml:space="preserve">* </w:t>
      </w:r>
      <w:r>
        <w:tab/>
        <w:t>APA GasNet submitted that these values will not be available until later in 2012 and 2013.</w:t>
      </w:r>
    </w:p>
    <w:p w:rsidR="007C1F9F" w:rsidRPr="00895E0D" w:rsidRDefault="007C1F9F" w:rsidP="007C1F9F">
      <w:pPr>
        <w:pStyle w:val="AERheading2"/>
        <w:numPr>
          <w:ilvl w:val="1"/>
          <w:numId w:val="7"/>
        </w:numPr>
        <w:tabs>
          <w:tab w:val="clear" w:pos="4317"/>
          <w:tab w:val="num" w:pos="0"/>
        </w:tabs>
        <w:ind w:left="0" w:hanging="720"/>
      </w:pPr>
      <w:bookmarkStart w:id="103" w:name="_Toc334543780"/>
      <w:r>
        <w:t>Submissions</w:t>
      </w:r>
      <w:bookmarkEnd w:id="103"/>
    </w:p>
    <w:p w:rsidR="007C1F9F" w:rsidRDefault="007C1F9F" w:rsidP="007C1F9F">
      <w:pPr>
        <w:pStyle w:val="AERbodytext"/>
      </w:pPr>
      <w:r>
        <w:t>The Energy Users Coalition of Victoria (EUCV) provided a submission in which it raised concerns regarding the forecast increase in APA GasNet's opex allowance.</w:t>
      </w:r>
      <w:r>
        <w:rPr>
          <w:rStyle w:val="FootnoteReference"/>
        </w:rPr>
        <w:footnoteReference w:id="466"/>
      </w:r>
      <w:r>
        <w:t xml:space="preserve"> The EUCV considered that there is no need to adjust APA GasNet's</w:t>
      </w:r>
      <w:r w:rsidRPr="00A96F35">
        <w:t xml:space="preserve"> </w:t>
      </w:r>
      <w:r>
        <w:t xml:space="preserve">opex for the step changes proposed </w:t>
      </w:r>
      <w:r w:rsidRPr="00A96F35">
        <w:t xml:space="preserve">by </w:t>
      </w:r>
      <w:r>
        <w:t>APA GasNet. The AER's consideration of specific comments made by the EUCV are discussed in the relevant sections of this attachment.</w:t>
      </w:r>
      <w:r>
        <w:rPr>
          <w:rStyle w:val="FootnoteReference"/>
        </w:rPr>
        <w:footnoteReference w:id="467"/>
      </w:r>
    </w:p>
    <w:p w:rsidR="007C1F9F" w:rsidRPr="00C60681" w:rsidRDefault="007C1F9F" w:rsidP="007C1F9F">
      <w:pPr>
        <w:pStyle w:val="AERbodytext"/>
      </w:pPr>
      <w:r>
        <w:t>Australian Power and Gas (APG) made a submission in relation to the direct carbon costs, which APA GasNet indicated it may incur. APG submitted that, a</w:t>
      </w:r>
      <w:r w:rsidRPr="00C60681">
        <w:t>s liability on</w:t>
      </w:r>
      <w:r>
        <w:t xml:space="preserve"> </w:t>
      </w:r>
      <w:r w:rsidRPr="00C60681">
        <w:t>the operational controller (facility) at this point is identified as pertaining to fugitive</w:t>
      </w:r>
      <w:r>
        <w:t xml:space="preserve"> </w:t>
      </w:r>
      <w:r w:rsidRPr="00C60681">
        <w:t xml:space="preserve">related emissions </w:t>
      </w:r>
      <w:r>
        <w:t xml:space="preserve">APG </w:t>
      </w:r>
      <w:r w:rsidRPr="00C60681">
        <w:t>believe</w:t>
      </w:r>
      <w:r>
        <w:t>s</w:t>
      </w:r>
      <w:r w:rsidRPr="00C60681">
        <w:t xml:space="preserve"> that carbon costs under this </w:t>
      </w:r>
      <w:r>
        <w:t>Access arrangement</w:t>
      </w:r>
      <w:r w:rsidRPr="00C60681">
        <w:t xml:space="preserve"> should distinctly be</w:t>
      </w:r>
      <w:r>
        <w:t xml:space="preserve"> </w:t>
      </w:r>
      <w:r w:rsidRPr="00C60681">
        <w:t>categorised as fugitive emission related carbon costs only.</w:t>
      </w:r>
      <w:r>
        <w:rPr>
          <w:rStyle w:val="FootnoteReference"/>
        </w:rPr>
        <w:footnoteReference w:id="468"/>
      </w:r>
    </w:p>
    <w:p w:rsidR="007C1F9F" w:rsidRDefault="007C1F9F" w:rsidP="007C1F9F">
      <w:pPr>
        <w:pStyle w:val="AERheading2"/>
        <w:numPr>
          <w:ilvl w:val="1"/>
          <w:numId w:val="7"/>
        </w:numPr>
        <w:tabs>
          <w:tab w:val="clear" w:pos="4317"/>
          <w:tab w:val="num" w:pos="0"/>
        </w:tabs>
        <w:ind w:left="0" w:hanging="720"/>
      </w:pPr>
      <w:bookmarkStart w:id="104" w:name="_Ref331510218"/>
      <w:bookmarkStart w:id="105" w:name="_Toc334543781"/>
      <w:r>
        <w:t>Assessment approach</w:t>
      </w:r>
      <w:bookmarkEnd w:id="104"/>
      <w:bookmarkEnd w:id="105"/>
    </w:p>
    <w:p w:rsidR="007C1F9F" w:rsidRPr="007E3923" w:rsidRDefault="007C1F9F" w:rsidP="007C1F9F">
      <w:pPr>
        <w:pStyle w:val="AERbodytext"/>
        <w:rPr>
          <w:rFonts w:eastAsia="Calibri"/>
        </w:rPr>
      </w:pPr>
      <w:r w:rsidRPr="007E3923">
        <w:rPr>
          <w:rFonts w:eastAsia="Calibri"/>
        </w:rPr>
        <w:t>The AER has limited discretion in assessing opex.</w:t>
      </w:r>
      <w:r w:rsidRPr="007E3923">
        <w:rPr>
          <w:rStyle w:val="FootnoteReference"/>
          <w:rFonts w:eastAsia="Calibri"/>
        </w:rPr>
        <w:footnoteReference w:id="469"/>
      </w:r>
      <w:r w:rsidRPr="007E3923">
        <w:rPr>
          <w:rFonts w:eastAsia="Calibri"/>
        </w:rPr>
        <w:t xml:space="preserve"> The AER is required to assess APA GasNet's forecast opex to decide whether it is satisfied the forecast opex complies with applicable criteria prescribed by the NGL and NGR.</w:t>
      </w:r>
      <w:r w:rsidRPr="007E3923">
        <w:rPr>
          <w:rStyle w:val="FootnoteReference"/>
          <w:rFonts w:eastAsia="Calibri"/>
        </w:rPr>
        <w:footnoteReference w:id="470"/>
      </w:r>
      <w:r w:rsidRPr="007E3923">
        <w:rPr>
          <w:rFonts w:eastAsia="Calibri"/>
        </w:rPr>
        <w:t xml:space="preserve"> The AER must approve each element of APA GasNet's proposed opex if satisfied it complies with, and is consistent with, the criteria prescribed in the NGL and NGR. As noted in section </w:t>
      </w:r>
      <w:r w:rsidR="00DE0D6A" w:rsidRPr="007E3923">
        <w:rPr>
          <w:rFonts w:eastAsia="Calibri"/>
        </w:rPr>
        <w:fldChar w:fldCharType="begin"/>
      </w:r>
      <w:r w:rsidRPr="007E3923">
        <w:rPr>
          <w:rFonts w:eastAsia="Calibri"/>
        </w:rPr>
        <w:instrText xml:space="preserve"> REF _Ref331603816 \r \h </w:instrText>
      </w:r>
      <w:r w:rsidR="00DE0D6A" w:rsidRPr="007E3923">
        <w:rPr>
          <w:rFonts w:eastAsia="Calibri"/>
        </w:rPr>
      </w:r>
      <w:r w:rsidR="00DE0D6A" w:rsidRPr="007E3923">
        <w:rPr>
          <w:rFonts w:eastAsia="Calibri"/>
        </w:rPr>
        <w:fldChar w:fldCharType="separate"/>
      </w:r>
      <w:r>
        <w:rPr>
          <w:rFonts w:eastAsia="Calibri"/>
        </w:rPr>
        <w:t>6.2</w:t>
      </w:r>
      <w:r w:rsidR="00DE0D6A" w:rsidRPr="007E3923">
        <w:rPr>
          <w:rFonts w:eastAsia="Calibri"/>
        </w:rPr>
        <w:fldChar w:fldCharType="end"/>
      </w:r>
      <w:r w:rsidRPr="007E3923">
        <w:rPr>
          <w:rFonts w:eastAsia="Calibri"/>
        </w:rPr>
        <w:t xml:space="preserve"> </w:t>
      </w:r>
      <w:r>
        <w:rPr>
          <w:rFonts w:eastAsia="Calibri"/>
        </w:rPr>
        <w:t xml:space="preserve">APA </w:t>
      </w:r>
      <w:r w:rsidRPr="007E3923">
        <w:rPr>
          <w:rFonts w:eastAsia="Calibri"/>
        </w:rPr>
        <w:t>GasNet has a fixed principle which limits the scope of APA GasNet’s discretion in developing its opex forecast, and the AER’s discretion in assessing APA GasNet’s opex forecast. The AER has applied fixed principle 7.2.</w:t>
      </w:r>
    </w:p>
    <w:p w:rsidR="007C1F9F" w:rsidRPr="007E3923" w:rsidRDefault="007C1F9F" w:rsidP="007C1F9F">
      <w:pPr>
        <w:pStyle w:val="AERbodytext"/>
        <w:rPr>
          <w:rFonts w:eastAsia="Calibri"/>
        </w:rPr>
      </w:pPr>
      <w:r w:rsidRPr="007E3923">
        <w:rPr>
          <w:rFonts w:eastAsia="Calibri"/>
        </w:rPr>
        <w:t xml:space="preserve">The AER assessed APA GasNet's proposed opex against the criteria governing opex established by r. 91 of the NGR, and the forecasts and estimates criteria established by r. 74 of the NGR: </w:t>
      </w:r>
      <w:r w:rsidRPr="007E3923">
        <w:rPr>
          <w:rStyle w:val="FootnoteReference"/>
          <w:rFonts w:eastAsia="Calibri"/>
        </w:rPr>
        <w:footnoteReference w:id="471"/>
      </w:r>
    </w:p>
    <w:p w:rsidR="007C1F9F" w:rsidRPr="007E3923" w:rsidRDefault="007C1F9F" w:rsidP="007C1F9F">
      <w:pPr>
        <w:pStyle w:val="NER-RC-List-1-MNum"/>
        <w:rPr>
          <w:rStyle w:val="AERtextbold"/>
          <w:rFonts w:eastAsia="Calibri"/>
        </w:rPr>
      </w:pPr>
      <w:r w:rsidRPr="007E3923">
        <w:rPr>
          <w:rStyle w:val="AERtextbold"/>
          <w:rFonts w:eastAsia="Calibri"/>
        </w:rPr>
        <w:t xml:space="preserve">91 </w:t>
      </w:r>
      <w:r w:rsidRPr="007E3923">
        <w:rPr>
          <w:rStyle w:val="AERtextbold"/>
          <w:rFonts w:eastAsia="Calibri"/>
        </w:rPr>
        <w:tab/>
        <w:t xml:space="preserve">Criteria governing operating expenditure </w:t>
      </w:r>
    </w:p>
    <w:p w:rsidR="007C1F9F" w:rsidRPr="007E3923" w:rsidRDefault="007C1F9F" w:rsidP="007C1F9F">
      <w:pPr>
        <w:pStyle w:val="NER-RC-List-2-MNum"/>
        <w:rPr>
          <w:rFonts w:eastAsia="Calibri"/>
        </w:rPr>
      </w:pPr>
      <w:r w:rsidRPr="007E3923">
        <w:rPr>
          <w:rFonts w:eastAsia="Calibri"/>
        </w:rPr>
        <w:t xml:space="preserve">(1) </w:t>
      </w:r>
      <w:r w:rsidRPr="007E3923">
        <w:rPr>
          <w:rFonts w:eastAsia="Calibri"/>
        </w:rPr>
        <w:tab/>
        <w:t>Operating expenditure must be such as would be incurred by a prudent service provider acting efficiently, in accordance with accepted good industry practice, to achieve the lowest sustainable cost of delivering pipeline services.</w:t>
      </w:r>
    </w:p>
    <w:p w:rsidR="007C1F9F" w:rsidRPr="007E3923" w:rsidRDefault="007C1F9F" w:rsidP="007C1F9F">
      <w:pPr>
        <w:pStyle w:val="NER-RC-List-2-MNum"/>
        <w:rPr>
          <w:rFonts w:eastAsia="Calibri"/>
        </w:rPr>
      </w:pPr>
      <w:r w:rsidRPr="007E3923">
        <w:rPr>
          <w:rFonts w:eastAsia="Calibri"/>
        </w:rPr>
        <w:t xml:space="preserve">(2) </w:t>
      </w:r>
      <w:r w:rsidRPr="007E3923">
        <w:rPr>
          <w:rFonts w:eastAsia="Calibri"/>
        </w:rPr>
        <w:tab/>
        <w:t>The AER’s discretion under this rule is limited.</w:t>
      </w:r>
    </w:p>
    <w:p w:rsidR="007C1F9F" w:rsidRPr="007E3923" w:rsidRDefault="007C1F9F" w:rsidP="007C1F9F">
      <w:pPr>
        <w:pStyle w:val="NER-RC-List-1-MNum"/>
        <w:rPr>
          <w:rStyle w:val="AERtextbold"/>
          <w:rFonts w:eastAsia="Calibri"/>
        </w:rPr>
      </w:pPr>
      <w:r w:rsidRPr="007E3923">
        <w:rPr>
          <w:rStyle w:val="AERtextbold"/>
          <w:rFonts w:eastAsia="Calibri"/>
        </w:rPr>
        <w:t xml:space="preserve">74 </w:t>
      </w:r>
      <w:r w:rsidRPr="007E3923">
        <w:rPr>
          <w:rStyle w:val="AERtextbold"/>
          <w:rFonts w:eastAsia="Calibri"/>
        </w:rPr>
        <w:tab/>
        <w:t>Forecasts and estimates</w:t>
      </w:r>
    </w:p>
    <w:p w:rsidR="007C1F9F" w:rsidRPr="007E3923" w:rsidRDefault="007C1F9F" w:rsidP="007C1F9F">
      <w:pPr>
        <w:pStyle w:val="NER-RC-List-2-MNum"/>
        <w:rPr>
          <w:rFonts w:eastAsia="Calibri"/>
        </w:rPr>
      </w:pPr>
      <w:r w:rsidRPr="007E3923">
        <w:rPr>
          <w:rFonts w:eastAsia="Calibri"/>
        </w:rPr>
        <w:t xml:space="preserve">(1) </w:t>
      </w:r>
      <w:r w:rsidRPr="007E3923">
        <w:rPr>
          <w:rFonts w:eastAsia="Calibri"/>
        </w:rPr>
        <w:tab/>
        <w:t>Information in the nature of a forecast or estimate must be supported by a statement of the basis of the forecast or estimate.</w:t>
      </w:r>
    </w:p>
    <w:p w:rsidR="007C1F9F" w:rsidRPr="007E3923" w:rsidRDefault="007C1F9F" w:rsidP="007C1F9F">
      <w:pPr>
        <w:pStyle w:val="NER-RC-List-2-MNum"/>
        <w:rPr>
          <w:rFonts w:eastAsia="Calibri"/>
        </w:rPr>
      </w:pPr>
      <w:r w:rsidRPr="007E3923">
        <w:rPr>
          <w:rFonts w:eastAsia="Calibri"/>
        </w:rPr>
        <w:t xml:space="preserve">(2) </w:t>
      </w:r>
      <w:r w:rsidRPr="007E3923">
        <w:rPr>
          <w:rFonts w:eastAsia="Calibri"/>
        </w:rPr>
        <w:tab/>
        <w:t>A forecast or estimate:</w:t>
      </w:r>
    </w:p>
    <w:p w:rsidR="007C1F9F" w:rsidRPr="007E3923" w:rsidRDefault="007C1F9F" w:rsidP="007C1F9F">
      <w:pPr>
        <w:pStyle w:val="NER-RC-List-2-MNum"/>
        <w:rPr>
          <w:rFonts w:eastAsia="Calibri"/>
        </w:rPr>
      </w:pPr>
      <w:r w:rsidRPr="007E3923">
        <w:rPr>
          <w:rFonts w:eastAsia="Calibri"/>
        </w:rPr>
        <w:t xml:space="preserve">(a) </w:t>
      </w:r>
      <w:r w:rsidRPr="007E3923">
        <w:rPr>
          <w:rFonts w:eastAsia="Calibri"/>
        </w:rPr>
        <w:tab/>
        <w:t>must be arrived at on a reasonable basis; and</w:t>
      </w:r>
    </w:p>
    <w:p w:rsidR="007C1F9F" w:rsidRPr="007E3923" w:rsidRDefault="007C1F9F" w:rsidP="007C1F9F">
      <w:pPr>
        <w:pStyle w:val="NER-RC-List-2-MNum"/>
        <w:rPr>
          <w:rFonts w:eastAsia="Calibri"/>
        </w:rPr>
      </w:pPr>
      <w:r w:rsidRPr="007E3923">
        <w:rPr>
          <w:rFonts w:eastAsia="Calibri"/>
        </w:rPr>
        <w:t xml:space="preserve">(b) </w:t>
      </w:r>
      <w:r w:rsidRPr="007E3923">
        <w:rPr>
          <w:rFonts w:eastAsia="Calibri"/>
        </w:rPr>
        <w:tab/>
        <w:t>must represent the best forecast or estimate possible in the circumstances.</w:t>
      </w:r>
    </w:p>
    <w:p w:rsidR="007C1F9F" w:rsidRPr="007E3923" w:rsidRDefault="007C1F9F" w:rsidP="007C1F9F">
      <w:pPr>
        <w:pStyle w:val="AERbodytext"/>
        <w:rPr>
          <w:rFonts w:eastAsia="Calibri"/>
        </w:rPr>
      </w:pPr>
      <w:r w:rsidRPr="007E3923">
        <w:rPr>
          <w:rFonts w:eastAsia="Calibri"/>
        </w:rPr>
        <w:t xml:space="preserve">The AER has amended APA GasNet's proposal to conform with </w:t>
      </w:r>
      <w:r>
        <w:rPr>
          <w:rFonts w:eastAsia="Calibri"/>
        </w:rPr>
        <w:t>r</w:t>
      </w:r>
      <w:r w:rsidRPr="007E3923">
        <w:rPr>
          <w:rFonts w:eastAsia="Calibri"/>
        </w:rPr>
        <w:t>r. 74 and 91 of the NGR taking into account where relevant, transitional provisions of the NGR.</w:t>
      </w:r>
      <w:r w:rsidRPr="007E3923">
        <w:rPr>
          <w:rStyle w:val="FootnoteReference"/>
          <w:rFonts w:eastAsia="Calibri"/>
        </w:rPr>
        <w:footnoteReference w:id="472"/>
      </w:r>
      <w:r w:rsidRPr="007E3923">
        <w:rPr>
          <w:rFonts w:eastAsia="Calibri"/>
        </w:rPr>
        <w:t xml:space="preserve"> </w:t>
      </w:r>
    </w:p>
    <w:p w:rsidR="007C1F9F" w:rsidRPr="007E3923" w:rsidRDefault="007C1F9F" w:rsidP="007C1F9F">
      <w:pPr>
        <w:pStyle w:val="AERbodytext"/>
        <w:rPr>
          <w:rFonts w:eastAsia="Calibri"/>
        </w:rPr>
      </w:pPr>
      <w:r w:rsidRPr="007E3923">
        <w:rPr>
          <w:rFonts w:eastAsia="Calibri"/>
        </w:rPr>
        <w:t>As part of its assessment, the AER has compared historical expenditure with that proposed to better understand the key drivers behind APA GasNet's proposed forecast.</w:t>
      </w:r>
    </w:p>
    <w:p w:rsidR="007C1F9F" w:rsidRPr="007E3923" w:rsidRDefault="007C1F9F" w:rsidP="007C1F9F">
      <w:pPr>
        <w:pStyle w:val="AERbodytext"/>
        <w:rPr>
          <w:rStyle w:val="AERbody"/>
          <w:rFonts w:eastAsia="Calibri"/>
        </w:rPr>
      </w:pPr>
      <w:r w:rsidRPr="007E3923">
        <w:rPr>
          <w:rFonts w:eastAsia="Calibri"/>
        </w:rPr>
        <w:t xml:space="preserve">The AER has also taken into consideration any benchmarking studies provided. APA GasNet has </w:t>
      </w:r>
      <w:r w:rsidRPr="007E3923">
        <w:rPr>
          <w:rStyle w:val="AERbody"/>
          <w:rFonts w:eastAsia="Calibri"/>
        </w:rPr>
        <w:t>submitted a benchmarking report from KPMG to support its forecast corporate costs. Benchmarking studies of this nature are valuable inputs to the forecasting process. However the assumptions that underlie such studies are subjective and therefore have only been used as a supplement to other analyses.</w:t>
      </w:r>
    </w:p>
    <w:p w:rsidR="007C1F9F" w:rsidRPr="007E3923" w:rsidRDefault="007C1F9F" w:rsidP="007C1F9F">
      <w:pPr>
        <w:pStyle w:val="AERbodytext"/>
        <w:rPr>
          <w:rFonts w:eastAsia="Calibri"/>
        </w:rPr>
      </w:pPr>
      <w:r w:rsidRPr="007E3923">
        <w:rPr>
          <w:rFonts w:eastAsia="Calibri"/>
        </w:rPr>
        <w:t>In forming its views the AER has also considered advice from Deloitte Access Economics (DAE) on labour cost escalators.</w:t>
      </w:r>
    </w:p>
    <w:p w:rsidR="007C1F9F" w:rsidRDefault="007C1F9F" w:rsidP="007C1F9F">
      <w:pPr>
        <w:pStyle w:val="AERheading2"/>
        <w:numPr>
          <w:ilvl w:val="1"/>
          <w:numId w:val="7"/>
        </w:numPr>
        <w:tabs>
          <w:tab w:val="clear" w:pos="4317"/>
          <w:tab w:val="num" w:pos="0"/>
        </w:tabs>
        <w:ind w:left="0" w:hanging="720"/>
      </w:pPr>
      <w:bookmarkStart w:id="106" w:name="_Toc334543782"/>
      <w:r>
        <w:t>Reasons for decision</w:t>
      </w:r>
      <w:bookmarkEnd w:id="106"/>
    </w:p>
    <w:p w:rsidR="007C1F9F" w:rsidRPr="007E3923" w:rsidRDefault="007C1F9F" w:rsidP="007C1F9F">
      <w:pPr>
        <w:pStyle w:val="AERbodytext"/>
        <w:rPr>
          <w:rStyle w:val="AERbody"/>
          <w:rFonts w:eastAsia="Calibri"/>
        </w:rPr>
      </w:pPr>
      <w:r w:rsidRPr="00562CC5">
        <w:t xml:space="preserve">The AER's draft decision is not to accept </w:t>
      </w:r>
      <w:r>
        <w:t>APA GasNet'</w:t>
      </w:r>
      <w:r w:rsidRPr="00562CC5">
        <w:t>s forecast opex</w:t>
      </w:r>
      <w:r>
        <w:t xml:space="preserve">. </w:t>
      </w:r>
      <w:r w:rsidRPr="00562CC5">
        <w:t xml:space="preserve">The AER considers that several elements of </w:t>
      </w:r>
      <w:r>
        <w:t>APA GasNet's</w:t>
      </w:r>
      <w:r w:rsidRPr="00562CC5">
        <w:t xml:space="preserve"> proposals do not comply with </w:t>
      </w:r>
      <w:r w:rsidRPr="007E3923">
        <w:rPr>
          <w:rStyle w:val="AERbody"/>
          <w:rFonts w:eastAsia="Calibri"/>
        </w:rPr>
        <w:t>opex criteria or the criteria for forecasts and estimates.</w:t>
      </w:r>
      <w:r w:rsidRPr="007E3923">
        <w:rPr>
          <w:rStyle w:val="FootnoteReference"/>
          <w:rFonts w:eastAsia="Calibri"/>
        </w:rPr>
        <w:footnoteReference w:id="473"/>
      </w:r>
      <w:r w:rsidRPr="007E3923">
        <w:rPr>
          <w:rStyle w:val="AERbody"/>
          <w:rFonts w:eastAsia="Calibri"/>
        </w:rPr>
        <w:t xml:space="preserve"> </w:t>
      </w:r>
    </w:p>
    <w:p w:rsidR="007C1F9F" w:rsidRPr="007E3923" w:rsidRDefault="007C1F9F" w:rsidP="007C1F9F">
      <w:pPr>
        <w:pStyle w:val="AERbodytext"/>
        <w:rPr>
          <w:rStyle w:val="AERbody"/>
          <w:rFonts w:eastAsia="Calibri"/>
        </w:rPr>
      </w:pPr>
      <w:r w:rsidRPr="007E3923">
        <w:rPr>
          <w:rStyle w:val="AERbody"/>
          <w:rFonts w:eastAsia="Calibri"/>
        </w:rPr>
        <w:t>Discussion of the AER's reasoning is presented under the following headings:</w:t>
      </w:r>
    </w:p>
    <w:p w:rsidR="007C1F9F" w:rsidRPr="00562CC5" w:rsidRDefault="007C1F9F" w:rsidP="007C1F9F">
      <w:pPr>
        <w:pStyle w:val="AERbulletlistfirststyle"/>
      </w:pPr>
      <w:r w:rsidRPr="00562CC5">
        <w:t>forecasting base year opex</w:t>
      </w:r>
    </w:p>
    <w:p w:rsidR="007C1F9F" w:rsidRPr="00562CC5" w:rsidRDefault="007C1F9F" w:rsidP="007C1F9F">
      <w:pPr>
        <w:pStyle w:val="AERbulletlistfirststyle"/>
      </w:pPr>
      <w:r w:rsidRPr="00562CC5">
        <w:t>escalation of base year opex</w:t>
      </w:r>
    </w:p>
    <w:p w:rsidR="007C1F9F" w:rsidRDefault="007C1F9F" w:rsidP="007C1F9F">
      <w:pPr>
        <w:pStyle w:val="AERbulletlistfirststyle"/>
      </w:pPr>
      <w:r w:rsidRPr="00562CC5">
        <w:t>step changes</w:t>
      </w:r>
    </w:p>
    <w:p w:rsidR="007C1F9F" w:rsidRPr="00562CC5" w:rsidRDefault="007C1F9F" w:rsidP="007C1F9F">
      <w:pPr>
        <w:pStyle w:val="AERbulletlistfirststyle"/>
      </w:pPr>
      <w:r>
        <w:t>allowances</w:t>
      </w:r>
    </w:p>
    <w:p w:rsidR="007C1F9F" w:rsidRPr="007E3923" w:rsidRDefault="00DE0D6A" w:rsidP="007C1F9F">
      <w:pPr>
        <w:pStyle w:val="AERbodytext"/>
        <w:rPr>
          <w:rFonts w:eastAsia="Calibri"/>
        </w:rPr>
      </w:pPr>
      <w:r w:rsidRPr="007E3923">
        <w:rPr>
          <w:rFonts w:eastAsia="Calibri"/>
        </w:rPr>
        <w:fldChar w:fldCharType="begin"/>
      </w:r>
      <w:r w:rsidR="007C1F9F" w:rsidRPr="007E3923">
        <w:rPr>
          <w:rFonts w:eastAsia="Calibri"/>
        </w:rPr>
        <w:instrText xml:space="preserve"> REF _Ref330485532 \r \h </w:instrText>
      </w:r>
      <w:r w:rsidRPr="007E3923">
        <w:rPr>
          <w:rFonts w:eastAsia="Calibri"/>
        </w:rPr>
      </w:r>
      <w:r w:rsidRPr="007E3923">
        <w:rPr>
          <w:rFonts w:eastAsia="Calibri"/>
        </w:rPr>
        <w:fldChar w:fldCharType="separate"/>
      </w:r>
      <w:r w:rsidR="007C1F9F">
        <w:rPr>
          <w:rFonts w:eastAsia="Calibri"/>
        </w:rPr>
        <w:t>Figure 6.3</w:t>
      </w:r>
      <w:r w:rsidRPr="007E3923">
        <w:rPr>
          <w:rFonts w:eastAsia="Calibri"/>
        </w:rPr>
        <w:fldChar w:fldCharType="end"/>
      </w:r>
      <w:r w:rsidR="007C1F9F" w:rsidRPr="007E3923">
        <w:rPr>
          <w:rFonts w:eastAsia="Calibri"/>
        </w:rPr>
        <w:t xml:space="preserve"> disaggregates the AER's draft decision on opex for APA GasNet into different cost categories</w:t>
      </w:r>
      <w:r w:rsidR="007C1F9F">
        <w:rPr>
          <w:rFonts w:eastAsia="Calibri"/>
        </w:rPr>
        <w:t>.</w:t>
      </w:r>
      <w:r w:rsidR="007C1F9F" w:rsidRPr="007E3923">
        <w:rPr>
          <w:rFonts w:eastAsia="Calibri"/>
        </w:rPr>
        <w:t xml:space="preserve"> </w:t>
      </w:r>
    </w:p>
    <w:p w:rsidR="007C1F9F" w:rsidRPr="007E3923" w:rsidRDefault="007C1F9F" w:rsidP="007C1F9F">
      <w:pPr>
        <w:pStyle w:val="AERfigureheading"/>
        <w:rPr>
          <w:rFonts w:eastAsia="Calibri"/>
        </w:rPr>
      </w:pPr>
      <w:bookmarkStart w:id="107" w:name="_Ref330485532"/>
      <w:r w:rsidRPr="007E3923">
        <w:rPr>
          <w:rFonts w:eastAsia="Calibri"/>
        </w:rPr>
        <w:t>Disaggregation of AER draft decision on APA GasNet opex</w:t>
      </w:r>
      <w:bookmarkEnd w:id="107"/>
      <w:r w:rsidRPr="007E3923">
        <w:rPr>
          <w:rFonts w:eastAsia="Calibri"/>
        </w:rPr>
        <w:t xml:space="preserve"> ($million, 2012)</w:t>
      </w:r>
    </w:p>
    <w:p w:rsidR="007C1F9F" w:rsidRPr="007E3923" w:rsidRDefault="007C1F9F" w:rsidP="007C1F9F">
      <w:pPr>
        <w:pStyle w:val="AERbodytext"/>
        <w:rPr>
          <w:rFonts w:eastAsia="Calibri"/>
        </w:rPr>
      </w:pPr>
      <w:r w:rsidRPr="00340B60">
        <w:t xml:space="preserve"> </w:t>
      </w:r>
      <w:r w:rsidR="00AB287B">
        <w:pict>
          <v:shape id="_x0000_i1034" type="#_x0000_t75" style="width:410.25pt;height:28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t5P3gAAAAUBAAAPAAAAZHJzL2Rvd25y&#10;ZXYueG1sTI9La8MwEITvhf4HsYXeGikBN8G1HPqgUEhLyQt63Fhby8RaOZaSuP++ai/tZWGYYebb&#10;Yj64VpyoD41nDeORAkFcedNwrWGzfr6ZgQgR2WDrmTR8UYB5eXlRYG78mZd0WsVapBIOOWqwMXa5&#10;lKGy5DCMfEecvE/fO4xJ9rU0PZ5TuWvlRKlb6bDhtGCxo0dL1X51dBro/bB/tcs3tZFP0+3i8PLw&#10;scBB6+ur4f4ORKQh/oXhBz+hQ5mYdv7IJohWQ3ok/t7kzSYqA7HTkE3HGciykP/py2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">
            <v:imagedata r:id="rId29" o:title="" croptop="-1821f" cropbottom="-4880f" cropleft="-2290f" cropright="-4731f"/>
            <o:lock v:ext="edit" aspectratio="f"/>
          </v:shape>
        </w:pict>
      </w:r>
    </w:p>
    <w:p w:rsidR="007C1F9F" w:rsidRPr="00562CC5" w:rsidRDefault="007C1F9F" w:rsidP="007C1F9F">
      <w:pPr>
        <w:pStyle w:val="AERtablesource"/>
      </w:pPr>
      <w:r>
        <w:t xml:space="preserve">Source: </w:t>
      </w:r>
      <w:r>
        <w:tab/>
        <w:t>AER analysis.</w:t>
      </w:r>
    </w:p>
    <w:p w:rsidR="007C1F9F" w:rsidRDefault="007C1F9F" w:rsidP="007C1F9F">
      <w:pPr>
        <w:pStyle w:val="AERheading3"/>
        <w:numPr>
          <w:ilvl w:val="2"/>
          <w:numId w:val="7"/>
        </w:numPr>
        <w:tabs>
          <w:tab w:val="clear" w:pos="-357"/>
          <w:tab w:val="num" w:pos="0"/>
        </w:tabs>
        <w:ind w:left="0" w:hanging="714"/>
      </w:pPr>
      <w:bookmarkStart w:id="108" w:name="_Ref331673925"/>
      <w:r w:rsidRPr="00907650">
        <w:t>Forecasting base year</w:t>
      </w:r>
      <w:r>
        <w:t xml:space="preserve"> opex</w:t>
      </w:r>
      <w:bookmarkEnd w:id="108"/>
    </w:p>
    <w:p w:rsidR="007C1F9F" w:rsidRPr="004E1E9E" w:rsidRDefault="007C1F9F" w:rsidP="007C1F9F">
      <w:pPr>
        <w:pStyle w:val="AERbodytext"/>
      </w:pPr>
      <w:r>
        <w:t xml:space="preserve">APA GasNet proposed a base year of 2011. As stated in section </w:t>
      </w:r>
      <w:r w:rsidR="00DE0D6A">
        <w:fldChar w:fldCharType="begin"/>
      </w:r>
      <w:r>
        <w:instrText xml:space="preserve"> REF _Ref331591066 \r \h </w:instrText>
      </w:r>
      <w:r w:rsidR="00DE0D6A">
        <w:fldChar w:fldCharType="separate"/>
      </w:r>
      <w:r>
        <w:t>6.2.2</w:t>
      </w:r>
      <w:r w:rsidR="00DE0D6A">
        <w:fldChar w:fldCharType="end"/>
      </w:r>
      <w:r>
        <w:t>, APA GasNet</w:t>
      </w:r>
      <w:r w:rsidRPr="004E1E9E">
        <w:t>’</w:t>
      </w:r>
      <w:r>
        <w:t>s</w:t>
      </w:r>
      <w:r w:rsidRPr="004E1E9E">
        <w:t xml:space="preserve"> 2008–12 Access arrangement includes a fixed principle which</w:t>
      </w:r>
      <w:r>
        <w:t xml:space="preserve"> relates to the manner in which APA GasNet's</w:t>
      </w:r>
      <w:r w:rsidRPr="004E1E9E">
        <w:t xml:space="preserve"> </w:t>
      </w:r>
      <w:r>
        <w:t xml:space="preserve">opex for the 2013–17 access arrangement period is calculated. </w:t>
      </w:r>
    </w:p>
    <w:p w:rsidR="007C1F9F" w:rsidRDefault="007C1F9F" w:rsidP="007C1F9F">
      <w:pPr>
        <w:pStyle w:val="AERbodytext"/>
      </w:pPr>
      <w:r w:rsidRPr="004E1E9E">
        <w:t>Transitional arrangements under the National Gas Rules provide that in deciding</w:t>
      </w:r>
      <w:r>
        <w:t xml:space="preserve"> </w:t>
      </w:r>
      <w:r w:rsidRPr="004E1E9E">
        <w:t>whether to approve an access arrangement revision proposal for a transmission</w:t>
      </w:r>
      <w:r>
        <w:t xml:space="preserve"> </w:t>
      </w:r>
      <w:r w:rsidRPr="004E1E9E">
        <w:t>access arrangement, the AER must take into account any provisions of the</w:t>
      </w:r>
      <w:r>
        <w:t xml:space="preserve"> </w:t>
      </w:r>
      <w:r w:rsidRPr="004E1E9E">
        <w:t>transitional access arrangement that were fixed principles under section 8.47 of the</w:t>
      </w:r>
      <w:r>
        <w:t xml:space="preserve"> </w:t>
      </w:r>
      <w:r w:rsidRPr="004E1E9E">
        <w:t>National Gas Code, for the period for which they were fixed.</w:t>
      </w:r>
      <w:r>
        <w:rPr>
          <w:rStyle w:val="FootnoteReference"/>
        </w:rPr>
        <w:footnoteReference w:id="474"/>
      </w:r>
      <w:r>
        <w:t xml:space="preserve"> Accordingly the AER has taken into account fixed principle clause 7.2(h) when calculating APA GasNet's opex allowance for the 2013–17 access arrangement period. </w:t>
      </w:r>
    </w:p>
    <w:p w:rsidR="007C1F9F" w:rsidRPr="007E3923" w:rsidRDefault="007C1F9F" w:rsidP="007C1F9F">
      <w:pPr>
        <w:pStyle w:val="AERbodytext"/>
        <w:rPr>
          <w:rFonts w:eastAsia="Calibri"/>
        </w:rPr>
      </w:pPr>
      <w:r>
        <w:t>APA GasNet</w:t>
      </w:r>
      <w:r w:rsidRPr="004E1E9E">
        <w:t xml:space="preserve"> forecast opex using a base year roll forward methodology</w:t>
      </w:r>
      <w:r>
        <w:t xml:space="preserve"> and proposed 2011 as the base year</w:t>
      </w:r>
      <w:r w:rsidRPr="004E1E9E">
        <w:t>.</w:t>
      </w:r>
      <w:r w:rsidRPr="004E1E9E">
        <w:rPr>
          <w:rStyle w:val="FootnoteReference"/>
        </w:rPr>
        <w:footnoteReference w:id="475"/>
      </w:r>
      <w:r w:rsidRPr="007E3923">
        <w:rPr>
          <w:rFonts w:eastAsia="Calibri"/>
        </w:rPr>
        <w:t xml:space="preserve"> The AER considers that 2011 is the appropriate base year to use in forecasting APA GasNet's opex allowance. The use of 2011 as the base year also complies with the fixed principle. The AER considers that $27.5m </w:t>
      </w:r>
      <w:r>
        <w:t>($2012)</w:t>
      </w:r>
      <w:r w:rsidRPr="007E3923">
        <w:rPr>
          <w:rFonts w:eastAsia="Calibri"/>
        </w:rPr>
        <w:t xml:space="preserve"> as proposed by APA GasNet is the appropriate base year opex. </w:t>
      </w:r>
    </w:p>
    <w:p w:rsidR="007C1F9F" w:rsidRPr="007E3923" w:rsidRDefault="007C1F9F" w:rsidP="007C1F9F">
      <w:pPr>
        <w:pStyle w:val="AERheading4"/>
        <w:rPr>
          <w:rFonts w:eastAsia="Calibri"/>
        </w:rPr>
      </w:pPr>
      <w:r w:rsidRPr="007E3923">
        <w:rPr>
          <w:rFonts w:eastAsia="Calibri"/>
        </w:rPr>
        <w:t>Adjustments to base year costs</w:t>
      </w:r>
    </w:p>
    <w:p w:rsidR="007C1F9F" w:rsidRPr="007E3923" w:rsidRDefault="007C1F9F" w:rsidP="007C1F9F">
      <w:pPr>
        <w:pStyle w:val="AERbodytext"/>
        <w:rPr>
          <w:rFonts w:eastAsia="Calibri"/>
        </w:rPr>
      </w:pPr>
      <w:r w:rsidRPr="007E3923">
        <w:rPr>
          <w:rFonts w:eastAsia="Calibri"/>
        </w:rPr>
        <w:t>APA GasNet proposed to adjust base year expenditure for non-recurrent opex items and to escalate from 2011 actual opex to 2012 forecast opex (</w:t>
      </w:r>
      <w:fldSimple w:instr=" REF  _Ref325979517 \* Lower \h \r  \* MERGEFORMAT ">
        <w:r w:rsidR="00377B37">
          <w:t>table 6.2</w:t>
        </w:r>
      </w:fldSimple>
      <w:r>
        <w:t>).</w:t>
      </w:r>
      <w:r w:rsidRPr="007E3923">
        <w:rPr>
          <w:rStyle w:val="FootnoteReference"/>
          <w:rFonts w:eastAsia="Calibri"/>
        </w:rPr>
        <w:footnoteReference w:id="476"/>
      </w:r>
    </w:p>
    <w:p w:rsidR="007C1F9F" w:rsidRPr="007E3923" w:rsidRDefault="007C1F9F" w:rsidP="007C1F9F">
      <w:pPr>
        <w:pStyle w:val="AERtabletitle"/>
        <w:rPr>
          <w:rFonts w:eastAsia="Calibri"/>
        </w:rPr>
      </w:pPr>
      <w:r w:rsidRPr="007E3923">
        <w:rPr>
          <w:rFonts w:eastAsia="Calibri"/>
        </w:rPr>
        <w:t>Proposal and AER draft decision on base year adjustments ($million, 2012)</w:t>
      </w:r>
    </w:p>
    <w:tbl>
      <w:tblPr>
        <w:tblW w:w="5000" w:type="pct"/>
        <w:tblBorders>
          <w:top w:val="single" w:sz="4" w:space="0" w:color="auto"/>
          <w:bottom w:val="single" w:sz="4" w:space="0" w:color="auto"/>
        </w:tblBorders>
        <w:tblLayout w:type="fixed"/>
        <w:tblLook w:val="04A0"/>
      </w:tblPr>
      <w:tblGrid>
        <w:gridCol w:w="6062"/>
        <w:gridCol w:w="1233"/>
        <w:gridCol w:w="1233"/>
      </w:tblGrid>
      <w:tr w:rsidR="007C1F9F" w:rsidRPr="00843DC1" w:rsidTr="00186172">
        <w:trPr>
          <w:trHeight w:val="300"/>
        </w:trPr>
        <w:tc>
          <w:tcPr>
            <w:tcW w:w="3554"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Opex item</w:t>
            </w:r>
          </w:p>
        </w:tc>
        <w:tc>
          <w:tcPr>
            <w:tcW w:w="7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APA GasNet Proposed</w:t>
            </w:r>
          </w:p>
        </w:tc>
        <w:tc>
          <w:tcPr>
            <w:tcW w:w="723"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hideMark/>
          </w:tcPr>
          <w:p w:rsidR="007C1F9F" w:rsidRPr="00791B25" w:rsidRDefault="007C1F9F" w:rsidP="00186172">
            <w:pPr>
              <w:pStyle w:val="AERtabletextheading"/>
            </w:pPr>
            <w:r w:rsidRPr="00791B25">
              <w:t>Approved</w:t>
            </w:r>
          </w:p>
        </w:tc>
      </w:tr>
      <w:tr w:rsidR="007C1F9F" w:rsidRPr="00843DC1" w:rsidTr="00186172">
        <w:trPr>
          <w:trHeight w:val="255"/>
        </w:trPr>
        <w:tc>
          <w:tcPr>
            <w:tcW w:w="3554" w:type="pct"/>
            <w:shd w:val="clear" w:color="auto" w:fill="auto"/>
            <w:noWrap/>
            <w:tcMar>
              <w:top w:w="0" w:type="dxa"/>
              <w:bottom w:w="0" w:type="dxa"/>
            </w:tcMar>
            <w:vAlign w:val="center"/>
            <w:hideMark/>
          </w:tcPr>
          <w:p w:rsidR="007C1F9F" w:rsidRPr="000C5F81" w:rsidRDefault="007C1F9F" w:rsidP="00186172">
            <w:pPr>
              <w:pStyle w:val="AERtabletext"/>
            </w:pPr>
            <w:r w:rsidRPr="000C5F81">
              <w:t>Unadjusted 2011 opex</w:t>
            </w:r>
          </w:p>
        </w:tc>
        <w:tc>
          <w:tcPr>
            <w:tcW w:w="723" w:type="pct"/>
            <w:shd w:val="clear" w:color="auto" w:fill="auto"/>
            <w:noWrap/>
            <w:tcMar>
              <w:top w:w="0" w:type="dxa"/>
              <w:bottom w:w="0" w:type="dxa"/>
            </w:tcMar>
            <w:vAlign w:val="center"/>
            <w:hideMark/>
          </w:tcPr>
          <w:p w:rsidR="007C1F9F" w:rsidRPr="00F82810" w:rsidRDefault="007C1F9F" w:rsidP="00186172">
            <w:pPr>
              <w:pStyle w:val="AERtabletext-numbers"/>
            </w:pPr>
            <w:r w:rsidRPr="00F82810">
              <w:t>27.50</w:t>
            </w:r>
          </w:p>
        </w:tc>
        <w:tc>
          <w:tcPr>
            <w:tcW w:w="723" w:type="pct"/>
            <w:shd w:val="clear" w:color="auto" w:fill="auto"/>
            <w:noWrap/>
            <w:tcMar>
              <w:top w:w="0" w:type="dxa"/>
              <w:bottom w:w="0" w:type="dxa"/>
            </w:tcMar>
            <w:vAlign w:val="center"/>
            <w:hideMark/>
          </w:tcPr>
          <w:p w:rsidR="007C1F9F" w:rsidRPr="000C5F81" w:rsidRDefault="007C1F9F" w:rsidP="00186172">
            <w:pPr>
              <w:pStyle w:val="AERtabletext-numbers"/>
            </w:pPr>
            <w:r w:rsidRPr="000C5F81">
              <w:t>27.50</w:t>
            </w:r>
          </w:p>
        </w:tc>
      </w:tr>
      <w:tr w:rsidR="007C1F9F" w:rsidRPr="00843DC1" w:rsidTr="00186172">
        <w:trPr>
          <w:trHeight w:val="255"/>
        </w:trPr>
        <w:tc>
          <w:tcPr>
            <w:tcW w:w="3554" w:type="pct"/>
            <w:shd w:val="clear" w:color="auto" w:fill="F8B47C"/>
            <w:noWrap/>
            <w:tcMar>
              <w:top w:w="0" w:type="dxa"/>
              <w:bottom w:w="0" w:type="dxa"/>
            </w:tcMar>
            <w:vAlign w:val="center"/>
            <w:hideMark/>
          </w:tcPr>
          <w:p w:rsidR="007C1F9F" w:rsidRPr="000C5F81" w:rsidRDefault="007C1F9F" w:rsidP="00186172">
            <w:pPr>
              <w:pStyle w:val="AERtabletext"/>
            </w:pPr>
            <w:r w:rsidRPr="000C5F81">
              <w:t>Change in capitalisation policy</w:t>
            </w:r>
          </w:p>
        </w:tc>
        <w:tc>
          <w:tcPr>
            <w:tcW w:w="723" w:type="pct"/>
            <w:shd w:val="clear" w:color="auto" w:fill="F8B47C"/>
            <w:noWrap/>
            <w:tcMar>
              <w:top w:w="0" w:type="dxa"/>
              <w:bottom w:w="0" w:type="dxa"/>
            </w:tcMar>
            <w:vAlign w:val="center"/>
            <w:hideMark/>
          </w:tcPr>
          <w:p w:rsidR="007C1F9F" w:rsidRPr="0086766B" w:rsidRDefault="007C1F9F" w:rsidP="00186172">
            <w:pPr>
              <w:pStyle w:val="AERtabletext-numbers"/>
            </w:pPr>
            <w:r w:rsidRPr="00F82810">
              <w:t>–1.</w:t>
            </w:r>
            <w:r w:rsidRPr="0086766B">
              <w:t>16</w:t>
            </w:r>
          </w:p>
        </w:tc>
        <w:tc>
          <w:tcPr>
            <w:tcW w:w="723" w:type="pct"/>
            <w:shd w:val="clear" w:color="auto" w:fill="F8B47C"/>
            <w:noWrap/>
            <w:tcMar>
              <w:top w:w="0" w:type="dxa"/>
              <w:bottom w:w="0" w:type="dxa"/>
            </w:tcMar>
            <w:vAlign w:val="center"/>
            <w:hideMark/>
          </w:tcPr>
          <w:p w:rsidR="007C1F9F" w:rsidRPr="000C5F81" w:rsidRDefault="007C1F9F" w:rsidP="00186172">
            <w:pPr>
              <w:pStyle w:val="AERtabletext-numbers"/>
            </w:pPr>
            <w:r w:rsidRPr="000C5F81">
              <w:t>–</w:t>
            </w:r>
          </w:p>
        </w:tc>
      </w:tr>
      <w:tr w:rsidR="007C1F9F" w:rsidRPr="00843DC1" w:rsidTr="00186172">
        <w:trPr>
          <w:trHeight w:val="255"/>
        </w:trPr>
        <w:tc>
          <w:tcPr>
            <w:tcW w:w="3554" w:type="pct"/>
            <w:shd w:val="clear" w:color="auto" w:fill="auto"/>
            <w:noWrap/>
            <w:tcMar>
              <w:top w:w="0" w:type="dxa"/>
              <w:bottom w:w="0" w:type="dxa"/>
            </w:tcMar>
            <w:vAlign w:val="center"/>
            <w:hideMark/>
          </w:tcPr>
          <w:p w:rsidR="007C1F9F" w:rsidRPr="000C5F81" w:rsidRDefault="007C1F9F" w:rsidP="00186172">
            <w:pPr>
              <w:pStyle w:val="AERtabletext"/>
            </w:pPr>
            <w:r w:rsidRPr="000C5F81">
              <w:t>Recalculation of cost allocations between regulated and non-regulated functions</w:t>
            </w:r>
          </w:p>
        </w:tc>
        <w:tc>
          <w:tcPr>
            <w:tcW w:w="723" w:type="pct"/>
            <w:shd w:val="clear" w:color="auto" w:fill="auto"/>
            <w:noWrap/>
            <w:tcMar>
              <w:top w:w="0" w:type="dxa"/>
              <w:bottom w:w="0" w:type="dxa"/>
            </w:tcMar>
            <w:vAlign w:val="center"/>
            <w:hideMark/>
          </w:tcPr>
          <w:p w:rsidR="007C1F9F" w:rsidRPr="00F82810" w:rsidRDefault="007C1F9F" w:rsidP="00186172">
            <w:pPr>
              <w:pStyle w:val="AERtabletext-numbers"/>
            </w:pPr>
            <w:r w:rsidRPr="00F82810">
              <w:t>0.30</w:t>
            </w:r>
          </w:p>
        </w:tc>
        <w:tc>
          <w:tcPr>
            <w:tcW w:w="723" w:type="pct"/>
            <w:shd w:val="clear" w:color="auto" w:fill="auto"/>
            <w:noWrap/>
            <w:tcMar>
              <w:top w:w="0" w:type="dxa"/>
              <w:bottom w:w="0" w:type="dxa"/>
            </w:tcMar>
            <w:vAlign w:val="center"/>
            <w:hideMark/>
          </w:tcPr>
          <w:p w:rsidR="007C1F9F" w:rsidRPr="000C5F81" w:rsidRDefault="007C1F9F" w:rsidP="00186172">
            <w:pPr>
              <w:pStyle w:val="AERtabletext-numbers"/>
            </w:pPr>
            <w:r w:rsidRPr="000C5F81">
              <w:t>–</w:t>
            </w:r>
          </w:p>
        </w:tc>
      </w:tr>
      <w:tr w:rsidR="007C1F9F" w:rsidRPr="00843DC1" w:rsidTr="00186172">
        <w:trPr>
          <w:trHeight w:val="255"/>
        </w:trPr>
        <w:tc>
          <w:tcPr>
            <w:tcW w:w="3554" w:type="pct"/>
            <w:shd w:val="clear" w:color="auto" w:fill="F8B47C"/>
            <w:noWrap/>
            <w:tcMar>
              <w:top w:w="0" w:type="dxa"/>
              <w:bottom w:w="0" w:type="dxa"/>
            </w:tcMar>
            <w:vAlign w:val="center"/>
            <w:hideMark/>
          </w:tcPr>
          <w:p w:rsidR="007C1F9F" w:rsidRPr="000C5F81" w:rsidRDefault="007C1F9F" w:rsidP="00186172">
            <w:pPr>
              <w:pStyle w:val="AERtabletext"/>
            </w:pPr>
            <w:r w:rsidRPr="000C5F81">
              <w:t>ESV levy increase</w:t>
            </w:r>
          </w:p>
        </w:tc>
        <w:tc>
          <w:tcPr>
            <w:tcW w:w="723" w:type="pct"/>
            <w:shd w:val="clear" w:color="auto" w:fill="F8B47C"/>
            <w:noWrap/>
            <w:tcMar>
              <w:top w:w="0" w:type="dxa"/>
              <w:bottom w:w="0" w:type="dxa"/>
            </w:tcMar>
            <w:vAlign w:val="center"/>
            <w:hideMark/>
          </w:tcPr>
          <w:p w:rsidR="007C1F9F" w:rsidRPr="0086766B" w:rsidRDefault="007C1F9F" w:rsidP="00186172">
            <w:pPr>
              <w:pStyle w:val="AERtabletext-numbers"/>
            </w:pPr>
            <w:r w:rsidRPr="00F82810">
              <w:t>0.</w:t>
            </w:r>
            <w:r w:rsidRPr="0086766B">
              <w:t>09</w:t>
            </w:r>
          </w:p>
        </w:tc>
        <w:tc>
          <w:tcPr>
            <w:tcW w:w="723" w:type="pct"/>
            <w:shd w:val="clear" w:color="auto" w:fill="F8B47C"/>
            <w:noWrap/>
            <w:tcMar>
              <w:top w:w="0" w:type="dxa"/>
              <w:bottom w:w="0" w:type="dxa"/>
            </w:tcMar>
            <w:vAlign w:val="center"/>
            <w:hideMark/>
          </w:tcPr>
          <w:p w:rsidR="007C1F9F" w:rsidRPr="000C5F81" w:rsidRDefault="007C1F9F" w:rsidP="00186172">
            <w:pPr>
              <w:pStyle w:val="AERtabletext-numbers"/>
            </w:pPr>
            <w:r w:rsidRPr="000C5F81">
              <w:t>–</w:t>
            </w:r>
          </w:p>
        </w:tc>
      </w:tr>
      <w:tr w:rsidR="007C1F9F" w:rsidRPr="00843DC1" w:rsidTr="00186172">
        <w:trPr>
          <w:trHeight w:val="255"/>
        </w:trPr>
        <w:tc>
          <w:tcPr>
            <w:tcW w:w="3554" w:type="pct"/>
            <w:shd w:val="clear" w:color="auto" w:fill="auto"/>
            <w:noWrap/>
            <w:tcMar>
              <w:top w:w="0" w:type="dxa"/>
              <w:bottom w:w="0" w:type="dxa"/>
            </w:tcMar>
            <w:vAlign w:val="center"/>
            <w:hideMark/>
          </w:tcPr>
          <w:p w:rsidR="007C1F9F" w:rsidRPr="000C5F81" w:rsidRDefault="007C1F9F" w:rsidP="00186172">
            <w:pPr>
              <w:pStyle w:val="AERtabletext"/>
            </w:pPr>
            <w:r w:rsidRPr="000C5F81">
              <w:t>Insurance costs</w:t>
            </w:r>
          </w:p>
        </w:tc>
        <w:tc>
          <w:tcPr>
            <w:tcW w:w="723" w:type="pct"/>
            <w:shd w:val="clear" w:color="auto" w:fill="auto"/>
            <w:noWrap/>
            <w:tcMar>
              <w:top w:w="0" w:type="dxa"/>
              <w:bottom w:w="0" w:type="dxa"/>
            </w:tcMar>
            <w:vAlign w:val="center"/>
            <w:hideMark/>
          </w:tcPr>
          <w:p w:rsidR="007C1F9F" w:rsidRPr="0086766B" w:rsidRDefault="007C1F9F" w:rsidP="00186172">
            <w:pPr>
              <w:pStyle w:val="AERtabletext-numbers"/>
            </w:pPr>
            <w:r>
              <w:t>0.5</w:t>
            </w:r>
            <w:r w:rsidRPr="0086766B">
              <w:t>3</w:t>
            </w:r>
          </w:p>
        </w:tc>
        <w:tc>
          <w:tcPr>
            <w:tcW w:w="723" w:type="pct"/>
            <w:shd w:val="clear" w:color="auto" w:fill="auto"/>
            <w:noWrap/>
            <w:tcMar>
              <w:top w:w="0" w:type="dxa"/>
              <w:bottom w:w="0" w:type="dxa"/>
            </w:tcMar>
            <w:vAlign w:val="center"/>
            <w:hideMark/>
          </w:tcPr>
          <w:p w:rsidR="007C1F9F" w:rsidRPr="000C5F81" w:rsidRDefault="007C1F9F" w:rsidP="00186172">
            <w:pPr>
              <w:pStyle w:val="AERtabletext-numbers"/>
            </w:pPr>
            <w:r w:rsidRPr="000C5F81">
              <w:t>–</w:t>
            </w:r>
          </w:p>
        </w:tc>
      </w:tr>
      <w:tr w:rsidR="007C1F9F" w:rsidRPr="00843DC1" w:rsidTr="00186172">
        <w:trPr>
          <w:trHeight w:val="255"/>
        </w:trPr>
        <w:tc>
          <w:tcPr>
            <w:tcW w:w="3554" w:type="pct"/>
            <w:shd w:val="clear" w:color="auto" w:fill="F8B47C"/>
            <w:noWrap/>
            <w:tcMar>
              <w:top w:w="0" w:type="dxa"/>
              <w:bottom w:w="0" w:type="dxa"/>
            </w:tcMar>
            <w:vAlign w:val="center"/>
            <w:hideMark/>
          </w:tcPr>
          <w:p w:rsidR="007C1F9F" w:rsidRPr="000C5F81" w:rsidRDefault="007C1F9F" w:rsidP="00186172">
            <w:pPr>
              <w:pStyle w:val="AERtabletext"/>
            </w:pPr>
            <w:r w:rsidRPr="000C5F81">
              <w:t>Expected escalation of base year costs in 2012</w:t>
            </w:r>
          </w:p>
        </w:tc>
        <w:tc>
          <w:tcPr>
            <w:tcW w:w="723" w:type="pct"/>
            <w:shd w:val="clear" w:color="auto" w:fill="F8B47C"/>
            <w:noWrap/>
            <w:tcMar>
              <w:top w:w="0" w:type="dxa"/>
              <w:bottom w:w="0" w:type="dxa"/>
            </w:tcMar>
            <w:vAlign w:val="center"/>
            <w:hideMark/>
          </w:tcPr>
          <w:p w:rsidR="007C1F9F" w:rsidRPr="00F82810" w:rsidRDefault="007C1F9F" w:rsidP="00186172">
            <w:pPr>
              <w:pStyle w:val="AERtabletext-numbers"/>
            </w:pPr>
            <w:r w:rsidRPr="00F82810">
              <w:t>1.35</w:t>
            </w:r>
          </w:p>
        </w:tc>
        <w:tc>
          <w:tcPr>
            <w:tcW w:w="723" w:type="pct"/>
            <w:shd w:val="clear" w:color="auto" w:fill="F8B47C"/>
            <w:noWrap/>
            <w:tcMar>
              <w:top w:w="0" w:type="dxa"/>
              <w:bottom w:w="0" w:type="dxa"/>
            </w:tcMar>
            <w:vAlign w:val="center"/>
            <w:hideMark/>
          </w:tcPr>
          <w:p w:rsidR="007C1F9F" w:rsidRPr="000C5F81" w:rsidRDefault="007C1F9F" w:rsidP="00186172">
            <w:pPr>
              <w:pStyle w:val="AERtabletext-numbers"/>
            </w:pPr>
            <w:r w:rsidRPr="000C5F81">
              <w:t>–</w:t>
            </w:r>
          </w:p>
        </w:tc>
      </w:tr>
      <w:tr w:rsidR="007C1F9F" w:rsidRPr="00843DC1" w:rsidTr="00186172">
        <w:trPr>
          <w:trHeight w:val="255"/>
        </w:trPr>
        <w:tc>
          <w:tcPr>
            <w:tcW w:w="3554" w:type="pct"/>
            <w:shd w:val="clear" w:color="auto" w:fill="auto"/>
            <w:noWrap/>
            <w:tcMar>
              <w:top w:w="0" w:type="dxa"/>
              <w:bottom w:w="0" w:type="dxa"/>
            </w:tcMar>
            <w:vAlign w:val="center"/>
            <w:hideMark/>
          </w:tcPr>
          <w:p w:rsidR="007C1F9F" w:rsidRDefault="007C1F9F" w:rsidP="00186172">
            <w:pPr>
              <w:pStyle w:val="AERtabletext"/>
            </w:pPr>
            <w:r>
              <w:t>Movements in provisions</w:t>
            </w:r>
          </w:p>
        </w:tc>
        <w:tc>
          <w:tcPr>
            <w:tcW w:w="723" w:type="pct"/>
            <w:shd w:val="clear" w:color="auto" w:fill="auto"/>
            <w:noWrap/>
            <w:tcMar>
              <w:top w:w="0" w:type="dxa"/>
              <w:bottom w:w="0" w:type="dxa"/>
            </w:tcMar>
            <w:vAlign w:val="center"/>
            <w:hideMark/>
          </w:tcPr>
          <w:p w:rsidR="007C1F9F" w:rsidRDefault="007C1F9F" w:rsidP="00186172">
            <w:pPr>
              <w:pStyle w:val="AERtabletext-numbers"/>
            </w:pPr>
            <w:r>
              <w:t>–</w:t>
            </w:r>
          </w:p>
        </w:tc>
        <w:tc>
          <w:tcPr>
            <w:tcW w:w="723" w:type="pct"/>
            <w:shd w:val="clear" w:color="auto" w:fill="auto"/>
            <w:noWrap/>
            <w:tcMar>
              <w:top w:w="0" w:type="dxa"/>
              <w:bottom w:w="0" w:type="dxa"/>
            </w:tcMar>
            <w:vAlign w:val="center"/>
            <w:hideMark/>
          </w:tcPr>
          <w:p w:rsidR="007C1F9F" w:rsidRPr="000C5F81" w:rsidRDefault="007C1F9F" w:rsidP="00186172">
            <w:pPr>
              <w:pStyle w:val="AERtabletext-numbers"/>
            </w:pPr>
            <w:r>
              <w:t>–1.03</w:t>
            </w:r>
          </w:p>
        </w:tc>
      </w:tr>
      <w:tr w:rsidR="007C1F9F" w:rsidRPr="00843DC1" w:rsidTr="00186172">
        <w:trPr>
          <w:trHeight w:val="255"/>
        </w:trPr>
        <w:tc>
          <w:tcPr>
            <w:tcW w:w="3554" w:type="pct"/>
            <w:shd w:val="clear" w:color="auto" w:fill="F8B47C"/>
            <w:noWrap/>
            <w:tcMar>
              <w:top w:w="0" w:type="dxa"/>
              <w:bottom w:w="0" w:type="dxa"/>
            </w:tcMar>
            <w:vAlign w:val="center"/>
            <w:hideMark/>
          </w:tcPr>
          <w:p w:rsidR="007C1F9F" w:rsidRPr="000C5F81" w:rsidRDefault="007C1F9F" w:rsidP="00186172">
            <w:pPr>
              <w:pStyle w:val="AERtabletext"/>
            </w:pPr>
            <w:bookmarkStart w:id="109" w:name="OLE_LINK4"/>
            <w:r>
              <w:t xml:space="preserve">Change in forecast operating costs between 2011 and 2012 </w:t>
            </w:r>
            <w:r w:rsidRPr="000C5F81">
              <w:t xml:space="preserve"> </w:t>
            </w:r>
            <w:bookmarkEnd w:id="109"/>
          </w:p>
        </w:tc>
        <w:tc>
          <w:tcPr>
            <w:tcW w:w="723" w:type="pct"/>
            <w:shd w:val="clear" w:color="auto" w:fill="F8B47C"/>
            <w:noWrap/>
            <w:tcMar>
              <w:top w:w="0" w:type="dxa"/>
              <w:bottom w:w="0" w:type="dxa"/>
            </w:tcMar>
            <w:vAlign w:val="center"/>
            <w:hideMark/>
          </w:tcPr>
          <w:p w:rsidR="007C1F9F" w:rsidRPr="0086766B" w:rsidRDefault="007C1F9F" w:rsidP="00186172">
            <w:pPr>
              <w:pStyle w:val="AERtabletext-numbers"/>
            </w:pPr>
            <w:r>
              <w:t>–</w:t>
            </w:r>
          </w:p>
        </w:tc>
        <w:tc>
          <w:tcPr>
            <w:tcW w:w="723" w:type="pct"/>
            <w:shd w:val="clear" w:color="auto" w:fill="F8B47C"/>
            <w:noWrap/>
            <w:tcMar>
              <w:top w:w="0" w:type="dxa"/>
              <w:bottom w:w="0" w:type="dxa"/>
            </w:tcMar>
            <w:vAlign w:val="center"/>
            <w:hideMark/>
          </w:tcPr>
          <w:p w:rsidR="007C1F9F" w:rsidRPr="000C5F81" w:rsidRDefault="007C1F9F" w:rsidP="00186172">
            <w:pPr>
              <w:pStyle w:val="AERtabletext-numbers"/>
            </w:pPr>
            <w:r w:rsidRPr="000C5F81">
              <w:t>0.45</w:t>
            </w:r>
          </w:p>
        </w:tc>
      </w:tr>
      <w:tr w:rsidR="007C1F9F" w:rsidRPr="00843DC1" w:rsidTr="00186172">
        <w:trPr>
          <w:trHeight w:val="255"/>
        </w:trPr>
        <w:tc>
          <w:tcPr>
            <w:tcW w:w="3554" w:type="pct"/>
            <w:shd w:val="clear" w:color="auto" w:fill="auto"/>
            <w:noWrap/>
            <w:tcMar>
              <w:top w:w="0" w:type="dxa"/>
              <w:bottom w:w="0" w:type="dxa"/>
            </w:tcMar>
            <w:vAlign w:val="center"/>
            <w:hideMark/>
          </w:tcPr>
          <w:p w:rsidR="007C1F9F" w:rsidRPr="000C5F81" w:rsidRDefault="007C1F9F" w:rsidP="00186172">
            <w:pPr>
              <w:pStyle w:val="AERtabletext"/>
            </w:pPr>
            <w:r w:rsidRPr="000C5F81">
              <w:t>Expected opex in 2012</w:t>
            </w:r>
          </w:p>
        </w:tc>
        <w:tc>
          <w:tcPr>
            <w:tcW w:w="723" w:type="pct"/>
            <w:shd w:val="clear" w:color="auto" w:fill="auto"/>
            <w:noWrap/>
            <w:tcMar>
              <w:top w:w="0" w:type="dxa"/>
              <w:bottom w:w="0" w:type="dxa"/>
            </w:tcMar>
            <w:vAlign w:val="center"/>
            <w:hideMark/>
          </w:tcPr>
          <w:p w:rsidR="007C1F9F" w:rsidRPr="00F82810" w:rsidRDefault="007C1F9F" w:rsidP="00186172">
            <w:pPr>
              <w:pStyle w:val="AERtabletext-numbers"/>
            </w:pPr>
            <w:r w:rsidRPr="003D0DFE">
              <w:t>2</w:t>
            </w:r>
            <w:r w:rsidRPr="0086766B">
              <w:t>8.61</w:t>
            </w:r>
          </w:p>
        </w:tc>
        <w:tc>
          <w:tcPr>
            <w:tcW w:w="723" w:type="pct"/>
            <w:shd w:val="clear" w:color="auto" w:fill="auto"/>
            <w:noWrap/>
            <w:tcMar>
              <w:top w:w="0" w:type="dxa"/>
              <w:bottom w:w="0" w:type="dxa"/>
            </w:tcMar>
            <w:vAlign w:val="center"/>
            <w:hideMark/>
          </w:tcPr>
          <w:p w:rsidR="007C1F9F" w:rsidRPr="000C5F81" w:rsidRDefault="007C1F9F" w:rsidP="00186172">
            <w:pPr>
              <w:pStyle w:val="AERtabletext-numbers"/>
            </w:pPr>
            <w:r>
              <w:t>26.92</w:t>
            </w:r>
          </w:p>
        </w:tc>
      </w:tr>
    </w:tbl>
    <w:p w:rsidR="007C1F9F" w:rsidRPr="007E3923" w:rsidRDefault="007C1F9F" w:rsidP="007C1F9F">
      <w:pPr>
        <w:pStyle w:val="AERtablesource"/>
        <w:rPr>
          <w:rFonts w:eastAsia="Calibri"/>
        </w:rPr>
      </w:pPr>
    </w:p>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APA GasNet, Access arrangement proposal.</w:t>
      </w:r>
      <w:r w:rsidRPr="007E3923">
        <w:rPr>
          <w:rStyle w:val="FootnoteReference"/>
          <w:rFonts w:eastAsia="Calibri"/>
        </w:rPr>
        <w:footnoteReference w:id="477"/>
      </w:r>
    </w:p>
    <w:p w:rsidR="007C1F9F" w:rsidRDefault="007C1F9F" w:rsidP="007C1F9F">
      <w:pPr>
        <w:pStyle w:val="AERheading5"/>
      </w:pPr>
      <w:r>
        <w:t>Movements in provisions</w:t>
      </w:r>
    </w:p>
    <w:p w:rsidR="007C1F9F" w:rsidRPr="0072318D" w:rsidRDefault="007C1F9F" w:rsidP="007C1F9F">
      <w:pPr>
        <w:pStyle w:val="AERbodytext"/>
      </w:pPr>
      <w:r>
        <w:t>APA GasNet</w:t>
      </w:r>
      <w:r w:rsidRPr="0072318D">
        <w:t>’s opex includes provisions. A provision is a liability of uncertain timing or amount.</w:t>
      </w:r>
      <w:r>
        <w:rPr>
          <w:rStyle w:val="FootnoteReference"/>
        </w:rPr>
        <w:footnoteReference w:id="478"/>
      </w:r>
      <w:r>
        <w:t xml:space="preserve"> </w:t>
      </w:r>
      <w:r w:rsidRPr="0072318D">
        <w:t>Provision accounts are used to set aside amounts for the payments of these liabilities for</w:t>
      </w:r>
      <w:r>
        <w:t xml:space="preserve"> </w:t>
      </w:r>
      <w:r w:rsidRPr="0072318D">
        <w:t>when they arise for settlement. A movement in provisions occurs when the amount set</w:t>
      </w:r>
      <w:r>
        <w:t xml:space="preserve"> </w:t>
      </w:r>
      <w:r w:rsidRPr="0072318D">
        <w:t>aside differs to the amount paid out. The AER considers the movement in these</w:t>
      </w:r>
      <w:r>
        <w:t xml:space="preserve"> </w:t>
      </w:r>
      <w:r w:rsidRPr="0072318D">
        <w:t xml:space="preserve">provisions </w:t>
      </w:r>
      <w:r>
        <w:t xml:space="preserve">does not </w:t>
      </w:r>
      <w:r w:rsidRPr="0072318D">
        <w:t xml:space="preserve">represents </w:t>
      </w:r>
      <w:r>
        <w:t>actual costs incurred in a given year and should be removed from base year expenditure</w:t>
      </w:r>
      <w:r w:rsidRPr="0072318D">
        <w:t>.</w:t>
      </w:r>
      <w:r>
        <w:t xml:space="preserve"> </w:t>
      </w:r>
      <w:r w:rsidRPr="0072318D">
        <w:t xml:space="preserve">The AER considers this necessary in setting </w:t>
      </w:r>
      <w:r>
        <w:t>forecast</w:t>
      </w:r>
      <w:r w:rsidRPr="0072318D">
        <w:t xml:space="preserve"> opex</w:t>
      </w:r>
      <w:r>
        <w:t xml:space="preserve"> </w:t>
      </w:r>
      <w:r w:rsidRPr="0072318D">
        <w:t xml:space="preserve">for </w:t>
      </w:r>
      <w:r>
        <w:t>APA GasNet</w:t>
      </w:r>
      <w:r w:rsidRPr="0072318D">
        <w:t>, on the basis that movement</w:t>
      </w:r>
      <w:r>
        <w:t>s</w:t>
      </w:r>
      <w:r w:rsidRPr="0072318D">
        <w:t xml:space="preserve"> in provisions:</w:t>
      </w:r>
    </w:p>
    <w:p w:rsidR="007C1F9F" w:rsidRPr="0072318D" w:rsidRDefault="007C1F9F" w:rsidP="007C1F9F">
      <w:pPr>
        <w:pStyle w:val="AERbulletlistfirststyle"/>
      </w:pPr>
      <w:r w:rsidRPr="0072318D">
        <w:t xml:space="preserve">may be used to represent the reported accounts for </w:t>
      </w:r>
      <w:r>
        <w:t>APA GasNet</w:t>
      </w:r>
      <w:r w:rsidRPr="0072318D">
        <w:t xml:space="preserve"> differently from its</w:t>
      </w:r>
      <w:r>
        <w:t xml:space="preserve"> </w:t>
      </w:r>
      <w:r w:rsidRPr="0072318D">
        <w:t>underlying economic circumstances</w:t>
      </w:r>
    </w:p>
    <w:p w:rsidR="007C1F9F" w:rsidRPr="0072318D" w:rsidRDefault="007C1F9F" w:rsidP="007C1F9F">
      <w:pPr>
        <w:pStyle w:val="AERbulletlistfirststyle"/>
      </w:pPr>
      <w:r w:rsidRPr="0072318D">
        <w:t xml:space="preserve">may prevent and distort the comparison of </w:t>
      </w:r>
      <w:r>
        <w:t>APA GasNet</w:t>
      </w:r>
      <w:r w:rsidRPr="0072318D">
        <w:t>’s expenditure on a consistent basis</w:t>
      </w:r>
      <w:r>
        <w:t xml:space="preserve"> </w:t>
      </w:r>
      <w:r w:rsidRPr="0072318D">
        <w:t>from year to year</w:t>
      </w:r>
    </w:p>
    <w:p w:rsidR="007C1F9F" w:rsidRPr="0072318D" w:rsidRDefault="007C1F9F" w:rsidP="007C1F9F">
      <w:pPr>
        <w:pStyle w:val="AERbulletlistfirststyle"/>
      </w:pPr>
      <w:r w:rsidRPr="0072318D">
        <w:t>can be affected by a change in accounting standards despite expenditure remaining</w:t>
      </w:r>
      <w:r>
        <w:t xml:space="preserve"> </w:t>
      </w:r>
      <w:r w:rsidRPr="0072318D">
        <w:t>unchanged.</w:t>
      </w:r>
    </w:p>
    <w:p w:rsidR="007C1F9F" w:rsidRDefault="007C1F9F" w:rsidP="007C1F9F">
      <w:pPr>
        <w:pStyle w:val="AERbodytext"/>
      </w:pPr>
      <w:r w:rsidRPr="0072318D">
        <w:t xml:space="preserve">Based on the above, the AER considers </w:t>
      </w:r>
      <w:r>
        <w:t>removing</w:t>
      </w:r>
      <w:r w:rsidRPr="0072318D">
        <w:t xml:space="preserve"> the movement in provisions </w:t>
      </w:r>
      <w:r>
        <w:t>is a reasonable basis for forecasting opex and will produce the best opex forecast possible in the circumstances.</w:t>
      </w:r>
      <w:r>
        <w:rPr>
          <w:rStyle w:val="FootnoteReference"/>
        </w:rPr>
        <w:footnoteReference w:id="479"/>
      </w:r>
      <w:r w:rsidRPr="0072318D">
        <w:t xml:space="preserve"> </w:t>
      </w:r>
    </w:p>
    <w:p w:rsidR="007C1F9F" w:rsidRPr="004807E3" w:rsidRDefault="007C1F9F" w:rsidP="007C1F9F">
      <w:pPr>
        <w:pStyle w:val="AERbodytext"/>
      </w:pPr>
      <w:r w:rsidRPr="0072318D">
        <w:t xml:space="preserve">The AER notes in calculating the carryover </w:t>
      </w:r>
      <w:r>
        <w:t>of efficiency gains and losses accrued under the opex incentive mechanism</w:t>
      </w:r>
      <w:r w:rsidRPr="0072318D">
        <w:t xml:space="preserve"> it removed the movement in provisions from</w:t>
      </w:r>
      <w:r>
        <w:t xml:space="preserve"> APA GasNet</w:t>
      </w:r>
      <w:r w:rsidRPr="0072318D">
        <w:t>’s actual opex</w:t>
      </w:r>
      <w:r>
        <w:t xml:space="preserve"> (refer to attachment 7)</w:t>
      </w:r>
      <w:r w:rsidRPr="0072318D">
        <w:t>.</w:t>
      </w:r>
    </w:p>
    <w:p w:rsidR="007C1F9F" w:rsidRDefault="007C1F9F" w:rsidP="007C1F9F">
      <w:pPr>
        <w:pStyle w:val="AERheading5"/>
      </w:pPr>
      <w:r>
        <w:t>Expected Opex in 2012</w:t>
      </w:r>
    </w:p>
    <w:p w:rsidR="007C1F9F" w:rsidRPr="009F3851" w:rsidRDefault="007C1F9F" w:rsidP="007C1F9F">
      <w:pPr>
        <w:pStyle w:val="AERbodytext"/>
      </w:pPr>
      <w:r w:rsidRPr="007E3923">
        <w:rPr>
          <w:rFonts w:eastAsia="Calibri"/>
        </w:rPr>
        <w:t>In rolling forward from this base year APA GasNet has not properly applied fixed principle cla</w:t>
      </w:r>
      <w:r w:rsidR="00885A6A">
        <w:rPr>
          <w:rFonts w:eastAsia="Calibri"/>
        </w:rPr>
        <w:t>use 7.2(h)(ii) in its 2008–12  a</w:t>
      </w:r>
      <w:r w:rsidRPr="007E3923">
        <w:rPr>
          <w:rFonts w:eastAsia="Calibri"/>
        </w:rPr>
        <w:t xml:space="preserve">ccess </w:t>
      </w:r>
      <w:r>
        <w:rPr>
          <w:rFonts w:eastAsia="Calibri"/>
        </w:rPr>
        <w:t>a</w:t>
      </w:r>
      <w:r w:rsidRPr="007E3923">
        <w:rPr>
          <w:rFonts w:eastAsia="Calibri"/>
        </w:rPr>
        <w:t xml:space="preserve">rrangement. This clause requires that </w:t>
      </w:r>
      <w:r w:rsidRPr="009F3851">
        <w:t>in calculating the allowable revenues for operations and maintenance expenditure for the Fourth Access Arrangement Period, the Regulator must take into account the actual operating costs in 2011, adjusted for the change in forecast operating costs between 2011 and 2012 and, to avoid doubt, not taking into account the efficiency gain (loss) made in 2012.</w:t>
      </w:r>
      <w:r w:rsidRPr="009F3851">
        <w:rPr>
          <w:rStyle w:val="FootnoteReference"/>
        </w:rPr>
        <w:footnoteReference w:id="480"/>
      </w:r>
      <w:r w:rsidRPr="009F3851">
        <w:t xml:space="preserve"> </w:t>
      </w:r>
    </w:p>
    <w:p w:rsidR="007C1F9F" w:rsidRDefault="007C1F9F" w:rsidP="007C1F9F">
      <w:pPr>
        <w:pStyle w:val="AERbodytext"/>
      </w:pPr>
      <w:r w:rsidRPr="009F3851">
        <w:t xml:space="preserve">The AER considers that the proposed adjustments to APA </w:t>
      </w:r>
      <w:r>
        <w:t>GasNet</w:t>
      </w:r>
      <w:r w:rsidRPr="009F3851">
        <w:t xml:space="preserve">'s base year costs are not consistent with </w:t>
      </w:r>
      <w:r>
        <w:t>fixed principle clause</w:t>
      </w:r>
      <w:r w:rsidRPr="009F3851">
        <w:t xml:space="preserve"> 7.2(h)(ii), which requires 2012 opex to be forecast as actual opex for 2011 plus the forecast change in operating expenditure between 2011 and 2012 approved in the </w:t>
      </w:r>
      <w:r>
        <w:t>2008–12</w:t>
      </w:r>
      <w:r w:rsidRPr="009F3851">
        <w:t xml:space="preserve"> </w:t>
      </w:r>
      <w:r>
        <w:t>A</w:t>
      </w:r>
      <w:r w:rsidRPr="009F3851">
        <w:t xml:space="preserve">ccess arrangement. This ensures any efficiency gain made in 2012 is not taken into account as required by fixed principle </w:t>
      </w:r>
      <w:r>
        <w:t xml:space="preserve">clause </w:t>
      </w:r>
      <w:r w:rsidRPr="009F3851">
        <w:t xml:space="preserve">7.2(h)(ii). However, APA </w:t>
      </w:r>
      <w:r>
        <w:t>GasNet</w:t>
      </w:r>
      <w:r w:rsidRPr="009F3851">
        <w:t xml:space="preserve"> has rolled forward from 2011 to 2012 using a number of adjustments to its base year opex and has used the forecast escalation that APA </w:t>
      </w:r>
      <w:r>
        <w:t>GasNet</w:t>
      </w:r>
      <w:r w:rsidRPr="009F3851">
        <w:t xml:space="preserve"> proposed for the </w:t>
      </w:r>
      <w:r>
        <w:t>2013–17</w:t>
      </w:r>
      <w:r w:rsidRPr="009F3851">
        <w:t xml:space="preserve"> access arrangement period. The AER consider this does not comply with the fixed principle </w:t>
      </w:r>
      <w:r>
        <w:t xml:space="preserve">clause </w:t>
      </w:r>
      <w:r w:rsidRPr="009F3851">
        <w:t>7.2(h)(ii) and accordingly the AER does not approve the manner in which APA has applied its roll forward methodology.</w:t>
      </w:r>
    </w:p>
    <w:p w:rsidR="007C1F9F" w:rsidRPr="009F3851" w:rsidRDefault="007C1F9F" w:rsidP="007C1F9F">
      <w:pPr>
        <w:pStyle w:val="AERbodytext"/>
      </w:pPr>
      <w:r>
        <w:t xml:space="preserve">The AER has adjusted APA GasNet's base year opex for the change in forecast operating costs between 2011 and 2012. The AER considers that this reflects APA GasNet's fixed principle clause 7.2(h)(iii). </w:t>
      </w:r>
    </w:p>
    <w:p w:rsidR="007C1F9F" w:rsidRPr="009F3851" w:rsidRDefault="007C1F9F" w:rsidP="007C1F9F">
      <w:pPr>
        <w:pStyle w:val="AERbodytext"/>
      </w:pPr>
      <w:r>
        <w:t>T</w:t>
      </w:r>
      <w:r w:rsidRPr="009F3851">
        <w:t>he AER considers some of the proposed adjustments to the base year opex may constitute step changes, which are allowed under fixed principle</w:t>
      </w:r>
      <w:r>
        <w:t xml:space="preserve"> clause</w:t>
      </w:r>
      <w:r w:rsidRPr="009F3851">
        <w:t xml:space="preserve"> 7.2(h)(iii). The AER considers the following proposed adjustments may constitute step changes to APA </w:t>
      </w:r>
      <w:r>
        <w:t>GasNet</w:t>
      </w:r>
      <w:r w:rsidRPr="009F3851">
        <w:t>'s operating expenditure:</w:t>
      </w:r>
    </w:p>
    <w:p w:rsidR="007C1F9F" w:rsidRPr="009F3851" w:rsidRDefault="007C1F9F" w:rsidP="007C1F9F">
      <w:pPr>
        <w:pStyle w:val="AERbulletlistfirststyle"/>
      </w:pPr>
      <w:r w:rsidRPr="009F3851">
        <w:t>change in capitalisation policy</w:t>
      </w:r>
    </w:p>
    <w:p w:rsidR="007C1F9F" w:rsidRPr="009F3851" w:rsidRDefault="007C1F9F" w:rsidP="007C1F9F">
      <w:pPr>
        <w:pStyle w:val="AERbulletlistfirststyle"/>
      </w:pPr>
      <w:r w:rsidRPr="009F3851">
        <w:t>recalculation of cost allocations between regulated and non-regulated functions</w:t>
      </w:r>
    </w:p>
    <w:p w:rsidR="007C1F9F" w:rsidRPr="009F3851" w:rsidRDefault="007C1F9F" w:rsidP="007C1F9F">
      <w:pPr>
        <w:pStyle w:val="AERbulletlistfirststyle"/>
      </w:pPr>
      <w:r w:rsidRPr="009F3851">
        <w:t>ESV levy increase</w:t>
      </w:r>
    </w:p>
    <w:p w:rsidR="007C1F9F" w:rsidRPr="009F3851" w:rsidRDefault="007C1F9F" w:rsidP="007C1F9F">
      <w:pPr>
        <w:pStyle w:val="AERbulletlistfirststyle"/>
      </w:pPr>
      <w:r w:rsidRPr="009F3851">
        <w:t>insurance costs</w:t>
      </w:r>
    </w:p>
    <w:p w:rsidR="007C1F9F" w:rsidRDefault="007C1F9F" w:rsidP="007C1F9F">
      <w:pPr>
        <w:pStyle w:val="AERheading3"/>
        <w:numPr>
          <w:ilvl w:val="2"/>
          <w:numId w:val="7"/>
        </w:numPr>
        <w:tabs>
          <w:tab w:val="clear" w:pos="-357"/>
          <w:tab w:val="num" w:pos="0"/>
        </w:tabs>
        <w:ind w:left="0" w:hanging="714"/>
      </w:pPr>
      <w:r>
        <w:t>Step Changes</w:t>
      </w:r>
    </w:p>
    <w:p w:rsidR="007C1F9F" w:rsidRPr="007F495F" w:rsidRDefault="007C1F9F" w:rsidP="007C1F9F">
      <w:pPr>
        <w:pStyle w:val="AERbodytext"/>
      </w:pPr>
      <w:r w:rsidRPr="007F495F">
        <w:t xml:space="preserve">As discussed in section </w:t>
      </w:r>
      <w:r>
        <w:t>6.2.4</w:t>
      </w:r>
      <w:r w:rsidRPr="007F495F">
        <w:t xml:space="preserve"> APA </w:t>
      </w:r>
      <w:r>
        <w:t>GasNet</w:t>
      </w:r>
      <w:r w:rsidRPr="007F495F">
        <w:t xml:space="preserve"> has proposed an increase in expenditure it considers is not reflected in the base year. The AER also notes that APA </w:t>
      </w:r>
      <w:r>
        <w:t>GasNet</w:t>
      </w:r>
      <w:r w:rsidRPr="007F495F">
        <w:t xml:space="preserve"> proposed a number of adjustments to its base year opex. As discussed in section </w:t>
      </w:r>
      <w:fldSimple w:instr=" REF _Ref331673925 \r \h  \* MERGEFORMAT ">
        <w:r>
          <w:t>6.5.2</w:t>
        </w:r>
      </w:fldSimple>
      <w:r w:rsidRPr="007F495F">
        <w:t xml:space="preserve"> the AER did not consider these adjustments complied with APA </w:t>
      </w:r>
      <w:r>
        <w:t>GasNet</w:t>
      </w:r>
      <w:r w:rsidRPr="007F495F">
        <w:t xml:space="preserve">'s fixed principles. However, the AER considered that four of these adjustments could be considered as step changes and has assessed these accordingly. </w:t>
      </w:r>
    </w:p>
    <w:p w:rsidR="007C1F9F" w:rsidRPr="007F495F" w:rsidRDefault="007C1F9F" w:rsidP="007C1F9F">
      <w:pPr>
        <w:pStyle w:val="AERbodytext"/>
      </w:pPr>
      <w:r w:rsidRPr="007F495F">
        <w:t>The AER has reviewed APA </w:t>
      </w:r>
      <w:r>
        <w:t>GasNet</w:t>
      </w:r>
      <w:r w:rsidRPr="007F495F">
        <w:t>'s proposed step changes against r. 91 of the NGR. The AER's review has considered whether the proposed program of expenditure is consistent with r.</w:t>
      </w:r>
      <w:r>
        <w:t xml:space="preserve"> </w:t>
      </w:r>
      <w:r w:rsidRPr="007F495F">
        <w:t>91</w:t>
      </w:r>
      <w:r w:rsidRPr="00964614">
        <w:t xml:space="preserve"> </w:t>
      </w:r>
      <w:r w:rsidRPr="007F495F">
        <w:t>of the NGR; and whether an incremental increase above APA </w:t>
      </w:r>
      <w:r>
        <w:t>GasNet</w:t>
      </w:r>
      <w:r w:rsidRPr="007F495F">
        <w:t>'s base year opex is consistent with r</w:t>
      </w:r>
      <w:r>
        <w:t>r</w:t>
      </w:r>
      <w:r w:rsidRPr="007F495F">
        <w:t>.</w:t>
      </w:r>
      <w:r>
        <w:t xml:space="preserve"> </w:t>
      </w:r>
      <w:r w:rsidRPr="007F495F">
        <w:t>91 and 74</w:t>
      </w:r>
      <w:r w:rsidRPr="00964614">
        <w:t xml:space="preserve"> </w:t>
      </w:r>
      <w:r w:rsidRPr="007F495F">
        <w:t>of the NGR.</w:t>
      </w:r>
    </w:p>
    <w:p w:rsidR="007C1F9F" w:rsidRPr="007F495F" w:rsidRDefault="007C1F9F" w:rsidP="007C1F9F">
      <w:pPr>
        <w:pStyle w:val="AERbodytext"/>
      </w:pPr>
      <w:r w:rsidRPr="007F495F">
        <w:t>Where the AER considers these step changes are consistent with r. 91</w:t>
      </w:r>
      <w:r w:rsidRPr="00964614">
        <w:t xml:space="preserve"> </w:t>
      </w:r>
      <w:r w:rsidRPr="007F495F">
        <w:t>of the NGR, an incremental increase in base year opex that the AER considers is consistent with r</w:t>
      </w:r>
      <w:r>
        <w:t>r</w:t>
      </w:r>
      <w:r w:rsidRPr="007F495F">
        <w:t>. 91 and 74 of the NGR is included in the total forecast opex.</w:t>
      </w:r>
    </w:p>
    <w:p w:rsidR="007C1F9F" w:rsidRPr="007F495F" w:rsidRDefault="007C1F9F" w:rsidP="007C1F9F">
      <w:pPr>
        <w:pStyle w:val="AERbodytext"/>
      </w:pPr>
      <w:r w:rsidRPr="007F495F">
        <w:t xml:space="preserve">As discussed in Section </w:t>
      </w:r>
      <w:fldSimple w:instr=" REF _Ref331510218 \r \h  \* MERGEFORMAT ">
        <w:r>
          <w:t>6.4</w:t>
        </w:r>
      </w:fldSimple>
      <w:r w:rsidRPr="007F495F">
        <w:t>, in general the AER considers an increase in opex is not consistent with r.</w:t>
      </w:r>
      <w:r>
        <w:t xml:space="preserve"> </w:t>
      </w:r>
      <w:r w:rsidRPr="007F495F">
        <w:t xml:space="preserve">91 of the NGR where the additional expenditure is intended to address a regulatory requirement or industry standard that has not changed since the </w:t>
      </w:r>
      <w:r>
        <w:t>2008–12</w:t>
      </w:r>
      <w:r w:rsidRPr="007F495F">
        <w:t xml:space="preserve"> access arrangement period. The AER considers that an increase in opex to implement an existing regulatory requirement may provide an incentive for service providers to spend less than required in meeting such requirements or standards. The AER considers this practice is not consistent with a prudent service provider acting efficiently in accordance with accepted good industry practice to achieve the lowest sustainable cost of delivering pipeline services</w:t>
      </w:r>
      <w:r>
        <w:t xml:space="preserve">. </w:t>
      </w:r>
    </w:p>
    <w:p w:rsidR="007C1F9F" w:rsidRPr="007F495F" w:rsidRDefault="007C1F9F" w:rsidP="007C1F9F">
      <w:pPr>
        <w:pStyle w:val="AERbodytext"/>
      </w:pPr>
      <w:r w:rsidRPr="007F495F">
        <w:t xml:space="preserve">In some cases, the AER considers that expenditure may be </w:t>
      </w:r>
      <w:r>
        <w:t xml:space="preserve">a program of expenditure </w:t>
      </w:r>
      <w:r w:rsidRPr="007F495F">
        <w:t>consistent with the requirements governing opex under r.</w:t>
      </w:r>
      <w:r>
        <w:t xml:space="preserve"> </w:t>
      </w:r>
      <w:r w:rsidRPr="007F495F">
        <w:t xml:space="preserve">91 of the NGR but it considers that an incremental increase in the total opex allowance would not be consistent with </w:t>
      </w:r>
      <w:r>
        <w:t xml:space="preserve">rr.74 or </w:t>
      </w:r>
      <w:r w:rsidRPr="007F495F">
        <w:t>91</w:t>
      </w:r>
      <w:r>
        <w:t xml:space="preserve"> of the NGR</w:t>
      </w:r>
      <w:r w:rsidRPr="007F495F">
        <w:t xml:space="preserve">. For instance, if expenditure is intended to improve productivity, the AER would generally consider, unless circumstances indicate otherwise, that there is sufficient expenditure in the base opex in order to fund the program. </w:t>
      </w:r>
    </w:p>
    <w:p w:rsidR="007C1F9F" w:rsidRPr="007F495F" w:rsidRDefault="007C1F9F" w:rsidP="007C1F9F">
      <w:pPr>
        <w:pStyle w:val="AERbodytext"/>
      </w:pPr>
      <w:r w:rsidRPr="007F495F">
        <w:t xml:space="preserve">The AER's assessment of proposed step changes also recognises that the opex carried out by a service provider will not be exactly the same from year to year. For instance actual opex in the base year reflects both recurrent expenditure and non-recurrent expenditure. However, when forecasting opex for the </w:t>
      </w:r>
      <w:r>
        <w:t>2013–17</w:t>
      </w:r>
      <w:r w:rsidRPr="007F495F">
        <w:t xml:space="preserve"> access arrangement period the AER has not sought to estimate all non-recurrent expenditure incurred in the base year. Therefore to ensure a forecast of total opex that is consistent with r. 74</w:t>
      </w:r>
      <w:r w:rsidRPr="00964614">
        <w:t xml:space="preserve"> </w:t>
      </w:r>
      <w:r w:rsidRPr="007F495F">
        <w:t xml:space="preserve">of the NGR, the AER also does not automatically consider there should be an incremental opex because the expenditure was not incurred in the base year but needs to be incurred in the </w:t>
      </w:r>
      <w:r>
        <w:t>2013–17</w:t>
      </w:r>
      <w:r w:rsidRPr="007F495F">
        <w:t xml:space="preserve"> access arrangement period. Instead the AER considers on </w:t>
      </w:r>
      <w:r w:rsidR="00885A6A">
        <w:t xml:space="preserve">a </w:t>
      </w:r>
      <w:r w:rsidRPr="007F495F">
        <w:t>case by case basis whether base year opex would be likely to be sufficient in order to fund the proposed program of opex or whether an incremental increase in opex is required.</w:t>
      </w:r>
    </w:p>
    <w:p w:rsidR="007C1F9F" w:rsidRPr="007F495F" w:rsidRDefault="007C1F9F" w:rsidP="007C1F9F">
      <w:pPr>
        <w:pStyle w:val="AERbodytext"/>
      </w:pPr>
      <w:r w:rsidRPr="007F495F">
        <w:t>A comparison between the step changes proposed by APA </w:t>
      </w:r>
      <w:r>
        <w:t>GasNet</w:t>
      </w:r>
      <w:r w:rsidRPr="007F495F">
        <w:t xml:space="preserve"> and the AER's draft decision is below in </w:t>
      </w:r>
      <w:r w:rsidR="00DE0D6A">
        <w:fldChar w:fldCharType="begin"/>
      </w:r>
      <w:r>
        <w:instrText xml:space="preserve"> REF  _Ref330816868 \* Lower \h \r </w:instrText>
      </w:r>
      <w:r w:rsidR="00DE0D6A">
        <w:fldChar w:fldCharType="separate"/>
      </w:r>
      <w:r>
        <w:t>table 6.7</w:t>
      </w:r>
      <w:r w:rsidR="00DE0D6A">
        <w:fldChar w:fldCharType="end"/>
      </w:r>
      <w:r w:rsidRPr="007F495F">
        <w:t>.</w:t>
      </w:r>
    </w:p>
    <w:p w:rsidR="007C1F9F" w:rsidRPr="007E3923" w:rsidRDefault="007C1F9F" w:rsidP="007C1F9F">
      <w:pPr>
        <w:pStyle w:val="AERtabletitle"/>
        <w:rPr>
          <w:rFonts w:eastAsia="Calibri"/>
        </w:rPr>
      </w:pPr>
      <w:bookmarkStart w:id="110" w:name="_Ref330816868"/>
      <w:r w:rsidRPr="007E3923">
        <w:rPr>
          <w:rFonts w:eastAsia="Calibri"/>
        </w:rPr>
        <w:t xml:space="preserve">APA GasNet's proposed step changes </w:t>
      </w:r>
      <w:bookmarkEnd w:id="110"/>
      <w:r w:rsidRPr="007E3923">
        <w:rPr>
          <w:rFonts w:eastAsia="Calibri"/>
        </w:rPr>
        <w:t>($million, 2012)</w:t>
      </w:r>
    </w:p>
    <w:tbl>
      <w:tblPr>
        <w:tblW w:w="8528" w:type="dxa"/>
        <w:tblBorders>
          <w:top w:val="single" w:sz="4" w:space="0" w:color="auto"/>
          <w:bottom w:val="single" w:sz="4" w:space="0" w:color="auto"/>
        </w:tblBorders>
        <w:tblLook w:val="04A0"/>
      </w:tblPr>
      <w:tblGrid>
        <w:gridCol w:w="3213"/>
        <w:gridCol w:w="860"/>
        <w:gridCol w:w="861"/>
        <w:gridCol w:w="861"/>
        <w:gridCol w:w="861"/>
        <w:gridCol w:w="861"/>
        <w:gridCol w:w="1011"/>
      </w:tblGrid>
      <w:tr w:rsidR="007C1F9F" w:rsidRPr="00FD4236" w:rsidTr="00186172">
        <w:trPr>
          <w:trHeight w:val="300"/>
        </w:trPr>
        <w:tc>
          <w:tcPr>
            <w:tcW w:w="321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FD4236" w:rsidRDefault="007C1F9F" w:rsidP="00FD4236">
            <w:pPr>
              <w:pStyle w:val="AERtabletextheading"/>
              <w:rPr>
                <w:rStyle w:val="AERtextbold"/>
                <w:b/>
              </w:rPr>
            </w:pPr>
            <w:r w:rsidRPr="00FD4236">
              <w:rPr>
                <w:rStyle w:val="AERtextbold"/>
                <w:b/>
              </w:rPr>
              <w:t>Step change</w:t>
            </w:r>
          </w:p>
        </w:tc>
        <w:tc>
          <w:tcPr>
            <w:tcW w:w="86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FD4236" w:rsidRDefault="007C1F9F" w:rsidP="00FD4236">
            <w:pPr>
              <w:pStyle w:val="AERtabletextheadingright"/>
            </w:pPr>
            <w:r w:rsidRPr="00FD4236">
              <w:t>2013</w:t>
            </w:r>
          </w:p>
        </w:tc>
        <w:tc>
          <w:tcPr>
            <w:tcW w:w="86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FD4236" w:rsidRDefault="007C1F9F" w:rsidP="00FD4236">
            <w:pPr>
              <w:pStyle w:val="AERtabletextheadingright"/>
            </w:pPr>
            <w:r w:rsidRPr="00FD4236">
              <w:t>2014</w:t>
            </w:r>
          </w:p>
        </w:tc>
        <w:tc>
          <w:tcPr>
            <w:tcW w:w="86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FD4236" w:rsidRDefault="007C1F9F" w:rsidP="00FD4236">
            <w:pPr>
              <w:pStyle w:val="AERtabletextheadingright"/>
            </w:pPr>
            <w:r w:rsidRPr="00FD4236">
              <w:t>2015</w:t>
            </w:r>
          </w:p>
        </w:tc>
        <w:tc>
          <w:tcPr>
            <w:tcW w:w="86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FD4236" w:rsidRDefault="007C1F9F" w:rsidP="00FD4236">
            <w:pPr>
              <w:pStyle w:val="AERtabletextheadingright"/>
            </w:pPr>
            <w:r w:rsidRPr="00FD4236">
              <w:t>2016</w:t>
            </w:r>
          </w:p>
        </w:tc>
        <w:tc>
          <w:tcPr>
            <w:tcW w:w="86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FD4236" w:rsidRDefault="007C1F9F" w:rsidP="00FD4236">
            <w:pPr>
              <w:pStyle w:val="AERtabletextheadingright"/>
            </w:pPr>
            <w:r w:rsidRPr="00FD4236">
              <w:t>2017</w:t>
            </w:r>
          </w:p>
        </w:tc>
        <w:tc>
          <w:tcPr>
            <w:tcW w:w="1011"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FD4236" w:rsidRDefault="007C1F9F" w:rsidP="00FD4236">
            <w:pPr>
              <w:pStyle w:val="AERtabletextheadingright"/>
            </w:pPr>
            <w:r w:rsidRPr="00FD4236">
              <w:t>Total</w:t>
            </w:r>
          </w:p>
        </w:tc>
      </w:tr>
      <w:tr w:rsidR="00FD4236" w:rsidRPr="003F0A1C" w:rsidTr="006E1CEF">
        <w:trPr>
          <w:trHeight w:val="300"/>
        </w:trPr>
        <w:tc>
          <w:tcPr>
            <w:tcW w:w="3213" w:type="dxa"/>
            <w:shd w:val="clear" w:color="auto" w:fill="auto"/>
            <w:noWrap/>
            <w:tcMar>
              <w:top w:w="0" w:type="dxa"/>
              <w:bottom w:w="0" w:type="dxa"/>
            </w:tcMar>
            <w:vAlign w:val="center"/>
            <w:hideMark/>
          </w:tcPr>
          <w:p w:rsidR="00FD4236" w:rsidRPr="00FD4236" w:rsidRDefault="00FD4236" w:rsidP="00FD4236">
            <w:pPr>
              <w:pStyle w:val="AERtabletext"/>
            </w:pPr>
            <w:r w:rsidRPr="00FD4236">
              <w:t>APA GasNet proposal*</w:t>
            </w:r>
          </w:p>
        </w:tc>
        <w:tc>
          <w:tcPr>
            <w:tcW w:w="860"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3.29</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3.81</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3.91</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4.65</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4.59</w:t>
            </w:r>
          </w:p>
        </w:tc>
        <w:tc>
          <w:tcPr>
            <w:tcW w:w="1011" w:type="dxa"/>
            <w:shd w:val="clear" w:color="auto" w:fill="auto"/>
            <w:noWrap/>
            <w:tcMar>
              <w:top w:w="0" w:type="dxa"/>
              <w:bottom w:w="0" w:type="dxa"/>
            </w:tcMar>
          </w:tcPr>
          <w:p w:rsidR="00FD4236" w:rsidRPr="00FD4236" w:rsidRDefault="00FD4236" w:rsidP="00FD4236">
            <w:pPr>
              <w:pStyle w:val="AERtabletextheadingright"/>
              <w:rPr>
                <w:rStyle w:val="AERtextbold"/>
              </w:rPr>
            </w:pPr>
            <w:r w:rsidRPr="00FD4236">
              <w:rPr>
                <w:rStyle w:val="AERtextbold"/>
              </w:rPr>
              <w:t>20.26</w:t>
            </w:r>
          </w:p>
        </w:tc>
      </w:tr>
      <w:tr w:rsidR="00FD4236" w:rsidRPr="003F0A1C" w:rsidTr="006E1CEF">
        <w:trPr>
          <w:trHeight w:val="300"/>
        </w:trPr>
        <w:tc>
          <w:tcPr>
            <w:tcW w:w="3213" w:type="dxa"/>
            <w:shd w:val="clear" w:color="auto" w:fill="F8B47C"/>
            <w:noWrap/>
            <w:tcMar>
              <w:top w:w="0" w:type="dxa"/>
              <w:bottom w:w="0" w:type="dxa"/>
            </w:tcMar>
            <w:vAlign w:val="center"/>
            <w:hideMark/>
          </w:tcPr>
          <w:p w:rsidR="00FD4236" w:rsidRPr="00FD4236" w:rsidRDefault="00FD4236" w:rsidP="00FD4236">
            <w:pPr>
              <w:pStyle w:val="AERtabletext"/>
            </w:pPr>
            <w:r w:rsidRPr="00FD4236">
              <w:t>AER draft decision</w:t>
            </w:r>
          </w:p>
        </w:tc>
        <w:tc>
          <w:tcPr>
            <w:tcW w:w="860"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–0.85</w:t>
            </w:r>
          </w:p>
        </w:tc>
        <w:tc>
          <w:tcPr>
            <w:tcW w:w="861"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–0.81</w:t>
            </w:r>
          </w:p>
        </w:tc>
        <w:tc>
          <w:tcPr>
            <w:tcW w:w="861"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–0.79</w:t>
            </w:r>
          </w:p>
        </w:tc>
        <w:tc>
          <w:tcPr>
            <w:tcW w:w="861"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–0.13</w:t>
            </w:r>
          </w:p>
        </w:tc>
        <w:tc>
          <w:tcPr>
            <w:tcW w:w="861"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–0.35</w:t>
            </w:r>
          </w:p>
        </w:tc>
        <w:tc>
          <w:tcPr>
            <w:tcW w:w="1011" w:type="dxa"/>
            <w:shd w:val="clear" w:color="auto" w:fill="F8B47C"/>
            <w:noWrap/>
            <w:tcMar>
              <w:top w:w="0" w:type="dxa"/>
              <w:bottom w:w="0" w:type="dxa"/>
            </w:tcMar>
          </w:tcPr>
          <w:p w:rsidR="00FD4236" w:rsidRPr="00FD4236" w:rsidRDefault="00FD4236" w:rsidP="00FD4236">
            <w:pPr>
              <w:pStyle w:val="AERtabletextheadingright"/>
              <w:rPr>
                <w:rStyle w:val="AERtextbold"/>
              </w:rPr>
            </w:pPr>
            <w:r w:rsidRPr="00FD4236">
              <w:rPr>
                <w:rStyle w:val="AERtextbold"/>
              </w:rPr>
              <w:t>–2.95</w:t>
            </w:r>
          </w:p>
        </w:tc>
      </w:tr>
      <w:tr w:rsidR="00FD4236" w:rsidRPr="003F0A1C" w:rsidTr="006E1CEF">
        <w:trPr>
          <w:trHeight w:val="300"/>
        </w:trPr>
        <w:tc>
          <w:tcPr>
            <w:tcW w:w="3213" w:type="dxa"/>
            <w:shd w:val="clear" w:color="auto" w:fill="auto"/>
            <w:noWrap/>
            <w:tcMar>
              <w:top w:w="0" w:type="dxa"/>
              <w:bottom w:w="0" w:type="dxa"/>
            </w:tcMar>
            <w:vAlign w:val="center"/>
            <w:hideMark/>
          </w:tcPr>
          <w:p w:rsidR="00FD4236" w:rsidRPr="00FD4236" w:rsidRDefault="00FD4236" w:rsidP="00FD4236">
            <w:pPr>
              <w:pStyle w:val="AERtabletext"/>
            </w:pPr>
            <w:r w:rsidRPr="00FD4236">
              <w:t>Difference</w:t>
            </w:r>
          </w:p>
        </w:tc>
        <w:tc>
          <w:tcPr>
            <w:tcW w:w="860"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–4.14</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–4.62</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–4.71</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–4.79</w:t>
            </w:r>
          </w:p>
        </w:tc>
        <w:tc>
          <w:tcPr>
            <w:tcW w:w="861"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–4.95</w:t>
            </w:r>
          </w:p>
        </w:tc>
        <w:tc>
          <w:tcPr>
            <w:tcW w:w="1011" w:type="dxa"/>
            <w:shd w:val="clear" w:color="auto" w:fill="auto"/>
            <w:noWrap/>
            <w:tcMar>
              <w:top w:w="0" w:type="dxa"/>
              <w:bottom w:w="0" w:type="dxa"/>
            </w:tcMar>
          </w:tcPr>
          <w:p w:rsidR="00FD4236" w:rsidRPr="00FD4236" w:rsidRDefault="00FD4236" w:rsidP="00FD4236">
            <w:pPr>
              <w:pStyle w:val="AERtabletextheadingright"/>
              <w:rPr>
                <w:rStyle w:val="AERtextbold"/>
              </w:rPr>
            </w:pPr>
            <w:r w:rsidRPr="00FD4236">
              <w:rPr>
                <w:rStyle w:val="AERtextbold"/>
              </w:rPr>
              <w:t>–23.20</w:t>
            </w:r>
          </w:p>
        </w:tc>
      </w:tr>
    </w:tbl>
    <w:p w:rsidR="007C1F9F" w:rsidRPr="007E3923" w:rsidRDefault="007C1F9F" w:rsidP="007C1F9F">
      <w:pPr>
        <w:pStyle w:val="AERtablesource"/>
        <w:rPr>
          <w:rFonts w:eastAsia="Calibri"/>
        </w:rPr>
      </w:pPr>
      <w:r w:rsidRPr="007E3923">
        <w:rPr>
          <w:rFonts w:eastAsia="Calibri"/>
        </w:rPr>
        <w:t xml:space="preserve">Source: </w:t>
      </w:r>
      <w:r w:rsidRPr="007E3923">
        <w:rPr>
          <w:rFonts w:eastAsia="Calibri"/>
        </w:rPr>
        <w:tab/>
        <w:t>APA GasNet, Access arrangement proposal.</w:t>
      </w:r>
      <w:r w:rsidRPr="007E3923">
        <w:rPr>
          <w:rStyle w:val="FootnoteReference"/>
          <w:rFonts w:eastAsia="Calibri"/>
        </w:rPr>
        <w:t xml:space="preserve"> </w:t>
      </w:r>
      <w:r w:rsidRPr="007E3923">
        <w:rPr>
          <w:rStyle w:val="FootnoteReference"/>
          <w:rFonts w:eastAsia="Calibri"/>
        </w:rPr>
        <w:footnoteReference w:id="481"/>
      </w:r>
    </w:p>
    <w:p w:rsidR="007C1F9F" w:rsidRPr="007E3923" w:rsidRDefault="007C1F9F" w:rsidP="007C1F9F">
      <w:pPr>
        <w:pStyle w:val="AERtablesource"/>
        <w:rPr>
          <w:rFonts w:eastAsia="Calibri"/>
        </w:rPr>
      </w:pPr>
      <w:r w:rsidRPr="007E3923">
        <w:rPr>
          <w:rFonts w:eastAsia="Calibri"/>
        </w:rPr>
        <w:t>*</w:t>
      </w:r>
      <w:r w:rsidRPr="007E3923">
        <w:rPr>
          <w:rFonts w:eastAsia="Calibri"/>
        </w:rPr>
        <w:tab/>
        <w:t xml:space="preserve">The AER notes that APA's proposal does not include the base year adjustments whereas the AER's draft decision includes these costs as step changes. </w:t>
      </w:r>
    </w:p>
    <w:p w:rsidR="007C1F9F" w:rsidRPr="003B0D55" w:rsidRDefault="007C1F9F" w:rsidP="007C1F9F">
      <w:pPr>
        <w:pStyle w:val="AERbodytext"/>
      </w:pPr>
      <w:r w:rsidRPr="003B0D55">
        <w:t>The following sections</w:t>
      </w:r>
      <w:r>
        <w:t xml:space="preserve"> set out</w:t>
      </w:r>
      <w:r w:rsidRPr="003B0D55">
        <w:t xml:space="preserve"> the AER's draft decision in relation to each proposed </w:t>
      </w:r>
      <w:r>
        <w:t>step change</w:t>
      </w:r>
      <w:r w:rsidRPr="003B0D55">
        <w:t xml:space="preserve">. </w:t>
      </w:r>
    </w:p>
    <w:p w:rsidR="007C1F9F" w:rsidRDefault="007C1F9F" w:rsidP="007C1F9F">
      <w:pPr>
        <w:pStyle w:val="AERheading4"/>
      </w:pPr>
      <w:r>
        <w:t>Environmental net gain obligations</w:t>
      </w:r>
    </w:p>
    <w:p w:rsidR="007C1F9F" w:rsidRPr="007F495F" w:rsidRDefault="007C1F9F" w:rsidP="007C1F9F">
      <w:pPr>
        <w:pStyle w:val="AERbodytext"/>
      </w:pPr>
      <w:r w:rsidRPr="007F495F">
        <w:t>APA </w:t>
      </w:r>
      <w:r>
        <w:t>GasNet</w:t>
      </w:r>
      <w:r w:rsidRPr="007F495F">
        <w:t xml:space="preserve"> proposed an increase of opex of $980 000 ($2012) over the </w:t>
      </w:r>
      <w:r>
        <w:t>2013–17</w:t>
      </w:r>
      <w:r w:rsidRPr="007F495F">
        <w:t xml:space="preserve"> access arrangement period in relation to the implementation of expected requirements it must meet in regards to native vegetation impacted by a pipeline operation. APA </w:t>
      </w:r>
      <w:r>
        <w:t>GasNet</w:t>
      </w:r>
      <w:r w:rsidRPr="007F495F">
        <w:t xml:space="preserve"> is required to offset any native vegetation affected by pipeline operations by sourcing and protecting another piece of land which would deliver a 'net gain' to protected native vegetation. APA </w:t>
      </w:r>
      <w:r>
        <w:t>GasNet</w:t>
      </w:r>
      <w:r w:rsidRPr="007F495F">
        <w:t xml:space="preserve"> expects to incur ongoing costs to ensure the net gain in native vegetation is achieved. In the </w:t>
      </w:r>
      <w:r>
        <w:t>2013–17</w:t>
      </w:r>
      <w:r w:rsidRPr="007F495F">
        <w:t xml:space="preserve"> access arrangement period APA </w:t>
      </w:r>
      <w:r>
        <w:t>GasNet</w:t>
      </w:r>
      <w:r w:rsidRPr="007F495F">
        <w:t xml:space="preserve"> expect to incur costs related to:</w:t>
      </w:r>
    </w:p>
    <w:p w:rsidR="007C1F9F" w:rsidRPr="007F495F" w:rsidRDefault="007C1F9F" w:rsidP="007C1F9F">
      <w:pPr>
        <w:pStyle w:val="AERbulletlistfirststyle"/>
      </w:pPr>
      <w:r>
        <w:t>c</w:t>
      </w:r>
      <w:r w:rsidRPr="007F495F">
        <w:t>urrent obligations relating to rectification of native vegetation at Wollert</w:t>
      </w:r>
    </w:p>
    <w:p w:rsidR="007C1F9F" w:rsidRPr="007F495F" w:rsidRDefault="007C1F9F" w:rsidP="007C1F9F">
      <w:pPr>
        <w:pStyle w:val="AERbulletlistfirststyle"/>
      </w:pPr>
      <w:r>
        <w:t>f</w:t>
      </w:r>
      <w:r w:rsidRPr="007F495F">
        <w:t>orecast obligations likely to be triggered by native vegetation affected by the Northern expansion project</w:t>
      </w:r>
    </w:p>
    <w:p w:rsidR="007C1F9F" w:rsidRPr="007F495F" w:rsidRDefault="007C1F9F" w:rsidP="007C1F9F">
      <w:pPr>
        <w:pStyle w:val="AERbulletlistfirststyle"/>
      </w:pPr>
      <w:r>
        <w:t>f</w:t>
      </w:r>
      <w:r w:rsidRPr="007F495F">
        <w:t>orecast obligations likely to be triggered by native vegetation affected by the Anglesea pipeline extension.</w:t>
      </w:r>
      <w:r w:rsidRPr="007F495F">
        <w:rPr>
          <w:rStyle w:val="FootnoteReference"/>
        </w:rPr>
        <w:footnoteReference w:id="482"/>
      </w:r>
    </w:p>
    <w:p w:rsidR="007C1F9F" w:rsidRPr="007F495F" w:rsidRDefault="007C1F9F" w:rsidP="007C1F9F">
      <w:pPr>
        <w:pStyle w:val="AERbodytext"/>
      </w:pPr>
      <w:r w:rsidRPr="007F495F">
        <w:t xml:space="preserve">The AER's draft decision is to approve an increase in opex of $812 000 ($2012) over the </w:t>
      </w:r>
      <w:r>
        <w:t>2013–17</w:t>
      </w:r>
      <w:r w:rsidRPr="007F495F">
        <w:t xml:space="preserve"> access arrangement period.</w:t>
      </w:r>
    </w:p>
    <w:p w:rsidR="007C1F9F" w:rsidRPr="007F495F" w:rsidRDefault="007C1F9F" w:rsidP="007C1F9F">
      <w:pPr>
        <w:pStyle w:val="AERbodytext"/>
      </w:pPr>
      <w:r w:rsidRPr="007F495F">
        <w:t xml:space="preserve">The AER's draft decision is to approve an increase in opex for these projects. It considers that an increase in opex for these activities would lead to opex </w:t>
      </w:r>
      <w:r w:rsidRPr="007E3923">
        <w:rPr>
          <w:rFonts w:eastAsia="Calibri"/>
        </w:rPr>
        <w:t xml:space="preserve">that would be incurred </w:t>
      </w:r>
      <w:r w:rsidRPr="007F495F">
        <w:t>by a prudent service provider acting efficiently, in accordance with accepted good industry practice, to achieve the lowest sustainable cost of delivering pipeline services.</w:t>
      </w:r>
    </w:p>
    <w:p w:rsidR="007C1F9F" w:rsidRPr="007F495F" w:rsidRDefault="007C1F9F" w:rsidP="007C1F9F">
      <w:pPr>
        <w:pStyle w:val="AERbodytext"/>
      </w:pPr>
      <w:r w:rsidRPr="007F495F">
        <w:t>The AER is satisfied that the forecast increase in opex for the rectification works at Wollert and the new obligations likely to be triggered by the Anglesea pipeline extension have been arrived at on a reasonable basis and are the best estimates possible in the circumstances.</w:t>
      </w:r>
    </w:p>
    <w:p w:rsidR="007C1F9F" w:rsidRPr="007F495F" w:rsidRDefault="007C1F9F" w:rsidP="007C1F9F">
      <w:pPr>
        <w:pStyle w:val="AERbodytext"/>
      </w:pPr>
      <w:r w:rsidRPr="007F495F">
        <w:t xml:space="preserve">The AER is also satisfied that there will be an increase in opex related to native vegetation works triggered by the Northern Expansion project. However, as the AER has only approved part of the </w:t>
      </w:r>
      <w:r>
        <w:t>forecast capex</w:t>
      </w:r>
      <w:r w:rsidRPr="007F495F">
        <w:t xml:space="preserve"> for this project, the AER considers the likely impact on native vegetation will be correspondingly less and therefore the amount of opex required will be less than the amount originally forecast by APA </w:t>
      </w:r>
      <w:r>
        <w:t>GasNet</w:t>
      </w:r>
      <w:r w:rsidRPr="007F495F">
        <w:t>. Consistent with r 74(2)</w:t>
      </w:r>
      <w:r w:rsidRPr="00964614">
        <w:t xml:space="preserve"> </w:t>
      </w:r>
      <w:r w:rsidRPr="007F495F">
        <w:t>of the NGR, the AER estimates that this would reduce APA </w:t>
      </w:r>
      <w:r>
        <w:t>GasNet</w:t>
      </w:r>
      <w:r w:rsidRPr="007F495F">
        <w:t>'s forecast opex by approximately $168</w:t>
      </w:r>
      <w:r>
        <w:t> </w:t>
      </w:r>
      <w:r w:rsidRPr="007F495F">
        <w:t xml:space="preserve">000 ($2012) over the over the </w:t>
      </w:r>
      <w:r>
        <w:t>2013–17</w:t>
      </w:r>
      <w:r w:rsidRPr="007F495F">
        <w:t xml:space="preserve"> access arrangement period.</w:t>
      </w:r>
    </w:p>
    <w:p w:rsidR="007C1F9F" w:rsidRPr="00C925E4" w:rsidRDefault="007C1F9F" w:rsidP="007C1F9F">
      <w:pPr>
        <w:pStyle w:val="AERheading4"/>
      </w:pPr>
      <w:r>
        <w:t>Safety management studies—monitoring and rectification</w:t>
      </w:r>
    </w:p>
    <w:p w:rsidR="007C1F9F" w:rsidRPr="007F495F" w:rsidRDefault="007C1F9F" w:rsidP="007C1F9F">
      <w:pPr>
        <w:pStyle w:val="AERbodytext"/>
      </w:pPr>
      <w:r w:rsidRPr="007F495F">
        <w:t>APA </w:t>
      </w:r>
      <w:r>
        <w:t>GasNet</w:t>
      </w:r>
      <w:r w:rsidRPr="007F495F">
        <w:t xml:space="preserve"> is required to undertake safety management studies periodically to identify safety issues at particular sites and to develop a plan for removing and mitigating potential safety risks. As a result of safety management studies carried out in the </w:t>
      </w:r>
      <w:r>
        <w:t xml:space="preserve">2008–12 </w:t>
      </w:r>
      <w:r w:rsidRPr="007F495F">
        <w:t>access arrangement period, APA </w:t>
      </w:r>
      <w:r>
        <w:t>GasNet</w:t>
      </w:r>
      <w:r w:rsidRPr="007F495F">
        <w:t xml:space="preserve"> has identified the need for increased inspections, vegetation management and an annual roadside photography survey. It has proposed an increase in its opex of $900 000 ($2012) over the </w:t>
      </w:r>
      <w:r>
        <w:t>2013–17</w:t>
      </w:r>
      <w:r w:rsidRPr="007F495F">
        <w:t xml:space="preserve"> access arrangement period</w:t>
      </w:r>
      <w:r>
        <w:t xml:space="preserve"> </w:t>
      </w:r>
      <w:r w:rsidRPr="007F495F">
        <w:t xml:space="preserve">for the activities it has identified that must be carried out as a result of the safety management studies it carried out in the </w:t>
      </w:r>
      <w:r>
        <w:t>2008–12</w:t>
      </w:r>
      <w:r w:rsidRPr="007F495F">
        <w:t xml:space="preserve"> access arrangement period.</w:t>
      </w:r>
      <w:r w:rsidRPr="007F495F">
        <w:rPr>
          <w:rStyle w:val="FootnoteReference"/>
        </w:rPr>
        <w:footnoteReference w:id="483"/>
      </w:r>
    </w:p>
    <w:p w:rsidR="007C1F9F" w:rsidRPr="007F495F" w:rsidRDefault="007C1F9F" w:rsidP="007C1F9F">
      <w:pPr>
        <w:pStyle w:val="AERbodytext"/>
      </w:pPr>
      <w:r w:rsidRPr="007F495F">
        <w:t>The AER’s draft decision is to not approve an increase in APA </w:t>
      </w:r>
      <w:r>
        <w:t>GasNet</w:t>
      </w:r>
      <w:r w:rsidRPr="007F495F">
        <w:t xml:space="preserve">’s opex to fund these activities. It is not satisfied that an additional opex allowance for these activities would lead to opex </w:t>
      </w:r>
      <w:r w:rsidRPr="007E3923">
        <w:rPr>
          <w:rFonts w:eastAsia="Calibri"/>
        </w:rPr>
        <w:t xml:space="preserve">that would be incurred </w:t>
      </w:r>
      <w:r w:rsidRPr="007F495F">
        <w:t>by a prudent service provider acting efficiently, in accordance with accepted good industry practice, to achieve the lowest sustainable cost of delivering pipeline services.</w:t>
      </w:r>
    </w:p>
    <w:p w:rsidR="007C1F9F" w:rsidRPr="007F495F" w:rsidRDefault="007C1F9F" w:rsidP="007C1F9F">
      <w:pPr>
        <w:pStyle w:val="AERbodytext"/>
      </w:pPr>
      <w:r w:rsidRPr="007F495F">
        <w:t>The AER notes that a proposed change to Australian Standard AS 2885.3 would mean pipeline businesses are required to carry out safety management studies whereby pipeline owners would be required to carry out a risk assessment of safety issues affecting the pipeline. The AER agrees this approach is consistent with accepted industry best practice.</w:t>
      </w:r>
    </w:p>
    <w:p w:rsidR="007C1F9F" w:rsidRPr="007F495F" w:rsidRDefault="007C1F9F" w:rsidP="007C1F9F">
      <w:pPr>
        <w:pStyle w:val="AERbodytext"/>
      </w:pPr>
      <w:r w:rsidRPr="007F495F">
        <w:t xml:space="preserve">However, while the AER agrees that undertaking safety management studies may change the process by which the industry identifies safety issues, the AER is not satisfied that the underlying public safety obligations which a pipeline operator must, or is expected to meet, have materially changed since the </w:t>
      </w:r>
      <w:r>
        <w:t>2008–12</w:t>
      </w:r>
      <w:r w:rsidRPr="007F495F">
        <w:t xml:space="preserve"> access arrangement period. Therefore the AER is not satisfied on the basis of the evidence provided by APA </w:t>
      </w:r>
      <w:r>
        <w:t>GasNet</w:t>
      </w:r>
      <w:r w:rsidRPr="007F495F">
        <w:t xml:space="preserve"> that an increase in APA </w:t>
      </w:r>
      <w:r>
        <w:t>GasNet</w:t>
      </w:r>
      <w:r w:rsidRPr="007F495F">
        <w:t>’s total opex forecast is required to address pipeline safety. Without evidence to suggest otherwise, the AER considers that APA </w:t>
      </w:r>
      <w:r>
        <w:t>GasNet</w:t>
      </w:r>
      <w:r w:rsidRPr="007F495F">
        <w:t xml:space="preserve"> would have devoted sufficient resources in the base year to managing pipeline safety and therefore an incremental increase above base opex to address pipeline safety issues is not required.</w:t>
      </w:r>
    </w:p>
    <w:p w:rsidR="007C1F9F" w:rsidRPr="00C925E4" w:rsidRDefault="007C1F9F" w:rsidP="007C1F9F">
      <w:pPr>
        <w:pStyle w:val="AERheading4"/>
      </w:pPr>
      <w:r>
        <w:t>Maintenance of hazardous area dossiers</w:t>
      </w:r>
    </w:p>
    <w:p w:rsidR="007C1F9F" w:rsidRPr="007E3923" w:rsidRDefault="007C1F9F" w:rsidP="007C1F9F">
      <w:pPr>
        <w:pStyle w:val="AERbodytext"/>
        <w:rPr>
          <w:rFonts w:eastAsia="Calibri"/>
        </w:rPr>
      </w:pPr>
      <w:r w:rsidRPr="007E3923">
        <w:rPr>
          <w:rFonts w:eastAsia="Calibri"/>
        </w:rPr>
        <w:t>APA GasNet has responsibility to ensure all the electrical equipment installed in APA GasNet hazardous areas is in safe working condition and meets legal requirements to comply with all relevant standards. To comply with relevant Australian standards APA GasNet must have in place a Hazardous Area Verification Dossier which details the compliance and safety of the electrical equipment installed within the hazardous area. It proposed two additional personnel be employed to maintain its hazardous area dossiers.</w:t>
      </w:r>
      <w:r w:rsidRPr="007E3923">
        <w:rPr>
          <w:rStyle w:val="FootnoteReference"/>
          <w:rFonts w:eastAsia="Calibri"/>
        </w:rPr>
        <w:footnoteReference w:id="484"/>
      </w:r>
    </w:p>
    <w:p w:rsidR="007C1F9F" w:rsidRPr="007F495F" w:rsidRDefault="007C1F9F" w:rsidP="007C1F9F">
      <w:pPr>
        <w:pStyle w:val="AERbodytext"/>
      </w:pPr>
      <w:r w:rsidRPr="007F495F">
        <w:t>The AER’s draft decision is to not approve an increase in APA </w:t>
      </w:r>
      <w:r>
        <w:t>GasNet</w:t>
      </w:r>
      <w:r w:rsidRPr="007F495F">
        <w:t xml:space="preserve">’s opex to fund these positions. It is not satisfied that an incremental increase in opex for these activities would lead to opex </w:t>
      </w:r>
      <w:r w:rsidRPr="007E3923">
        <w:rPr>
          <w:rFonts w:eastAsia="Calibri"/>
        </w:rPr>
        <w:t xml:space="preserve">that would be incurred </w:t>
      </w:r>
      <w:r w:rsidRPr="007F495F">
        <w:t>by a prudent service provider acting efficiently, in accordance with accepted good industry practice, to achieve the lowest sustainable cost of delivering pipeline services.</w:t>
      </w:r>
    </w:p>
    <w:p w:rsidR="007C1F9F" w:rsidRPr="007F495F" w:rsidRDefault="007C1F9F" w:rsidP="007C1F9F">
      <w:pPr>
        <w:pStyle w:val="AERbodytext"/>
      </w:pPr>
      <w:r w:rsidRPr="007F495F">
        <w:t>The AER is not satisfied from the information provided by APA </w:t>
      </w:r>
      <w:r>
        <w:t>GasNet</w:t>
      </w:r>
      <w:r w:rsidRPr="007F495F">
        <w:t xml:space="preserve"> that the opex it incurred in 2011 maintaining hazardous area dossiers was not sufficient to ensure APA</w:t>
      </w:r>
      <w:r>
        <w:t> GasNet</w:t>
      </w:r>
      <w:r w:rsidRPr="007F495F">
        <w:t xml:space="preserve"> met the relevant Australian standards. As such, the AER does not consider that an increase in APA </w:t>
      </w:r>
      <w:r>
        <w:t>GasNet</w:t>
      </w:r>
      <w:r w:rsidRPr="007F495F">
        <w:t>’s opex to fund this program would be consistent with r.</w:t>
      </w:r>
      <w:r>
        <w:t xml:space="preserve"> </w:t>
      </w:r>
      <w:r w:rsidRPr="007F495F">
        <w:t>91</w:t>
      </w:r>
      <w:r w:rsidRPr="001E3276">
        <w:t xml:space="preserve"> </w:t>
      </w:r>
      <w:r w:rsidRPr="007F495F">
        <w:t>of the NGR.</w:t>
      </w:r>
    </w:p>
    <w:p w:rsidR="007C1F9F" w:rsidRPr="00C925E4" w:rsidRDefault="007C1F9F" w:rsidP="007C1F9F">
      <w:pPr>
        <w:pStyle w:val="AERheading4"/>
      </w:pPr>
      <w:r>
        <w:t>Energy Safe Victoria levies</w:t>
      </w:r>
    </w:p>
    <w:p w:rsidR="007C1F9F" w:rsidRPr="007E3923" w:rsidRDefault="007C1F9F" w:rsidP="007C1F9F">
      <w:pPr>
        <w:pStyle w:val="AERbodytext"/>
        <w:rPr>
          <w:rFonts w:eastAsia="Calibri"/>
        </w:rPr>
      </w:pPr>
      <w:r w:rsidRPr="007E3923">
        <w:rPr>
          <w:rFonts w:eastAsia="Calibri"/>
        </w:rPr>
        <w:t>APA GasNet have proposed a step change in opex linked to an Energy Safe Victoria</w:t>
      </w:r>
      <w:r>
        <w:rPr>
          <w:rFonts w:eastAsia="Calibri"/>
        </w:rPr>
        <w:t xml:space="preserve"> (ESV)</w:t>
      </w:r>
      <w:r w:rsidRPr="007E3923">
        <w:rPr>
          <w:rFonts w:eastAsia="Calibri"/>
        </w:rPr>
        <w:t xml:space="preserve"> levy rise in the 2012–13 financial year.</w:t>
      </w:r>
    </w:p>
    <w:p w:rsidR="007C1F9F" w:rsidRPr="007E3923" w:rsidRDefault="007C1F9F" w:rsidP="007C1F9F">
      <w:pPr>
        <w:pStyle w:val="AERbodytext"/>
        <w:rPr>
          <w:rFonts w:eastAsia="Calibri"/>
        </w:rPr>
      </w:pPr>
      <w:r w:rsidRPr="007E3923">
        <w:rPr>
          <w:rFonts w:eastAsia="Calibri"/>
        </w:rPr>
        <w:t>The AER agrees that an increase in opex for an ESV levy rise in 2012-13 should be reflected in ESV's forecast opex for the 2013</w:t>
      </w:r>
      <w:r>
        <w:rPr>
          <w:rFonts w:eastAsia="Calibri"/>
        </w:rPr>
        <w:t>–17</w:t>
      </w:r>
      <w:r w:rsidRPr="007E3923">
        <w:rPr>
          <w:rFonts w:eastAsia="Calibri"/>
        </w:rPr>
        <w:t xml:space="preserve"> access arrangement period. </w:t>
      </w:r>
    </w:p>
    <w:p w:rsidR="007C1F9F" w:rsidRPr="007E3923" w:rsidRDefault="007C1F9F" w:rsidP="007C1F9F">
      <w:pPr>
        <w:pStyle w:val="AERbodytext"/>
        <w:rPr>
          <w:rFonts w:eastAsia="Calibri"/>
        </w:rPr>
      </w:pPr>
      <w:r w:rsidRPr="007E3923">
        <w:rPr>
          <w:rFonts w:eastAsia="Calibri"/>
        </w:rPr>
        <w:t xml:space="preserve">As outlined in section </w:t>
      </w:r>
      <w:r w:rsidR="00DE0D6A" w:rsidRPr="007E3923">
        <w:rPr>
          <w:rFonts w:eastAsia="Calibri"/>
        </w:rPr>
        <w:fldChar w:fldCharType="begin"/>
      </w:r>
      <w:r w:rsidRPr="007E3923">
        <w:rPr>
          <w:rFonts w:eastAsia="Calibri"/>
        </w:rPr>
        <w:instrText xml:space="preserve"> REF _Ref332281409 \r \h </w:instrText>
      </w:r>
      <w:r w:rsidR="00DE0D6A" w:rsidRPr="007E3923">
        <w:rPr>
          <w:rFonts w:eastAsia="Calibri"/>
        </w:rPr>
      </w:r>
      <w:r w:rsidR="00DE0D6A" w:rsidRPr="007E3923">
        <w:rPr>
          <w:rFonts w:eastAsia="Calibri"/>
        </w:rPr>
        <w:fldChar w:fldCharType="separate"/>
      </w:r>
      <w:r>
        <w:rPr>
          <w:rFonts w:eastAsia="Calibri"/>
        </w:rPr>
        <w:t>6.2.4</w:t>
      </w:r>
      <w:r w:rsidR="00DE0D6A" w:rsidRPr="007E3923">
        <w:rPr>
          <w:rFonts w:eastAsia="Calibri"/>
        </w:rPr>
        <w:fldChar w:fldCharType="end"/>
      </w:r>
      <w:r w:rsidRPr="007E3923">
        <w:rPr>
          <w:rFonts w:eastAsia="Calibri"/>
        </w:rPr>
        <w:t xml:space="preserve"> the AER has rejected an adjustment in APA GasNet's base opex for an ESV levy rise for the 2011–12 financial year because it does not consider this would be consistent with clause 7.2(h)(ii) in its 2008–12  </w:t>
      </w:r>
      <w:r w:rsidR="006D3E57">
        <w:rPr>
          <w:rFonts w:eastAsia="Calibri"/>
        </w:rPr>
        <w:t>a</w:t>
      </w:r>
      <w:r w:rsidRPr="007E3923">
        <w:rPr>
          <w:rFonts w:eastAsia="Calibri"/>
        </w:rPr>
        <w:t xml:space="preserve">ccess arrangement. As the levy was paid by APA GasNet but has not </w:t>
      </w:r>
      <w:r>
        <w:rPr>
          <w:rFonts w:eastAsia="Calibri"/>
        </w:rPr>
        <w:t xml:space="preserve">been </w:t>
      </w:r>
      <w:r w:rsidRPr="007E3923">
        <w:rPr>
          <w:rFonts w:eastAsia="Calibri"/>
        </w:rPr>
        <w:t xml:space="preserve">fully reflected in APA GasNet's base year costs, the AER has instead treated the incremental increase in the ESV levy in 2011–12 not reflected in the base year as a step change. </w:t>
      </w:r>
    </w:p>
    <w:p w:rsidR="007C1F9F" w:rsidRPr="007E3923" w:rsidRDefault="007C1F9F" w:rsidP="007C1F9F">
      <w:pPr>
        <w:pStyle w:val="AERbodytext"/>
        <w:rPr>
          <w:rFonts w:eastAsia="Calibri"/>
        </w:rPr>
      </w:pPr>
      <w:r w:rsidRPr="007E3923">
        <w:rPr>
          <w:rFonts w:eastAsia="Calibri"/>
        </w:rPr>
        <w:t>The AER proposes that any future changes to the ESV levy will be addressed through the tariff variation mechanism.</w:t>
      </w:r>
    </w:p>
    <w:p w:rsidR="007C1F9F" w:rsidRDefault="007C1F9F" w:rsidP="007C1F9F">
      <w:pPr>
        <w:pStyle w:val="AERheading4"/>
      </w:pPr>
      <w:r>
        <w:t>Electricity costs</w:t>
      </w:r>
    </w:p>
    <w:p w:rsidR="007C1F9F" w:rsidRDefault="007C1F9F" w:rsidP="007C1F9F">
      <w:pPr>
        <w:pStyle w:val="AERbodytext"/>
      </w:pPr>
      <w:r>
        <w:t>APA GasNet proposed a step change for electricity cost increases due to increasing network charges and the introduction of the carbon price.</w:t>
      </w:r>
      <w:r>
        <w:rPr>
          <w:rStyle w:val="FootnoteReference"/>
        </w:rPr>
        <w:footnoteReference w:id="485"/>
      </w:r>
      <w:r>
        <w:t xml:space="preserve"> The AER considers a prudent service provider, acting efficiently, does not require this step change and therefore the step change does not satisfy r. 91 of the NGR.</w:t>
      </w:r>
      <w:r>
        <w:rPr>
          <w:rStyle w:val="FootnoteReference"/>
        </w:rPr>
        <w:footnoteReference w:id="486"/>
      </w:r>
      <w:r>
        <w:t xml:space="preserve"> </w:t>
      </w:r>
    </w:p>
    <w:p w:rsidR="007C1F9F" w:rsidRPr="000F6465" w:rsidRDefault="007C1F9F" w:rsidP="007C1F9F">
      <w:pPr>
        <w:pStyle w:val="AERbodytext"/>
      </w:pPr>
      <w:r>
        <w:t>The AER considers that APA GasNet is already compensated for any increase in electricity costs because its base year costs are escalated by CPI. The impact of electricity prices, including the expected impact of increased network charges and the carbon price is included in the Reserve Bank of Australia's CPI forecasts. The AER uses these CPI forecasts to escalate APA GasNet's base year costs.</w:t>
      </w:r>
      <w:r>
        <w:rPr>
          <w:rStyle w:val="FootnoteReference"/>
        </w:rPr>
        <w:footnoteReference w:id="487"/>
      </w:r>
      <w:r>
        <w:t xml:space="preserve"> If the base year costs are escalated by CPI and a separate step change for an increase in electricity costs is provided, then APA GasNet will receive double compensation for the effect of electricity price increases.</w:t>
      </w:r>
    </w:p>
    <w:p w:rsidR="007C1F9F" w:rsidRDefault="007C1F9F" w:rsidP="007C1F9F">
      <w:pPr>
        <w:pStyle w:val="AERbodytext"/>
      </w:pPr>
      <w:r>
        <w:t xml:space="preserve">The AER notes the contribution of electricity costs to </w:t>
      </w:r>
      <w:r w:rsidRPr="000F6465">
        <w:t>APA </w:t>
      </w:r>
      <w:r>
        <w:t>GasNet</w:t>
      </w:r>
      <w:r w:rsidRPr="000F6465">
        <w:t>'s</w:t>
      </w:r>
      <w:r>
        <w:t xml:space="preserve"> total opex is consistent with electricity costs </w:t>
      </w:r>
      <w:r w:rsidRPr="000F6465">
        <w:t>weighting in the CPI basket.</w:t>
      </w:r>
      <w:r w:rsidRPr="000F6465">
        <w:rPr>
          <w:rStyle w:val="FootnoteReference"/>
        </w:rPr>
        <w:footnoteReference w:id="488"/>
      </w:r>
      <w:r w:rsidRPr="000F6465">
        <w:t xml:space="preserve"> </w:t>
      </w:r>
      <w:r>
        <w:t xml:space="preserve">As such the level of compensation provided by applying the CPI to base year costs should be commensurate with APA GasNet's increased electricity costs. </w:t>
      </w:r>
    </w:p>
    <w:p w:rsidR="007C1F9F" w:rsidRDefault="007C1F9F" w:rsidP="007C1F9F">
      <w:pPr>
        <w:pStyle w:val="AERbodytext"/>
      </w:pPr>
      <w:r>
        <w:t xml:space="preserve">Finally, the AER notes the CPI </w:t>
      </w:r>
      <w:r w:rsidRPr="000F6465">
        <w:t xml:space="preserve">measures changes in the price of a basket of goods and services and </w:t>
      </w:r>
      <w:r>
        <w:t xml:space="preserve">reflects the weighted </w:t>
      </w:r>
      <w:r w:rsidRPr="000F6465">
        <w:t>average price change of these goods and services.</w:t>
      </w:r>
      <w:r>
        <w:t xml:space="preserve"> Using an average measure of price increases accounts for the fact that some elements may increase in price more than others while some may decrease. The AER considers that applying separate forecasts to specific elements which are increasing more than CPI would systematically overstate the expected increase in total costs.   </w:t>
      </w:r>
    </w:p>
    <w:p w:rsidR="007C1F9F" w:rsidRDefault="007C1F9F" w:rsidP="007C1F9F">
      <w:pPr>
        <w:pStyle w:val="AERheading4"/>
      </w:pPr>
      <w:r>
        <w:t>Direct Carbon Costs</w:t>
      </w:r>
    </w:p>
    <w:p w:rsidR="007C1F9F" w:rsidRDefault="007C1F9F" w:rsidP="007C1F9F">
      <w:pPr>
        <w:pStyle w:val="AERbodytext"/>
      </w:pPr>
      <w:r>
        <w:t xml:space="preserve">APA GasNet has proposed the recovery of direct costs incurred in relation to the </w:t>
      </w:r>
      <w:r w:rsidRPr="00674D4A">
        <w:rPr>
          <w:rStyle w:val="AERtextitalic"/>
        </w:rPr>
        <w:t>Clean Energy Act 2011</w:t>
      </w:r>
      <w:r>
        <w:rPr>
          <w:rStyle w:val="AERbody"/>
        </w:rPr>
        <w:t xml:space="preserve"> (Cth) (the Clean Energy Act)</w:t>
      </w:r>
      <w:r>
        <w:rPr>
          <w:rStyle w:val="AERtextitalic"/>
        </w:rPr>
        <w:t>.</w:t>
      </w:r>
      <w:r w:rsidRPr="00791B25">
        <w:rPr>
          <w:rStyle w:val="FootnoteReference"/>
        </w:rPr>
        <w:footnoteReference w:id="489"/>
      </w:r>
      <w:r>
        <w:rPr>
          <w:rStyle w:val="AERtextitalic"/>
        </w:rPr>
        <w:t xml:space="preserve"> </w:t>
      </w:r>
      <w:r>
        <w:t xml:space="preserve">APA GasNet advised that it has </w:t>
      </w:r>
      <w:r w:rsidRPr="002D538A">
        <w:t>jointly sought</w:t>
      </w:r>
      <w:r>
        <w:t xml:space="preserve"> with AEMO</w:t>
      </w:r>
      <w:r w:rsidRPr="002D538A">
        <w:t xml:space="preserve"> a declaration from the Greenhouse</w:t>
      </w:r>
      <w:r>
        <w:t xml:space="preserve"> </w:t>
      </w:r>
      <w:r w:rsidRPr="002D538A">
        <w:t xml:space="preserve">Energy Data Officer as to which entity has operational control over the </w:t>
      </w:r>
      <w:r>
        <w:t>Victorian Transmission System (</w:t>
      </w:r>
      <w:r w:rsidRPr="002D538A">
        <w:t>VTS</w:t>
      </w:r>
      <w:r>
        <w:t>)</w:t>
      </w:r>
      <w:r w:rsidRPr="002D538A">
        <w:t>.</w:t>
      </w:r>
      <w:r>
        <w:rPr>
          <w:rStyle w:val="FootnoteReference"/>
        </w:rPr>
        <w:footnoteReference w:id="490"/>
      </w:r>
      <w:r w:rsidRPr="002D538A">
        <w:t xml:space="preserve"> This determination will ultimately confirm which party will carry liability for</w:t>
      </w:r>
      <w:r>
        <w:t xml:space="preserve"> </w:t>
      </w:r>
      <w:r w:rsidRPr="002D538A">
        <w:t xml:space="preserve">surrendering carbon permits under the Clean Energy Act. </w:t>
      </w:r>
      <w:r>
        <w:t xml:space="preserve">The AER understands </w:t>
      </w:r>
      <w:r w:rsidRPr="002D538A">
        <w:t>the application for</w:t>
      </w:r>
      <w:r>
        <w:t xml:space="preserve"> </w:t>
      </w:r>
      <w:r w:rsidRPr="002D538A">
        <w:t xml:space="preserve">a determination </w:t>
      </w:r>
      <w:r>
        <w:t>was</w:t>
      </w:r>
      <w:r w:rsidRPr="002D538A">
        <w:t xml:space="preserve"> lodged by the parties in September 2009</w:t>
      </w:r>
      <w:r>
        <w:t xml:space="preserve"> and </w:t>
      </w:r>
      <w:r w:rsidRPr="002D538A">
        <w:t>the</w:t>
      </w:r>
      <w:r>
        <w:t xml:space="preserve"> </w:t>
      </w:r>
      <w:r w:rsidRPr="002D538A">
        <w:t>Greenhouse</w:t>
      </w:r>
      <w:r>
        <w:t xml:space="preserve"> </w:t>
      </w:r>
      <w:r w:rsidRPr="002D538A">
        <w:t>Energy Data Officer has yet to make a determination on this matter.</w:t>
      </w:r>
      <w:r>
        <w:rPr>
          <w:rStyle w:val="FootnoteReference"/>
        </w:rPr>
        <w:footnoteReference w:id="491"/>
      </w:r>
    </w:p>
    <w:p w:rsidR="007C1F9F" w:rsidRDefault="007C1F9F" w:rsidP="007C1F9F">
      <w:pPr>
        <w:pStyle w:val="AERbodytext"/>
      </w:pPr>
      <w:r>
        <w:t>APA GasNet stated that s</w:t>
      </w:r>
      <w:r w:rsidRPr="002E0E62">
        <w:t>hould a determination be made during the review process that AEMO will incur this</w:t>
      </w:r>
      <w:r>
        <w:t xml:space="preserve"> </w:t>
      </w:r>
      <w:r w:rsidRPr="002E0E62">
        <w:t xml:space="preserve">liability, </w:t>
      </w:r>
      <w:r>
        <w:t>APA GasNet</w:t>
      </w:r>
      <w:r w:rsidRPr="002E0E62">
        <w:t xml:space="preserve"> will withdraw this step change from its proposal.</w:t>
      </w:r>
      <w:r>
        <w:rPr>
          <w:rStyle w:val="FootnoteReference"/>
        </w:rPr>
        <w:footnoteReference w:id="492"/>
      </w:r>
      <w:r w:rsidRPr="002E0E62">
        <w:t xml:space="preserve"> </w:t>
      </w:r>
    </w:p>
    <w:p w:rsidR="007C1F9F" w:rsidRDefault="007C1F9F" w:rsidP="007C1F9F">
      <w:pPr>
        <w:pStyle w:val="AERbodytext"/>
      </w:pPr>
      <w:r>
        <w:t xml:space="preserve">The AER has </w:t>
      </w:r>
      <w:r w:rsidRPr="00496866">
        <w:t>three times</w:t>
      </w:r>
      <w:r>
        <w:t xml:space="preserve"> sought further information from APA GasNet regarding the status of the application by it and AEMO for a declaration from the Greenhouse Energy Data Officer. On 25 July 2012, APA GasNet informed the AER that:</w:t>
      </w:r>
    </w:p>
    <w:p w:rsidR="007C1F9F" w:rsidRDefault="007C1F9F" w:rsidP="007C1F9F">
      <w:pPr>
        <w:pStyle w:val="AERquote"/>
      </w:pPr>
      <w:r>
        <w:t xml:space="preserve">... </w:t>
      </w:r>
      <w:r w:rsidRPr="004729B8">
        <w:t xml:space="preserve">on 16 July 2012 APA </w:t>
      </w:r>
      <w:r>
        <w:t xml:space="preserve">GasNet </w:t>
      </w:r>
      <w:r w:rsidRPr="00EE3BC2">
        <w:t>received notification from the Clean Energy Regulator that it is progressing the declaration of</w:t>
      </w:r>
      <w:r>
        <w:t xml:space="preserve"> </w:t>
      </w:r>
      <w:r w:rsidRPr="00EE3BC2">
        <w:t>which entity will have the liability under the carbon pricing scheme and that a draft</w:t>
      </w:r>
      <w:r>
        <w:t xml:space="preserve"> </w:t>
      </w:r>
      <w:r w:rsidRPr="00EE3BC2">
        <w:t xml:space="preserve">declaration for APA </w:t>
      </w:r>
      <w:r>
        <w:t>GasNet</w:t>
      </w:r>
      <w:r w:rsidRPr="00EE3BC2">
        <w:t xml:space="preserve"> and AEMO to comment on may be expected around the middle</w:t>
      </w:r>
      <w:r>
        <w:t xml:space="preserve"> </w:t>
      </w:r>
      <w:r w:rsidRPr="00EE3BC2">
        <w:t>of August 2012.</w:t>
      </w:r>
      <w:r>
        <w:rPr>
          <w:rStyle w:val="FootnoteReference"/>
        </w:rPr>
        <w:footnoteReference w:id="493"/>
      </w:r>
    </w:p>
    <w:p w:rsidR="007C1F9F" w:rsidRDefault="007C1F9F" w:rsidP="007C1F9F">
      <w:pPr>
        <w:pStyle w:val="AERbodytext"/>
      </w:pPr>
      <w:r>
        <w:t xml:space="preserve">Accordingly, the AER does not approve APA GasNet's proposed opex allowance for the recovery of these direct carbon costs. The AER considers that if APA GasNet receives confirmation that it will incur this liability prior to the AER issuing its final decision, then the AER will assess this impact as part of the access arrangement determination. If APA GasNet does not receive confirmation until the 2013–17 access arrangement period, then the AER considers this would best be treated as a regulatory change pass through event. </w:t>
      </w:r>
    </w:p>
    <w:p w:rsidR="007C1F9F" w:rsidRDefault="007C1F9F" w:rsidP="007C1F9F">
      <w:pPr>
        <w:pStyle w:val="AERbodytext"/>
      </w:pPr>
      <w:r>
        <w:t>The AER notes that it received submissions from EUCV and APG questioning whether APA GasNet would actually bear the liability for some or all of the carbon tax.</w:t>
      </w:r>
      <w:r>
        <w:rPr>
          <w:rStyle w:val="FootnoteReference"/>
        </w:rPr>
        <w:footnoteReference w:id="494"/>
      </w:r>
      <w:r>
        <w:t xml:space="preserve"> The AER considers that the declaration from the Clean Energy Regulator should provide clarity regarding whether APA GasNet bears liability for the carbon impacts of fuel gas use and fugitive emissions. In the event that APA GasNet does have liability for these costs, then it is appropriate that it receive an allowance for recovery of these costs.</w:t>
      </w:r>
    </w:p>
    <w:p w:rsidR="007C1F9F" w:rsidRDefault="007C1F9F" w:rsidP="007C1F9F">
      <w:pPr>
        <w:pStyle w:val="AERheading4"/>
      </w:pPr>
      <w:r>
        <w:t>Expanded apprenticeship program</w:t>
      </w:r>
    </w:p>
    <w:p w:rsidR="007C1F9F" w:rsidRDefault="007C1F9F" w:rsidP="007C1F9F">
      <w:pPr>
        <w:pStyle w:val="AERbodytext"/>
      </w:pPr>
      <w:r>
        <w:t>APA GasNet operates an apprenticeship program to develop skilled personnel. It stated all</w:t>
      </w:r>
      <w:r w:rsidRPr="009A2AFD">
        <w:t xml:space="preserve"> </w:t>
      </w:r>
      <w:r>
        <w:t>its</w:t>
      </w:r>
      <w:r w:rsidRPr="009A2AFD">
        <w:t xml:space="preserve"> </w:t>
      </w:r>
      <w:r>
        <w:t xml:space="preserve">current </w:t>
      </w:r>
      <w:r w:rsidRPr="009A2AFD">
        <w:t xml:space="preserve">apprentices </w:t>
      </w:r>
      <w:r>
        <w:t>were</w:t>
      </w:r>
      <w:r w:rsidRPr="009A2AFD">
        <w:t xml:space="preserve"> approaching the end of their training</w:t>
      </w:r>
      <w:r>
        <w:t xml:space="preserve"> and </w:t>
      </w:r>
      <w:r w:rsidRPr="009A2AFD">
        <w:t>effectively integrated in labour staffing levels included in the base year.</w:t>
      </w:r>
      <w:r>
        <w:t xml:space="preserve"> Consequently it proposed a step change to continue its apprenticeship program and hire new apprentices.</w:t>
      </w:r>
      <w:r w:rsidRPr="009D0BB4">
        <w:rPr>
          <w:rStyle w:val="FootnoteReference"/>
        </w:rPr>
        <w:footnoteReference w:id="495"/>
      </w:r>
    </w:p>
    <w:p w:rsidR="007C1F9F" w:rsidRDefault="007C1F9F" w:rsidP="007C1F9F">
      <w:pPr>
        <w:pStyle w:val="AERbodytext"/>
      </w:pPr>
      <w:r>
        <w:t>The EUCV submitted that the expanded apprenticeship program did not represent a step change as APA GasNet</w:t>
      </w:r>
      <w:r w:rsidRPr="008A226E">
        <w:t xml:space="preserve"> has already</w:t>
      </w:r>
      <w:r>
        <w:t xml:space="preserve"> </w:t>
      </w:r>
      <w:r w:rsidRPr="008A226E">
        <w:t>had the cost of apprentices embedded in their opex over the past</w:t>
      </w:r>
      <w:r>
        <w:t xml:space="preserve"> </w:t>
      </w:r>
      <w:r w:rsidRPr="008A226E">
        <w:t>decade</w:t>
      </w:r>
      <w:r>
        <w:t>.</w:t>
      </w:r>
      <w:r>
        <w:rPr>
          <w:rStyle w:val="FootnoteReference"/>
        </w:rPr>
        <w:footnoteReference w:id="496"/>
      </w:r>
    </w:p>
    <w:p w:rsidR="007C1F9F" w:rsidRDefault="007C1F9F" w:rsidP="007C1F9F">
      <w:pPr>
        <w:pStyle w:val="AERbodytext"/>
      </w:pPr>
      <w:r>
        <w:t xml:space="preserve">The AER considers this step change is not required for a prudent service provider, acting efficiently, to continue its apprenticeship program in the 2013–17 </w:t>
      </w:r>
      <w:r w:rsidRPr="00DD51A7">
        <w:t>access arrangement period</w:t>
      </w:r>
      <w:r>
        <w:t>.</w:t>
      </w:r>
      <w:r>
        <w:rPr>
          <w:rStyle w:val="FootnoteReference"/>
        </w:rPr>
        <w:footnoteReference w:id="497"/>
      </w:r>
      <w:r>
        <w:t xml:space="preserve"> Expenditure from the apprenticeship program has been included in APA GasNet's base year opex allowance providing it expenditure to continue the program. The labour costs for the current apprentices, that are ending their apprenticeships, will be covered by the base year costs of the staff they are replacing. Thus providing a step change would double count APA GasNet's apprenticeship costs. A prudent service provider, acting efficiently, does not require this step change.</w:t>
      </w:r>
    </w:p>
    <w:p w:rsidR="007C1F9F" w:rsidRPr="009A6F5C" w:rsidRDefault="007C1F9F" w:rsidP="007C1F9F">
      <w:pPr>
        <w:pStyle w:val="AERbodytext"/>
      </w:pPr>
      <w:r>
        <w:t>Furthermore, the AER is not satisfied</w:t>
      </w:r>
      <w:r w:rsidRPr="009A6F5C">
        <w:t xml:space="preserve"> a step change for </w:t>
      </w:r>
      <w:r>
        <w:t>an expansion of the apprenticeship program</w:t>
      </w:r>
      <w:r w:rsidRPr="009A6F5C">
        <w:t xml:space="preserve"> would lead to a forecast of total opex that has been arrived at on a reasonable basis</w:t>
      </w:r>
      <w:r>
        <w:t>,</w:t>
      </w:r>
      <w:r w:rsidRPr="009A6F5C">
        <w:t xml:space="preserve"> or is the best forecast possible in the circumstances. As such, the AER considers a forecast of opex that includes a step change in opex for </w:t>
      </w:r>
      <w:r>
        <w:t>the expanded apprenticeship program</w:t>
      </w:r>
      <w:r w:rsidRPr="009A6F5C">
        <w:t xml:space="preserve"> would be a forecast of opex that would </w:t>
      </w:r>
      <w:r>
        <w:t xml:space="preserve">not </w:t>
      </w:r>
      <w:r w:rsidRPr="009A6F5C">
        <w:t>be incurred by a prudent service provider acting efficiently in accordance with accepted good industry practice to achieve the lowest sustainable cost of delivering pipeline services.</w:t>
      </w:r>
    </w:p>
    <w:p w:rsidR="007C1F9F" w:rsidRDefault="007C1F9F" w:rsidP="007C1F9F">
      <w:pPr>
        <w:pStyle w:val="AERbodytext"/>
      </w:pPr>
      <w:r w:rsidRPr="009A6F5C">
        <w:t xml:space="preserve">The AER accepts at a project level, it may be prudent for </w:t>
      </w:r>
      <w:r>
        <w:t>APA GasNet</w:t>
      </w:r>
      <w:r w:rsidRPr="009A6F5C">
        <w:t xml:space="preserve"> to incur additional opex for </w:t>
      </w:r>
      <w:r>
        <w:t>the expanded apprenticeship program. However</w:t>
      </w:r>
      <w:r w:rsidRPr="009A6F5C">
        <w:t xml:space="preserve">, the AER considers the purpose of </w:t>
      </w:r>
      <w:r>
        <w:t>the expanded apprenticeship program</w:t>
      </w:r>
      <w:r w:rsidRPr="009A6F5C">
        <w:t xml:space="preserve"> is to improve the skills of its staff. The AER considers that improving the skills of </w:t>
      </w:r>
      <w:r>
        <w:t>APA GasNet</w:t>
      </w:r>
      <w:r w:rsidRPr="009A6F5C">
        <w:t>'s staff would be likely to deliver productivity improvements</w:t>
      </w:r>
      <w:r>
        <w:t xml:space="preserve">. A step increase to fund this program is not required to incentivise APA GasNet to continue this program. </w:t>
      </w:r>
      <w:r w:rsidRPr="009A6F5C">
        <w:t xml:space="preserve">Therefore the AER considers that an incremental increase in opex to fund technical training is not consistent with </w:t>
      </w:r>
      <w:r>
        <w:t>r</w:t>
      </w:r>
      <w:r w:rsidRPr="009A6F5C">
        <w:t>r.</w:t>
      </w:r>
      <w:r>
        <w:t xml:space="preserve"> </w:t>
      </w:r>
      <w:r w:rsidRPr="009A6F5C">
        <w:t>74(2) or</w:t>
      </w:r>
      <w:r>
        <w:t xml:space="preserve"> </w:t>
      </w:r>
      <w:r w:rsidRPr="009A6F5C">
        <w:t>91</w:t>
      </w:r>
      <w:r w:rsidRPr="001E3276">
        <w:t xml:space="preserve"> </w:t>
      </w:r>
      <w:r w:rsidRPr="007F495F">
        <w:t>of the NGR</w:t>
      </w:r>
      <w:r w:rsidRPr="009A6F5C">
        <w:t>.</w:t>
      </w:r>
    </w:p>
    <w:p w:rsidR="007C1F9F" w:rsidRDefault="007C1F9F" w:rsidP="007C1F9F">
      <w:pPr>
        <w:pStyle w:val="AERheading4"/>
      </w:pPr>
      <w:r>
        <w:t>Western district depot</w:t>
      </w:r>
    </w:p>
    <w:p w:rsidR="007C1F9F" w:rsidRPr="005B73E8" w:rsidRDefault="007C1F9F" w:rsidP="007C1F9F">
      <w:pPr>
        <w:pStyle w:val="AERbodytext"/>
      </w:pPr>
      <w:r>
        <w:t xml:space="preserve">APA GasNet proposed to establish a depot in Warrnambool to accommodate technicians currently working from home. APA GasNet stated it must conduct periodic audits of its employee's home workstations under occupational work and safety legislation. APA Group did not consider this appropriate and therefore proposes </w:t>
      </w:r>
      <w:r w:rsidRPr="007E3923">
        <w:rPr>
          <w:rFonts w:eastAsia="Calibri"/>
        </w:rPr>
        <w:t>to provide office accommodation for staff that can be readily monitored for safety</w:t>
      </w:r>
      <w:r>
        <w:t>.</w:t>
      </w:r>
      <w:r>
        <w:rPr>
          <w:rStyle w:val="FootnoteReference"/>
        </w:rPr>
        <w:footnoteReference w:id="498"/>
      </w:r>
      <w:r>
        <w:t xml:space="preserve"> </w:t>
      </w:r>
    </w:p>
    <w:p w:rsidR="007C1F9F" w:rsidRDefault="007C1F9F" w:rsidP="007C1F9F">
      <w:pPr>
        <w:pStyle w:val="AERbodytext"/>
      </w:pPr>
      <w:r w:rsidRPr="009A6F5C">
        <w:t xml:space="preserve">The AER's draft decision is not to increase opex to fund this program. It is not satisfied that an increase in opex to </w:t>
      </w:r>
      <w:r>
        <w:t>establish a western district depot</w:t>
      </w:r>
      <w:r w:rsidRPr="009A6F5C">
        <w:t xml:space="preserve"> would be incurred by a prudent service provider acting efficiently in accordance with accepted good industry practice to achieve the lowest sustainable cost of delivering pipeline services.</w:t>
      </w:r>
    </w:p>
    <w:p w:rsidR="007C1F9F" w:rsidRDefault="007C1F9F" w:rsidP="007C1F9F">
      <w:pPr>
        <w:pStyle w:val="AERbodytext"/>
      </w:pPr>
      <w:r>
        <w:t>APA GasNet</w:t>
      </w:r>
      <w:r w:rsidRPr="009A6F5C">
        <w:t xml:space="preserve"> is required to ensure </w:t>
      </w:r>
      <w:r>
        <w:t>work environments in Warnambool are compliant with</w:t>
      </w:r>
      <w:r w:rsidRPr="009A6F5C">
        <w:t xml:space="preserve"> </w:t>
      </w:r>
      <w:r>
        <w:t xml:space="preserve">Victoria's </w:t>
      </w:r>
      <w:r w:rsidRPr="007E7A75">
        <w:rPr>
          <w:rStyle w:val="AERtextitalic"/>
        </w:rPr>
        <w:t>Occupational Health and Safety Act 2004</w:t>
      </w:r>
      <w:r w:rsidRPr="009A6F5C">
        <w:t xml:space="preserve">. </w:t>
      </w:r>
      <w:r>
        <w:t>However, APA GasNet did not identify a legislative change that requires it to change its health and safety practices. Nor did APA GasNet identify a regulatory requirement that necessitates it establish a new depot rather than continuing its current practices. That APA GasNet has an incentive to reduce opex, while also meeting its legislative obligations, suggests its current practices are the most efficient.</w:t>
      </w:r>
    </w:p>
    <w:p w:rsidR="007C1F9F" w:rsidRDefault="007C1F9F" w:rsidP="007C1F9F">
      <w:pPr>
        <w:pStyle w:val="AERbodytext"/>
      </w:pPr>
      <w:r>
        <w:t xml:space="preserve">If, however, it is prudent and efficient for APA GasNet to establish the proposed new depot then there would be benefits from doing this. For example labour productivity could be improved and insurance premiums reduced. The AER asked </w:t>
      </w:r>
      <w:r w:rsidR="006D3E57">
        <w:t xml:space="preserve">APA </w:t>
      </w:r>
      <w:r>
        <w:t>GasNet if it conducted a cost benefit analysis for establishing the proposed new depot and if it quantified the benefits. APA GasNet advised that it did not conduct a cost benefit analysis and it had not quantified the benefits of the proposed new depot.</w:t>
      </w:r>
      <w:r>
        <w:rPr>
          <w:rStyle w:val="FootnoteReference"/>
        </w:rPr>
        <w:footnoteReference w:id="499"/>
      </w:r>
      <w:r>
        <w:t xml:space="preserve"> Consequently, although APA GasNet identified a number of benefits of establishing the depot it did not incorporate those benefits in the proposed step change.</w:t>
      </w:r>
    </w:p>
    <w:p w:rsidR="007C1F9F" w:rsidRPr="009A6F5C" w:rsidRDefault="007C1F9F" w:rsidP="007C1F9F">
      <w:pPr>
        <w:pStyle w:val="AERbodytext"/>
      </w:pPr>
      <w:r>
        <w:t>The AER considers the benefits of establishing the proposed new depot will outweigh the costs if it is prudent and efficient. For these reasons, the AER is not satisfied a prudent service provider, acting efficiently, would require an opex step change to establish a new depot.</w:t>
      </w:r>
      <w:r>
        <w:rPr>
          <w:rStyle w:val="FootnoteReference"/>
        </w:rPr>
        <w:footnoteReference w:id="500"/>
      </w:r>
    </w:p>
    <w:p w:rsidR="007C1F9F" w:rsidRDefault="007C1F9F" w:rsidP="007C1F9F">
      <w:pPr>
        <w:pStyle w:val="AERheading4"/>
      </w:pPr>
      <w:r>
        <w:t>Adjustments to reflect non-recurrent operating and maintenance costs</w:t>
      </w:r>
    </w:p>
    <w:p w:rsidR="007C1F9F" w:rsidRPr="00D63E57" w:rsidRDefault="007C1F9F" w:rsidP="007C1F9F">
      <w:pPr>
        <w:pStyle w:val="AERbodytext"/>
      </w:pPr>
      <w:r w:rsidRPr="00D63E57">
        <w:t>APA </w:t>
      </w:r>
      <w:r>
        <w:t>GasNet</w:t>
      </w:r>
      <w:r w:rsidRPr="00D63E57">
        <w:t xml:space="preserve"> identified a number of step changes relating to maintenance that only relates to certain years within the </w:t>
      </w:r>
      <w:r>
        <w:t>2013–17</w:t>
      </w:r>
      <w:r w:rsidRPr="00D63E57">
        <w:t xml:space="preserve"> access arrangement period. The programs include:</w:t>
      </w:r>
    </w:p>
    <w:p w:rsidR="007C1F9F" w:rsidRPr="00D63E57" w:rsidRDefault="007C1F9F" w:rsidP="007C1F9F">
      <w:pPr>
        <w:pStyle w:val="AERbulletlistfirststyle"/>
      </w:pPr>
      <w:r w:rsidRPr="00D63E57">
        <w:t>New gas heating facilities inspections</w:t>
      </w:r>
    </w:p>
    <w:p w:rsidR="007C1F9F" w:rsidRPr="00D63E57" w:rsidRDefault="007C1F9F" w:rsidP="007C1F9F">
      <w:pPr>
        <w:pStyle w:val="AERbulletlistfirststyle"/>
      </w:pPr>
      <w:r w:rsidRPr="00D63E57">
        <w:t>Line valve actuator overhauls</w:t>
      </w:r>
    </w:p>
    <w:p w:rsidR="007C1F9F" w:rsidRPr="00D63E57" w:rsidRDefault="007C1F9F" w:rsidP="007C1F9F">
      <w:pPr>
        <w:pStyle w:val="AERbulletlistfirststyle"/>
      </w:pPr>
      <w:r w:rsidRPr="00D63E57">
        <w:t>Pressure vessel inspections</w:t>
      </w:r>
    </w:p>
    <w:p w:rsidR="007C1F9F" w:rsidRPr="00D63E57" w:rsidRDefault="007C1F9F" w:rsidP="007C1F9F">
      <w:pPr>
        <w:pStyle w:val="AERbulletlistfirststyle"/>
      </w:pPr>
      <w:r w:rsidRPr="00D63E57">
        <w:t>Restore hard standing at specific sites.</w:t>
      </w:r>
      <w:r w:rsidRPr="00D63E57">
        <w:rPr>
          <w:rStyle w:val="FootnoteReference"/>
        </w:rPr>
        <w:footnoteReference w:id="501"/>
      </w:r>
    </w:p>
    <w:p w:rsidR="007C1F9F" w:rsidRPr="00D63E57" w:rsidRDefault="007C1F9F" w:rsidP="007C1F9F">
      <w:pPr>
        <w:pStyle w:val="AERbodytext"/>
      </w:pPr>
      <w:r w:rsidRPr="00D63E57">
        <w:t>The proposed expenditure would increase APA </w:t>
      </w:r>
      <w:r>
        <w:t>GasNet</w:t>
      </w:r>
      <w:r w:rsidRPr="00D63E57">
        <w:t xml:space="preserve">’s opex by $1.295m ($2012) in the </w:t>
      </w:r>
      <w:r>
        <w:t>2013–17</w:t>
      </w:r>
      <w:r w:rsidRPr="00D63E57">
        <w:t xml:space="preserve"> access arrangement period.</w:t>
      </w:r>
    </w:p>
    <w:p w:rsidR="007C1F9F" w:rsidRPr="00D63E57" w:rsidRDefault="007C1F9F" w:rsidP="007C1F9F">
      <w:pPr>
        <w:pStyle w:val="AERbodytext"/>
      </w:pPr>
      <w:r w:rsidRPr="00D63E57">
        <w:t>The AER's draft decision is not to approve an increase opex to fund these pro</w:t>
      </w:r>
      <w:r>
        <w:t>posals</w:t>
      </w:r>
      <w:r w:rsidRPr="00D63E57">
        <w:t>. The AER is not satisfied that an incremental increase in opex for these pro</w:t>
      </w:r>
      <w:r>
        <w:t>posals</w:t>
      </w:r>
      <w:r w:rsidRPr="00D63E57">
        <w:t xml:space="preserve"> would lead to a forecast of total opex that has been arrived at on a reasonable basis or is the best forecast possible in the circumstances. As such, the AER considers a total forecast of opex that includes a step change in opex for these programs would not be a forecast of opex that would be incurred by a prudent service provider acting efficiently in accordance with accepted good industry practice to achieve the lowest sustainable cost of delivering pipeline services. </w:t>
      </w:r>
    </w:p>
    <w:p w:rsidR="007C1F9F" w:rsidRPr="007F495F" w:rsidRDefault="007C1F9F" w:rsidP="007C1F9F">
      <w:pPr>
        <w:pStyle w:val="AERbodytext"/>
      </w:pPr>
      <w:r w:rsidRPr="00D63E57">
        <w:t xml:space="preserve">The AER </w:t>
      </w:r>
      <w:r>
        <w:t>agrees</w:t>
      </w:r>
      <w:r w:rsidRPr="00D63E57">
        <w:t xml:space="preserve"> that opex activities undertaken by a service provider will not be the</w:t>
      </w:r>
      <w:r>
        <w:t xml:space="preserve"> same from one year to the next and that</w:t>
      </w:r>
      <w:r w:rsidRPr="00D63E57">
        <w:t xml:space="preserve"> </w:t>
      </w:r>
      <w:r>
        <w:t>n</w:t>
      </w:r>
      <w:r w:rsidRPr="007F495F">
        <w:t>on-recurrent costs could include costs related to new gas</w:t>
      </w:r>
      <w:r>
        <w:t xml:space="preserve"> heating facilities inspections,</w:t>
      </w:r>
      <w:r w:rsidRPr="007F495F">
        <w:t xml:space="preserve"> line valve actuator overhauls, pressure vessel inspections, and the restoration of hard standing. However this is not necessarily agreed to by all parties. For instance, the EUCV, in its submission, argued that </w:t>
      </w:r>
      <w:r>
        <w:t>the opex for these activities were</w:t>
      </w:r>
      <w:r w:rsidRPr="007F495F">
        <w:t xml:space="preserve"> not step changes as they are works that have always had to be carried out and are embedded in the long-term opex.</w:t>
      </w:r>
      <w:r w:rsidRPr="007F495F">
        <w:rPr>
          <w:rStyle w:val="FootnoteReference"/>
        </w:rPr>
        <w:footnoteReference w:id="502"/>
      </w:r>
    </w:p>
    <w:p w:rsidR="007C1F9F" w:rsidRPr="00D63E57" w:rsidRDefault="007C1F9F" w:rsidP="007C1F9F">
      <w:pPr>
        <w:pStyle w:val="AERbodytext"/>
      </w:pPr>
      <w:r w:rsidRPr="00D63E57">
        <w:t xml:space="preserve">However, </w:t>
      </w:r>
      <w:r>
        <w:t xml:space="preserve">regardless of what the non-recurrent opex is for, </w:t>
      </w:r>
      <w:r w:rsidRPr="00D63E57">
        <w:t>th</w:t>
      </w:r>
      <w:r>
        <w:t>e</w:t>
      </w:r>
      <w:r w:rsidRPr="00D63E57">
        <w:t xml:space="preserve"> costs</w:t>
      </w:r>
      <w:r>
        <w:t xml:space="preserve"> for non-recurrent activities</w:t>
      </w:r>
      <w:r w:rsidRPr="00D63E57">
        <w:t xml:space="preserve"> must be treated symmetrically</w:t>
      </w:r>
      <w:r>
        <w:t>.</w:t>
      </w:r>
      <w:r w:rsidRPr="00D63E57">
        <w:t xml:space="preserve"> That is, the type of non-recurring costs incurred in the base year which are taken out of the base year estimate must be similar to </w:t>
      </w:r>
      <w:r>
        <w:t xml:space="preserve">the </w:t>
      </w:r>
      <w:r w:rsidRPr="00D63E57">
        <w:t>type of costs that are added to the opex forecast. If costs are not treated symmetrically a forecast would not represent the best estimate possible in the circumstances as it would overestimate (or underestimate) the best forecast</w:t>
      </w:r>
      <w:r>
        <w:t xml:space="preserve"> of</w:t>
      </w:r>
      <w:r w:rsidRPr="00D63E57">
        <w:t xml:space="preserve"> opex in the circumstances.</w:t>
      </w:r>
    </w:p>
    <w:p w:rsidR="007C1F9F" w:rsidRPr="00D63E57" w:rsidRDefault="007C1F9F" w:rsidP="007C1F9F">
      <w:pPr>
        <w:pStyle w:val="AERbodytext"/>
      </w:pPr>
      <w:r w:rsidRPr="00D63E57">
        <w:t>The AER is not satisfied APA </w:t>
      </w:r>
      <w:r>
        <w:t>GasNet</w:t>
      </w:r>
      <w:r w:rsidRPr="00D63E57">
        <w:t xml:space="preserve"> has treated </w:t>
      </w:r>
      <w:r>
        <w:t xml:space="preserve">its </w:t>
      </w:r>
      <w:r w:rsidRPr="00D63E57">
        <w:t>non-recurrent costs symmetrically</w:t>
      </w:r>
      <w:r>
        <w:t xml:space="preserve">. For instance </w:t>
      </w:r>
      <w:r w:rsidRPr="00D63E57">
        <w:t xml:space="preserve">APA </w:t>
      </w:r>
      <w:r>
        <w:t>GasNet</w:t>
      </w:r>
      <w:r w:rsidRPr="00D63E57">
        <w:t xml:space="preserve"> has identified that it </w:t>
      </w:r>
      <w:r>
        <w:t xml:space="preserve">did not remove expenditure of </w:t>
      </w:r>
      <w:r w:rsidRPr="00D63E57">
        <w:t>$271,000 it incurred in 2011 that it considers non-recurrent.</w:t>
      </w:r>
      <w:r w:rsidRPr="00D63E57">
        <w:rPr>
          <w:rStyle w:val="FootnoteReference"/>
        </w:rPr>
        <w:footnoteReference w:id="503"/>
      </w:r>
      <w:r w:rsidRPr="00D63E57">
        <w:t xml:space="preserve"> The total cost of leaving this expenditure in the base year over the </w:t>
      </w:r>
      <w:r>
        <w:t>2013–17</w:t>
      </w:r>
      <w:r w:rsidRPr="00D63E57">
        <w:t xml:space="preserve"> access arrangement </w:t>
      </w:r>
      <w:r>
        <w:t xml:space="preserve">period </w:t>
      </w:r>
      <w:r w:rsidRPr="00D63E57">
        <w:t xml:space="preserve">would be equal to $1.355m - a similar amount to the forecast opex for this step change. </w:t>
      </w:r>
    </w:p>
    <w:p w:rsidR="007C1F9F" w:rsidRPr="00D63E57" w:rsidRDefault="007C1F9F" w:rsidP="007C1F9F">
      <w:pPr>
        <w:pStyle w:val="AERbodytext"/>
      </w:pPr>
      <w:r w:rsidRPr="00D63E57">
        <w:t xml:space="preserve">As APA </w:t>
      </w:r>
      <w:r>
        <w:t>GasNet</w:t>
      </w:r>
      <w:r w:rsidRPr="00D63E57">
        <w:t xml:space="preserve"> has left some costs in its ba</w:t>
      </w:r>
      <w:r>
        <w:t>se year estimate which were non-</w:t>
      </w:r>
      <w:r w:rsidRPr="00D63E57">
        <w:t>recurrent</w:t>
      </w:r>
      <w:r>
        <w:t>,</w:t>
      </w:r>
      <w:r w:rsidRPr="00D63E57">
        <w:t xml:space="preserve"> the AER considers APA </w:t>
      </w:r>
      <w:r>
        <w:t>GasNet</w:t>
      </w:r>
      <w:r w:rsidRPr="00D63E57">
        <w:t xml:space="preserve">'s base year opex is sufficient to fund the non-recurrent </w:t>
      </w:r>
      <w:r>
        <w:t>opex</w:t>
      </w:r>
      <w:r w:rsidRPr="00D63E57">
        <w:t xml:space="preserve"> it identified as a step change. Therefore, the AER's draft decision is not to approve an incremental increase in opex for non-recurring costs APA </w:t>
      </w:r>
      <w:r>
        <w:t>GasNet</w:t>
      </w:r>
      <w:r w:rsidRPr="00D63E57">
        <w:t xml:space="preserve"> has identified in relation to maintenance of new gas heating facilities, line valve actuator overhauls, pressure vessel inspections and restoration of hard standing at specific sites. At the same time the AER also does not propose to remove the non-recurrent costs APA </w:t>
      </w:r>
      <w:r>
        <w:t>GasNet</w:t>
      </w:r>
      <w:r w:rsidRPr="00D63E57">
        <w:t xml:space="preserve"> incurred in 2011 that were not removed from its base year estimate.</w:t>
      </w:r>
    </w:p>
    <w:p w:rsidR="007C1F9F" w:rsidRDefault="007C1F9F" w:rsidP="007C1F9F">
      <w:pPr>
        <w:pStyle w:val="AERheading4"/>
      </w:pPr>
      <w:r>
        <w:t>Reset Costs—</w:t>
      </w:r>
      <w:r w:rsidR="006052CB">
        <w:t xml:space="preserve">2013–17 access arrangement </w:t>
      </w:r>
      <w:r>
        <w:t>period</w:t>
      </w:r>
    </w:p>
    <w:p w:rsidR="007C1F9F" w:rsidRDefault="007C1F9F" w:rsidP="007C1F9F">
      <w:pPr>
        <w:pStyle w:val="AERbodytext"/>
      </w:pPr>
      <w:r>
        <w:t>APA GasNet has proposed $1.1m ($2012) in reset costs as a step change in the 2013–17 access arrangement period.</w:t>
      </w:r>
      <w:r>
        <w:rPr>
          <w:rStyle w:val="FootnoteReference"/>
        </w:rPr>
        <w:footnoteReference w:id="504"/>
      </w:r>
      <w:r>
        <w:t xml:space="preserve"> These are costs which will be incurred in preparing APA GasNet's submission for the 2018–22 access arrangement period. APA GasNet's previously established practice would be to recover these costs in the first year of the 2018–22 access arrangement period.</w:t>
      </w:r>
      <w:r>
        <w:rPr>
          <w:rStyle w:val="FootnoteReference"/>
        </w:rPr>
        <w:footnoteReference w:id="505"/>
      </w:r>
      <w:r>
        <w:t xml:space="preserve"> However, APA GasNet considers it more appropriate to recover this expenditure in the 2013–17 access arrangement period as this better aligns with the </w:t>
      </w:r>
      <w:r w:rsidRPr="00B17F35">
        <w:t>general principle under the NGR that costs recovered in the period relate to</w:t>
      </w:r>
      <w:r>
        <w:t xml:space="preserve"> </w:t>
      </w:r>
      <w:r w:rsidRPr="00B17F35">
        <w:t>those incurred in the period.</w:t>
      </w:r>
      <w:r>
        <w:rPr>
          <w:rStyle w:val="FootnoteReference"/>
        </w:rPr>
        <w:footnoteReference w:id="506"/>
      </w:r>
      <w:r>
        <w:t xml:space="preserve"> Accordingly, APA GasNet has proposed an allowance of $1.1m ($2012) to be recovered in 2016 and 2017.</w:t>
      </w:r>
    </w:p>
    <w:p w:rsidR="007C1F9F" w:rsidRDefault="007C1F9F" w:rsidP="007C1F9F">
      <w:pPr>
        <w:pStyle w:val="AERbodytext"/>
      </w:pPr>
      <w:r>
        <w:t>The EUCV expressed concern that APA GasNet wants to recover regulatory costs from both the 2008–12 and 2013–17 access arrangement period in the 2013–17 access arrangement period and this unnecessarily loads opex into the 2018–22 access arrangement period.</w:t>
      </w:r>
      <w:r>
        <w:rPr>
          <w:rStyle w:val="FootnoteReference"/>
        </w:rPr>
        <w:footnoteReference w:id="507"/>
      </w:r>
      <w:r>
        <w:t xml:space="preserve"> </w:t>
      </w:r>
    </w:p>
    <w:p w:rsidR="007C1F9F" w:rsidRDefault="007C1F9F" w:rsidP="007C1F9F">
      <w:pPr>
        <w:pStyle w:val="AERbodytext"/>
      </w:pPr>
      <w:r>
        <w:t>The AER approves</w:t>
      </w:r>
      <w:r w:rsidRPr="00EA0D73">
        <w:t xml:space="preserve"> </w:t>
      </w:r>
      <w:r>
        <w:t>APA GasNet's recovery of</w:t>
      </w:r>
      <w:r w:rsidRPr="00EA0D73">
        <w:t xml:space="preserve"> these costs in the 2013–1</w:t>
      </w:r>
      <w:r>
        <w:t>7</w:t>
      </w:r>
      <w:r w:rsidRPr="00EA0D73">
        <w:t xml:space="preserve"> access arrangement period.</w:t>
      </w:r>
      <w:r>
        <w:t xml:space="preserve"> This is consistent with the AER's reasoning in section </w:t>
      </w:r>
      <w:r w:rsidR="00DE0D6A">
        <w:fldChar w:fldCharType="begin"/>
      </w:r>
      <w:r>
        <w:instrText xml:space="preserve"> REF _Ref331508072 \r \h </w:instrText>
      </w:r>
      <w:r w:rsidR="00DE0D6A">
        <w:fldChar w:fldCharType="separate"/>
      </w:r>
      <w:r>
        <w:t>6.5.5</w:t>
      </w:r>
      <w:r w:rsidR="00DE0D6A">
        <w:fldChar w:fldCharType="end"/>
      </w:r>
      <w:r>
        <w:t xml:space="preserve"> that APA GasNet is not permitted to recover its reset costs from the 2008–12 access arrangement period in the 2013–17 access arrangement period. </w:t>
      </w:r>
    </w:p>
    <w:p w:rsidR="007C1F9F" w:rsidRDefault="007C1F9F" w:rsidP="007C1F9F">
      <w:pPr>
        <w:pStyle w:val="AERbodytext"/>
      </w:pPr>
      <w:r>
        <w:t>The AER considered APA GasNet's historical level of expenditure on reset costs and considers that APA GasNet's proposal for $1.1m ($2012) compares well with the $0.99m ($2012) in costs it incurred in the 2003–07 access arrangement period. This level also compares favourably against the Victorian Gas distribution businesses. Finally, the AER examined whether APA GasNet had included any costs related to preparing its 2013–17 access arrangement submission in its 2011 actual opex. APA GasNet did not report any actual regulatory costs in 2011.</w:t>
      </w:r>
      <w:r>
        <w:rPr>
          <w:rStyle w:val="FootnoteReference"/>
        </w:rPr>
        <w:footnoteReference w:id="508"/>
      </w:r>
      <w:r>
        <w:t xml:space="preserve"> Accordingly, the AER is satisfied that APA GasNet is not already recovering these costs through the base year roll forward. </w:t>
      </w:r>
    </w:p>
    <w:p w:rsidR="007C1F9F" w:rsidRDefault="007C1F9F" w:rsidP="007C1F9F">
      <w:pPr>
        <w:pStyle w:val="AERheading4"/>
      </w:pPr>
      <w:r>
        <w:t>C</w:t>
      </w:r>
      <w:r w:rsidRPr="00601107">
        <w:t>apitalisation policy</w:t>
      </w:r>
      <w:r>
        <w:t xml:space="preserve"> change</w:t>
      </w:r>
    </w:p>
    <w:p w:rsidR="007C1F9F" w:rsidRDefault="007C1F9F" w:rsidP="007C1F9F">
      <w:pPr>
        <w:pStyle w:val="AERbodytext"/>
      </w:pPr>
      <w:r>
        <w:t xml:space="preserve">APA GasNet stated </w:t>
      </w:r>
      <w:r w:rsidRPr="00601107">
        <w:t>in line inspection costs (and</w:t>
      </w:r>
      <w:r>
        <w:t xml:space="preserve"> </w:t>
      </w:r>
      <w:r w:rsidRPr="00601107">
        <w:t xml:space="preserve">associated dig up and repair work) will be capitalised in the </w:t>
      </w:r>
      <w:r>
        <w:t>2013–17 access arrangement</w:t>
      </w:r>
      <w:r w:rsidRPr="00601107">
        <w:t xml:space="preserve"> period.</w:t>
      </w:r>
      <w:r>
        <w:t xml:space="preserve"> It considered t</w:t>
      </w:r>
      <w:r w:rsidRPr="00601107">
        <w:t xml:space="preserve">his appropriate </w:t>
      </w:r>
      <w:r>
        <w:t>because</w:t>
      </w:r>
      <w:r w:rsidRPr="00601107">
        <w:t xml:space="preserve"> in line inspection and associated integrity works deliver</w:t>
      </w:r>
      <w:r>
        <w:t>s</w:t>
      </w:r>
      <w:r w:rsidRPr="00601107">
        <w:t xml:space="preserve"> an enduring</w:t>
      </w:r>
      <w:r>
        <w:t xml:space="preserve"> </w:t>
      </w:r>
      <w:r w:rsidRPr="00601107">
        <w:t xml:space="preserve">benefit to the pipeline. Given the change in capitalisation, </w:t>
      </w:r>
      <w:r>
        <w:t>it considered these costs should be removed from base opex to forecast opex</w:t>
      </w:r>
      <w:r w:rsidRPr="00601107">
        <w:t>.</w:t>
      </w:r>
      <w:r>
        <w:rPr>
          <w:rStyle w:val="FootnoteReference"/>
        </w:rPr>
        <w:footnoteReference w:id="509"/>
      </w:r>
    </w:p>
    <w:p w:rsidR="007C1F9F" w:rsidRPr="00601107" w:rsidRDefault="007C1F9F" w:rsidP="007C1F9F">
      <w:pPr>
        <w:pStyle w:val="AERbodytext"/>
      </w:pPr>
      <w:r>
        <w:t xml:space="preserve">The AER considers removing these costs from base opex is not consistent with </w:t>
      </w:r>
      <w:r w:rsidRPr="009F3851">
        <w:t>fixed principle 7.2(h)(ii)</w:t>
      </w:r>
      <w:r>
        <w:t xml:space="preserve"> (section </w:t>
      </w:r>
      <w:r w:rsidR="00DE0D6A">
        <w:fldChar w:fldCharType="begin"/>
      </w:r>
      <w:r>
        <w:instrText xml:space="preserve"> REF _Ref331673925 \r \h </w:instrText>
      </w:r>
      <w:r w:rsidR="00DE0D6A">
        <w:fldChar w:fldCharType="separate"/>
      </w:r>
      <w:r>
        <w:t>6.5.2</w:t>
      </w:r>
      <w:r w:rsidR="00DE0D6A">
        <w:fldChar w:fldCharType="end"/>
      </w:r>
      <w:r>
        <w:t xml:space="preserve">). However the opex would not be incurred </w:t>
      </w:r>
      <w:r w:rsidRPr="003806A4">
        <w:t>by a prudent serv</w:t>
      </w:r>
      <w:r>
        <w:t>ice provider acting efficiently would not include these costs</w:t>
      </w:r>
      <w:r w:rsidRPr="003806A4">
        <w:t>.</w:t>
      </w:r>
      <w:r>
        <w:rPr>
          <w:rStyle w:val="FootnoteReference"/>
        </w:rPr>
        <w:footnoteReference w:id="510"/>
      </w:r>
      <w:r>
        <w:t xml:space="preserve"> </w:t>
      </w:r>
      <w:r w:rsidRPr="00891B9F">
        <w:t>Fixed principle 7.2(h)(iii)</w:t>
      </w:r>
      <w:r>
        <w:t xml:space="preserve"> does allow for step changes, however, and t</w:t>
      </w:r>
      <w:r w:rsidRPr="00891B9F">
        <w:t xml:space="preserve">he AER considers </w:t>
      </w:r>
      <w:r>
        <w:t>the proposed capitalisation policy change is best included in forecast opex through a negative step change</w:t>
      </w:r>
      <w:r w:rsidRPr="00891B9F">
        <w:t>.</w:t>
      </w:r>
    </w:p>
    <w:p w:rsidR="007C1F9F" w:rsidRDefault="007C1F9F" w:rsidP="007C1F9F">
      <w:pPr>
        <w:pStyle w:val="AERheading4"/>
      </w:pPr>
      <w:r>
        <w:t>R</w:t>
      </w:r>
      <w:r w:rsidRPr="00601107">
        <w:t xml:space="preserve">ecalculation of </w:t>
      </w:r>
      <w:r>
        <w:t xml:space="preserve">shared costs </w:t>
      </w:r>
      <w:r w:rsidRPr="00601107">
        <w:t>between regulated and non-regulated functions</w:t>
      </w:r>
    </w:p>
    <w:p w:rsidR="007C1F9F" w:rsidRPr="00447D63" w:rsidRDefault="007C1F9F" w:rsidP="007C1F9F">
      <w:pPr>
        <w:pStyle w:val="AERbodytext"/>
      </w:pPr>
      <w:r w:rsidRPr="00447D63">
        <w:t xml:space="preserve">In the </w:t>
      </w:r>
      <w:r>
        <w:t>2008–12</w:t>
      </w:r>
      <w:r w:rsidRPr="00447D63">
        <w:t xml:space="preserve"> access arrangement period, shared</w:t>
      </w:r>
      <w:r>
        <w:t xml:space="preserve"> </w:t>
      </w:r>
      <w:r w:rsidRPr="00447D63">
        <w:t>costs were allocated to regulated asset</w:t>
      </w:r>
      <w:r>
        <w:t xml:space="preserve">s based on the share of </w:t>
      </w:r>
      <w:r w:rsidRPr="00447D63">
        <w:t>overall asset</w:t>
      </w:r>
      <w:r>
        <w:t xml:space="preserve"> </w:t>
      </w:r>
      <w:r w:rsidRPr="00447D63">
        <w:t>value</w:t>
      </w:r>
      <w:r>
        <w:t xml:space="preserve">. Consequently </w:t>
      </w:r>
      <w:r w:rsidRPr="00447D63">
        <w:t xml:space="preserve">88.18 per cent of shared costs </w:t>
      </w:r>
      <w:r>
        <w:t xml:space="preserve">were allocated </w:t>
      </w:r>
      <w:r w:rsidRPr="00447D63">
        <w:t>to regulated asset</w:t>
      </w:r>
      <w:r>
        <w:t>s</w:t>
      </w:r>
      <w:r w:rsidRPr="00447D63">
        <w:t>.</w:t>
      </w:r>
      <w:r>
        <w:t xml:space="preserve"> </w:t>
      </w:r>
      <w:r w:rsidRPr="00447D63">
        <w:t xml:space="preserve">APA </w:t>
      </w:r>
      <w:r>
        <w:t>GasNet</w:t>
      </w:r>
      <w:r w:rsidRPr="00447D63">
        <w:t xml:space="preserve"> consider</w:t>
      </w:r>
      <w:r>
        <w:t>ed</w:t>
      </w:r>
      <w:r w:rsidRPr="00447D63">
        <w:t xml:space="preserve"> it appropriate to apply an updated</w:t>
      </w:r>
      <w:r>
        <w:t xml:space="preserve"> </w:t>
      </w:r>
      <w:r w:rsidRPr="00447D63">
        <w:t xml:space="preserve">allocation percentage to forecast </w:t>
      </w:r>
      <w:r>
        <w:t>opex</w:t>
      </w:r>
      <w:r w:rsidRPr="00447D63">
        <w:t xml:space="preserve">, reflecting </w:t>
      </w:r>
      <w:r>
        <w:t>forecast</w:t>
      </w:r>
      <w:r w:rsidRPr="00447D63">
        <w:t xml:space="preserve"> asset values for</w:t>
      </w:r>
      <w:r>
        <w:t xml:space="preserve"> </w:t>
      </w:r>
      <w:r w:rsidRPr="00447D63">
        <w:t xml:space="preserve">the </w:t>
      </w:r>
      <w:r>
        <w:t>2013–17 access arrangement</w:t>
      </w:r>
      <w:r w:rsidRPr="00447D63">
        <w:t xml:space="preserve"> period.</w:t>
      </w:r>
      <w:r>
        <w:rPr>
          <w:rStyle w:val="FootnoteReference"/>
        </w:rPr>
        <w:footnoteReference w:id="511"/>
      </w:r>
    </w:p>
    <w:p w:rsidR="007C1F9F" w:rsidRDefault="007C1F9F" w:rsidP="007C1F9F">
      <w:pPr>
        <w:pStyle w:val="AERbodytext"/>
      </w:pPr>
      <w:r w:rsidRPr="00447D63">
        <w:t>APA</w:t>
      </w:r>
      <w:r>
        <w:t xml:space="preserve"> GasNet forecast that its regulated assets would account for 94.1 per cent of its overall asset value on average over the 2013–17 access arrangement period. It adjusted its base opex to account for this change in allocation of shared costs.</w:t>
      </w:r>
      <w:r>
        <w:rPr>
          <w:rStyle w:val="FootnoteReference"/>
        </w:rPr>
        <w:footnoteReference w:id="512"/>
      </w:r>
    </w:p>
    <w:p w:rsidR="007C1F9F" w:rsidRPr="00601107" w:rsidRDefault="007C1F9F" w:rsidP="007C1F9F">
      <w:pPr>
        <w:pStyle w:val="AERbodytext"/>
      </w:pPr>
      <w:r>
        <w:t xml:space="preserve">The AER considers adding these costs to base opex is not consistent with </w:t>
      </w:r>
      <w:r w:rsidRPr="009F3851">
        <w:t>fixed principle 7.2(h)(ii)</w:t>
      </w:r>
      <w:r>
        <w:t xml:space="preserve"> (section </w:t>
      </w:r>
      <w:r w:rsidR="00DE0D6A">
        <w:fldChar w:fldCharType="begin"/>
      </w:r>
      <w:r>
        <w:instrText xml:space="preserve"> REF _Ref331673925 \r \h </w:instrText>
      </w:r>
      <w:r w:rsidR="00DE0D6A">
        <w:fldChar w:fldCharType="separate"/>
      </w:r>
      <w:r>
        <w:t>6.5.2</w:t>
      </w:r>
      <w:r w:rsidR="00DE0D6A">
        <w:fldChar w:fldCharType="end"/>
      </w:r>
      <w:r>
        <w:t>). However f</w:t>
      </w:r>
      <w:r w:rsidRPr="00891B9F">
        <w:t>ixed principle 7.2(h)(iii)</w:t>
      </w:r>
      <w:r>
        <w:t xml:space="preserve"> does allow for step changes and t</w:t>
      </w:r>
      <w:r w:rsidRPr="00891B9F">
        <w:t>he AER consider</w:t>
      </w:r>
      <w:r>
        <w:t>ed</w:t>
      </w:r>
      <w:r w:rsidRPr="00891B9F">
        <w:t xml:space="preserve"> </w:t>
      </w:r>
      <w:r>
        <w:t xml:space="preserve">the proposed allocation of shared costs as such. The AER is not satisfied the capex proposed by APA GasNet </w:t>
      </w:r>
      <w:r w:rsidRPr="000E7F88">
        <w:t>would be incurred by a prudent service provider acting efficiently, in accordance with accepted good industry practice</w:t>
      </w:r>
      <w:r>
        <w:t xml:space="preserve"> (see attachment 3). Consequently, the AER considers </w:t>
      </w:r>
      <w:r w:rsidRPr="00447D63">
        <w:t>APA</w:t>
      </w:r>
      <w:r>
        <w:t xml:space="preserve"> GasNet's regulated assets will account for 92.66 per cent of its overall asset value on average over the 2013–17 access arrangement period.</w:t>
      </w:r>
    </w:p>
    <w:p w:rsidR="007C1F9F" w:rsidRDefault="007C1F9F" w:rsidP="007C1F9F">
      <w:pPr>
        <w:pStyle w:val="AERheading4"/>
      </w:pPr>
      <w:r>
        <w:t>I</w:t>
      </w:r>
      <w:r w:rsidRPr="00601107">
        <w:t>nsurance costs</w:t>
      </w:r>
    </w:p>
    <w:p w:rsidR="007C1F9F" w:rsidRPr="007E3923" w:rsidRDefault="007C1F9F" w:rsidP="007C1F9F">
      <w:pPr>
        <w:pStyle w:val="AERbodytext"/>
        <w:rPr>
          <w:rFonts w:eastAsia="Calibri"/>
        </w:rPr>
      </w:pPr>
      <w:r w:rsidRPr="007E3923">
        <w:rPr>
          <w:rFonts w:eastAsia="Calibri"/>
        </w:rPr>
        <w:t>APA GasNet reviewed its base year expenditure and considered its insurance costs would not be representative of costs in the 2013–17 access arrangement period. APA GasNet adjusted its base opex to apply a stand-alone insurance estimate.</w:t>
      </w:r>
      <w:r w:rsidRPr="007E3923">
        <w:rPr>
          <w:rStyle w:val="FootnoteReference"/>
          <w:rFonts w:eastAsia="Calibri"/>
        </w:rPr>
        <w:footnoteReference w:id="513"/>
      </w:r>
      <w:r w:rsidRPr="007E3923">
        <w:rPr>
          <w:rFonts w:eastAsia="Calibri"/>
        </w:rPr>
        <w:t xml:space="preserve"> </w:t>
      </w:r>
    </w:p>
    <w:p w:rsidR="007C1F9F" w:rsidRPr="001B30AC" w:rsidRDefault="007C1F9F" w:rsidP="007C1F9F">
      <w:pPr>
        <w:pStyle w:val="AERbodytext"/>
      </w:pPr>
      <w:r>
        <w:t xml:space="preserve">The AER considers removing these costs from base opex is not consistent with </w:t>
      </w:r>
      <w:r w:rsidRPr="009F3851">
        <w:t>fixed principle 7.2(h)(ii)</w:t>
      </w:r>
      <w:r>
        <w:t xml:space="preserve"> (section </w:t>
      </w:r>
      <w:r w:rsidR="00DE0D6A">
        <w:fldChar w:fldCharType="begin"/>
      </w:r>
      <w:r>
        <w:instrText xml:space="preserve"> REF _Ref331673925 \r \h </w:instrText>
      </w:r>
      <w:r w:rsidR="00DE0D6A">
        <w:fldChar w:fldCharType="separate"/>
      </w:r>
      <w:r>
        <w:t>6.5.2</w:t>
      </w:r>
      <w:r w:rsidR="00DE0D6A">
        <w:fldChar w:fldCharType="end"/>
      </w:r>
      <w:r>
        <w:t>). Further, t</w:t>
      </w:r>
      <w:r w:rsidRPr="001B30AC">
        <w:t>he AER is not satisfied the proposed expenditure increase would be incurred by a prudent service provider acting efficiently, in accordance with accepted good industry practice.</w:t>
      </w:r>
      <w:r>
        <w:rPr>
          <w:rStyle w:val="FootnoteReference"/>
        </w:rPr>
        <w:footnoteReference w:id="514"/>
      </w:r>
    </w:p>
    <w:p w:rsidR="007C1F9F" w:rsidRPr="007E3923" w:rsidRDefault="007C1F9F" w:rsidP="007C1F9F">
      <w:pPr>
        <w:pStyle w:val="AERbodytext"/>
        <w:rPr>
          <w:rFonts w:eastAsia="Calibri"/>
        </w:rPr>
      </w:pPr>
      <w:r>
        <w:t>F</w:t>
      </w:r>
      <w:r w:rsidRPr="001B30AC">
        <w:t xml:space="preserve">orecast </w:t>
      </w:r>
      <w:r>
        <w:t>insurance</w:t>
      </w:r>
      <w:r w:rsidRPr="001B30AC">
        <w:t xml:space="preserve"> cost increases are not required because </w:t>
      </w:r>
      <w:r>
        <w:t>APA GasNet</w:t>
      </w:r>
      <w:r w:rsidRPr="001B30AC">
        <w:t xml:space="preserve"> will be compensated for the actual insurance cost increases included in CPI. This is because, under the tariff variation mechanism, </w:t>
      </w:r>
      <w:r>
        <w:t>APA GasNet</w:t>
      </w:r>
      <w:r w:rsidRPr="001B30AC">
        <w:t xml:space="preserve">'s Weighted Average Price Cap will increase by CPI minus X each year. Insurance costs are included in the CPI basket and the contribution of insurance costs to </w:t>
      </w:r>
      <w:r>
        <w:t>APA GasNet</w:t>
      </w:r>
      <w:r w:rsidRPr="001B30AC">
        <w:t>'s total opex is consistent with the weighting in the CPI basket</w:t>
      </w:r>
      <w:r>
        <w:t xml:space="preserve">. </w:t>
      </w:r>
      <w:r w:rsidRPr="001B30AC">
        <w:t xml:space="preserve">Therefore </w:t>
      </w:r>
      <w:r>
        <w:t>APA GasNet</w:t>
      </w:r>
      <w:r w:rsidRPr="001B30AC">
        <w:t xml:space="preserve"> will be compensated for any increase in insurance costs when its base year costs are escalated by CPI. Including a step change for increased insurance costs would double count the effect of price increases. Consequently </w:t>
      </w:r>
      <w:r>
        <w:t>APA GasNet's forecast</w:t>
      </w:r>
      <w:r w:rsidRPr="001B30AC">
        <w:t xml:space="preserve"> insurance costs have not been arrived at on a reasonable basis and do not represent the best estimate possible in the circumstances.</w:t>
      </w:r>
      <w:r>
        <w:rPr>
          <w:rStyle w:val="FootnoteReference"/>
        </w:rPr>
        <w:footnoteReference w:id="515"/>
      </w:r>
    </w:p>
    <w:p w:rsidR="007C1F9F" w:rsidRDefault="007C1F9F" w:rsidP="007C1F9F">
      <w:pPr>
        <w:pStyle w:val="AERheading3"/>
        <w:numPr>
          <w:ilvl w:val="2"/>
          <w:numId w:val="7"/>
        </w:numPr>
        <w:tabs>
          <w:tab w:val="clear" w:pos="-357"/>
          <w:tab w:val="num" w:pos="0"/>
        </w:tabs>
        <w:ind w:left="0" w:hanging="714"/>
      </w:pPr>
      <w:r>
        <w:t>Escalation of base year opex</w:t>
      </w:r>
    </w:p>
    <w:p w:rsidR="007C1F9F" w:rsidRPr="000D288F" w:rsidRDefault="007C1F9F" w:rsidP="007C1F9F">
      <w:pPr>
        <w:pStyle w:val="AERbodytext"/>
      </w:pPr>
      <w:r>
        <w:t>APA</w:t>
      </w:r>
      <w:r w:rsidRPr="000D288F">
        <w:t xml:space="preserve"> </w:t>
      </w:r>
      <w:r>
        <w:t>GasNet</w:t>
      </w:r>
      <w:r w:rsidRPr="000D288F">
        <w:t xml:space="preserve"> proposed to escalate </w:t>
      </w:r>
      <w:r>
        <w:t xml:space="preserve">the base year opex allowance for both scale effects (network growth) and </w:t>
      </w:r>
      <w:r w:rsidRPr="007E3923">
        <w:rPr>
          <w:rFonts w:eastAsia="Calibri"/>
        </w:rPr>
        <w:t>forecast real cost changes in labour and material inputs (</w:t>
      </w:r>
      <w:r>
        <w:rPr>
          <w:rFonts w:eastAsia="Calibri"/>
        </w:rPr>
        <w:t>r</w:t>
      </w:r>
      <w:r w:rsidRPr="007E3923">
        <w:rPr>
          <w:rFonts w:eastAsia="Calibri"/>
        </w:rPr>
        <w:t>eal cost escalation).</w:t>
      </w:r>
    </w:p>
    <w:p w:rsidR="007C1F9F" w:rsidRDefault="007C1F9F" w:rsidP="007C1F9F">
      <w:pPr>
        <w:pStyle w:val="AERheading4"/>
      </w:pPr>
      <w:r>
        <w:t>Network growth (scale escalation)</w:t>
      </w:r>
    </w:p>
    <w:p w:rsidR="007C1F9F" w:rsidRPr="007E3923" w:rsidRDefault="007C1F9F" w:rsidP="007C1F9F">
      <w:pPr>
        <w:pStyle w:val="AERbodytext"/>
        <w:rPr>
          <w:rFonts w:eastAsia="Calibri"/>
        </w:rPr>
      </w:pPr>
      <w:r w:rsidRPr="007E3923">
        <w:rPr>
          <w:rFonts w:eastAsia="Calibri"/>
        </w:rPr>
        <w:t>APA GasNet proposed an increase in opex related to the operation and maintenance of several new compressor stations and pipelines.</w:t>
      </w:r>
      <w:r w:rsidRPr="007E3923">
        <w:rPr>
          <w:rStyle w:val="FootnoteReference"/>
          <w:rFonts w:eastAsia="Calibri"/>
        </w:rPr>
        <w:footnoteReference w:id="516"/>
      </w:r>
    </w:p>
    <w:p w:rsidR="007C1F9F" w:rsidRPr="007E3923" w:rsidRDefault="007C1F9F" w:rsidP="007C1F9F">
      <w:pPr>
        <w:pStyle w:val="AERbodytext"/>
        <w:rPr>
          <w:rFonts w:eastAsia="Calibri"/>
        </w:rPr>
      </w:pPr>
      <w:r w:rsidRPr="007E3923">
        <w:rPr>
          <w:rFonts w:eastAsia="Calibri"/>
        </w:rPr>
        <w:t xml:space="preserve">The AER considers that the proposed opex for network growth is opex that would not be incurred </w:t>
      </w:r>
      <w:r>
        <w:t xml:space="preserve">by a prudent service provider acting efficiently, in accordance with accepted good industry practice, to achieve the lowest sustainable cost of delivering pipeline services and that APA GasNet's </w:t>
      </w:r>
      <w:r w:rsidRPr="007E3923">
        <w:rPr>
          <w:rFonts w:eastAsia="Calibri"/>
        </w:rPr>
        <w:t xml:space="preserve">forecast does not represent the best estimate possible in the circumstances. </w:t>
      </w:r>
      <w:r>
        <w:t>The AER considers a forecast increase in opex of $4.5m ($2012) for the 2013–17 access arrangement period is the best estimate possible in the circumstances. This forecast has been arrived at on a reasonable basis.</w:t>
      </w:r>
    </w:p>
    <w:p w:rsidR="007C1F9F" w:rsidRDefault="007C1F9F" w:rsidP="007C1F9F">
      <w:pPr>
        <w:pStyle w:val="AERbodytext"/>
      </w:pPr>
      <w:r>
        <w:t>The AER's opex forecast reflects several adjustments to APA GasNet's proposed forecast:</w:t>
      </w:r>
    </w:p>
    <w:p w:rsidR="007C1F9F" w:rsidRDefault="007C1F9F" w:rsidP="007C1F9F">
      <w:pPr>
        <w:pStyle w:val="AERbulletlistfirststyle"/>
      </w:pPr>
      <w:r>
        <w:t>As discussed in attachment 3, the AER's draft decision is not to approve the proposed capex for the WORM project. As such the AER considers an increase in opex related to the WORM project is not required.</w:t>
      </w:r>
    </w:p>
    <w:p w:rsidR="007C1F9F" w:rsidRDefault="007C1F9F" w:rsidP="007C1F9F">
      <w:pPr>
        <w:pStyle w:val="AERbulletlistfirststyle"/>
      </w:pPr>
      <w:r>
        <w:t>Also discussed in attachment 3, of the 104.1km of proposed pipeline looping, the AER has only approved 27.8km. Therefore the AER has only approved an increase in opex commensurate with 27.8km of pipeline looping operational from 1 July 2015.</w:t>
      </w:r>
    </w:p>
    <w:p w:rsidR="007C1F9F" w:rsidRDefault="007C1F9F" w:rsidP="007C1F9F">
      <w:pPr>
        <w:pStyle w:val="AERbulletlistfirststyle"/>
      </w:pPr>
      <w:r>
        <w:t>As the AER's draft decision is not to approve the WORM project and to only approve part of the pipeline looping proposed as part of the Gas to Culcairn, the AER considers that APA GasNet would only require one additional FTE as a result of the increased workload. The AER's forecast allows for an increase in operational staff in 2015 which reflects the AER's views of when the increase in capacity at Iona and Culcairn are required.</w:t>
      </w:r>
    </w:p>
    <w:p w:rsidR="007C1F9F" w:rsidRDefault="007C1F9F" w:rsidP="007C1F9F">
      <w:pPr>
        <w:pStyle w:val="AERbulletlistfirststyle"/>
      </w:pPr>
      <w:r>
        <w:t>As discussed in attachment 3, the AER's draft decision is not to approve the proposed capex for the Kalkallo lateral project</w:t>
      </w:r>
      <w:r w:rsidR="001E4A2A">
        <w:t>.</w:t>
      </w:r>
      <w:r>
        <w:t xml:space="preserve"> As such the AER considers an increase in maintenance expenditure related to the Kalkallo lateral project is not required.</w:t>
      </w:r>
    </w:p>
    <w:p w:rsidR="007C1F9F" w:rsidRDefault="007C1F9F" w:rsidP="007C1F9F">
      <w:pPr>
        <w:pStyle w:val="AERtabletitle"/>
      </w:pPr>
      <w:bookmarkStart w:id="111" w:name="OLE_LINK2"/>
      <w:r w:rsidRPr="00CC50A2">
        <w:t xml:space="preserve">Impact of </w:t>
      </w:r>
      <w:r>
        <w:t>scope changes</w:t>
      </w:r>
      <w:r w:rsidRPr="00CC50A2">
        <w:t xml:space="preserve"> ($m</w:t>
      </w:r>
      <w:r>
        <w:t>illion, </w:t>
      </w:r>
      <w:r w:rsidRPr="00CC50A2">
        <w:t>2012)</w:t>
      </w:r>
    </w:p>
    <w:bookmarkEnd w:id="111"/>
    <w:tbl>
      <w:tblPr>
        <w:tblW w:w="5000" w:type="pct"/>
        <w:tblBorders>
          <w:top w:val="single" w:sz="4" w:space="0" w:color="auto"/>
          <w:bottom w:val="single" w:sz="4" w:space="0" w:color="auto"/>
        </w:tblBorders>
        <w:tblLook w:val="04A0"/>
      </w:tblPr>
      <w:tblGrid>
        <w:gridCol w:w="3178"/>
        <w:gridCol w:w="892"/>
        <w:gridCol w:w="892"/>
        <w:gridCol w:w="892"/>
        <w:gridCol w:w="892"/>
        <w:gridCol w:w="892"/>
        <w:gridCol w:w="890"/>
      </w:tblGrid>
      <w:tr w:rsidR="007C1F9F" w:rsidRPr="00843DC1" w:rsidTr="00186172">
        <w:trPr>
          <w:trHeight w:val="300"/>
        </w:trPr>
        <w:tc>
          <w:tcPr>
            <w:tcW w:w="1863"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2013</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2014</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2015</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2016</w:t>
            </w:r>
          </w:p>
        </w:tc>
        <w:tc>
          <w:tcPr>
            <w:tcW w:w="52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2017</w:t>
            </w:r>
          </w:p>
        </w:tc>
        <w:tc>
          <w:tcPr>
            <w:tcW w:w="522"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Total</w:t>
            </w:r>
          </w:p>
        </w:tc>
      </w:tr>
      <w:tr w:rsidR="00FD4236" w:rsidRPr="00843DC1" w:rsidTr="006E1CEF">
        <w:trPr>
          <w:trHeight w:val="255"/>
        </w:trPr>
        <w:tc>
          <w:tcPr>
            <w:tcW w:w="1863" w:type="pct"/>
            <w:shd w:val="clear" w:color="auto" w:fill="auto"/>
            <w:noWrap/>
            <w:tcMar>
              <w:top w:w="0" w:type="dxa"/>
              <w:bottom w:w="0" w:type="dxa"/>
            </w:tcMar>
            <w:vAlign w:val="center"/>
            <w:hideMark/>
          </w:tcPr>
          <w:p w:rsidR="00FD4236" w:rsidRPr="00FD4236" w:rsidRDefault="00FD4236" w:rsidP="00FD4236">
            <w:pPr>
              <w:pStyle w:val="AERtabletext"/>
            </w:pPr>
            <w:r w:rsidRPr="00FD4236">
              <w:t xml:space="preserve">APA GasNet proposal </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0.64</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0.98</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1.77</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1.81</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1.81</w:t>
            </w:r>
          </w:p>
        </w:tc>
        <w:tc>
          <w:tcPr>
            <w:tcW w:w="522"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7.02</w:t>
            </w:r>
          </w:p>
        </w:tc>
      </w:tr>
      <w:tr w:rsidR="00FD4236" w:rsidRPr="00843DC1" w:rsidTr="006E1CEF">
        <w:trPr>
          <w:trHeight w:val="255"/>
        </w:trPr>
        <w:tc>
          <w:tcPr>
            <w:tcW w:w="1863" w:type="pct"/>
            <w:shd w:val="clear" w:color="auto" w:fill="F8B47C"/>
            <w:noWrap/>
            <w:tcMar>
              <w:top w:w="0" w:type="dxa"/>
              <w:bottom w:w="0" w:type="dxa"/>
            </w:tcMar>
            <w:vAlign w:val="center"/>
            <w:hideMark/>
          </w:tcPr>
          <w:p w:rsidR="00FD4236" w:rsidRPr="00FD4236" w:rsidRDefault="00FD4236" w:rsidP="00FD4236">
            <w:pPr>
              <w:pStyle w:val="AERtabletext"/>
            </w:pPr>
            <w:r w:rsidRPr="00FD4236">
              <w:t>AER draft decision</w:t>
            </w:r>
          </w:p>
        </w:tc>
        <w:tc>
          <w:tcPr>
            <w:tcW w:w="523"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0.39</w:t>
            </w:r>
          </w:p>
        </w:tc>
        <w:tc>
          <w:tcPr>
            <w:tcW w:w="523"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0.41</w:t>
            </w:r>
          </w:p>
        </w:tc>
        <w:tc>
          <w:tcPr>
            <w:tcW w:w="523"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0.98</w:t>
            </w:r>
          </w:p>
        </w:tc>
        <w:tc>
          <w:tcPr>
            <w:tcW w:w="523"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1.02</w:t>
            </w:r>
          </w:p>
        </w:tc>
        <w:tc>
          <w:tcPr>
            <w:tcW w:w="523"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1.02</w:t>
            </w:r>
          </w:p>
        </w:tc>
        <w:tc>
          <w:tcPr>
            <w:tcW w:w="522"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3.83</w:t>
            </w:r>
          </w:p>
        </w:tc>
      </w:tr>
      <w:tr w:rsidR="00FD4236" w:rsidRPr="00843DC1" w:rsidTr="006E1CEF">
        <w:trPr>
          <w:trHeight w:val="255"/>
        </w:trPr>
        <w:tc>
          <w:tcPr>
            <w:tcW w:w="1863" w:type="pct"/>
            <w:shd w:val="clear" w:color="auto" w:fill="auto"/>
            <w:noWrap/>
            <w:tcMar>
              <w:top w:w="0" w:type="dxa"/>
              <w:bottom w:w="0" w:type="dxa"/>
            </w:tcMar>
            <w:vAlign w:val="center"/>
            <w:hideMark/>
          </w:tcPr>
          <w:p w:rsidR="00FD4236" w:rsidRPr="00FD4236" w:rsidRDefault="00FD4236" w:rsidP="00FD4236">
            <w:pPr>
              <w:pStyle w:val="AERtabletext"/>
            </w:pPr>
            <w:r w:rsidRPr="00FD4236">
              <w:t>Difference</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–0.25</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–0.57</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–0.79</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–0.79</w:t>
            </w:r>
          </w:p>
        </w:tc>
        <w:tc>
          <w:tcPr>
            <w:tcW w:w="523"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–0.79</w:t>
            </w:r>
          </w:p>
        </w:tc>
        <w:tc>
          <w:tcPr>
            <w:tcW w:w="522"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–3.19</w:t>
            </w:r>
          </w:p>
        </w:tc>
      </w:tr>
    </w:tbl>
    <w:p w:rsidR="007C1F9F" w:rsidRPr="00CC50A2" w:rsidRDefault="007C1F9F" w:rsidP="007C1F9F">
      <w:pPr>
        <w:pStyle w:val="AERtablesource"/>
      </w:pPr>
      <w:r w:rsidRPr="00CC50A2">
        <w:t>Source: AER analysis.</w:t>
      </w:r>
    </w:p>
    <w:p w:rsidR="007C1F9F" w:rsidRPr="000F38ED" w:rsidRDefault="007C1F9F" w:rsidP="007C1F9F">
      <w:pPr>
        <w:pStyle w:val="AERbodytext"/>
        <w:rPr>
          <w:rStyle w:val="AERbody"/>
        </w:rPr>
      </w:pPr>
    </w:p>
    <w:p w:rsidR="007C1F9F" w:rsidRDefault="007C1F9F" w:rsidP="007C1F9F">
      <w:pPr>
        <w:pStyle w:val="AERheading4"/>
      </w:pPr>
      <w:r>
        <w:t>Real cost escalation</w:t>
      </w:r>
    </w:p>
    <w:p w:rsidR="007C1F9F" w:rsidRDefault="007C1F9F" w:rsidP="007C1F9F">
      <w:pPr>
        <w:pStyle w:val="AERbodytext"/>
      </w:pPr>
      <w:r>
        <w:t>APA GasNet</w:t>
      </w:r>
      <w:r w:rsidRPr="005E7366">
        <w:t>’s proposed total opex included $</w:t>
      </w:r>
      <w:r>
        <w:t>15.8</w:t>
      </w:r>
      <w:r w:rsidRPr="005E7366">
        <w:t xml:space="preserve"> million ($2012) for forecast real cost</w:t>
      </w:r>
      <w:r>
        <w:t xml:space="preserve"> increases in labour</w:t>
      </w:r>
      <w:r w:rsidRPr="005E7366">
        <w:t>. The AER’s consideration of the real cost</w:t>
      </w:r>
      <w:r>
        <w:t xml:space="preserve"> </w:t>
      </w:r>
      <w:r w:rsidRPr="005E7366">
        <w:t xml:space="preserve">escalators proposed by </w:t>
      </w:r>
      <w:r>
        <w:t>APA GasNet</w:t>
      </w:r>
      <w:r w:rsidRPr="005E7366">
        <w:t xml:space="preserve"> is in </w:t>
      </w:r>
      <w:r>
        <w:t>appendix C</w:t>
      </w:r>
      <w:r w:rsidRPr="005E7366">
        <w:t>. The impact of the application of the</w:t>
      </w:r>
      <w:r>
        <w:t xml:space="preserve"> </w:t>
      </w:r>
      <w:r w:rsidRPr="005E7366">
        <w:t xml:space="preserve">AER’s real cost escalators </w:t>
      </w:r>
      <w:r>
        <w:t xml:space="preserve">on forecast opex </w:t>
      </w:r>
      <w:r w:rsidRPr="005E7366">
        <w:t xml:space="preserve">is outlined in </w:t>
      </w:r>
      <w:r w:rsidR="00DE0D6A">
        <w:fldChar w:fldCharType="begin"/>
      </w:r>
      <w:r>
        <w:instrText xml:space="preserve"> REF  _Ref330205665 \* Lower \h \r </w:instrText>
      </w:r>
      <w:r w:rsidR="00DE0D6A">
        <w:fldChar w:fldCharType="separate"/>
      </w:r>
      <w:r>
        <w:t>table 6.9</w:t>
      </w:r>
      <w:r w:rsidR="00DE0D6A">
        <w:fldChar w:fldCharType="end"/>
      </w:r>
      <w:r w:rsidRPr="005E7366">
        <w:t>.</w:t>
      </w:r>
    </w:p>
    <w:p w:rsidR="007C1F9F" w:rsidRDefault="007C1F9F" w:rsidP="007C1F9F">
      <w:pPr>
        <w:pStyle w:val="AERtabletitle"/>
      </w:pPr>
      <w:bookmarkStart w:id="112" w:name="_Ref330205665"/>
      <w:r w:rsidRPr="005E7366">
        <w:t>Impact of real cost escalation ($m</w:t>
      </w:r>
      <w:r>
        <w:t>illion</w:t>
      </w:r>
      <w:r w:rsidRPr="005E7366">
        <w:t>, 2012)</w:t>
      </w:r>
      <w:bookmarkEnd w:id="112"/>
    </w:p>
    <w:tbl>
      <w:tblPr>
        <w:tblW w:w="5000" w:type="pct"/>
        <w:tblBorders>
          <w:top w:val="single" w:sz="4" w:space="0" w:color="auto"/>
          <w:bottom w:val="single" w:sz="4" w:space="0" w:color="auto"/>
        </w:tblBorders>
        <w:tblLook w:val="04A0"/>
      </w:tblPr>
      <w:tblGrid>
        <w:gridCol w:w="3142"/>
        <w:gridCol w:w="885"/>
        <w:gridCol w:w="884"/>
        <w:gridCol w:w="884"/>
        <w:gridCol w:w="964"/>
        <w:gridCol w:w="884"/>
        <w:gridCol w:w="885"/>
      </w:tblGrid>
      <w:tr w:rsidR="007C1F9F" w:rsidRPr="00843DC1" w:rsidTr="00186172">
        <w:trPr>
          <w:trHeight w:val="300"/>
        </w:trPr>
        <w:tc>
          <w:tcPr>
            <w:tcW w:w="1842"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186172"/>
        </w:tc>
        <w:tc>
          <w:tcPr>
            <w:tcW w:w="519"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2013</w:t>
            </w:r>
          </w:p>
        </w:tc>
        <w:tc>
          <w:tcPr>
            <w:tcW w:w="51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2014</w:t>
            </w:r>
          </w:p>
        </w:tc>
        <w:tc>
          <w:tcPr>
            <w:tcW w:w="51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2015</w:t>
            </w:r>
          </w:p>
        </w:tc>
        <w:tc>
          <w:tcPr>
            <w:tcW w:w="56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2016</w:t>
            </w:r>
          </w:p>
        </w:tc>
        <w:tc>
          <w:tcPr>
            <w:tcW w:w="51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2017</w:t>
            </w:r>
          </w:p>
        </w:tc>
        <w:tc>
          <w:tcPr>
            <w:tcW w:w="519"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hideMark/>
          </w:tcPr>
          <w:p w:rsidR="007C1F9F" w:rsidRPr="00791B25" w:rsidRDefault="007C1F9F" w:rsidP="00FD4236">
            <w:pPr>
              <w:pStyle w:val="AERtabletextheadingright"/>
            </w:pPr>
            <w:r w:rsidRPr="00791B25">
              <w:t>Total</w:t>
            </w:r>
          </w:p>
        </w:tc>
      </w:tr>
      <w:tr w:rsidR="00FD4236" w:rsidRPr="00843DC1" w:rsidTr="006E1CEF">
        <w:trPr>
          <w:trHeight w:val="255"/>
        </w:trPr>
        <w:tc>
          <w:tcPr>
            <w:tcW w:w="1842" w:type="pct"/>
            <w:shd w:val="clear" w:color="auto" w:fill="auto"/>
            <w:noWrap/>
            <w:tcMar>
              <w:top w:w="0" w:type="dxa"/>
              <w:bottom w:w="0" w:type="dxa"/>
            </w:tcMar>
            <w:vAlign w:val="center"/>
            <w:hideMark/>
          </w:tcPr>
          <w:p w:rsidR="00FD4236" w:rsidRPr="00FD4236" w:rsidRDefault="00FD4236" w:rsidP="00FD4236">
            <w:pPr>
              <w:pStyle w:val="AERtabletext"/>
            </w:pPr>
            <w:r w:rsidRPr="00FD4236">
              <w:t xml:space="preserve">APA GasNet proposal </w:t>
            </w:r>
          </w:p>
        </w:tc>
        <w:tc>
          <w:tcPr>
            <w:tcW w:w="519"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0.89</w:t>
            </w:r>
          </w:p>
        </w:tc>
        <w:tc>
          <w:tcPr>
            <w:tcW w:w="518"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2.55</w:t>
            </w:r>
          </w:p>
        </w:tc>
        <w:tc>
          <w:tcPr>
            <w:tcW w:w="518"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3.84</w:t>
            </w:r>
          </w:p>
        </w:tc>
        <w:tc>
          <w:tcPr>
            <w:tcW w:w="565"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4.22</w:t>
            </w:r>
          </w:p>
        </w:tc>
        <w:tc>
          <w:tcPr>
            <w:tcW w:w="518"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4.28</w:t>
            </w:r>
          </w:p>
        </w:tc>
        <w:tc>
          <w:tcPr>
            <w:tcW w:w="519"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15.77</w:t>
            </w:r>
          </w:p>
        </w:tc>
      </w:tr>
      <w:tr w:rsidR="00FD4236" w:rsidRPr="00843DC1" w:rsidTr="006E1CEF">
        <w:trPr>
          <w:trHeight w:val="255"/>
        </w:trPr>
        <w:tc>
          <w:tcPr>
            <w:tcW w:w="1842" w:type="pct"/>
            <w:shd w:val="clear" w:color="auto" w:fill="F8B47C"/>
            <w:noWrap/>
            <w:tcMar>
              <w:top w:w="0" w:type="dxa"/>
              <w:bottom w:w="0" w:type="dxa"/>
            </w:tcMar>
            <w:vAlign w:val="center"/>
            <w:hideMark/>
          </w:tcPr>
          <w:p w:rsidR="00FD4236" w:rsidRPr="00FD4236" w:rsidRDefault="00FD4236" w:rsidP="00FD4236">
            <w:pPr>
              <w:pStyle w:val="AERtabletext"/>
            </w:pPr>
            <w:r w:rsidRPr="00FD4236">
              <w:t xml:space="preserve">AER determination </w:t>
            </w:r>
          </w:p>
        </w:tc>
        <w:tc>
          <w:tcPr>
            <w:tcW w:w="519"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0.56</w:t>
            </w:r>
          </w:p>
        </w:tc>
        <w:tc>
          <w:tcPr>
            <w:tcW w:w="518"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0.78</w:t>
            </w:r>
          </w:p>
        </w:tc>
        <w:tc>
          <w:tcPr>
            <w:tcW w:w="518"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1.03</w:t>
            </w:r>
          </w:p>
        </w:tc>
        <w:tc>
          <w:tcPr>
            <w:tcW w:w="565"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1.25</w:t>
            </w:r>
          </w:p>
        </w:tc>
        <w:tc>
          <w:tcPr>
            <w:tcW w:w="518"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1.48</w:t>
            </w:r>
          </w:p>
        </w:tc>
        <w:tc>
          <w:tcPr>
            <w:tcW w:w="519" w:type="pct"/>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5.11</w:t>
            </w:r>
          </w:p>
        </w:tc>
      </w:tr>
      <w:tr w:rsidR="00FD4236" w:rsidRPr="00843DC1" w:rsidTr="006E1CEF">
        <w:trPr>
          <w:trHeight w:val="255"/>
        </w:trPr>
        <w:tc>
          <w:tcPr>
            <w:tcW w:w="1842" w:type="pct"/>
            <w:shd w:val="clear" w:color="auto" w:fill="auto"/>
            <w:noWrap/>
            <w:tcMar>
              <w:top w:w="0" w:type="dxa"/>
              <w:bottom w:w="0" w:type="dxa"/>
            </w:tcMar>
            <w:vAlign w:val="center"/>
            <w:hideMark/>
          </w:tcPr>
          <w:p w:rsidR="00FD4236" w:rsidRPr="00FD4236" w:rsidRDefault="00FD4236" w:rsidP="00FD4236">
            <w:pPr>
              <w:pStyle w:val="AERtabletext"/>
            </w:pPr>
            <w:r w:rsidRPr="00FD4236">
              <w:t>Difference</w:t>
            </w:r>
          </w:p>
        </w:tc>
        <w:tc>
          <w:tcPr>
            <w:tcW w:w="519"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–0.32</w:t>
            </w:r>
          </w:p>
        </w:tc>
        <w:tc>
          <w:tcPr>
            <w:tcW w:w="518"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–1.77</w:t>
            </w:r>
          </w:p>
        </w:tc>
        <w:tc>
          <w:tcPr>
            <w:tcW w:w="518"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–2.80</w:t>
            </w:r>
          </w:p>
        </w:tc>
        <w:tc>
          <w:tcPr>
            <w:tcW w:w="565"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–2.96</w:t>
            </w:r>
          </w:p>
        </w:tc>
        <w:tc>
          <w:tcPr>
            <w:tcW w:w="518"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–2.80</w:t>
            </w:r>
          </w:p>
        </w:tc>
        <w:tc>
          <w:tcPr>
            <w:tcW w:w="519" w:type="pct"/>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–10.66</w:t>
            </w:r>
          </w:p>
        </w:tc>
      </w:tr>
    </w:tbl>
    <w:p w:rsidR="007C1F9F" w:rsidRPr="00895E0D" w:rsidRDefault="007C1F9F" w:rsidP="007C1F9F">
      <w:pPr>
        <w:pStyle w:val="AERtablesource"/>
      </w:pPr>
      <w:r w:rsidRPr="00895E0D">
        <w:t xml:space="preserve">Source: </w:t>
      </w:r>
      <w:r>
        <w:tab/>
      </w:r>
      <w:r w:rsidRPr="00895E0D">
        <w:t>AER analysis.</w:t>
      </w:r>
    </w:p>
    <w:p w:rsidR="007C1F9F" w:rsidRDefault="007C1F9F" w:rsidP="007C1F9F">
      <w:pPr>
        <w:pStyle w:val="AERheading3"/>
        <w:numPr>
          <w:ilvl w:val="2"/>
          <w:numId w:val="7"/>
        </w:numPr>
        <w:tabs>
          <w:tab w:val="clear" w:pos="-357"/>
          <w:tab w:val="num" w:pos="0"/>
        </w:tabs>
        <w:ind w:left="0" w:hanging="714"/>
      </w:pPr>
      <w:bookmarkStart w:id="113" w:name="_Ref331508072"/>
      <w:r>
        <w:t>Allowances</w:t>
      </w:r>
      <w:bookmarkEnd w:id="113"/>
    </w:p>
    <w:p w:rsidR="007C1F9F" w:rsidRDefault="007C1F9F" w:rsidP="007C1F9F">
      <w:pPr>
        <w:pStyle w:val="AERbodytext"/>
      </w:pPr>
      <w:r>
        <w:t>APA GasNet submitted that its f</w:t>
      </w:r>
      <w:r w:rsidRPr="00746CC3">
        <w:t xml:space="preserve">orecast </w:t>
      </w:r>
      <w:r>
        <w:t>opex</w:t>
      </w:r>
      <w:r w:rsidRPr="00746CC3">
        <w:t xml:space="preserve"> is supplemented by a number of</w:t>
      </w:r>
      <w:r>
        <w:t xml:space="preserve"> </w:t>
      </w:r>
      <w:r w:rsidRPr="00746CC3">
        <w:t xml:space="preserve">other allowances to make up the total forecast </w:t>
      </w:r>
      <w:r>
        <w:t>opex allowance.</w:t>
      </w:r>
      <w:r>
        <w:rPr>
          <w:rStyle w:val="FootnoteReference"/>
        </w:rPr>
        <w:footnoteReference w:id="517"/>
      </w:r>
      <w:r>
        <w:t xml:space="preserve"> </w:t>
      </w:r>
      <w:r w:rsidR="00DE0D6A">
        <w:fldChar w:fldCharType="begin"/>
      </w:r>
      <w:r>
        <w:instrText xml:space="preserve"> REF _Ref330220642 \r \h </w:instrText>
      </w:r>
      <w:r w:rsidR="00DE0D6A">
        <w:fldChar w:fldCharType="separate"/>
      </w:r>
      <w:r>
        <w:t>Table 6.10</w:t>
      </w:r>
      <w:r w:rsidR="00DE0D6A">
        <w:fldChar w:fldCharType="end"/>
      </w:r>
      <w:r>
        <w:t xml:space="preserve"> provides a summary of the allowances proposed by APA GasNet.</w:t>
      </w:r>
    </w:p>
    <w:p w:rsidR="007C1F9F" w:rsidRPr="007E3923" w:rsidRDefault="007C1F9F" w:rsidP="007C1F9F">
      <w:pPr>
        <w:pStyle w:val="AERtabletitle"/>
        <w:rPr>
          <w:rFonts w:eastAsia="Calibri"/>
        </w:rPr>
      </w:pPr>
      <w:bookmarkStart w:id="114" w:name="_Ref330220642"/>
      <w:bookmarkStart w:id="115" w:name="OLE_LINK5"/>
      <w:r w:rsidRPr="007E3923">
        <w:rPr>
          <w:rFonts w:eastAsia="Calibri"/>
        </w:rPr>
        <w:t xml:space="preserve">APA GasNet's proposed allowances </w:t>
      </w:r>
      <w:bookmarkEnd w:id="114"/>
      <w:r w:rsidRPr="007E3923">
        <w:rPr>
          <w:rFonts w:eastAsia="Calibri"/>
        </w:rPr>
        <w:t>($million, 2012)</w:t>
      </w:r>
    </w:p>
    <w:tbl>
      <w:tblPr>
        <w:tblW w:w="8528" w:type="dxa"/>
        <w:tblBorders>
          <w:top w:val="single" w:sz="4" w:space="0" w:color="auto"/>
          <w:bottom w:val="single" w:sz="4" w:space="0" w:color="auto"/>
        </w:tblBorders>
        <w:tblLook w:val="04A0"/>
      </w:tblPr>
      <w:tblGrid>
        <w:gridCol w:w="3279"/>
        <w:gridCol w:w="874"/>
        <w:gridCol w:w="875"/>
        <w:gridCol w:w="875"/>
        <w:gridCol w:w="875"/>
        <w:gridCol w:w="875"/>
        <w:gridCol w:w="875"/>
      </w:tblGrid>
      <w:tr w:rsidR="007C1F9F" w:rsidRPr="003F0A1C" w:rsidTr="00186172">
        <w:trPr>
          <w:trHeight w:val="300"/>
        </w:trPr>
        <w:tc>
          <w:tcPr>
            <w:tcW w:w="32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7C1F9F" w:rsidRPr="00FD4236" w:rsidRDefault="007C1F9F" w:rsidP="00FD4236">
            <w:pPr>
              <w:pStyle w:val="AERtabletextheading"/>
              <w:rPr>
                <w:rStyle w:val="AERtextbold"/>
                <w:b/>
              </w:rPr>
            </w:pPr>
            <w:r w:rsidRPr="00FD4236">
              <w:rPr>
                <w:rStyle w:val="AERtextbold"/>
                <w:b/>
              </w:rPr>
              <w:t xml:space="preserve">Allowances </w:t>
            </w:r>
          </w:p>
        </w:tc>
        <w:tc>
          <w:tcPr>
            <w:tcW w:w="874"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2013</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2014</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2015</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2016</w:t>
            </w:r>
          </w:p>
        </w:tc>
        <w:tc>
          <w:tcPr>
            <w:tcW w:w="87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hideMark/>
          </w:tcPr>
          <w:p w:rsidR="007C1F9F" w:rsidRPr="00887FFA" w:rsidRDefault="007C1F9F" w:rsidP="00186172">
            <w:pPr>
              <w:pStyle w:val="AERtabletextheadingright"/>
            </w:pPr>
            <w:r w:rsidRPr="00887FFA">
              <w:t>2017</w:t>
            </w:r>
          </w:p>
        </w:tc>
        <w:tc>
          <w:tcPr>
            <w:tcW w:w="8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887FFA" w:rsidRDefault="007C1F9F" w:rsidP="00186172">
            <w:pPr>
              <w:pStyle w:val="AERtabletextheadingright"/>
            </w:pPr>
            <w:r w:rsidRPr="00887FFA">
              <w:t>Total</w:t>
            </w:r>
          </w:p>
        </w:tc>
      </w:tr>
      <w:tr w:rsidR="00FD4236" w:rsidRPr="003F0A1C" w:rsidTr="006E1CEF">
        <w:trPr>
          <w:trHeight w:val="300"/>
        </w:trPr>
        <w:tc>
          <w:tcPr>
            <w:tcW w:w="3279" w:type="dxa"/>
            <w:shd w:val="clear" w:color="auto" w:fill="auto"/>
            <w:noWrap/>
            <w:tcMar>
              <w:top w:w="0" w:type="dxa"/>
              <w:bottom w:w="0" w:type="dxa"/>
            </w:tcMar>
            <w:vAlign w:val="bottom"/>
            <w:hideMark/>
          </w:tcPr>
          <w:p w:rsidR="00FD4236" w:rsidRPr="00FD4236" w:rsidRDefault="00FD4236" w:rsidP="00FD4236">
            <w:pPr>
              <w:pStyle w:val="AERtabletext"/>
            </w:pPr>
            <w:r w:rsidRPr="00FD4236">
              <w:t xml:space="preserve">APA GasNet proposal </w:t>
            </w:r>
          </w:p>
        </w:tc>
        <w:tc>
          <w:tcPr>
            <w:tcW w:w="874"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3.76</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1.01</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–1.45</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–2.54</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0.74</w:t>
            </w:r>
          </w:p>
        </w:tc>
        <w:tc>
          <w:tcPr>
            <w:tcW w:w="875" w:type="dxa"/>
            <w:shd w:val="clear" w:color="auto" w:fill="auto"/>
            <w:noWrap/>
            <w:tcMar>
              <w:top w:w="0" w:type="dxa"/>
              <w:bottom w:w="0" w:type="dxa"/>
            </w:tcMar>
          </w:tcPr>
          <w:p w:rsidR="00FD4236" w:rsidRPr="00FD4236" w:rsidRDefault="00FD4236" w:rsidP="00FD4236">
            <w:pPr>
              <w:pStyle w:val="AERtabletextheadingright"/>
              <w:rPr>
                <w:rStyle w:val="AERtextbold"/>
              </w:rPr>
            </w:pPr>
            <w:r w:rsidRPr="00FD4236">
              <w:rPr>
                <w:rStyle w:val="AERtextbold"/>
              </w:rPr>
              <w:t>1.52</w:t>
            </w:r>
          </w:p>
        </w:tc>
      </w:tr>
      <w:tr w:rsidR="00FD4236" w:rsidRPr="003F0A1C" w:rsidTr="006E1CEF">
        <w:trPr>
          <w:trHeight w:val="300"/>
        </w:trPr>
        <w:tc>
          <w:tcPr>
            <w:tcW w:w="3279" w:type="dxa"/>
            <w:shd w:val="clear" w:color="auto" w:fill="F8B47C"/>
            <w:noWrap/>
            <w:tcMar>
              <w:top w:w="0" w:type="dxa"/>
              <w:bottom w:w="0" w:type="dxa"/>
            </w:tcMar>
            <w:vAlign w:val="bottom"/>
            <w:hideMark/>
          </w:tcPr>
          <w:p w:rsidR="00FD4236" w:rsidRPr="00FD4236" w:rsidRDefault="00FD4236" w:rsidP="00FD4236">
            <w:pPr>
              <w:pStyle w:val="AERtabletext"/>
            </w:pPr>
            <w:r w:rsidRPr="00FD4236">
              <w:t xml:space="preserve">AER determination </w:t>
            </w:r>
          </w:p>
        </w:tc>
        <w:tc>
          <w:tcPr>
            <w:tcW w:w="874"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1.50</w:t>
            </w:r>
          </w:p>
        </w:tc>
        <w:tc>
          <w:tcPr>
            <w:tcW w:w="875"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–1.09</w:t>
            </w:r>
          </w:p>
        </w:tc>
        <w:tc>
          <w:tcPr>
            <w:tcW w:w="875"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–1.46</w:t>
            </w:r>
          </w:p>
        </w:tc>
        <w:tc>
          <w:tcPr>
            <w:tcW w:w="875"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–1.15</w:t>
            </w:r>
          </w:p>
        </w:tc>
        <w:tc>
          <w:tcPr>
            <w:tcW w:w="875" w:type="dxa"/>
            <w:shd w:val="clear" w:color="auto" w:fill="F8B47C"/>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0.56</w:t>
            </w:r>
          </w:p>
        </w:tc>
        <w:tc>
          <w:tcPr>
            <w:tcW w:w="875" w:type="dxa"/>
            <w:shd w:val="clear" w:color="auto" w:fill="F8B47C"/>
            <w:noWrap/>
            <w:tcMar>
              <w:top w:w="0" w:type="dxa"/>
              <w:bottom w:w="0" w:type="dxa"/>
            </w:tcMar>
          </w:tcPr>
          <w:p w:rsidR="00FD4236" w:rsidRPr="00FD4236" w:rsidRDefault="00FD4236" w:rsidP="00FD4236">
            <w:pPr>
              <w:pStyle w:val="AERtabletextheadingright"/>
              <w:rPr>
                <w:rStyle w:val="AERtextbold"/>
              </w:rPr>
            </w:pPr>
            <w:r w:rsidRPr="00FD4236">
              <w:rPr>
                <w:rStyle w:val="AERtextbold"/>
              </w:rPr>
              <w:t>–1.64</w:t>
            </w:r>
          </w:p>
        </w:tc>
      </w:tr>
      <w:tr w:rsidR="00FD4236" w:rsidRPr="003F0A1C" w:rsidTr="006E1CEF">
        <w:trPr>
          <w:trHeight w:val="300"/>
        </w:trPr>
        <w:tc>
          <w:tcPr>
            <w:tcW w:w="3279" w:type="dxa"/>
            <w:shd w:val="clear" w:color="auto" w:fill="auto"/>
            <w:noWrap/>
            <w:tcMar>
              <w:top w:w="0" w:type="dxa"/>
              <w:bottom w:w="0" w:type="dxa"/>
            </w:tcMar>
            <w:vAlign w:val="bottom"/>
            <w:hideMark/>
          </w:tcPr>
          <w:p w:rsidR="00FD4236" w:rsidRPr="00FD4236" w:rsidRDefault="00FD4236" w:rsidP="00FD4236">
            <w:pPr>
              <w:pStyle w:val="AERtabletext"/>
            </w:pPr>
            <w:r w:rsidRPr="00FD4236">
              <w:t>Difference</w:t>
            </w:r>
          </w:p>
        </w:tc>
        <w:tc>
          <w:tcPr>
            <w:tcW w:w="874"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–2.26</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–2.10</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–0.01</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1.39</w:t>
            </w:r>
          </w:p>
        </w:tc>
        <w:tc>
          <w:tcPr>
            <w:tcW w:w="875" w:type="dxa"/>
            <w:shd w:val="clear" w:color="auto" w:fill="auto"/>
            <w:noWrap/>
            <w:tcMar>
              <w:top w:w="0" w:type="dxa"/>
              <w:bottom w:w="0" w:type="dxa"/>
            </w:tcMar>
            <w:hideMark/>
          </w:tcPr>
          <w:p w:rsidR="00FD4236" w:rsidRPr="00FD4236" w:rsidRDefault="00FD4236" w:rsidP="00FD4236">
            <w:pPr>
              <w:pStyle w:val="AERtabletextheadingright"/>
              <w:rPr>
                <w:rStyle w:val="AERtextbold"/>
              </w:rPr>
            </w:pPr>
            <w:r w:rsidRPr="00FD4236">
              <w:rPr>
                <w:rStyle w:val="AERtextbold"/>
              </w:rPr>
              <w:t>–0.18</w:t>
            </w:r>
          </w:p>
        </w:tc>
        <w:tc>
          <w:tcPr>
            <w:tcW w:w="875" w:type="dxa"/>
            <w:shd w:val="clear" w:color="auto" w:fill="auto"/>
            <w:noWrap/>
            <w:tcMar>
              <w:top w:w="0" w:type="dxa"/>
              <w:bottom w:w="0" w:type="dxa"/>
            </w:tcMar>
          </w:tcPr>
          <w:p w:rsidR="00FD4236" w:rsidRPr="00FD4236" w:rsidRDefault="00FD4236" w:rsidP="00FD4236">
            <w:pPr>
              <w:pStyle w:val="AERtabletextheadingright"/>
              <w:rPr>
                <w:rStyle w:val="AERtextbold"/>
              </w:rPr>
            </w:pPr>
            <w:r w:rsidRPr="00FD4236">
              <w:rPr>
                <w:rStyle w:val="AERtextbold"/>
              </w:rPr>
              <w:t>–3.16</w:t>
            </w:r>
          </w:p>
        </w:tc>
      </w:tr>
    </w:tbl>
    <w:p w:rsidR="007C1F9F" w:rsidRDefault="007C1F9F" w:rsidP="007C1F9F">
      <w:pPr>
        <w:pStyle w:val="AERtablesource"/>
      </w:pPr>
      <w:r>
        <w:t xml:space="preserve">Source: </w:t>
      </w:r>
      <w:r>
        <w:tab/>
        <w:t>AER analysis.</w:t>
      </w:r>
    </w:p>
    <w:bookmarkEnd w:id="115"/>
    <w:p w:rsidR="007C1F9F" w:rsidRDefault="007C1F9F" w:rsidP="007C1F9F">
      <w:pPr>
        <w:pStyle w:val="AERheading4"/>
      </w:pPr>
      <w:r>
        <w:t>Efficiency carryover mechanism</w:t>
      </w:r>
    </w:p>
    <w:p w:rsidR="007C1F9F" w:rsidRDefault="007C1F9F" w:rsidP="007C1F9F">
      <w:pPr>
        <w:pStyle w:val="AERbodytext"/>
      </w:pPr>
      <w:r>
        <w:t>The application of the efficiency benefit sharing scheme to APA GasNet is discussed in attachment 7.</w:t>
      </w:r>
    </w:p>
    <w:p w:rsidR="007C1F9F" w:rsidRDefault="007C1F9F" w:rsidP="007C1F9F">
      <w:pPr>
        <w:pStyle w:val="AERheading4"/>
      </w:pPr>
      <w:r>
        <w:t>Reset costs (from 2008–12 regulatory period)</w:t>
      </w:r>
      <w:r>
        <w:tab/>
      </w:r>
    </w:p>
    <w:p w:rsidR="007C1F9F" w:rsidRDefault="007C1F9F" w:rsidP="007C1F9F">
      <w:pPr>
        <w:pStyle w:val="AERbodytext"/>
      </w:pPr>
      <w:r>
        <w:t xml:space="preserve">APA GasNet submitted that </w:t>
      </w:r>
      <w:r w:rsidRPr="00E542B3">
        <w:t xml:space="preserve">established regulatory </w:t>
      </w:r>
      <w:r>
        <w:t xml:space="preserve">practice </w:t>
      </w:r>
      <w:r w:rsidRPr="00E542B3">
        <w:t>has been to ‘carry forward’</w:t>
      </w:r>
      <w:r>
        <w:t xml:space="preserve"> </w:t>
      </w:r>
      <w:r w:rsidRPr="00E542B3">
        <w:t>costs associated with the preparation of each access arrangement revision proposal</w:t>
      </w:r>
      <w:r>
        <w:t xml:space="preserve"> </w:t>
      </w:r>
      <w:r w:rsidRPr="00E542B3">
        <w:t xml:space="preserve">as an adjustment to forecast </w:t>
      </w:r>
      <w:r>
        <w:t>opex</w:t>
      </w:r>
      <w:r w:rsidRPr="00E542B3">
        <w:t>.</w:t>
      </w:r>
      <w:r>
        <w:rPr>
          <w:rStyle w:val="FootnoteReference"/>
        </w:rPr>
        <w:footnoteReference w:id="518"/>
      </w:r>
      <w:r>
        <w:t xml:space="preserve"> Accordingly</w:t>
      </w:r>
      <w:r w:rsidRPr="00600A29">
        <w:t xml:space="preserve">, </w:t>
      </w:r>
      <w:r>
        <w:t>APA GasNet</w:t>
      </w:r>
      <w:r w:rsidRPr="00600A29">
        <w:t xml:space="preserve"> considers that it should be able to recover $1.1m</w:t>
      </w:r>
      <w:r>
        <w:t xml:space="preserve"> ($2012)</w:t>
      </w:r>
      <w:r w:rsidRPr="00600A29">
        <w:t xml:space="preserve"> in reset costs</w:t>
      </w:r>
      <w:r>
        <w:t xml:space="preserve"> incurred in 2008–12</w:t>
      </w:r>
      <w:r w:rsidRPr="00600A29">
        <w:t xml:space="preserve"> in the first year of the 2013–17 access arrangement period.</w:t>
      </w:r>
    </w:p>
    <w:p w:rsidR="007C1F9F" w:rsidRPr="007E3923" w:rsidRDefault="007C1F9F" w:rsidP="007C1F9F">
      <w:pPr>
        <w:pStyle w:val="AERbodytext"/>
        <w:rPr>
          <w:rFonts w:eastAsia="Calibri"/>
        </w:rPr>
      </w:pPr>
      <w:r>
        <w:t xml:space="preserve">APA GasNet submitted these costs </w:t>
      </w:r>
      <w:r w:rsidRPr="00E542B3">
        <w:t xml:space="preserve">were not included in 2011 or 2012 forecast </w:t>
      </w:r>
      <w:r>
        <w:t>opex</w:t>
      </w:r>
      <w:r w:rsidRPr="00CA2916">
        <w:t xml:space="preserve"> on the basis that they would be recovered in the first year of the next access arrangement</w:t>
      </w:r>
      <w:r>
        <w:t>.</w:t>
      </w:r>
      <w:r w:rsidRPr="007E3923">
        <w:rPr>
          <w:rStyle w:val="FootnoteReference"/>
          <w:rFonts w:eastAsia="Calibri"/>
        </w:rPr>
        <w:footnoteReference w:id="519"/>
      </w:r>
      <w:r>
        <w:t xml:space="preserve"> APA GasNet considers that the transitional provisions in the NGR enable it to recover these costs in the 2013–17 access arrangement period.</w:t>
      </w:r>
      <w:r w:rsidRPr="007E3923">
        <w:rPr>
          <w:rStyle w:val="FootnoteReference"/>
          <w:rFonts w:eastAsia="Calibri"/>
        </w:rPr>
        <w:footnoteReference w:id="520"/>
      </w:r>
      <w:r>
        <w:t xml:space="preserve"> APA GasNet cited NGL </w:t>
      </w:r>
      <w:r w:rsidRPr="007E3923">
        <w:rPr>
          <w:rFonts w:eastAsia="Calibri"/>
        </w:rPr>
        <w:t>schedule 3, clause 43(1)(b) of the NGR as allowing it to recover these costs in the 2013–17 access arrangement period.</w:t>
      </w:r>
    </w:p>
    <w:p w:rsidR="007C1F9F" w:rsidRPr="007E3923" w:rsidRDefault="007C1F9F" w:rsidP="007C1F9F">
      <w:pPr>
        <w:pStyle w:val="AERbodytext"/>
        <w:rPr>
          <w:rFonts w:eastAsia="Calibri"/>
        </w:rPr>
      </w:pPr>
      <w:r w:rsidRPr="007E3923">
        <w:rPr>
          <w:rFonts w:eastAsia="Calibri"/>
        </w:rPr>
        <w:t>APA GasNet appears to be referring to clause 43(1)(b) of Schedule 2 which provides that the repeal, amendment or expiry of a provision of the NGL, the Regulations or the NGR does not “affect the previous operation of the provision or anything suffered, done or begun under the provision”.</w:t>
      </w:r>
      <w:r w:rsidRPr="007E3923">
        <w:rPr>
          <w:rStyle w:val="FootnoteReference"/>
          <w:rFonts w:eastAsia="Calibri"/>
        </w:rPr>
        <w:footnoteReference w:id="521"/>
      </w:r>
      <w:r w:rsidRPr="007E3923">
        <w:rPr>
          <w:rFonts w:eastAsia="Calibri"/>
        </w:rPr>
        <w:t xml:space="preserve"> However, this clause is not relevant to any practice that may have been undertaken under the previous Gas Code. It applies only where there has been a change in the operation of the NGL, Regulations and NGR. As such, this is not a “transitional” provision.</w:t>
      </w:r>
    </w:p>
    <w:p w:rsidR="007C1F9F" w:rsidRPr="007E3923" w:rsidRDefault="007C1F9F" w:rsidP="007C1F9F">
      <w:pPr>
        <w:pStyle w:val="AERbodytext"/>
        <w:rPr>
          <w:rFonts w:eastAsia="Calibri"/>
        </w:rPr>
      </w:pPr>
      <w:r w:rsidRPr="007E3923">
        <w:rPr>
          <w:rFonts w:eastAsia="Calibri"/>
        </w:rPr>
        <w:t>It may be that APA GasNet intended to refer to clause 3(1)(b) which is included in the transitional provisions of Schedule 3 of the NGL. This clause provides:</w:t>
      </w:r>
    </w:p>
    <w:p w:rsidR="007C1F9F" w:rsidRDefault="007C1F9F" w:rsidP="007C1F9F">
      <w:pPr>
        <w:pStyle w:val="AERquote"/>
      </w:pPr>
      <w:r>
        <w:t>3(1)</w:t>
      </w:r>
      <w:r>
        <w:tab/>
      </w:r>
      <w:r w:rsidRPr="0093113F">
        <w:t>Subject to this Schedule, the Regulations and the Rules, the repeal of the old access law or Gas Code does not-</w:t>
      </w:r>
    </w:p>
    <w:p w:rsidR="007C1F9F" w:rsidRPr="0093113F" w:rsidRDefault="007C1F9F" w:rsidP="007C1F9F">
      <w:pPr>
        <w:pStyle w:val="AERquoteindent1"/>
      </w:pPr>
      <w:r>
        <w:t>.......</w:t>
      </w:r>
    </w:p>
    <w:p w:rsidR="007C1F9F" w:rsidRPr="0093113F" w:rsidRDefault="007C1F9F" w:rsidP="007C1F9F">
      <w:pPr>
        <w:pStyle w:val="AERquoteindent1"/>
      </w:pPr>
      <w:r>
        <w:t xml:space="preserve">(b) </w:t>
      </w:r>
      <w:r>
        <w:tab/>
      </w:r>
      <w:r w:rsidRPr="0093113F">
        <w:t>affect the previous operation of the old access law or Gas Code or anything suffered, done or begun under or in accordance with the old access law or Gas Code</w:t>
      </w:r>
    </w:p>
    <w:p w:rsidR="007C1F9F" w:rsidRPr="007E3923" w:rsidRDefault="007C1F9F" w:rsidP="007C1F9F">
      <w:pPr>
        <w:pStyle w:val="AERbodytext"/>
        <w:rPr>
          <w:rFonts w:eastAsia="Calibri"/>
        </w:rPr>
      </w:pPr>
      <w:r>
        <w:t>However,</w:t>
      </w:r>
      <w:r w:rsidRPr="007E3923">
        <w:rPr>
          <w:rFonts w:eastAsia="Calibri"/>
        </w:rPr>
        <w:t xml:space="preserve"> a decision made by the AER on these reset costs will not “affect the previous operation” of the Gas Code. In addition, there is not anything that has been suffered, done or begun or in accordance with the old access law or Gas Code with respect to the reset costs now being proposed by APA GasNet. </w:t>
      </w:r>
    </w:p>
    <w:p w:rsidR="007C1F9F" w:rsidRDefault="007C1F9F" w:rsidP="007C1F9F">
      <w:pPr>
        <w:pStyle w:val="AERbodytext"/>
      </w:pPr>
      <w:r>
        <w:t>An access arrangement revision proposal must be submitted in accordance with s. 132 of the NGL (Victoria) and the NGR.</w:t>
      </w:r>
      <w:r>
        <w:rPr>
          <w:rStyle w:val="FootnoteReference"/>
        </w:rPr>
        <w:footnoteReference w:id="522"/>
      </w:r>
      <w:r>
        <w:t xml:space="preserve">  Relevantly, r. 76 of the NGR expressly requires that total revenue for the year be determined using the building blocks approach, which includes a </w:t>
      </w:r>
      <w:r w:rsidRPr="00D54983">
        <w:t xml:space="preserve">forecast of </w:t>
      </w:r>
      <w:r>
        <w:t>opex</w:t>
      </w:r>
      <w:r w:rsidRPr="00D54983">
        <w:t xml:space="preserve"> for the </w:t>
      </w:r>
      <w:r>
        <w:t>each regulatory year of the access arrangement period.</w:t>
      </w:r>
    </w:p>
    <w:p w:rsidR="007C1F9F" w:rsidRPr="00D20448" w:rsidRDefault="007C1F9F" w:rsidP="007C1F9F">
      <w:pPr>
        <w:pStyle w:val="AERbodytext"/>
      </w:pPr>
      <w:r>
        <w:t>Rule 79 does not permit the recovery of expenditure from the previous access arrangement period and accordingly, APA GasNet</w:t>
      </w:r>
      <w:r w:rsidRPr="005E5029">
        <w:t xml:space="preserve"> </w:t>
      </w:r>
      <w:r>
        <w:t>cannot</w:t>
      </w:r>
      <w:r w:rsidRPr="005E5029">
        <w:t xml:space="preserve"> recover costs incurred in the 2008–12 access arrangement period as part of the 2013–17 </w:t>
      </w:r>
      <w:r>
        <w:t>A</w:t>
      </w:r>
      <w:r w:rsidRPr="005E5029">
        <w:t>ccess arrangement.</w:t>
      </w:r>
      <w:r>
        <w:t xml:space="preserve"> The AER notes that this conclusion is consistent with APA GasNet’s own conclusion that 'under the NGR the costs recovered in the period relate to those incurred in the period'.</w:t>
      </w:r>
      <w:r>
        <w:rPr>
          <w:rStyle w:val="FootnoteReference"/>
        </w:rPr>
        <w:footnoteReference w:id="523"/>
      </w:r>
    </w:p>
    <w:p w:rsidR="007C1F9F" w:rsidRDefault="007C1F9F" w:rsidP="007C1F9F">
      <w:pPr>
        <w:pStyle w:val="AERheading4"/>
      </w:pPr>
      <w:r>
        <w:t>Debt Raising Costs</w:t>
      </w:r>
    </w:p>
    <w:p w:rsidR="007C1F9F" w:rsidRDefault="007C1F9F" w:rsidP="007C1F9F">
      <w:pPr>
        <w:pStyle w:val="AERbodytext"/>
      </w:pPr>
      <w:r w:rsidRPr="00EC3FDD">
        <w:t xml:space="preserve">These costs may include underwriting fees, legal fees, company credit rating fees and other transaction costs. Debt raising costs are </w:t>
      </w:r>
      <w:r>
        <w:t xml:space="preserve">an unavoidable aspect of raising debt that would be incurred by </w:t>
      </w:r>
      <w:r w:rsidRPr="00EC3FDD">
        <w:t xml:space="preserve">a </w:t>
      </w:r>
      <w:r>
        <w:t xml:space="preserve">prudent service provider acting efficiently. Accordingly, the AER provides </w:t>
      </w:r>
      <w:r w:rsidRPr="00EC3FDD">
        <w:t xml:space="preserve">an allowance </w:t>
      </w:r>
      <w:r>
        <w:t xml:space="preserve">to </w:t>
      </w:r>
      <w:r w:rsidRPr="00EC3FDD">
        <w:t xml:space="preserve">recover </w:t>
      </w:r>
      <w:r>
        <w:t xml:space="preserve">an efficient amount of debt raising </w:t>
      </w:r>
      <w:r w:rsidRPr="00EC3FDD">
        <w:t>costs.</w:t>
      </w:r>
    </w:p>
    <w:p w:rsidR="007C1F9F" w:rsidRDefault="007C1F9F" w:rsidP="007C1F9F">
      <w:pPr>
        <w:pStyle w:val="AERbodytext"/>
        <w:rPr>
          <w:rStyle w:val="AERbody"/>
        </w:rPr>
      </w:pPr>
      <w:r>
        <w:rPr>
          <w:rStyle w:val="AERbody"/>
        </w:rPr>
        <w:t>The AER's approach to debt raising costs is based on a report from the Allen Consulting Group (ACG) commissioned by the ACCC in 2004.</w:t>
      </w:r>
      <w:r>
        <w:rPr>
          <w:rStyle w:val="FootnoteReference"/>
        </w:rPr>
        <w:footnoteReference w:id="524"/>
      </w:r>
      <w:r>
        <w:rPr>
          <w:rStyle w:val="AERbody"/>
        </w:rPr>
        <w:t xml:space="preserve"> The AER has updated the ACG approach with more recent market data. The AER most recently updated this market data in August 2011. The approach uses</w:t>
      </w:r>
      <w:r w:rsidRPr="00EC3FDD">
        <w:rPr>
          <w:rStyle w:val="AERbody"/>
        </w:rPr>
        <w:t xml:space="preserve"> a five year window of up to date bond data to reflect current market conditions. </w:t>
      </w:r>
    </w:p>
    <w:p w:rsidR="007C1F9F" w:rsidRDefault="007C1F9F" w:rsidP="007C1F9F">
      <w:pPr>
        <w:pStyle w:val="AERbodytext"/>
        <w:rPr>
          <w:rStyle w:val="AERbody"/>
        </w:rPr>
      </w:pPr>
      <w:r>
        <w:rPr>
          <w:rStyle w:val="AERbody"/>
        </w:rPr>
        <w:t>T</w:t>
      </w:r>
      <w:r w:rsidRPr="0064012C">
        <w:rPr>
          <w:rStyle w:val="AERbody"/>
        </w:rPr>
        <w:t xml:space="preserve">his method </w:t>
      </w:r>
      <w:r>
        <w:rPr>
          <w:rStyle w:val="AERbody"/>
        </w:rPr>
        <w:t xml:space="preserve">provides </w:t>
      </w:r>
      <w:r w:rsidRPr="0064012C">
        <w:rPr>
          <w:rStyle w:val="AERbody"/>
        </w:rPr>
        <w:t xml:space="preserve">estimates </w:t>
      </w:r>
      <w:r>
        <w:rPr>
          <w:rStyle w:val="AERbody"/>
        </w:rPr>
        <w:t>of debt raising costs that would be incurred by a</w:t>
      </w:r>
      <w:r w:rsidRPr="0064012C">
        <w:rPr>
          <w:rStyle w:val="AERbody"/>
        </w:rPr>
        <w:t xml:space="preserve"> prudent </w:t>
      </w:r>
      <w:r>
        <w:rPr>
          <w:rStyle w:val="AERbody"/>
        </w:rPr>
        <w:t>service provider, acting efficiently. This is because the ACG approach:</w:t>
      </w:r>
      <w:r w:rsidRPr="0064012C">
        <w:rPr>
          <w:rStyle w:val="AERbody"/>
        </w:rPr>
        <w:t xml:space="preserve"> </w:t>
      </w:r>
    </w:p>
    <w:p w:rsidR="007C1F9F" w:rsidRDefault="007C1F9F" w:rsidP="007C1F9F">
      <w:pPr>
        <w:pStyle w:val="AERbulletlistfirststyle"/>
        <w:rPr>
          <w:rStyle w:val="AERbody"/>
        </w:rPr>
      </w:pPr>
      <w:r w:rsidRPr="00EC3FDD">
        <w:rPr>
          <w:rStyle w:val="AERbody"/>
        </w:rPr>
        <w:t xml:space="preserve">First, identifies the types of transaction costs that a </w:t>
      </w:r>
      <w:r>
        <w:t>prudent service provider acting efficiently</w:t>
      </w:r>
      <w:r w:rsidRPr="0058389D" w:rsidDel="0058389D">
        <w:rPr>
          <w:rStyle w:val="AERbody"/>
        </w:rPr>
        <w:t xml:space="preserve"> </w:t>
      </w:r>
      <w:r w:rsidRPr="00EC3FDD">
        <w:rPr>
          <w:rStyle w:val="AERbody"/>
        </w:rPr>
        <w:t>would incur in raising debt.</w:t>
      </w:r>
    </w:p>
    <w:p w:rsidR="007C1F9F" w:rsidRDefault="007C1F9F" w:rsidP="007C1F9F">
      <w:pPr>
        <w:pStyle w:val="AERbulletlistfirststyle"/>
        <w:rPr>
          <w:rStyle w:val="AERbody"/>
        </w:rPr>
      </w:pPr>
      <w:r w:rsidRPr="00EC3FDD">
        <w:rPr>
          <w:rStyle w:val="AERbody"/>
        </w:rPr>
        <w:t xml:space="preserve">Second, quantifies the level of these costs, taking into account the specific circumstances of the </w:t>
      </w:r>
      <w:r>
        <w:rPr>
          <w:rStyle w:val="AERbody"/>
        </w:rPr>
        <w:t>service provider</w:t>
      </w:r>
      <w:r w:rsidRPr="00EC3FDD">
        <w:rPr>
          <w:rStyle w:val="AERbody"/>
        </w:rPr>
        <w:t>, with reference to market rates for the relevant services.</w:t>
      </w:r>
    </w:p>
    <w:p w:rsidR="007C1F9F" w:rsidRPr="0064012C" w:rsidRDefault="007C1F9F" w:rsidP="007C1F9F">
      <w:pPr>
        <w:pStyle w:val="AERbodytext"/>
        <w:rPr>
          <w:rStyle w:val="AERbody"/>
        </w:rPr>
      </w:pPr>
      <w:r>
        <w:rPr>
          <w:rStyle w:val="AERbody"/>
        </w:rPr>
        <w:t>It follows that, t</w:t>
      </w:r>
      <w:r w:rsidRPr="0064012C">
        <w:rPr>
          <w:rStyle w:val="AERbody"/>
        </w:rPr>
        <w:t xml:space="preserve">his should, in turn, </w:t>
      </w:r>
      <w:r>
        <w:rPr>
          <w:rStyle w:val="AERbody"/>
        </w:rPr>
        <w:t xml:space="preserve">estimate </w:t>
      </w:r>
      <w:r w:rsidRPr="0064012C">
        <w:rPr>
          <w:rStyle w:val="AERbody"/>
        </w:rPr>
        <w:t>a debt raising cost</w:t>
      </w:r>
      <w:r>
        <w:rPr>
          <w:rStyle w:val="AERbody"/>
        </w:rPr>
        <w:t xml:space="preserve"> forecast that provides APA GasNet with a reasonable opportunity to recover at least its efficient transaction costs in raising finance.</w:t>
      </w:r>
      <w:r>
        <w:rPr>
          <w:rStyle w:val="FootnoteReference"/>
        </w:rPr>
        <w:footnoteReference w:id="525"/>
      </w:r>
      <w:r w:rsidRPr="0064012C">
        <w:rPr>
          <w:rStyle w:val="AERbody"/>
        </w:rPr>
        <w:t xml:space="preserve"> </w:t>
      </w:r>
    </w:p>
    <w:p w:rsidR="007C1F9F" w:rsidRDefault="007C1F9F" w:rsidP="007C1F9F">
      <w:pPr>
        <w:pStyle w:val="AERbodytext"/>
        <w:rPr>
          <w:rStyle w:val="AERbody"/>
        </w:rPr>
      </w:pPr>
      <w:r w:rsidRPr="00EC3FDD">
        <w:rPr>
          <w:rStyle w:val="AERbody"/>
        </w:rPr>
        <w:t>The ACG method involves calculating the benchmark bond size, and the number of bond issues required to rollover the benchmark debt share (60 per cent) of the RAB. The AER</w:t>
      </w:r>
      <w:r>
        <w:rPr>
          <w:rStyle w:val="AERbody"/>
        </w:rPr>
        <w:t>'</w:t>
      </w:r>
      <w:r w:rsidRPr="00EC3FDD">
        <w:rPr>
          <w:rStyle w:val="AERbody"/>
        </w:rPr>
        <w:t xml:space="preserve">s standard approach is to amortise the upfront costs that are incurred using the relevant nominal vanilla WACC over a ten year amortisation period. This is then expressed in </w:t>
      </w:r>
      <w:r>
        <w:t>basis points per annum (</w:t>
      </w:r>
      <w:r w:rsidRPr="00EC3FDD">
        <w:rPr>
          <w:rStyle w:val="AERbody"/>
        </w:rPr>
        <w:t>bppa</w:t>
      </w:r>
      <w:r>
        <w:rPr>
          <w:rStyle w:val="AERbody"/>
        </w:rPr>
        <w:t>)</w:t>
      </w:r>
      <w:r w:rsidRPr="00EC3FDD">
        <w:rPr>
          <w:rStyle w:val="AERbody"/>
        </w:rPr>
        <w:t xml:space="preserve"> as an input into the post tax revenue model (PTRM). </w:t>
      </w:r>
      <w:r>
        <w:rPr>
          <w:rStyle w:val="AERbody"/>
        </w:rPr>
        <w:t>The AER's approach recognises that credit rating costs can be spread across multiple bond issues, which lowers the benchmark allowance (as expressed in bppa) as the number of bond issues increases.</w:t>
      </w:r>
    </w:p>
    <w:p w:rsidR="007C1F9F" w:rsidRPr="00906A70" w:rsidRDefault="007C1F9F" w:rsidP="007C1F9F">
      <w:pPr>
        <w:pStyle w:val="AERbodytext"/>
      </w:pPr>
      <w:r>
        <w:t xml:space="preserve">APA </w:t>
      </w:r>
      <w:r w:rsidRPr="00906A70">
        <w:t>GasNet submitted debt raising costs of 9.9 bppa or $2.56m nominal ($2.36m real 2012)</w:t>
      </w:r>
      <w:r>
        <w:t xml:space="preserve"> over the 2013–17 access arrangement period</w:t>
      </w:r>
      <w:r w:rsidRPr="00906A70">
        <w:t>. The proposed bppa amount was based on the method from the AER’s NT Amadeus pipeline 2011–16 decision, assuming two bond issues are required.</w:t>
      </w:r>
      <w:r w:rsidRPr="00906A70">
        <w:rPr>
          <w:rStyle w:val="FootnoteReference"/>
        </w:rPr>
        <w:footnoteReference w:id="526"/>
      </w:r>
    </w:p>
    <w:p w:rsidR="007C1F9F" w:rsidRDefault="007C1F9F" w:rsidP="007C1F9F">
      <w:pPr>
        <w:pStyle w:val="AERbodytext"/>
      </w:pPr>
      <w:r>
        <w:t xml:space="preserve">The AER accepts APA GasNet's method for determining </w:t>
      </w:r>
      <w:r w:rsidRPr="00914584">
        <w:t>debt raising costs</w:t>
      </w:r>
      <w:r>
        <w:t>.</w:t>
      </w:r>
      <w:r w:rsidRPr="00D3272C">
        <w:t xml:space="preserve"> </w:t>
      </w:r>
      <w:r>
        <w:t>The method is the established AER method that is based on a 2004 ACG report, which provides network service providers</w:t>
      </w:r>
      <w:r w:rsidRPr="0040014D">
        <w:t xml:space="preserve"> </w:t>
      </w:r>
      <w:r>
        <w:t xml:space="preserve">with a </w:t>
      </w:r>
      <w:r w:rsidRPr="0040014D">
        <w:t xml:space="preserve">reasonable opportunity to recover at least the efficient costs </w:t>
      </w:r>
      <w:r>
        <w:t>in</w:t>
      </w:r>
      <w:r w:rsidRPr="0040014D">
        <w:t xml:space="preserve"> providing reference services</w:t>
      </w:r>
      <w:r>
        <w:t>.</w:t>
      </w:r>
      <w:r>
        <w:rPr>
          <w:rStyle w:val="FootnoteReference"/>
        </w:rPr>
        <w:footnoteReference w:id="527"/>
      </w:r>
      <w:r>
        <w:t xml:space="preserve"> Also, the method provides for the expenditure </w:t>
      </w:r>
      <w:r w:rsidRPr="0040014D">
        <w:t>incurred by a prudent service provider acting efficiently, in accordance with accepted good industry practice, to achieve the lowest sustainable cost of delivering pipeline services.</w:t>
      </w:r>
      <w:r>
        <w:rPr>
          <w:rStyle w:val="FootnoteReference"/>
        </w:rPr>
        <w:footnoteReference w:id="528"/>
      </w:r>
      <w:r>
        <w:t xml:space="preserve"> </w:t>
      </w:r>
    </w:p>
    <w:p w:rsidR="007C1F9F" w:rsidRPr="00EC3FDD" w:rsidRDefault="007C1F9F" w:rsidP="007C1F9F">
      <w:pPr>
        <w:pStyle w:val="AERheading5"/>
      </w:pPr>
      <w:r w:rsidRPr="00EC3FDD">
        <w:t xml:space="preserve">Benchmark </w:t>
      </w:r>
      <w:r>
        <w:t>debt raising costs</w:t>
      </w:r>
    </w:p>
    <w:p w:rsidR="007C1F9F" w:rsidRDefault="007C1F9F" w:rsidP="007C1F9F">
      <w:pPr>
        <w:pStyle w:val="AERbodytext"/>
      </w:pPr>
      <w:r>
        <w:t xml:space="preserve">Although the AER has accepted APA GasNet's method for determining </w:t>
      </w:r>
      <w:r w:rsidRPr="00914584">
        <w:t>debt raising costs</w:t>
      </w:r>
      <w:r>
        <w:t>, the</w:t>
      </w:r>
      <w:r w:rsidRPr="00D3272C">
        <w:t xml:space="preserve"> AE</w:t>
      </w:r>
      <w:r>
        <w:t>R has made changes to APA GasNet's</w:t>
      </w:r>
      <w:r w:rsidRPr="00D3272C">
        <w:t xml:space="preserve"> RAB value. As a result, this has changed the debt component of </w:t>
      </w:r>
      <w:r>
        <w:t xml:space="preserve">APA GasNet's </w:t>
      </w:r>
      <w:r w:rsidRPr="00D3272C">
        <w:t>RAB</w:t>
      </w:r>
      <w:r>
        <w:t xml:space="preserve"> and consequentially the estimated amount of debt raising costs.</w:t>
      </w:r>
      <w:r w:rsidRPr="00D3272C">
        <w:t xml:space="preserve"> </w:t>
      </w:r>
      <w:r>
        <w:t>The AER's benchmark allowance, however, still provides for two standard sized bond issues</w:t>
      </w:r>
      <w:r w:rsidRPr="00D3272C">
        <w:t xml:space="preserve">. The unit costs and the benchmark debt raising cost are shown </w:t>
      </w:r>
      <w:r>
        <w:t xml:space="preserve">in </w:t>
      </w:r>
      <w:r w:rsidR="00DE0D6A">
        <w:fldChar w:fldCharType="begin"/>
      </w:r>
      <w:r>
        <w:instrText xml:space="preserve"> REF  _Ref334001083 \* Lower \h \r </w:instrText>
      </w:r>
      <w:r w:rsidR="00DE0D6A">
        <w:fldChar w:fldCharType="separate"/>
      </w:r>
      <w:r>
        <w:t>table 6.11</w:t>
      </w:r>
      <w:r w:rsidR="00DE0D6A">
        <w:fldChar w:fldCharType="end"/>
      </w:r>
      <w:r w:rsidRPr="00D3272C">
        <w:t xml:space="preserve">. As this draft </w:t>
      </w:r>
      <w:r>
        <w:t>decision</w:t>
      </w:r>
      <w:r w:rsidRPr="00D3272C">
        <w:t xml:space="preserve"> is based on indicative rates, the </w:t>
      </w:r>
      <w:r>
        <w:t>A</w:t>
      </w:r>
      <w:r w:rsidRPr="00D3272C">
        <w:t xml:space="preserve">ER will update this analysis for the final decision based on the debt component of the RAB and WACC to be determined at the time. </w:t>
      </w:r>
    </w:p>
    <w:p w:rsidR="007C1F9F" w:rsidRPr="00523B05" w:rsidRDefault="007C1F9F" w:rsidP="007C1F9F">
      <w:pPr>
        <w:pStyle w:val="AERtabletitle"/>
      </w:pPr>
      <w:bookmarkStart w:id="116" w:name="_Ref330545599"/>
      <w:bookmarkStart w:id="117" w:name="_Ref334001083"/>
      <w:r w:rsidRPr="00523B05">
        <w:t>AER’s draft decision on debt raising</w:t>
      </w:r>
      <w:r>
        <w:t xml:space="preserve"> costs for APA GasNet based on a </w:t>
      </w:r>
      <w:r w:rsidRPr="00523B05">
        <w:t>nominal WACC of</w:t>
      </w:r>
      <w:r>
        <w:t xml:space="preserve"> 7.16</w:t>
      </w:r>
      <w:r w:rsidRPr="00523B05">
        <w:t xml:space="preserve"> per cent</w:t>
      </w:r>
      <w:bookmarkEnd w:id="116"/>
      <w:bookmarkEnd w:id="117"/>
    </w:p>
    <w:tbl>
      <w:tblPr>
        <w:tblW w:w="5000" w:type="pct"/>
        <w:tblBorders>
          <w:top w:val="single" w:sz="4" w:space="0" w:color="auto"/>
          <w:bottom w:val="single" w:sz="4" w:space="0" w:color="auto"/>
        </w:tblBorders>
        <w:tblLayout w:type="fixed"/>
        <w:tblLook w:val="0020"/>
      </w:tblPr>
      <w:tblGrid>
        <w:gridCol w:w="1792"/>
        <w:gridCol w:w="3986"/>
        <w:gridCol w:w="916"/>
        <w:gridCol w:w="918"/>
        <w:gridCol w:w="916"/>
      </w:tblGrid>
      <w:tr w:rsidR="007C1F9F" w:rsidRPr="00A530E3" w:rsidTr="00186172">
        <w:tc>
          <w:tcPr>
            <w:tcW w:w="1051"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
              <w:rPr>
                <w:rStyle w:val="AERtextbold"/>
                <w:bCs/>
              </w:rPr>
            </w:pPr>
            <w:r w:rsidRPr="00F809DA">
              <w:rPr>
                <w:rStyle w:val="AERtextbold"/>
                <w:bCs/>
              </w:rPr>
              <w:t>Value</w:t>
            </w:r>
          </w:p>
        </w:tc>
        <w:tc>
          <w:tcPr>
            <w:tcW w:w="233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
              <w:rPr>
                <w:rStyle w:val="AERtextbold"/>
                <w:bCs/>
              </w:rPr>
            </w:pPr>
            <w:r w:rsidRPr="00F809DA">
              <w:rPr>
                <w:rStyle w:val="AERtextbold"/>
                <w:bCs/>
              </w:rPr>
              <w:t>Explanation</w:t>
            </w:r>
          </w:p>
        </w:tc>
        <w:tc>
          <w:tcPr>
            <w:tcW w:w="53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 xml:space="preserve">1 issue </w:t>
            </w:r>
          </w:p>
        </w:tc>
        <w:tc>
          <w:tcPr>
            <w:tcW w:w="53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2 issues</w:t>
            </w:r>
          </w:p>
        </w:tc>
        <w:tc>
          <w:tcPr>
            <w:tcW w:w="538"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F809DA" w:rsidRDefault="007C1F9F" w:rsidP="00186172">
            <w:pPr>
              <w:pStyle w:val="AERtabletextheadingright"/>
              <w:rPr>
                <w:bCs/>
              </w:rPr>
            </w:pPr>
            <w:r w:rsidRPr="00F809DA">
              <w:rPr>
                <w:bCs/>
              </w:rPr>
              <w:t>3 issues</w:t>
            </w:r>
          </w:p>
        </w:tc>
      </w:tr>
      <w:tr w:rsidR="007C1F9F" w:rsidRPr="00A530E3" w:rsidTr="00186172">
        <w:tc>
          <w:tcPr>
            <w:tcW w:w="1051" w:type="pct"/>
            <w:shd w:val="clear" w:color="auto" w:fill="auto"/>
            <w:noWrap/>
            <w:tcMar>
              <w:top w:w="0" w:type="dxa"/>
              <w:bottom w:w="0" w:type="dxa"/>
            </w:tcMar>
            <w:vAlign w:val="center"/>
          </w:tcPr>
          <w:p w:rsidR="007C1F9F" w:rsidRPr="000F38ED" w:rsidRDefault="007C1F9F" w:rsidP="00186172">
            <w:pPr>
              <w:pStyle w:val="AERtabletext"/>
            </w:pPr>
            <w:r w:rsidRPr="000F38ED">
              <w:t>Total amount raised</w:t>
            </w:r>
          </w:p>
        </w:tc>
        <w:tc>
          <w:tcPr>
            <w:tcW w:w="2337" w:type="pct"/>
            <w:shd w:val="clear" w:color="auto" w:fill="auto"/>
            <w:noWrap/>
            <w:tcMar>
              <w:top w:w="0" w:type="dxa"/>
              <w:bottom w:w="0" w:type="dxa"/>
            </w:tcMar>
            <w:vAlign w:val="center"/>
          </w:tcPr>
          <w:p w:rsidR="007C1F9F" w:rsidRPr="000F38ED" w:rsidRDefault="007C1F9F" w:rsidP="00186172">
            <w:pPr>
              <w:pStyle w:val="AERtabletext"/>
            </w:pPr>
            <w:r w:rsidRPr="000F38ED">
              <w:t>Multiples of median MTN ($250m)</w:t>
            </w:r>
          </w:p>
        </w:tc>
        <w:tc>
          <w:tcPr>
            <w:tcW w:w="537" w:type="pct"/>
            <w:shd w:val="clear" w:color="auto" w:fill="auto"/>
            <w:noWrap/>
            <w:tcMar>
              <w:top w:w="0" w:type="dxa"/>
              <w:bottom w:w="0" w:type="dxa"/>
            </w:tcMar>
            <w:vAlign w:val="center"/>
          </w:tcPr>
          <w:p w:rsidR="007C1F9F" w:rsidRPr="000F38ED" w:rsidRDefault="007C1F9F" w:rsidP="00186172">
            <w:pPr>
              <w:pStyle w:val="AERtabletext-numbers"/>
            </w:pPr>
            <w:r w:rsidRPr="000F38ED">
              <w:t>$250m</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$500m</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$750m</w:t>
            </w:r>
          </w:p>
        </w:tc>
      </w:tr>
      <w:tr w:rsidR="007C1F9F" w:rsidRPr="00A530E3" w:rsidTr="00186172">
        <w:tc>
          <w:tcPr>
            <w:tcW w:w="1051" w:type="pct"/>
            <w:shd w:val="clear" w:color="auto" w:fill="F8B47C"/>
            <w:noWrap/>
            <w:tcMar>
              <w:top w:w="0" w:type="dxa"/>
              <w:bottom w:w="0" w:type="dxa"/>
            </w:tcMar>
            <w:vAlign w:val="center"/>
          </w:tcPr>
          <w:p w:rsidR="007C1F9F" w:rsidRPr="000F38ED" w:rsidRDefault="007C1F9F" w:rsidP="00186172">
            <w:pPr>
              <w:pStyle w:val="AERtabletext"/>
            </w:pPr>
            <w:r w:rsidRPr="000F38ED">
              <w:t>Gross underwriting fee</w:t>
            </w:r>
          </w:p>
        </w:tc>
        <w:tc>
          <w:tcPr>
            <w:tcW w:w="2337" w:type="pct"/>
            <w:shd w:val="clear" w:color="auto" w:fill="F8B47C"/>
            <w:noWrap/>
            <w:tcMar>
              <w:top w:w="0" w:type="dxa"/>
              <w:bottom w:w="0" w:type="dxa"/>
            </w:tcMar>
            <w:vAlign w:val="center"/>
          </w:tcPr>
          <w:p w:rsidR="007C1F9F" w:rsidRPr="000F38ED" w:rsidRDefault="007C1F9F" w:rsidP="00186172">
            <w:pPr>
              <w:pStyle w:val="AERtabletext"/>
            </w:pPr>
            <w:r w:rsidRPr="000F38ED">
              <w:t>Median gross underwriting spread, upfront per issue, amortised</w:t>
            </w:r>
          </w:p>
        </w:tc>
        <w:tc>
          <w:tcPr>
            <w:tcW w:w="537" w:type="pct"/>
            <w:shd w:val="clear" w:color="auto" w:fill="F8B47C"/>
            <w:noWrap/>
            <w:tcMar>
              <w:top w:w="0" w:type="dxa"/>
              <w:bottom w:w="0" w:type="dxa"/>
            </w:tcMar>
            <w:vAlign w:val="center"/>
          </w:tcPr>
          <w:p w:rsidR="007C1F9F" w:rsidRPr="000F38ED" w:rsidRDefault="007C1F9F" w:rsidP="00186172">
            <w:pPr>
              <w:pStyle w:val="AERtabletext-numbers"/>
            </w:pPr>
            <w:r w:rsidRPr="000F38ED">
              <w:t>6.45</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6.45</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6.45</w:t>
            </w:r>
          </w:p>
        </w:tc>
      </w:tr>
      <w:tr w:rsidR="007C1F9F" w:rsidRPr="00A530E3" w:rsidTr="00186172">
        <w:tc>
          <w:tcPr>
            <w:tcW w:w="1051" w:type="pct"/>
            <w:shd w:val="clear" w:color="auto" w:fill="auto"/>
            <w:noWrap/>
            <w:tcMar>
              <w:top w:w="0" w:type="dxa"/>
              <w:bottom w:w="0" w:type="dxa"/>
            </w:tcMar>
            <w:vAlign w:val="center"/>
          </w:tcPr>
          <w:p w:rsidR="007C1F9F" w:rsidRPr="000F38ED" w:rsidRDefault="007C1F9F" w:rsidP="00186172">
            <w:pPr>
              <w:pStyle w:val="AERtabletext"/>
            </w:pPr>
            <w:r w:rsidRPr="000F38ED">
              <w:t>Legal and roadshow</w:t>
            </w:r>
          </w:p>
        </w:tc>
        <w:tc>
          <w:tcPr>
            <w:tcW w:w="2337" w:type="pct"/>
            <w:shd w:val="clear" w:color="auto" w:fill="auto"/>
            <w:noWrap/>
            <w:tcMar>
              <w:top w:w="0" w:type="dxa"/>
              <w:bottom w:w="0" w:type="dxa"/>
            </w:tcMar>
            <w:vAlign w:val="center"/>
          </w:tcPr>
          <w:p w:rsidR="007C1F9F" w:rsidRPr="000F38ED" w:rsidRDefault="007C1F9F" w:rsidP="00186172">
            <w:pPr>
              <w:pStyle w:val="AERtabletext"/>
            </w:pPr>
            <w:r w:rsidRPr="000F38ED">
              <w:t>$195 000 upfront per issue, amortised</w:t>
            </w:r>
          </w:p>
        </w:tc>
        <w:tc>
          <w:tcPr>
            <w:tcW w:w="537" w:type="pct"/>
            <w:shd w:val="clear" w:color="auto" w:fill="auto"/>
            <w:noWrap/>
            <w:tcMar>
              <w:top w:w="0" w:type="dxa"/>
              <w:bottom w:w="0" w:type="dxa"/>
            </w:tcMar>
            <w:vAlign w:val="center"/>
          </w:tcPr>
          <w:p w:rsidR="007C1F9F" w:rsidRPr="000F38ED" w:rsidRDefault="007C1F9F" w:rsidP="00186172">
            <w:pPr>
              <w:pStyle w:val="AERtabletext-numbers"/>
            </w:pPr>
            <w:r w:rsidRPr="000F38ED">
              <w:t>1.12</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1.12</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1.12</w:t>
            </w:r>
          </w:p>
        </w:tc>
      </w:tr>
      <w:tr w:rsidR="007C1F9F" w:rsidRPr="00A530E3" w:rsidTr="00186172">
        <w:tc>
          <w:tcPr>
            <w:tcW w:w="1051" w:type="pct"/>
            <w:shd w:val="clear" w:color="auto" w:fill="F8B47C"/>
            <w:noWrap/>
            <w:tcMar>
              <w:top w:w="0" w:type="dxa"/>
              <w:bottom w:w="0" w:type="dxa"/>
            </w:tcMar>
            <w:vAlign w:val="center"/>
          </w:tcPr>
          <w:p w:rsidR="007C1F9F" w:rsidRPr="000F38ED" w:rsidRDefault="007C1F9F" w:rsidP="00186172">
            <w:pPr>
              <w:pStyle w:val="AERtabletext"/>
            </w:pPr>
            <w:r w:rsidRPr="000F38ED">
              <w:t>Company credit rating</w:t>
            </w:r>
          </w:p>
        </w:tc>
        <w:tc>
          <w:tcPr>
            <w:tcW w:w="2337" w:type="pct"/>
            <w:shd w:val="clear" w:color="auto" w:fill="F8B47C"/>
            <w:noWrap/>
            <w:tcMar>
              <w:top w:w="0" w:type="dxa"/>
              <w:bottom w:w="0" w:type="dxa"/>
            </w:tcMar>
            <w:vAlign w:val="center"/>
          </w:tcPr>
          <w:p w:rsidR="007C1F9F" w:rsidRPr="000F38ED" w:rsidRDefault="007C1F9F" w:rsidP="00186172">
            <w:pPr>
              <w:pStyle w:val="AERtabletext"/>
            </w:pPr>
            <w:r w:rsidRPr="000F38ED">
              <w:t>$55 000 per annum</w:t>
            </w:r>
          </w:p>
        </w:tc>
        <w:tc>
          <w:tcPr>
            <w:tcW w:w="537" w:type="pct"/>
            <w:shd w:val="clear" w:color="auto" w:fill="F8B47C"/>
            <w:noWrap/>
            <w:tcMar>
              <w:top w:w="0" w:type="dxa"/>
              <w:bottom w:w="0" w:type="dxa"/>
            </w:tcMar>
            <w:vAlign w:val="center"/>
          </w:tcPr>
          <w:p w:rsidR="007C1F9F" w:rsidRPr="000F38ED" w:rsidRDefault="007C1F9F" w:rsidP="00186172">
            <w:pPr>
              <w:pStyle w:val="AERtabletext-numbers"/>
            </w:pPr>
            <w:r w:rsidRPr="000F38ED">
              <w:t>2.20</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1.10</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0.73</w:t>
            </w:r>
          </w:p>
        </w:tc>
      </w:tr>
      <w:tr w:rsidR="007C1F9F" w:rsidRPr="00A530E3" w:rsidTr="00186172">
        <w:tc>
          <w:tcPr>
            <w:tcW w:w="1051" w:type="pct"/>
            <w:shd w:val="clear" w:color="auto" w:fill="auto"/>
            <w:noWrap/>
            <w:tcMar>
              <w:top w:w="0" w:type="dxa"/>
              <w:bottom w:w="0" w:type="dxa"/>
            </w:tcMar>
            <w:vAlign w:val="center"/>
          </w:tcPr>
          <w:p w:rsidR="007C1F9F" w:rsidRPr="000F38ED" w:rsidRDefault="007C1F9F" w:rsidP="00186172">
            <w:pPr>
              <w:pStyle w:val="AERtabletext"/>
            </w:pPr>
            <w:r w:rsidRPr="000F38ED">
              <w:t>Issue credit rating</w:t>
            </w:r>
          </w:p>
        </w:tc>
        <w:tc>
          <w:tcPr>
            <w:tcW w:w="2337" w:type="pct"/>
            <w:shd w:val="clear" w:color="auto" w:fill="auto"/>
            <w:noWrap/>
            <w:tcMar>
              <w:top w:w="0" w:type="dxa"/>
              <w:bottom w:w="0" w:type="dxa"/>
            </w:tcMar>
            <w:vAlign w:val="center"/>
          </w:tcPr>
          <w:p w:rsidR="007C1F9F" w:rsidRPr="000F38ED" w:rsidRDefault="007C1F9F" w:rsidP="00186172">
            <w:pPr>
              <w:pStyle w:val="AERtabletext"/>
            </w:pPr>
            <w:r w:rsidRPr="000F38ED">
              <w:t>4.5 basis points upfront per issue, amortised</w:t>
            </w:r>
          </w:p>
        </w:tc>
        <w:tc>
          <w:tcPr>
            <w:tcW w:w="537" w:type="pct"/>
            <w:shd w:val="clear" w:color="auto" w:fill="auto"/>
            <w:noWrap/>
            <w:tcMar>
              <w:top w:w="0" w:type="dxa"/>
              <w:bottom w:w="0" w:type="dxa"/>
            </w:tcMar>
            <w:vAlign w:val="center"/>
          </w:tcPr>
          <w:p w:rsidR="007C1F9F" w:rsidRPr="000F38ED" w:rsidRDefault="007C1F9F" w:rsidP="00186172">
            <w:pPr>
              <w:pStyle w:val="AERtabletext-numbers"/>
            </w:pPr>
            <w:r w:rsidRPr="000F38ED">
              <w:t>0.65</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0.65</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0.65</w:t>
            </w:r>
          </w:p>
        </w:tc>
      </w:tr>
      <w:tr w:rsidR="007C1F9F" w:rsidRPr="00A530E3" w:rsidTr="00186172">
        <w:tc>
          <w:tcPr>
            <w:tcW w:w="1051" w:type="pct"/>
            <w:shd w:val="clear" w:color="auto" w:fill="F8B47C"/>
            <w:noWrap/>
            <w:tcMar>
              <w:top w:w="0" w:type="dxa"/>
              <w:bottom w:w="0" w:type="dxa"/>
            </w:tcMar>
            <w:vAlign w:val="center"/>
          </w:tcPr>
          <w:p w:rsidR="007C1F9F" w:rsidRPr="000F38ED" w:rsidRDefault="007C1F9F" w:rsidP="00186172">
            <w:pPr>
              <w:pStyle w:val="AERtabletext"/>
            </w:pPr>
            <w:r w:rsidRPr="000F38ED">
              <w:t>Registry fees (startup)</w:t>
            </w:r>
          </w:p>
        </w:tc>
        <w:tc>
          <w:tcPr>
            <w:tcW w:w="2337" w:type="pct"/>
            <w:shd w:val="clear" w:color="auto" w:fill="F8B47C"/>
            <w:noWrap/>
            <w:tcMar>
              <w:top w:w="0" w:type="dxa"/>
              <w:bottom w:w="0" w:type="dxa"/>
            </w:tcMar>
            <w:vAlign w:val="center"/>
          </w:tcPr>
          <w:p w:rsidR="007C1F9F" w:rsidRPr="000F38ED" w:rsidRDefault="007C1F9F" w:rsidP="00186172">
            <w:pPr>
              <w:pStyle w:val="AERtabletext"/>
            </w:pPr>
            <w:r w:rsidRPr="000F38ED">
              <w:t>$4 000 upfront per issue, amortised</w:t>
            </w:r>
          </w:p>
        </w:tc>
        <w:tc>
          <w:tcPr>
            <w:tcW w:w="537" w:type="pct"/>
            <w:shd w:val="clear" w:color="auto" w:fill="F8B47C"/>
            <w:noWrap/>
            <w:tcMar>
              <w:top w:w="0" w:type="dxa"/>
              <w:bottom w:w="0" w:type="dxa"/>
            </w:tcMar>
            <w:vAlign w:val="center"/>
          </w:tcPr>
          <w:p w:rsidR="007C1F9F" w:rsidRPr="000F38ED" w:rsidRDefault="007C1F9F" w:rsidP="00186172">
            <w:pPr>
              <w:pStyle w:val="AERtabletext-numbers"/>
            </w:pPr>
            <w:r w:rsidRPr="000F38ED">
              <w:t>0.02</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0.02</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0.02</w:t>
            </w:r>
          </w:p>
        </w:tc>
      </w:tr>
      <w:tr w:rsidR="007C1F9F" w:rsidRPr="00A530E3" w:rsidTr="00186172">
        <w:tc>
          <w:tcPr>
            <w:tcW w:w="1051" w:type="pct"/>
            <w:shd w:val="clear" w:color="auto" w:fill="auto"/>
            <w:noWrap/>
            <w:tcMar>
              <w:top w:w="0" w:type="dxa"/>
              <w:bottom w:w="0" w:type="dxa"/>
            </w:tcMar>
            <w:vAlign w:val="center"/>
          </w:tcPr>
          <w:p w:rsidR="007C1F9F" w:rsidRPr="000F38ED" w:rsidRDefault="007C1F9F" w:rsidP="00186172">
            <w:pPr>
              <w:pStyle w:val="AERtabletext"/>
            </w:pPr>
            <w:r w:rsidRPr="000F38ED">
              <w:t>Registry fees (ongoing)</w:t>
            </w:r>
          </w:p>
        </w:tc>
        <w:tc>
          <w:tcPr>
            <w:tcW w:w="2337" w:type="pct"/>
            <w:shd w:val="clear" w:color="auto" w:fill="auto"/>
            <w:noWrap/>
            <w:tcMar>
              <w:top w:w="0" w:type="dxa"/>
              <w:bottom w:w="0" w:type="dxa"/>
            </w:tcMar>
            <w:vAlign w:val="center"/>
          </w:tcPr>
          <w:p w:rsidR="007C1F9F" w:rsidRPr="000F38ED" w:rsidRDefault="007C1F9F" w:rsidP="00186172">
            <w:pPr>
              <w:pStyle w:val="AERtabletext"/>
            </w:pPr>
            <w:r w:rsidRPr="000F38ED">
              <w:t>$9 000 per issue per annum</w:t>
            </w:r>
          </w:p>
        </w:tc>
        <w:tc>
          <w:tcPr>
            <w:tcW w:w="537" w:type="pct"/>
            <w:shd w:val="clear" w:color="auto" w:fill="auto"/>
            <w:noWrap/>
            <w:tcMar>
              <w:top w:w="0" w:type="dxa"/>
              <w:bottom w:w="0" w:type="dxa"/>
            </w:tcMar>
            <w:vAlign w:val="center"/>
          </w:tcPr>
          <w:p w:rsidR="007C1F9F" w:rsidRPr="000F38ED" w:rsidRDefault="007C1F9F" w:rsidP="00186172">
            <w:pPr>
              <w:pStyle w:val="AERtabletext-numbers"/>
            </w:pPr>
            <w:r w:rsidRPr="000F38ED">
              <w:t>0.36</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0.36</w:t>
            </w:r>
          </w:p>
        </w:tc>
        <w:tc>
          <w:tcPr>
            <w:tcW w:w="538" w:type="pct"/>
            <w:shd w:val="clear" w:color="auto" w:fill="auto"/>
            <w:noWrap/>
            <w:tcMar>
              <w:top w:w="0" w:type="dxa"/>
              <w:bottom w:w="0" w:type="dxa"/>
            </w:tcMar>
            <w:vAlign w:val="center"/>
          </w:tcPr>
          <w:p w:rsidR="007C1F9F" w:rsidRPr="000F38ED" w:rsidRDefault="007C1F9F" w:rsidP="00186172">
            <w:pPr>
              <w:pStyle w:val="AERtabletext-numbers"/>
            </w:pPr>
            <w:r w:rsidRPr="000F38ED">
              <w:t>0.36</w:t>
            </w:r>
          </w:p>
        </w:tc>
      </w:tr>
      <w:tr w:rsidR="007C1F9F" w:rsidRPr="00832F75" w:rsidTr="00186172">
        <w:tc>
          <w:tcPr>
            <w:tcW w:w="1051" w:type="pct"/>
            <w:shd w:val="clear" w:color="auto" w:fill="F8B47C"/>
            <w:noWrap/>
            <w:tcMar>
              <w:top w:w="0" w:type="dxa"/>
              <w:bottom w:w="0" w:type="dxa"/>
            </w:tcMar>
            <w:vAlign w:val="center"/>
          </w:tcPr>
          <w:p w:rsidR="007C1F9F" w:rsidRPr="000F38ED" w:rsidRDefault="007C1F9F" w:rsidP="00186172">
            <w:pPr>
              <w:pStyle w:val="AERtabletext"/>
            </w:pPr>
            <w:r w:rsidRPr="000F38ED">
              <w:t>Total</w:t>
            </w:r>
          </w:p>
        </w:tc>
        <w:tc>
          <w:tcPr>
            <w:tcW w:w="2337" w:type="pct"/>
            <w:shd w:val="clear" w:color="auto" w:fill="F8B47C"/>
            <w:noWrap/>
            <w:tcMar>
              <w:top w:w="0" w:type="dxa"/>
              <w:bottom w:w="0" w:type="dxa"/>
            </w:tcMar>
            <w:vAlign w:val="center"/>
          </w:tcPr>
          <w:p w:rsidR="007C1F9F" w:rsidRPr="000F38ED" w:rsidRDefault="007C1F9F" w:rsidP="00186172">
            <w:pPr>
              <w:pStyle w:val="AERtabletext"/>
            </w:pPr>
            <w:r w:rsidRPr="000F38ED">
              <w:t>Basis points per annum</w:t>
            </w:r>
          </w:p>
        </w:tc>
        <w:tc>
          <w:tcPr>
            <w:tcW w:w="537" w:type="pct"/>
            <w:shd w:val="clear" w:color="auto" w:fill="F8B47C"/>
            <w:noWrap/>
            <w:tcMar>
              <w:top w:w="0" w:type="dxa"/>
              <w:bottom w:w="0" w:type="dxa"/>
            </w:tcMar>
            <w:vAlign w:val="center"/>
          </w:tcPr>
          <w:p w:rsidR="007C1F9F" w:rsidRPr="000F38ED" w:rsidRDefault="007C1F9F" w:rsidP="00186172">
            <w:pPr>
              <w:pStyle w:val="AERtabletext-numbers"/>
            </w:pPr>
            <w:r w:rsidRPr="000F38ED">
              <w:t>10.8</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9.7</w:t>
            </w:r>
          </w:p>
        </w:tc>
        <w:tc>
          <w:tcPr>
            <w:tcW w:w="538" w:type="pct"/>
            <w:shd w:val="clear" w:color="auto" w:fill="F8B47C"/>
            <w:noWrap/>
            <w:tcMar>
              <w:top w:w="0" w:type="dxa"/>
              <w:bottom w:w="0" w:type="dxa"/>
            </w:tcMar>
            <w:vAlign w:val="center"/>
          </w:tcPr>
          <w:p w:rsidR="007C1F9F" w:rsidRPr="000F38ED" w:rsidRDefault="007C1F9F" w:rsidP="00186172">
            <w:pPr>
              <w:pStyle w:val="AERtabletext-numbers"/>
            </w:pPr>
            <w:r w:rsidRPr="000F38ED">
              <w:t>9.3</w:t>
            </w:r>
          </w:p>
        </w:tc>
      </w:tr>
    </w:tbl>
    <w:p w:rsidR="007C1F9F" w:rsidRPr="004377F3" w:rsidRDefault="007C1F9F" w:rsidP="007C1F9F">
      <w:pPr>
        <w:pStyle w:val="AERtablesource"/>
        <w:rPr>
          <w:rStyle w:val="AERbody"/>
          <w:sz w:val="16"/>
        </w:rPr>
      </w:pPr>
      <w:r w:rsidRPr="004377F3">
        <w:rPr>
          <w:rStyle w:val="AERbody"/>
          <w:sz w:val="16"/>
        </w:rPr>
        <w:t xml:space="preserve">Source: </w:t>
      </w:r>
      <w:r w:rsidRPr="004377F3">
        <w:rPr>
          <w:rStyle w:val="AERbody"/>
          <w:sz w:val="16"/>
        </w:rPr>
        <w:tab/>
        <w:t>AER analysis.</w:t>
      </w:r>
    </w:p>
    <w:p w:rsidR="007C1F9F" w:rsidRDefault="007C1F9F" w:rsidP="007C1F9F">
      <w:pPr>
        <w:pStyle w:val="AERbodytext"/>
      </w:pPr>
      <w:r>
        <w:t xml:space="preserve">This has resulted in the debt raising costs for APA GasNet outlined below in </w:t>
      </w:r>
      <w:r w:rsidR="00DE0D6A">
        <w:fldChar w:fldCharType="begin"/>
      </w:r>
      <w:r>
        <w:instrText xml:space="preserve"> REF  _Ref334004460 \* Lower \h \r </w:instrText>
      </w:r>
      <w:r w:rsidR="00DE0D6A">
        <w:fldChar w:fldCharType="separate"/>
      </w:r>
      <w:r>
        <w:t>table 6.12</w:t>
      </w:r>
      <w:r w:rsidR="00DE0D6A">
        <w:fldChar w:fldCharType="end"/>
      </w:r>
      <w:r>
        <w:t xml:space="preserve">. </w:t>
      </w:r>
    </w:p>
    <w:p w:rsidR="007C1F9F" w:rsidRDefault="007C1F9F" w:rsidP="007C1F9F">
      <w:pPr>
        <w:pStyle w:val="AERtabletitle"/>
      </w:pPr>
      <w:bookmarkStart w:id="118" w:name="_Ref334004460"/>
      <w:r>
        <w:t xml:space="preserve">Debt </w:t>
      </w:r>
      <w:r w:rsidRPr="004E63AB">
        <w:t>raising costs for APA GasNet ($m</w:t>
      </w:r>
      <w:r>
        <w:t>illion</w:t>
      </w:r>
      <w:r w:rsidRPr="004E63AB">
        <w:t>, 2012)</w:t>
      </w:r>
      <w:bookmarkEnd w:id="118"/>
    </w:p>
    <w:tbl>
      <w:tblPr>
        <w:tblW w:w="5000" w:type="pct"/>
        <w:tblBorders>
          <w:top w:val="single" w:sz="4" w:space="0" w:color="auto"/>
          <w:bottom w:val="single" w:sz="4" w:space="0" w:color="auto"/>
        </w:tblBorders>
        <w:tblLook w:val="0020"/>
      </w:tblPr>
      <w:tblGrid>
        <w:gridCol w:w="1488"/>
        <w:gridCol w:w="1407"/>
        <w:gridCol w:w="1407"/>
        <w:gridCol w:w="1408"/>
        <w:gridCol w:w="1409"/>
        <w:gridCol w:w="1409"/>
      </w:tblGrid>
      <w:tr w:rsidR="007C1F9F" w:rsidRPr="005A73C0" w:rsidTr="00186172">
        <w:tc>
          <w:tcPr>
            <w:tcW w:w="833"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91B25" w:rsidRDefault="007C1F9F" w:rsidP="00186172">
            <w:pPr>
              <w:pStyle w:val="AERtabletext"/>
              <w:rPr>
                <w:rStyle w:val="AERtextbold"/>
              </w:rPr>
            </w:pPr>
            <w:r w:rsidRPr="00791B25">
              <w:rPr>
                <w:rStyle w:val="AERtextbold"/>
              </w:rPr>
              <w:t>Year</w:t>
            </w:r>
          </w:p>
        </w:tc>
        <w:tc>
          <w:tcPr>
            <w:tcW w:w="83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91B25" w:rsidRDefault="007C1F9F" w:rsidP="00186172">
            <w:pPr>
              <w:pStyle w:val="AERtabletextheadingright"/>
            </w:pPr>
            <w:r w:rsidRPr="00791B25">
              <w:t>2013</w:t>
            </w:r>
          </w:p>
        </w:tc>
        <w:tc>
          <w:tcPr>
            <w:tcW w:w="83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91B25" w:rsidRDefault="007C1F9F" w:rsidP="00186172">
            <w:pPr>
              <w:pStyle w:val="AERtabletextheadingright"/>
            </w:pPr>
            <w:r w:rsidRPr="00791B25">
              <w:t>2014</w:t>
            </w:r>
          </w:p>
        </w:tc>
        <w:tc>
          <w:tcPr>
            <w:tcW w:w="833"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91B25" w:rsidRDefault="007C1F9F" w:rsidP="00186172">
            <w:pPr>
              <w:pStyle w:val="AERtabletextheadingright"/>
            </w:pPr>
            <w:r w:rsidRPr="00791B25">
              <w:t>2015</w:t>
            </w:r>
          </w:p>
        </w:tc>
        <w:tc>
          <w:tcPr>
            <w:tcW w:w="834"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91B25" w:rsidRDefault="007C1F9F" w:rsidP="00186172">
            <w:pPr>
              <w:pStyle w:val="AERtabletextheadingright"/>
            </w:pPr>
            <w:r w:rsidRPr="00791B25">
              <w:t>2016</w:t>
            </w:r>
          </w:p>
        </w:tc>
        <w:tc>
          <w:tcPr>
            <w:tcW w:w="834"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91B25" w:rsidRDefault="007C1F9F" w:rsidP="00186172">
            <w:pPr>
              <w:pStyle w:val="AERtabletextheadingright"/>
            </w:pPr>
            <w:r w:rsidRPr="00791B25">
              <w:t>2017</w:t>
            </w:r>
          </w:p>
        </w:tc>
      </w:tr>
      <w:tr w:rsidR="007C1F9F" w:rsidRPr="005A73C0" w:rsidTr="00186172">
        <w:tc>
          <w:tcPr>
            <w:tcW w:w="833" w:type="pct"/>
            <w:shd w:val="clear" w:color="auto" w:fill="auto"/>
            <w:noWrap/>
            <w:tcMar>
              <w:top w:w="0" w:type="dxa"/>
              <w:bottom w:w="0" w:type="dxa"/>
            </w:tcMar>
            <w:vAlign w:val="center"/>
          </w:tcPr>
          <w:p w:rsidR="007C1F9F" w:rsidRPr="00863F3C" w:rsidRDefault="007C1F9F" w:rsidP="00186172">
            <w:pPr>
              <w:pStyle w:val="AERtabletext"/>
            </w:pPr>
            <w:r w:rsidRPr="005A73C0">
              <w:t>Debt raising costs</w:t>
            </w:r>
          </w:p>
        </w:tc>
        <w:tc>
          <w:tcPr>
            <w:tcW w:w="833" w:type="pct"/>
            <w:shd w:val="clear" w:color="auto" w:fill="auto"/>
            <w:noWrap/>
            <w:tcMar>
              <w:top w:w="0" w:type="dxa"/>
              <w:bottom w:w="0" w:type="dxa"/>
            </w:tcMar>
            <w:vAlign w:val="center"/>
          </w:tcPr>
          <w:p w:rsidR="007C1F9F" w:rsidRPr="00863F3C" w:rsidRDefault="007C1F9F" w:rsidP="00186172">
            <w:pPr>
              <w:pStyle w:val="AERtabletext-numbers"/>
            </w:pPr>
            <w:r w:rsidRPr="005A73C0">
              <w:t>0.35</w:t>
            </w:r>
          </w:p>
        </w:tc>
        <w:tc>
          <w:tcPr>
            <w:tcW w:w="833" w:type="pct"/>
            <w:shd w:val="clear" w:color="auto" w:fill="auto"/>
            <w:noWrap/>
            <w:tcMar>
              <w:top w:w="0" w:type="dxa"/>
              <w:bottom w:w="0" w:type="dxa"/>
            </w:tcMar>
            <w:vAlign w:val="center"/>
          </w:tcPr>
          <w:p w:rsidR="007C1F9F" w:rsidRPr="00863F3C" w:rsidRDefault="007C1F9F" w:rsidP="00186172">
            <w:pPr>
              <w:pStyle w:val="AERtabletext-numbers"/>
            </w:pPr>
            <w:r w:rsidRPr="005A73C0">
              <w:t>0.35</w:t>
            </w:r>
          </w:p>
        </w:tc>
        <w:tc>
          <w:tcPr>
            <w:tcW w:w="833" w:type="pct"/>
            <w:shd w:val="clear" w:color="auto" w:fill="auto"/>
            <w:noWrap/>
            <w:tcMar>
              <w:top w:w="0" w:type="dxa"/>
              <w:bottom w:w="0" w:type="dxa"/>
            </w:tcMar>
            <w:vAlign w:val="center"/>
          </w:tcPr>
          <w:p w:rsidR="007C1F9F" w:rsidRPr="00863F3C" w:rsidRDefault="007C1F9F" w:rsidP="00186172">
            <w:pPr>
              <w:pStyle w:val="AERtabletext-numbers"/>
            </w:pPr>
            <w:r w:rsidRPr="005A73C0">
              <w:t>0.38</w:t>
            </w:r>
          </w:p>
        </w:tc>
        <w:tc>
          <w:tcPr>
            <w:tcW w:w="834" w:type="pct"/>
            <w:shd w:val="clear" w:color="auto" w:fill="auto"/>
            <w:noWrap/>
            <w:tcMar>
              <w:top w:w="0" w:type="dxa"/>
              <w:bottom w:w="0" w:type="dxa"/>
            </w:tcMar>
            <w:vAlign w:val="center"/>
          </w:tcPr>
          <w:p w:rsidR="007C1F9F" w:rsidRPr="00863F3C" w:rsidRDefault="007C1F9F" w:rsidP="00186172">
            <w:pPr>
              <w:pStyle w:val="AERtabletext-numbers"/>
            </w:pPr>
            <w:r w:rsidRPr="005A73C0">
              <w:t>0.38</w:t>
            </w:r>
          </w:p>
        </w:tc>
        <w:tc>
          <w:tcPr>
            <w:tcW w:w="834" w:type="pct"/>
            <w:shd w:val="clear" w:color="auto" w:fill="auto"/>
            <w:noWrap/>
            <w:tcMar>
              <w:top w:w="0" w:type="dxa"/>
              <w:bottom w:w="0" w:type="dxa"/>
            </w:tcMar>
            <w:vAlign w:val="center"/>
          </w:tcPr>
          <w:p w:rsidR="007C1F9F" w:rsidRPr="00863F3C" w:rsidRDefault="007C1F9F" w:rsidP="00186172">
            <w:pPr>
              <w:pStyle w:val="AERtabletext-numbers"/>
            </w:pPr>
            <w:r w:rsidRPr="005A73C0">
              <w:t>0.37</w:t>
            </w:r>
          </w:p>
        </w:tc>
      </w:tr>
    </w:tbl>
    <w:p w:rsidR="007C1F9F" w:rsidRPr="004377F3" w:rsidRDefault="007C1F9F" w:rsidP="007C1F9F">
      <w:pPr>
        <w:pStyle w:val="AERtablesource"/>
        <w:rPr>
          <w:rStyle w:val="AERbody"/>
          <w:sz w:val="16"/>
        </w:rPr>
      </w:pPr>
      <w:r w:rsidRPr="004377F3">
        <w:rPr>
          <w:rStyle w:val="AERbody"/>
          <w:sz w:val="16"/>
        </w:rPr>
        <w:t xml:space="preserve">Source: </w:t>
      </w:r>
      <w:r w:rsidRPr="004377F3">
        <w:rPr>
          <w:rStyle w:val="AERbody"/>
          <w:sz w:val="16"/>
        </w:rPr>
        <w:tab/>
        <w:t>AER analysis.</w:t>
      </w:r>
    </w:p>
    <w:p w:rsidR="007C1F9F" w:rsidRDefault="007C1F9F" w:rsidP="007C1F9F">
      <w:pPr>
        <w:pStyle w:val="AERheading4"/>
      </w:pPr>
      <w:r>
        <w:t>Other Allowances</w:t>
      </w:r>
    </w:p>
    <w:p w:rsidR="007C1F9F" w:rsidRDefault="007C1F9F" w:rsidP="007C1F9F">
      <w:pPr>
        <w:pStyle w:val="AERbodytext"/>
      </w:pPr>
      <w:r>
        <w:t>APA GasNet</w:t>
      </w:r>
      <w:r w:rsidRPr="00674D4A">
        <w:t xml:space="preserve"> </w:t>
      </w:r>
      <w:r>
        <w:t xml:space="preserve">submitted that it </w:t>
      </w:r>
      <w:r w:rsidRPr="00674D4A">
        <w:t>maintains two types of inventories related to the VTS. These are</w:t>
      </w:r>
      <w:r>
        <w:t xml:space="preserve"> </w:t>
      </w:r>
      <w:r w:rsidRPr="00674D4A">
        <w:t>passive linepack and spare pipes, valves and fittings required for maintenance and</w:t>
      </w:r>
      <w:r>
        <w:t xml:space="preserve"> </w:t>
      </w:r>
      <w:r w:rsidRPr="00674D4A">
        <w:t>emergency use.</w:t>
      </w:r>
      <w:r>
        <w:rPr>
          <w:rStyle w:val="FootnoteReference"/>
        </w:rPr>
        <w:footnoteReference w:id="529"/>
      </w:r>
      <w:r w:rsidRPr="00674D4A">
        <w:t xml:space="preserve"> </w:t>
      </w:r>
      <w:r>
        <w:t>APA GasNet considers b</w:t>
      </w:r>
      <w:r w:rsidRPr="00674D4A">
        <w:t>oth of these inventories represent an investment in the pipeline</w:t>
      </w:r>
      <w:r>
        <w:t xml:space="preserve"> </w:t>
      </w:r>
      <w:r w:rsidRPr="00674D4A">
        <w:t>system</w:t>
      </w:r>
      <w:r>
        <w:t xml:space="preserve"> and so </w:t>
      </w:r>
      <w:r w:rsidRPr="00674D4A">
        <w:t>a return on these assets is included in the allowed revenue.</w:t>
      </w:r>
      <w:r>
        <w:t xml:space="preserve"> The AER approves APA GasNet's approach to the calculating a return on passive linepack and spare parts. However, as noted in appendix B, the AER does not approve APA GasNet's proposed WACC. As such, the AER has adjusted APA GasNet's proposed allowances to account for the AER's approved WACC.</w:t>
      </w:r>
    </w:p>
    <w:p w:rsidR="007C1F9F" w:rsidRPr="009F2EBC" w:rsidRDefault="007C1F9F" w:rsidP="007C1F9F">
      <w:pPr>
        <w:pStyle w:val="AERheading2"/>
        <w:numPr>
          <w:ilvl w:val="1"/>
          <w:numId w:val="7"/>
        </w:numPr>
        <w:tabs>
          <w:tab w:val="clear" w:pos="4317"/>
          <w:tab w:val="num" w:pos="0"/>
        </w:tabs>
        <w:ind w:left="0" w:hanging="720"/>
      </w:pPr>
      <w:bookmarkStart w:id="119" w:name="_Toc334543783"/>
      <w:r>
        <w:t>Revisions</w:t>
      </w:r>
      <w:bookmarkEnd w:id="119"/>
    </w:p>
    <w:p w:rsidR="007C1F9F" w:rsidRPr="009F2EBC" w:rsidRDefault="007C1F9F" w:rsidP="007C1F9F">
      <w:pPr>
        <w:pStyle w:val="AERbodytext"/>
      </w:pPr>
      <w:r w:rsidRPr="007E3923">
        <w:rPr>
          <w:rFonts w:eastAsia="Calibri"/>
        </w:rPr>
        <w:t xml:space="preserve">The AER requires APA GasNet make the following revisions to its </w:t>
      </w:r>
      <w:r>
        <w:rPr>
          <w:rFonts w:eastAsia="Calibri"/>
        </w:rPr>
        <w:t>A</w:t>
      </w:r>
      <w:r w:rsidRPr="007E3923">
        <w:rPr>
          <w:rFonts w:eastAsia="Calibri"/>
        </w:rPr>
        <w:t>ccess arrangement proposal consistent with the NGR and NGL:</w:t>
      </w:r>
    </w:p>
    <w:p w:rsidR="007C1F9F" w:rsidRPr="009F2EBC" w:rsidRDefault="007C1F9F" w:rsidP="007C1F9F">
      <w:pPr>
        <w:pStyle w:val="AERrevisionbox"/>
      </w:pPr>
      <w:r>
        <w:rPr>
          <w:rStyle w:val="AERtextbold"/>
        </w:rPr>
        <w:t>Revision 6</w:t>
      </w:r>
      <w:r w:rsidRPr="009F2EBC">
        <w:rPr>
          <w:rStyle w:val="AERtextbold"/>
        </w:rPr>
        <w:t>.1</w:t>
      </w:r>
      <w:r w:rsidRPr="009F2EBC">
        <w:t xml:space="preserve">: </w:t>
      </w:r>
      <w:r w:rsidRPr="005F1730">
        <w:t xml:space="preserve">Make all necessary amendments to reflect the AER’s draft decision on the proposed </w:t>
      </w:r>
      <w:r>
        <w:t>opex</w:t>
      </w:r>
      <w:r w:rsidRPr="005F1730">
        <w:t xml:space="preserve"> allowances for the 2013</w:t>
      </w:r>
      <w:r>
        <w:t>–</w:t>
      </w:r>
      <w:r w:rsidRPr="005F1730">
        <w:t xml:space="preserve">17 access arrangement period, as set out in </w:t>
      </w:r>
      <w:r w:rsidR="00DE0D6A">
        <w:fldChar w:fldCharType="begin"/>
      </w:r>
      <w:r>
        <w:instrText xml:space="preserve"> REF  _Ref330803404 \* Lower \h \r </w:instrText>
      </w:r>
      <w:r w:rsidR="00DE0D6A">
        <w:fldChar w:fldCharType="separate"/>
      </w:r>
      <w:r>
        <w:t>table 6.1</w:t>
      </w:r>
      <w:r w:rsidR="00DE0D6A">
        <w:fldChar w:fldCharType="end"/>
      </w:r>
      <w:r>
        <w:t xml:space="preserve"> </w:t>
      </w:r>
      <w:r w:rsidRPr="005F1730">
        <w:t>and</w:t>
      </w:r>
      <w:r>
        <w:t xml:space="preserve"> </w:t>
      </w:r>
      <w:r w:rsidR="00DE0D6A">
        <w:fldChar w:fldCharType="begin"/>
      </w:r>
      <w:r>
        <w:instrText xml:space="preserve"> REF  _Ref330220642 \* Lower \h \r </w:instrText>
      </w:r>
      <w:r w:rsidR="00DE0D6A">
        <w:fldChar w:fldCharType="separate"/>
      </w:r>
      <w:r>
        <w:t>table 6.10</w:t>
      </w:r>
      <w:r w:rsidR="00DE0D6A">
        <w:fldChar w:fldCharType="end"/>
      </w:r>
      <w:r w:rsidRPr="005F1730">
        <w:t>.</w:t>
      </w:r>
    </w:p>
    <w:p w:rsidR="007C1F9F" w:rsidRPr="007E3923" w:rsidRDefault="007C1F9F" w:rsidP="007C1F9F">
      <w:pPr>
        <w:pStyle w:val="AERheading1"/>
        <w:numPr>
          <w:ilvl w:val="0"/>
          <w:numId w:val="7"/>
        </w:numPr>
        <w:tabs>
          <w:tab w:val="clear" w:pos="-357"/>
          <w:tab w:val="left" w:pos="0"/>
        </w:tabs>
        <w:ind w:left="-354" w:hanging="360"/>
      </w:pPr>
      <w:bookmarkStart w:id="120" w:name="_Toc334543784"/>
      <w:r>
        <w:t xml:space="preserve">Incentive </w:t>
      </w:r>
      <w:r w:rsidRPr="007E3923">
        <w:t>mechanisms</w:t>
      </w:r>
      <w:bookmarkEnd w:id="120"/>
    </w:p>
    <w:p w:rsidR="007C1F9F" w:rsidRDefault="007C1F9F" w:rsidP="007C1F9F">
      <w:pPr>
        <w:pStyle w:val="AERbodytext"/>
      </w:pPr>
      <w:r w:rsidRPr="00D45BF4">
        <w:t>Incentive mechanisms are an important tool to provide service providers continuous incentives to reduce costs and increase efficiency in the provision of pipeline services</w:t>
      </w:r>
      <w:r>
        <w:t>. Incentive mechanisms provide a financial reward (or penalty) for efficiency gains (or losses) achieved compared to expenditure benchmarks for the access arrangement period. Any rewards (or penalties) for efficiency gains (or losses) are added to the service provider's total revenue and carried forward for five years after the year in which the efficiency gain (or loss) is made. Five years corresponds to the length of the access arrangement period.</w:t>
      </w:r>
    </w:p>
    <w:p w:rsidR="007C1F9F" w:rsidRDefault="007C1F9F" w:rsidP="007C1F9F">
      <w:pPr>
        <w:pStyle w:val="AERbodytext"/>
      </w:pPr>
      <w:r w:rsidRPr="009D7602">
        <w:t>T</w:t>
      </w:r>
      <w:r>
        <w:t>his attachment presents the AER’s assessment of APA GasNet's proposed:</w:t>
      </w:r>
    </w:p>
    <w:p w:rsidR="007C1F9F" w:rsidRDefault="007C1F9F" w:rsidP="007C1F9F">
      <w:pPr>
        <w:pStyle w:val="AERbulletlistfirststyle"/>
      </w:pPr>
      <w:r>
        <w:t>carryovers from the operation of the incentive mechanism in the 2008–12 access arrangement period, namely the benefit sharing allowance</w:t>
      </w:r>
    </w:p>
    <w:p w:rsidR="007C1F9F" w:rsidRDefault="007C1F9F" w:rsidP="007C1F9F">
      <w:pPr>
        <w:pStyle w:val="AERbulletlistfirststyle"/>
      </w:pPr>
      <w:r>
        <w:t>incentive mechanism for the 2013–17 access arrangement period.</w:t>
      </w:r>
    </w:p>
    <w:p w:rsidR="007C1F9F" w:rsidRPr="00163B37" w:rsidRDefault="007C1F9F" w:rsidP="007C1F9F">
      <w:pPr>
        <w:pStyle w:val="AERheading2"/>
        <w:numPr>
          <w:ilvl w:val="1"/>
          <w:numId w:val="7"/>
        </w:numPr>
        <w:tabs>
          <w:tab w:val="clear" w:pos="4317"/>
          <w:tab w:val="num" w:pos="0"/>
        </w:tabs>
        <w:ind w:left="0" w:hanging="720"/>
      </w:pPr>
      <w:bookmarkStart w:id="121" w:name="_Toc334543785"/>
      <w:r>
        <w:t xml:space="preserve">Draft </w:t>
      </w:r>
      <w:r w:rsidRPr="00163B37">
        <w:t>decision</w:t>
      </w:r>
      <w:bookmarkEnd w:id="121"/>
    </w:p>
    <w:p w:rsidR="007C1F9F" w:rsidRDefault="007C1F9F" w:rsidP="007C1F9F">
      <w:pPr>
        <w:pStyle w:val="AERbodytext"/>
      </w:pPr>
      <w:r>
        <w:t xml:space="preserve">The AER </w:t>
      </w:r>
      <w:r w:rsidRPr="006804CE">
        <w:t>does not approve</w:t>
      </w:r>
      <w:r>
        <w:t xml:space="preserve"> APA GasNet's proposed carryover of –$2.6 million ($2006) from the 2008–12 access arrangement period. This proposed carryover has not been correctly calculated in accordance with the benefit sharing allowance set out in APA GasNet's 2008–12 Access arrangement. The AER has calculated that APA GasNet has instead accrued a carryover of –$3.7 million ($2006) to be carried over from the 2008–12 access arrangement period (</w:t>
      </w:r>
      <w:r w:rsidR="00DE0D6A">
        <w:fldChar w:fldCharType="begin"/>
      </w:r>
      <w:r>
        <w:instrText xml:space="preserve"> REF  _Ref325622004 \* Lower \h \r </w:instrText>
      </w:r>
      <w:r w:rsidR="00DE0D6A">
        <w:fldChar w:fldCharType="separate"/>
      </w:r>
      <w:r>
        <w:t>table 7.1</w:t>
      </w:r>
      <w:r w:rsidR="00DE0D6A">
        <w:fldChar w:fldCharType="end"/>
      </w:r>
      <w:r>
        <w:t>).</w:t>
      </w:r>
    </w:p>
    <w:p w:rsidR="007C1F9F" w:rsidRPr="00163B37" w:rsidRDefault="007C1F9F" w:rsidP="007C1F9F">
      <w:pPr>
        <w:pStyle w:val="AERtabletitle"/>
      </w:pPr>
      <w:bookmarkStart w:id="122" w:name="_Ref325622004"/>
      <w:r>
        <w:t>AER draft decision carryover</w:t>
      </w:r>
      <w:r w:rsidRPr="00163B37">
        <w:t xml:space="preserve"> from the 2008–12 access arrangement period ($'000, 2006)</w:t>
      </w:r>
      <w:bookmarkEnd w:id="122"/>
    </w:p>
    <w:tbl>
      <w:tblPr>
        <w:tblW w:w="0" w:type="auto"/>
        <w:tblBorders>
          <w:top w:val="single" w:sz="4" w:space="0" w:color="auto"/>
          <w:bottom w:val="single" w:sz="4" w:space="0" w:color="auto"/>
        </w:tblBorders>
        <w:tblLook w:val="04A0"/>
      </w:tblPr>
      <w:tblGrid>
        <w:gridCol w:w="1943"/>
        <w:gridCol w:w="1121"/>
        <w:gridCol w:w="1122"/>
        <w:gridCol w:w="1122"/>
        <w:gridCol w:w="1122"/>
        <w:gridCol w:w="1049"/>
        <w:gridCol w:w="1049"/>
      </w:tblGrid>
      <w:tr w:rsidR="007C1F9F" w:rsidRPr="001D1767" w:rsidTr="00186172">
        <w:tc>
          <w:tcPr>
            <w:tcW w:w="194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p>
        </w:tc>
        <w:tc>
          <w:tcPr>
            <w:tcW w:w="11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2013</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2014</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2015</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2016</w:t>
            </w:r>
          </w:p>
        </w:tc>
        <w:tc>
          <w:tcPr>
            <w:tcW w:w="104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2017</w:t>
            </w:r>
          </w:p>
        </w:tc>
        <w:tc>
          <w:tcPr>
            <w:tcW w:w="104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Total</w:t>
            </w:r>
          </w:p>
        </w:tc>
      </w:tr>
      <w:tr w:rsidR="007C1F9F" w:rsidRPr="001D1767" w:rsidTr="00186172">
        <w:tc>
          <w:tcPr>
            <w:tcW w:w="1943" w:type="dxa"/>
            <w:shd w:val="clear" w:color="auto" w:fill="auto"/>
            <w:noWrap/>
            <w:tcMar>
              <w:top w:w="0" w:type="dxa"/>
              <w:bottom w:w="0" w:type="dxa"/>
            </w:tcMar>
            <w:vAlign w:val="center"/>
          </w:tcPr>
          <w:p w:rsidR="007C1F9F" w:rsidRPr="00163B37" w:rsidRDefault="007C1F9F" w:rsidP="00186172">
            <w:pPr>
              <w:pStyle w:val="AERtabletext"/>
            </w:pPr>
            <w:r>
              <w:t>APA GasNet</w:t>
            </w:r>
            <w:r w:rsidRPr="00163B37">
              <w:t xml:space="preserve"> proposal</w:t>
            </w:r>
          </w:p>
        </w:tc>
        <w:tc>
          <w:tcPr>
            <w:tcW w:w="1121" w:type="dxa"/>
            <w:shd w:val="clear" w:color="auto" w:fill="auto"/>
            <w:noWrap/>
            <w:tcMar>
              <w:top w:w="0" w:type="dxa"/>
              <w:bottom w:w="0" w:type="dxa"/>
            </w:tcMar>
            <w:vAlign w:val="center"/>
          </w:tcPr>
          <w:p w:rsidR="007C1F9F" w:rsidRPr="0098279C" w:rsidRDefault="007C1F9F" w:rsidP="00186172">
            <w:pPr>
              <w:pStyle w:val="AERtabletext-numbers"/>
            </w:pPr>
            <w:r>
              <w:t>1724</w:t>
            </w:r>
          </w:p>
        </w:tc>
        <w:tc>
          <w:tcPr>
            <w:tcW w:w="1122" w:type="dxa"/>
            <w:shd w:val="clear" w:color="auto" w:fill="auto"/>
            <w:noWrap/>
            <w:tcMar>
              <w:top w:w="0" w:type="dxa"/>
              <w:bottom w:w="0" w:type="dxa"/>
            </w:tcMar>
            <w:vAlign w:val="center"/>
          </w:tcPr>
          <w:p w:rsidR="007C1F9F" w:rsidRPr="0098279C" w:rsidRDefault="007C1F9F" w:rsidP="00186172">
            <w:pPr>
              <w:pStyle w:val="AERtabletext-numbers"/>
            </w:pPr>
            <w:r>
              <w:t>328</w:t>
            </w:r>
          </w:p>
        </w:tc>
        <w:tc>
          <w:tcPr>
            <w:tcW w:w="1122" w:type="dxa"/>
            <w:shd w:val="clear" w:color="auto" w:fill="auto"/>
            <w:noWrap/>
            <w:tcMar>
              <w:top w:w="0" w:type="dxa"/>
              <w:bottom w:w="0" w:type="dxa"/>
            </w:tcMar>
            <w:vAlign w:val="center"/>
          </w:tcPr>
          <w:p w:rsidR="007C1F9F" w:rsidRPr="0098279C" w:rsidRDefault="007C1F9F" w:rsidP="00186172">
            <w:pPr>
              <w:pStyle w:val="AERtabletext-numbers"/>
            </w:pPr>
            <w:r>
              <w:t>–1888</w:t>
            </w:r>
          </w:p>
        </w:tc>
        <w:tc>
          <w:tcPr>
            <w:tcW w:w="1122" w:type="dxa"/>
            <w:shd w:val="clear" w:color="auto" w:fill="auto"/>
            <w:noWrap/>
            <w:tcMar>
              <w:top w:w="0" w:type="dxa"/>
              <w:bottom w:w="0" w:type="dxa"/>
            </w:tcMar>
            <w:vAlign w:val="center"/>
          </w:tcPr>
          <w:p w:rsidR="007C1F9F" w:rsidRPr="0098279C" w:rsidRDefault="007C1F9F" w:rsidP="00186172">
            <w:pPr>
              <w:pStyle w:val="AERtabletext-numbers"/>
            </w:pPr>
            <w:r>
              <w:t>–2798</w:t>
            </w:r>
          </w:p>
        </w:tc>
        <w:tc>
          <w:tcPr>
            <w:tcW w:w="1049" w:type="dxa"/>
            <w:shd w:val="clear" w:color="auto" w:fill="auto"/>
            <w:noWrap/>
            <w:tcMar>
              <w:top w:w="0" w:type="dxa"/>
              <w:bottom w:w="0" w:type="dxa"/>
            </w:tcMar>
            <w:vAlign w:val="center"/>
          </w:tcPr>
          <w:p w:rsidR="007C1F9F" w:rsidRPr="0098279C" w:rsidRDefault="007C1F9F" w:rsidP="00186172">
            <w:pPr>
              <w:pStyle w:val="AERtabletext-numbers"/>
            </w:pPr>
            <w:r>
              <w:t>–</w:t>
            </w:r>
          </w:p>
        </w:tc>
        <w:tc>
          <w:tcPr>
            <w:tcW w:w="1049" w:type="dxa"/>
            <w:shd w:val="clear" w:color="auto" w:fill="auto"/>
            <w:noWrap/>
            <w:tcMar>
              <w:top w:w="0" w:type="dxa"/>
              <w:bottom w:w="0" w:type="dxa"/>
            </w:tcMar>
            <w:vAlign w:val="center"/>
          </w:tcPr>
          <w:p w:rsidR="007C1F9F" w:rsidRPr="0098279C" w:rsidRDefault="007C1F9F" w:rsidP="00186172">
            <w:pPr>
              <w:pStyle w:val="AERtabletext-numbers"/>
            </w:pPr>
            <w:r>
              <w:t>–2634</w:t>
            </w:r>
          </w:p>
        </w:tc>
      </w:tr>
      <w:tr w:rsidR="007C1F9F" w:rsidRPr="001D1767" w:rsidTr="00186172">
        <w:tc>
          <w:tcPr>
            <w:tcW w:w="1943" w:type="dxa"/>
            <w:shd w:val="clear" w:color="auto" w:fill="F8B47C"/>
            <w:noWrap/>
            <w:tcMar>
              <w:top w:w="0" w:type="dxa"/>
              <w:bottom w:w="0" w:type="dxa"/>
            </w:tcMar>
            <w:vAlign w:val="center"/>
          </w:tcPr>
          <w:p w:rsidR="007C1F9F" w:rsidRPr="00FC7520" w:rsidRDefault="007C1F9F" w:rsidP="00186172">
            <w:pPr>
              <w:pStyle w:val="AERtabletext"/>
            </w:pPr>
            <w:r w:rsidRPr="00FC7520">
              <w:t>AER draft decision</w:t>
            </w:r>
          </w:p>
        </w:tc>
        <w:tc>
          <w:tcPr>
            <w:tcW w:w="1121" w:type="dxa"/>
            <w:shd w:val="clear" w:color="auto" w:fill="F8B47C"/>
            <w:noWrap/>
            <w:tcMar>
              <w:top w:w="0" w:type="dxa"/>
              <w:bottom w:w="0" w:type="dxa"/>
            </w:tcMar>
          </w:tcPr>
          <w:p w:rsidR="007C1F9F" w:rsidRPr="00FC7520" w:rsidRDefault="007C1F9F" w:rsidP="00186172">
            <w:pPr>
              <w:pStyle w:val="AERtabletext-numbers"/>
            </w:pPr>
            <w:r w:rsidRPr="00FC7520">
              <w:t xml:space="preserve"> 823 </w:t>
            </w:r>
          </w:p>
        </w:tc>
        <w:tc>
          <w:tcPr>
            <w:tcW w:w="1122" w:type="dxa"/>
            <w:shd w:val="clear" w:color="auto" w:fill="F8B47C"/>
            <w:noWrap/>
            <w:tcMar>
              <w:top w:w="0" w:type="dxa"/>
              <w:bottom w:w="0" w:type="dxa"/>
            </w:tcMar>
          </w:tcPr>
          <w:p w:rsidR="007C1F9F" w:rsidRPr="00FC7520" w:rsidRDefault="007C1F9F" w:rsidP="00186172">
            <w:pPr>
              <w:pStyle w:val="AERtabletext-numbers"/>
            </w:pPr>
            <w:r>
              <w:t>–</w:t>
            </w:r>
            <w:r w:rsidRPr="00FC7520">
              <w:t xml:space="preserve">1374 </w:t>
            </w:r>
          </w:p>
        </w:tc>
        <w:tc>
          <w:tcPr>
            <w:tcW w:w="1122" w:type="dxa"/>
            <w:shd w:val="clear" w:color="auto" w:fill="F8B47C"/>
            <w:noWrap/>
            <w:tcMar>
              <w:top w:w="0" w:type="dxa"/>
              <w:bottom w:w="0" w:type="dxa"/>
            </w:tcMar>
          </w:tcPr>
          <w:p w:rsidR="007C1F9F" w:rsidRPr="00FC7520" w:rsidRDefault="007C1F9F" w:rsidP="00186172">
            <w:pPr>
              <w:pStyle w:val="AERtabletext-numbers"/>
            </w:pPr>
            <w:r>
              <w:t>–</w:t>
            </w:r>
            <w:r w:rsidRPr="00FC7520">
              <w:t xml:space="preserve">1715 </w:t>
            </w:r>
          </w:p>
        </w:tc>
        <w:tc>
          <w:tcPr>
            <w:tcW w:w="1122" w:type="dxa"/>
            <w:shd w:val="clear" w:color="auto" w:fill="F8B47C"/>
            <w:noWrap/>
            <w:tcMar>
              <w:top w:w="0" w:type="dxa"/>
              <w:bottom w:w="0" w:type="dxa"/>
            </w:tcMar>
          </w:tcPr>
          <w:p w:rsidR="007C1F9F" w:rsidRPr="00FC7520" w:rsidRDefault="007C1F9F" w:rsidP="00186172">
            <w:pPr>
              <w:pStyle w:val="AERtabletext-numbers"/>
            </w:pPr>
            <w:r>
              <w:t>–</w:t>
            </w:r>
            <w:r w:rsidRPr="00FC7520">
              <w:t xml:space="preserve">1457 </w:t>
            </w:r>
          </w:p>
        </w:tc>
        <w:tc>
          <w:tcPr>
            <w:tcW w:w="1049" w:type="dxa"/>
            <w:shd w:val="clear" w:color="auto" w:fill="F8B47C"/>
            <w:noWrap/>
            <w:tcMar>
              <w:top w:w="0" w:type="dxa"/>
              <w:bottom w:w="0" w:type="dxa"/>
            </w:tcMar>
          </w:tcPr>
          <w:p w:rsidR="007C1F9F" w:rsidRPr="00FC7520" w:rsidRDefault="007C1F9F" w:rsidP="00186172">
            <w:pPr>
              <w:pStyle w:val="AERtabletext-numbers"/>
            </w:pPr>
          </w:p>
        </w:tc>
        <w:tc>
          <w:tcPr>
            <w:tcW w:w="1049" w:type="dxa"/>
            <w:shd w:val="clear" w:color="auto" w:fill="F8B47C"/>
            <w:noWrap/>
            <w:tcMar>
              <w:top w:w="0" w:type="dxa"/>
              <w:bottom w:w="0" w:type="dxa"/>
            </w:tcMar>
          </w:tcPr>
          <w:p w:rsidR="007C1F9F" w:rsidRPr="00FC7520" w:rsidRDefault="007C1F9F" w:rsidP="00186172">
            <w:pPr>
              <w:pStyle w:val="AERtabletext-numbers"/>
            </w:pPr>
            <w:r>
              <w:t>–</w:t>
            </w:r>
            <w:r w:rsidRPr="00FC7520">
              <w:t xml:space="preserve">3723 </w:t>
            </w:r>
          </w:p>
        </w:tc>
      </w:tr>
    </w:tbl>
    <w:p w:rsidR="007C1F9F" w:rsidRDefault="007C1F9F" w:rsidP="007C1F9F">
      <w:pPr>
        <w:pStyle w:val="AERtablesource"/>
      </w:pPr>
      <w:r>
        <w:t xml:space="preserve">Source: </w:t>
      </w:r>
      <w:r>
        <w:tab/>
        <w:t>APA GasNet,</w:t>
      </w:r>
      <w:r w:rsidRPr="00C24617">
        <w:t xml:space="preserve"> </w:t>
      </w:r>
      <w:r w:rsidRPr="00C32F6B">
        <w:rPr>
          <w:rStyle w:val="AERtextitalic"/>
        </w:rPr>
        <w:t xml:space="preserve">Access </w:t>
      </w:r>
      <w:r>
        <w:rPr>
          <w:rStyle w:val="AERtextitalic"/>
        </w:rPr>
        <w:t>a</w:t>
      </w:r>
      <w:r w:rsidRPr="00C32F6B">
        <w:rPr>
          <w:rStyle w:val="AERtextitalic"/>
        </w:rPr>
        <w:t xml:space="preserve">rrangement </w:t>
      </w:r>
      <w:r>
        <w:rPr>
          <w:rStyle w:val="AERtextitalic"/>
        </w:rPr>
        <w:t>i</w:t>
      </w:r>
      <w:r w:rsidRPr="00C32F6B">
        <w:rPr>
          <w:rStyle w:val="AERtextitalic"/>
        </w:rPr>
        <w:t>nformation</w:t>
      </w:r>
      <w:r>
        <w:t xml:space="preserve">, </w:t>
      </w:r>
      <w:r w:rsidRPr="001878F8">
        <w:t>31 March 2012</w:t>
      </w:r>
      <w:r>
        <w:t>, table 9.2, p. 24; AER analysis.</w:t>
      </w:r>
    </w:p>
    <w:p w:rsidR="007C1F9F" w:rsidRPr="00520F9F" w:rsidRDefault="007C1F9F" w:rsidP="007C1F9F">
      <w:pPr>
        <w:pStyle w:val="AERbodytext"/>
      </w:pPr>
      <w:r>
        <w:t>The AER does not accept the incentive mechanism proposed by APA GasNet for inclusion in the 2013–17 Access arrangement. The AER considers amendments are necessary to ensure the incentive mechanism will encourage efficiency in the provision of services by APA GasNet and be consistent with the RPP.</w:t>
      </w:r>
    </w:p>
    <w:p w:rsidR="007C1F9F" w:rsidRPr="00163B37" w:rsidRDefault="007C1F9F" w:rsidP="007C1F9F">
      <w:pPr>
        <w:pStyle w:val="AERheading2"/>
        <w:numPr>
          <w:ilvl w:val="1"/>
          <w:numId w:val="7"/>
        </w:numPr>
        <w:tabs>
          <w:tab w:val="clear" w:pos="4317"/>
          <w:tab w:val="num" w:pos="0"/>
        </w:tabs>
        <w:ind w:left="0" w:hanging="720"/>
      </w:pPr>
      <w:bookmarkStart w:id="123" w:name="_Toc334543786"/>
      <w:r>
        <w:t>APA GasNet</w:t>
      </w:r>
      <w:r w:rsidRPr="00163B37">
        <w:t xml:space="preserve"> proposal</w:t>
      </w:r>
      <w:bookmarkEnd w:id="123"/>
    </w:p>
    <w:p w:rsidR="007C1F9F" w:rsidRPr="00163B37" w:rsidRDefault="007C1F9F" w:rsidP="007C1F9F">
      <w:pPr>
        <w:pStyle w:val="AERheading3"/>
        <w:numPr>
          <w:ilvl w:val="2"/>
          <w:numId w:val="7"/>
        </w:numPr>
        <w:tabs>
          <w:tab w:val="clear" w:pos="-357"/>
          <w:tab w:val="num" w:pos="0"/>
        </w:tabs>
        <w:ind w:left="0" w:hanging="714"/>
      </w:pPr>
      <w:r>
        <w:t xml:space="preserve">Carryover from the </w:t>
      </w:r>
      <w:r w:rsidRPr="00163B37">
        <w:t>2008–12 access arrangement period</w:t>
      </w:r>
    </w:p>
    <w:p w:rsidR="007C1F9F" w:rsidRPr="00C24617" w:rsidRDefault="007C1F9F" w:rsidP="007C1F9F">
      <w:pPr>
        <w:pStyle w:val="AERbodytext"/>
      </w:pPr>
      <w:r>
        <w:t>APA GasNet proposed a carryover of –$2.6 million ($2006) into the 2013–17 access arrangement period from applying the benefit sharing mechanism in the 2008–12 access arrangement period (</w:t>
      </w:r>
      <w:r w:rsidR="00DE0D6A">
        <w:fldChar w:fldCharType="begin"/>
      </w:r>
      <w:r>
        <w:instrText xml:space="preserve"> REF  _Ref325619395 \* Lower \h \r </w:instrText>
      </w:r>
      <w:r w:rsidR="00DE0D6A">
        <w:fldChar w:fldCharType="separate"/>
      </w:r>
      <w:r>
        <w:t>table 7.2</w:t>
      </w:r>
      <w:r w:rsidR="00DE0D6A">
        <w:fldChar w:fldCharType="end"/>
      </w:r>
      <w:r>
        <w:t xml:space="preserve">). </w:t>
      </w:r>
    </w:p>
    <w:p w:rsidR="007C1F9F" w:rsidRPr="00163B37" w:rsidRDefault="007C1F9F" w:rsidP="007C1F9F">
      <w:pPr>
        <w:pStyle w:val="AERtabletitle"/>
      </w:pPr>
      <w:bookmarkStart w:id="124" w:name="_Ref325619395"/>
      <w:r w:rsidRPr="001841E0">
        <w:t xml:space="preserve">Proposed carryover from </w:t>
      </w:r>
      <w:r w:rsidRPr="00163B37">
        <w:t>the 2008–12 access arrangement period ($'000, 2006)</w:t>
      </w:r>
      <w:bookmarkEnd w:id="124"/>
    </w:p>
    <w:tbl>
      <w:tblPr>
        <w:tblW w:w="0" w:type="auto"/>
        <w:tblBorders>
          <w:top w:val="single" w:sz="4" w:space="0" w:color="auto"/>
          <w:bottom w:val="single" w:sz="4" w:space="0" w:color="auto"/>
        </w:tblBorders>
        <w:tblLook w:val="04A0"/>
      </w:tblPr>
      <w:tblGrid>
        <w:gridCol w:w="1943"/>
        <w:gridCol w:w="1121"/>
        <w:gridCol w:w="1122"/>
        <w:gridCol w:w="1122"/>
        <w:gridCol w:w="1122"/>
        <w:gridCol w:w="1049"/>
        <w:gridCol w:w="1049"/>
      </w:tblGrid>
      <w:tr w:rsidR="007C1F9F" w:rsidRPr="001D1767" w:rsidTr="00186172">
        <w:tc>
          <w:tcPr>
            <w:tcW w:w="194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p>
        </w:tc>
        <w:tc>
          <w:tcPr>
            <w:tcW w:w="11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2013</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2014</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2015</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2016</w:t>
            </w:r>
          </w:p>
        </w:tc>
        <w:tc>
          <w:tcPr>
            <w:tcW w:w="104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2017</w:t>
            </w:r>
          </w:p>
        </w:tc>
        <w:tc>
          <w:tcPr>
            <w:tcW w:w="104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Total</w:t>
            </w:r>
          </w:p>
        </w:tc>
      </w:tr>
      <w:tr w:rsidR="007C1F9F" w:rsidRPr="001D1767" w:rsidTr="00186172">
        <w:tc>
          <w:tcPr>
            <w:tcW w:w="1943" w:type="dxa"/>
            <w:shd w:val="clear" w:color="auto" w:fill="auto"/>
            <w:noWrap/>
            <w:tcMar>
              <w:top w:w="0" w:type="dxa"/>
              <w:bottom w:w="0" w:type="dxa"/>
            </w:tcMar>
            <w:vAlign w:val="center"/>
          </w:tcPr>
          <w:p w:rsidR="007C1F9F" w:rsidRPr="00163B37" w:rsidRDefault="007C1F9F" w:rsidP="00186172">
            <w:pPr>
              <w:pStyle w:val="AERtabletext"/>
            </w:pPr>
            <w:r>
              <w:t>APA GasNet</w:t>
            </w:r>
            <w:r w:rsidRPr="00163B37">
              <w:t xml:space="preserve"> proposal</w:t>
            </w:r>
          </w:p>
        </w:tc>
        <w:tc>
          <w:tcPr>
            <w:tcW w:w="1121" w:type="dxa"/>
            <w:shd w:val="clear" w:color="auto" w:fill="auto"/>
            <w:noWrap/>
            <w:tcMar>
              <w:top w:w="0" w:type="dxa"/>
              <w:bottom w:w="0" w:type="dxa"/>
            </w:tcMar>
            <w:vAlign w:val="center"/>
          </w:tcPr>
          <w:p w:rsidR="007C1F9F" w:rsidRPr="006804CE" w:rsidRDefault="007C1F9F" w:rsidP="00186172">
            <w:pPr>
              <w:pStyle w:val="AERtabletext-numbers"/>
            </w:pPr>
            <w:r w:rsidRPr="006804CE">
              <w:t>1724</w:t>
            </w:r>
          </w:p>
        </w:tc>
        <w:tc>
          <w:tcPr>
            <w:tcW w:w="1122" w:type="dxa"/>
            <w:shd w:val="clear" w:color="auto" w:fill="auto"/>
            <w:noWrap/>
            <w:tcMar>
              <w:top w:w="0" w:type="dxa"/>
              <w:bottom w:w="0" w:type="dxa"/>
            </w:tcMar>
            <w:vAlign w:val="center"/>
          </w:tcPr>
          <w:p w:rsidR="007C1F9F" w:rsidRPr="006804CE" w:rsidRDefault="007C1F9F" w:rsidP="00186172">
            <w:pPr>
              <w:pStyle w:val="AERtabletext-numbers"/>
            </w:pPr>
            <w:r w:rsidRPr="006804CE">
              <w:t>328</w:t>
            </w:r>
          </w:p>
        </w:tc>
        <w:tc>
          <w:tcPr>
            <w:tcW w:w="1122" w:type="dxa"/>
            <w:shd w:val="clear" w:color="auto" w:fill="auto"/>
            <w:noWrap/>
            <w:tcMar>
              <w:top w:w="0" w:type="dxa"/>
              <w:bottom w:w="0" w:type="dxa"/>
            </w:tcMar>
            <w:vAlign w:val="center"/>
          </w:tcPr>
          <w:p w:rsidR="007C1F9F" w:rsidRPr="006804CE" w:rsidRDefault="007C1F9F" w:rsidP="00186172">
            <w:pPr>
              <w:pStyle w:val="AERtabletext-numbers"/>
            </w:pPr>
            <w:r w:rsidRPr="006804CE">
              <w:t>–1888</w:t>
            </w:r>
          </w:p>
        </w:tc>
        <w:tc>
          <w:tcPr>
            <w:tcW w:w="1122" w:type="dxa"/>
            <w:shd w:val="clear" w:color="auto" w:fill="auto"/>
            <w:noWrap/>
            <w:tcMar>
              <w:top w:w="0" w:type="dxa"/>
              <w:bottom w:w="0" w:type="dxa"/>
            </w:tcMar>
            <w:vAlign w:val="center"/>
          </w:tcPr>
          <w:p w:rsidR="007C1F9F" w:rsidRPr="006804CE" w:rsidRDefault="007C1F9F" w:rsidP="00186172">
            <w:pPr>
              <w:pStyle w:val="AERtabletext-numbers"/>
            </w:pPr>
            <w:r w:rsidRPr="006804CE">
              <w:t>–2798</w:t>
            </w:r>
          </w:p>
        </w:tc>
        <w:tc>
          <w:tcPr>
            <w:tcW w:w="1049" w:type="dxa"/>
            <w:shd w:val="clear" w:color="auto" w:fill="auto"/>
            <w:noWrap/>
            <w:tcMar>
              <w:top w:w="0" w:type="dxa"/>
              <w:bottom w:w="0" w:type="dxa"/>
            </w:tcMar>
            <w:vAlign w:val="center"/>
          </w:tcPr>
          <w:p w:rsidR="007C1F9F" w:rsidRPr="006804CE" w:rsidRDefault="007C1F9F" w:rsidP="00186172">
            <w:pPr>
              <w:pStyle w:val="AERtabletext-numbers"/>
            </w:pPr>
            <w:r>
              <w:t>–</w:t>
            </w:r>
          </w:p>
        </w:tc>
        <w:tc>
          <w:tcPr>
            <w:tcW w:w="1049" w:type="dxa"/>
            <w:shd w:val="clear" w:color="auto" w:fill="auto"/>
            <w:noWrap/>
            <w:tcMar>
              <w:top w:w="0" w:type="dxa"/>
              <w:bottom w:w="0" w:type="dxa"/>
            </w:tcMar>
            <w:vAlign w:val="center"/>
          </w:tcPr>
          <w:p w:rsidR="007C1F9F" w:rsidRPr="006804CE" w:rsidRDefault="007C1F9F" w:rsidP="00186172">
            <w:pPr>
              <w:pStyle w:val="AERtabletext-numbers"/>
            </w:pPr>
            <w:r w:rsidRPr="006804CE">
              <w:t>–2634</w:t>
            </w:r>
          </w:p>
        </w:tc>
      </w:tr>
    </w:tbl>
    <w:p w:rsidR="007C1F9F" w:rsidRPr="00A76E1D" w:rsidRDefault="007C1F9F" w:rsidP="007C1F9F">
      <w:pPr>
        <w:pStyle w:val="AERtablesource"/>
      </w:pPr>
      <w:r w:rsidRPr="00C24617">
        <w:t xml:space="preserve">Source:  </w:t>
      </w:r>
      <w:r>
        <w:t>APA GasNet,</w:t>
      </w:r>
      <w:r w:rsidRPr="00C24617">
        <w:t xml:space="preserve"> </w:t>
      </w:r>
      <w:r w:rsidRPr="00C32F6B">
        <w:rPr>
          <w:rStyle w:val="AERtextitalic"/>
        </w:rPr>
        <w:t xml:space="preserve">Access </w:t>
      </w:r>
      <w:r>
        <w:rPr>
          <w:rStyle w:val="AERtextitalic"/>
        </w:rPr>
        <w:t>a</w:t>
      </w:r>
      <w:r w:rsidRPr="00C32F6B">
        <w:rPr>
          <w:rStyle w:val="AERtextitalic"/>
        </w:rPr>
        <w:t xml:space="preserve">rrangement </w:t>
      </w:r>
      <w:r>
        <w:rPr>
          <w:rStyle w:val="AERtextitalic"/>
        </w:rPr>
        <w:t>i</w:t>
      </w:r>
      <w:r w:rsidRPr="00C32F6B">
        <w:rPr>
          <w:rStyle w:val="AERtextitalic"/>
        </w:rPr>
        <w:t>nformation</w:t>
      </w:r>
      <w:r>
        <w:t xml:space="preserve">, </w:t>
      </w:r>
      <w:r w:rsidRPr="001434E4">
        <w:t>31 March 2012</w:t>
      </w:r>
      <w:r>
        <w:t>, table 9.2, p. 24.</w:t>
      </w:r>
    </w:p>
    <w:p w:rsidR="007C1F9F" w:rsidRPr="00163B37" w:rsidRDefault="007C1F9F" w:rsidP="007C1F9F">
      <w:pPr>
        <w:pStyle w:val="AERheading3"/>
        <w:numPr>
          <w:ilvl w:val="2"/>
          <w:numId w:val="7"/>
        </w:numPr>
        <w:tabs>
          <w:tab w:val="clear" w:pos="-357"/>
          <w:tab w:val="num" w:pos="0"/>
        </w:tabs>
        <w:ind w:left="0" w:hanging="714"/>
      </w:pPr>
      <w:r>
        <w:t>Proposed incentive mechanism</w:t>
      </w:r>
      <w:r w:rsidRPr="00163B37">
        <w:t xml:space="preserve"> for the 2013–17 access arrangement period</w:t>
      </w:r>
    </w:p>
    <w:p w:rsidR="007C1F9F" w:rsidRPr="00EA151E" w:rsidRDefault="007C1F9F" w:rsidP="007C1F9F">
      <w:pPr>
        <w:pStyle w:val="AERbodytext"/>
      </w:pPr>
      <w:r>
        <w:t>APA GasNet</w:t>
      </w:r>
      <w:r w:rsidRPr="00EA151E">
        <w:t xml:space="preserve"> proposed </w:t>
      </w:r>
      <w:r>
        <w:t xml:space="preserve">to include </w:t>
      </w:r>
      <w:r w:rsidRPr="00EA151E">
        <w:t xml:space="preserve">a rolling carryover incentive mechanism </w:t>
      </w:r>
      <w:r>
        <w:t xml:space="preserve">for </w:t>
      </w:r>
      <w:r w:rsidRPr="00EA151E">
        <w:t xml:space="preserve">opex in its </w:t>
      </w:r>
      <w:r>
        <w:t>A</w:t>
      </w:r>
      <w:r w:rsidRPr="00EA151E">
        <w:t>ccess arrangement</w:t>
      </w:r>
      <w:r>
        <w:t xml:space="preserve"> for 2013–17 </w:t>
      </w:r>
      <w:r w:rsidRPr="00280C3C">
        <w:t>as a fixed principle</w:t>
      </w:r>
      <w:r>
        <w:t>. It</w:t>
      </w:r>
      <w:r w:rsidRPr="00EA151E">
        <w:t xml:space="preserve"> proposed </w:t>
      </w:r>
      <w:r>
        <w:t>to apply the</w:t>
      </w:r>
      <w:r w:rsidRPr="00EA151E">
        <w:t xml:space="preserve"> incentive mechanism only to the first four years of the access arrangement as the final year </w:t>
      </w:r>
      <w:r>
        <w:t>will not be</w:t>
      </w:r>
      <w:r w:rsidRPr="00EA151E">
        <w:t xml:space="preserve"> completed when the </w:t>
      </w:r>
      <w:r>
        <w:t>carryover is calculated</w:t>
      </w:r>
      <w:r w:rsidRPr="00EA151E">
        <w:t>.</w:t>
      </w:r>
      <w:r w:rsidRPr="009E339A">
        <w:rPr>
          <w:rStyle w:val="AERsuperscript"/>
        </w:rPr>
        <w:footnoteReference w:id="530"/>
      </w:r>
      <w:r w:rsidRPr="00EA151E">
        <w:t xml:space="preserve">  This approach assumes no additional efficiency gain in the last year of the access arrangement period.</w:t>
      </w:r>
    </w:p>
    <w:p w:rsidR="007C1F9F" w:rsidRPr="00EA151E" w:rsidRDefault="007C1F9F" w:rsidP="007C1F9F">
      <w:pPr>
        <w:pStyle w:val="AERbodytext"/>
      </w:pPr>
      <w:r>
        <w:t>APA GasNet</w:t>
      </w:r>
      <w:r w:rsidRPr="00EA151E">
        <w:t xml:space="preserve"> proposed </w:t>
      </w:r>
      <w:r>
        <w:t>efficiency gains (or losses) be calculated on an incremental basis.</w:t>
      </w:r>
      <w:r w:rsidRPr="00EA151E">
        <w:t xml:space="preserve"> </w:t>
      </w:r>
      <w:r>
        <w:t>It</w:t>
      </w:r>
      <w:r w:rsidRPr="00EA151E">
        <w:t xml:space="preserve"> proposed efficiency gain (or loss) for the first year of the access arrangement </w:t>
      </w:r>
      <w:r>
        <w:t>be calculated</w:t>
      </w:r>
      <w:r w:rsidRPr="00EA151E">
        <w:t xml:space="preserve"> as follows:</w:t>
      </w:r>
      <w:r w:rsidRPr="001335D7">
        <w:rPr>
          <w:rStyle w:val="AERsuperscript"/>
        </w:rPr>
        <w:footnoteReference w:id="531"/>
      </w:r>
    </w:p>
    <w:p w:rsidR="007C1F9F" w:rsidRPr="00163B37" w:rsidRDefault="007C1F9F" w:rsidP="007C1F9F">
      <w:pPr>
        <w:pStyle w:val="AERbodytextindent1"/>
        <w:rPr>
          <w:rStyle w:val="AERsubscript"/>
        </w:rPr>
      </w:pPr>
      <w:r>
        <w:t>E</w:t>
      </w:r>
      <w:r w:rsidRPr="00413A81">
        <w:rPr>
          <w:rStyle w:val="AERsubscript"/>
        </w:rPr>
        <w:t>2013</w:t>
      </w:r>
      <w:r>
        <w:t xml:space="preserve"> = F</w:t>
      </w:r>
      <w:r w:rsidRPr="00413A81">
        <w:rPr>
          <w:rStyle w:val="AERsubscript"/>
        </w:rPr>
        <w:t>2013</w:t>
      </w:r>
      <w:r>
        <w:t xml:space="preserve"> – A</w:t>
      </w:r>
      <w:r w:rsidRPr="00413A81">
        <w:rPr>
          <w:rStyle w:val="AERsubscript"/>
        </w:rPr>
        <w:t>2013</w:t>
      </w:r>
    </w:p>
    <w:p w:rsidR="007C1F9F" w:rsidRDefault="007C1F9F" w:rsidP="007C1F9F">
      <w:pPr>
        <w:pStyle w:val="AERbodytextindent1"/>
      </w:pPr>
      <w:r>
        <w:t>where:</w:t>
      </w:r>
    </w:p>
    <w:p w:rsidR="007C1F9F" w:rsidRDefault="007C1F9F" w:rsidP="007C1F9F">
      <w:pPr>
        <w:pStyle w:val="AERbodytextindent1"/>
      </w:pPr>
      <w:r>
        <w:t>F</w:t>
      </w:r>
      <w:r w:rsidRPr="00413A81">
        <w:rPr>
          <w:rStyle w:val="AERsubscript"/>
        </w:rPr>
        <w:t>2013</w:t>
      </w:r>
      <w:r>
        <w:t xml:space="preserve"> = APA GasNet's forecast operating costs for 2013</w:t>
      </w:r>
    </w:p>
    <w:p w:rsidR="007C1F9F" w:rsidRDefault="007C1F9F" w:rsidP="007C1F9F">
      <w:pPr>
        <w:pStyle w:val="AERbodytextindent1"/>
      </w:pPr>
      <w:r>
        <w:t>A</w:t>
      </w:r>
      <w:r w:rsidRPr="00413A81">
        <w:rPr>
          <w:rStyle w:val="AERsubscript"/>
        </w:rPr>
        <w:t>2013</w:t>
      </w:r>
      <w:r>
        <w:t xml:space="preserve"> = APA GasNet's actual operating costs for 2013.</w:t>
      </w:r>
    </w:p>
    <w:p w:rsidR="007C1F9F" w:rsidRDefault="007C1F9F" w:rsidP="007C1F9F">
      <w:pPr>
        <w:pStyle w:val="AERbodytext"/>
      </w:pPr>
      <w:r>
        <w:t>APA GasNet proposed efficiency gains for 2014, 2015 and 2016 be calculated as follows:</w:t>
      </w:r>
      <w:r>
        <w:rPr>
          <w:rStyle w:val="FootnoteReference"/>
        </w:rPr>
        <w:footnoteReference w:id="532"/>
      </w:r>
    </w:p>
    <w:p w:rsidR="007C1F9F" w:rsidRPr="00163B37" w:rsidRDefault="007C1F9F" w:rsidP="007C1F9F">
      <w:pPr>
        <w:pStyle w:val="AERbodytextindent1"/>
      </w:pPr>
      <w:r>
        <w:t>E</w:t>
      </w:r>
      <w:r>
        <w:rPr>
          <w:rStyle w:val="AERsubscript"/>
        </w:rPr>
        <w:t>t</w:t>
      </w:r>
      <w:r>
        <w:t xml:space="preserve"> = (A</w:t>
      </w:r>
      <w:r>
        <w:rPr>
          <w:rStyle w:val="AERsubscript"/>
        </w:rPr>
        <w:t>t–1</w:t>
      </w:r>
      <w:r>
        <w:t xml:space="preserve"> – A</w:t>
      </w:r>
      <w:r>
        <w:rPr>
          <w:rStyle w:val="AERsubscript"/>
        </w:rPr>
        <w:t>t</w:t>
      </w:r>
      <w:r>
        <w:t>) – (F</w:t>
      </w:r>
      <w:r>
        <w:rPr>
          <w:rStyle w:val="AERsubscript"/>
        </w:rPr>
        <w:t>t–1</w:t>
      </w:r>
      <w:r>
        <w:t xml:space="preserve"> – F</w:t>
      </w:r>
      <w:r>
        <w:rPr>
          <w:rStyle w:val="AERsubscript"/>
        </w:rPr>
        <w:t>t</w:t>
      </w:r>
      <w:r>
        <w:t>)</w:t>
      </w:r>
    </w:p>
    <w:p w:rsidR="007C1F9F" w:rsidRDefault="007C1F9F" w:rsidP="007C1F9F">
      <w:pPr>
        <w:pStyle w:val="AERbodytextindent1"/>
      </w:pPr>
      <w:r>
        <w:t>where:</w:t>
      </w:r>
    </w:p>
    <w:p w:rsidR="007C1F9F" w:rsidRDefault="007C1F9F" w:rsidP="007C1F9F">
      <w:pPr>
        <w:pStyle w:val="AERbodytextindent1"/>
      </w:pPr>
      <w:r>
        <w:t>A</w:t>
      </w:r>
      <w:r>
        <w:rPr>
          <w:rStyle w:val="AERsubscript"/>
        </w:rPr>
        <w:t>t–1</w:t>
      </w:r>
      <w:r>
        <w:t xml:space="preserve"> = APA GasNet's actual operating costs for the year prior to year (t)</w:t>
      </w:r>
    </w:p>
    <w:p w:rsidR="007C1F9F" w:rsidRDefault="007C1F9F" w:rsidP="007C1F9F">
      <w:pPr>
        <w:pStyle w:val="AERbodytextindent1"/>
      </w:pPr>
      <w:r>
        <w:t>A</w:t>
      </w:r>
      <w:r>
        <w:rPr>
          <w:rStyle w:val="AERsubscript"/>
        </w:rPr>
        <w:t>t</w:t>
      </w:r>
      <w:r>
        <w:t xml:space="preserve"> = APA GasNet's actual operating costs for year (t)</w:t>
      </w:r>
    </w:p>
    <w:p w:rsidR="007C1F9F" w:rsidRDefault="007C1F9F" w:rsidP="007C1F9F">
      <w:pPr>
        <w:pStyle w:val="AERbodytextindent1"/>
      </w:pPr>
      <w:r>
        <w:t>F</w:t>
      </w:r>
      <w:r>
        <w:rPr>
          <w:rStyle w:val="AERsubscript"/>
        </w:rPr>
        <w:t>t–1</w:t>
      </w:r>
      <w:r>
        <w:t xml:space="preserve"> = APA GasNet's forecast operating costs for the year prior to year (t)</w:t>
      </w:r>
    </w:p>
    <w:p w:rsidR="007C1F9F" w:rsidRDefault="007C1F9F" w:rsidP="007C1F9F">
      <w:pPr>
        <w:pStyle w:val="AERbodytextindent1"/>
      </w:pPr>
      <w:r>
        <w:t>F</w:t>
      </w:r>
      <w:r>
        <w:rPr>
          <w:rStyle w:val="AERsubscript"/>
        </w:rPr>
        <w:t xml:space="preserve">t </w:t>
      </w:r>
      <w:r>
        <w:t>= APA GasNet's forecast operating costs for year (t)</w:t>
      </w:r>
    </w:p>
    <w:p w:rsidR="007C1F9F" w:rsidRPr="00EA151E" w:rsidRDefault="007C1F9F" w:rsidP="007C1F9F">
      <w:pPr>
        <w:pStyle w:val="AERbodytext"/>
      </w:pPr>
      <w:r>
        <w:t>The proposed fixed principle specifies how the forecast and actual opex must be determined for the purpose of the incentive mechanism.</w:t>
      </w:r>
      <w:r>
        <w:rPr>
          <w:rStyle w:val="FootnoteReference"/>
        </w:rPr>
        <w:footnoteReference w:id="533"/>
      </w:r>
      <w:r>
        <w:t xml:space="preserve"> It also specifies the approach the AER must use to forecast opex for the access arrangement period commencing 1 January 2018.</w:t>
      </w:r>
    </w:p>
    <w:p w:rsidR="007C1F9F" w:rsidRPr="00163B37" w:rsidRDefault="007C1F9F" w:rsidP="007C1F9F">
      <w:pPr>
        <w:pStyle w:val="AERheading2"/>
        <w:numPr>
          <w:ilvl w:val="1"/>
          <w:numId w:val="7"/>
        </w:numPr>
        <w:tabs>
          <w:tab w:val="clear" w:pos="4317"/>
          <w:tab w:val="num" w:pos="0"/>
        </w:tabs>
        <w:ind w:left="0" w:hanging="720"/>
      </w:pPr>
      <w:bookmarkStart w:id="125" w:name="_Toc334543787"/>
      <w:r>
        <w:t xml:space="preserve">AER </w:t>
      </w:r>
      <w:r w:rsidRPr="00163B37">
        <w:t>assessment approach</w:t>
      </w:r>
      <w:bookmarkEnd w:id="125"/>
    </w:p>
    <w:p w:rsidR="007C1F9F" w:rsidRDefault="007C1F9F" w:rsidP="007C1F9F">
      <w:pPr>
        <w:pStyle w:val="AERbodytext"/>
        <w:rPr>
          <w:rStyle w:val="AERbody"/>
        </w:rPr>
      </w:pPr>
      <w:r>
        <w:rPr>
          <w:rStyle w:val="AERbody"/>
        </w:rPr>
        <w:t>Under the NGR, the AER must:</w:t>
      </w:r>
    </w:p>
    <w:p w:rsidR="007C1F9F" w:rsidRDefault="007C1F9F" w:rsidP="007C1F9F">
      <w:pPr>
        <w:pStyle w:val="AERbulletlistfirststyle"/>
        <w:rPr>
          <w:rStyle w:val="AERbody"/>
        </w:rPr>
      </w:pPr>
      <w:r w:rsidRPr="00B53E60">
        <w:rPr>
          <w:rStyle w:val="AERbody"/>
        </w:rPr>
        <w:t xml:space="preserve">take into account the operation of </w:t>
      </w:r>
      <w:r>
        <w:rPr>
          <w:rStyle w:val="AERbody"/>
        </w:rPr>
        <w:t xml:space="preserve">the benefit sharing </w:t>
      </w:r>
      <w:r w:rsidRPr="00B53E60">
        <w:rPr>
          <w:rStyle w:val="AERbody"/>
        </w:rPr>
        <w:t xml:space="preserve">mechanism approved </w:t>
      </w:r>
      <w:r>
        <w:rPr>
          <w:rStyle w:val="AERbody"/>
        </w:rPr>
        <w:t xml:space="preserve">in the </w:t>
      </w:r>
      <w:r>
        <w:rPr>
          <w:rStyle w:val="AERbody"/>
        </w:rPr>
        <w:br/>
        <w:t xml:space="preserve">2008–12 Access arrangement </w:t>
      </w:r>
      <w:r w:rsidRPr="00B53E60">
        <w:rPr>
          <w:rStyle w:val="AERbody"/>
        </w:rPr>
        <w:t xml:space="preserve">and ensure </w:t>
      </w:r>
      <w:r>
        <w:rPr>
          <w:rStyle w:val="AERbody"/>
        </w:rPr>
        <w:t xml:space="preserve">the </w:t>
      </w:r>
      <w:r w:rsidRPr="00B53E60">
        <w:rPr>
          <w:rStyle w:val="AERbody"/>
        </w:rPr>
        <w:t xml:space="preserve">revenue calculations made for the </w:t>
      </w:r>
      <w:r>
        <w:rPr>
          <w:rStyle w:val="AERbody"/>
        </w:rPr>
        <w:t xml:space="preserve">2013–17 access arrangement period </w:t>
      </w:r>
      <w:r w:rsidRPr="00B53E60">
        <w:rPr>
          <w:rStyle w:val="AERbody"/>
        </w:rPr>
        <w:t xml:space="preserve">properly reflect increments or decrements resulting from the operation of the </w:t>
      </w:r>
      <w:r>
        <w:rPr>
          <w:rStyle w:val="AERbody"/>
        </w:rPr>
        <w:t xml:space="preserve">benefit sharing </w:t>
      </w:r>
      <w:r w:rsidRPr="00B53E60">
        <w:rPr>
          <w:rStyle w:val="AERbody"/>
        </w:rPr>
        <w:t>mechanism</w:t>
      </w:r>
      <w:r w:rsidRPr="003453A2">
        <w:rPr>
          <w:rStyle w:val="AERsuperscript"/>
        </w:rPr>
        <w:footnoteReference w:id="534"/>
      </w:r>
      <w:r w:rsidRPr="00B53E60">
        <w:rPr>
          <w:rStyle w:val="AERbody"/>
        </w:rPr>
        <w:t xml:space="preserve"> </w:t>
      </w:r>
    </w:p>
    <w:p w:rsidR="007C1F9F" w:rsidRPr="00B53E60" w:rsidRDefault="007C1F9F" w:rsidP="007C1F9F">
      <w:pPr>
        <w:pStyle w:val="AERbulletlistfirststyle"/>
        <w:rPr>
          <w:rStyle w:val="AERbody"/>
        </w:rPr>
      </w:pPr>
      <w:r>
        <w:rPr>
          <w:rStyle w:val="AERbody"/>
        </w:rPr>
        <w:t xml:space="preserve">decide whether the 2013–17 Access arrangement includes </w:t>
      </w:r>
      <w:r w:rsidRPr="006D612B">
        <w:rPr>
          <w:rStyle w:val="AERbody"/>
        </w:rPr>
        <w:t xml:space="preserve">one or more incentive mechanisms to encourage efficiency in the provision of services by </w:t>
      </w:r>
      <w:r>
        <w:t>APA GasNet.</w:t>
      </w:r>
      <w:r w:rsidRPr="006D612B">
        <w:rPr>
          <w:rStyle w:val="FootnoteReference"/>
        </w:rPr>
        <w:footnoteReference w:id="535"/>
      </w:r>
    </w:p>
    <w:p w:rsidR="007C1F9F" w:rsidRDefault="007C1F9F" w:rsidP="007C1F9F">
      <w:pPr>
        <w:pStyle w:val="AERbodytext"/>
        <w:rPr>
          <w:rStyle w:val="AERbody"/>
        </w:rPr>
      </w:pPr>
      <w:r>
        <w:rPr>
          <w:rStyle w:val="AERbody"/>
        </w:rPr>
        <w:t xml:space="preserve">In ensuring the </w:t>
      </w:r>
      <w:r w:rsidRPr="006D612B">
        <w:rPr>
          <w:rStyle w:val="AERbody"/>
        </w:rPr>
        <w:t xml:space="preserve">2013–17 access arrangement period properly reflect increments or decrements resulting from the operation of the </w:t>
      </w:r>
      <w:r>
        <w:rPr>
          <w:rStyle w:val="AERbody"/>
        </w:rPr>
        <w:t>benefit sharing</w:t>
      </w:r>
      <w:r w:rsidRPr="006D612B">
        <w:rPr>
          <w:rStyle w:val="AERbody"/>
        </w:rPr>
        <w:t xml:space="preserve"> mechanism</w:t>
      </w:r>
      <w:r>
        <w:rPr>
          <w:rStyle w:val="AERbody"/>
        </w:rPr>
        <w:t>, the AER has calculated the carryover resulting from the application of the benefit sharing mechanism as set out in the 2008–12 Access arrangement.</w:t>
      </w:r>
    </w:p>
    <w:p w:rsidR="007C1F9F" w:rsidRDefault="007C1F9F" w:rsidP="007C1F9F">
      <w:pPr>
        <w:pStyle w:val="AERbodytext"/>
      </w:pPr>
      <w:r>
        <w:rPr>
          <w:rStyle w:val="AERbody"/>
        </w:rPr>
        <w:t>In determining whether the AER should require an incentive mechanism to be included in the 2013–17 Access arrangement</w:t>
      </w:r>
      <w:r>
        <w:t>, the AER considered:</w:t>
      </w:r>
    </w:p>
    <w:p w:rsidR="007C1F9F" w:rsidRDefault="007C1F9F" w:rsidP="007C1F9F">
      <w:pPr>
        <w:pStyle w:val="AERbulletlistfirststyle"/>
      </w:pPr>
      <w:r>
        <w:t>the rationale for applying an incentive mechanism and whether it would encourage efficiency in the provision of services by APA GasNet</w:t>
      </w:r>
    </w:p>
    <w:p w:rsidR="007C1F9F" w:rsidRDefault="007C1F9F" w:rsidP="007C1F9F">
      <w:pPr>
        <w:pStyle w:val="AERbulletlistfirststyle"/>
      </w:pPr>
      <w:r>
        <w:t>the appropriate parameters of an incentive mechanism and the specific circumstances of APA GasNet</w:t>
      </w:r>
      <w:r>
        <w:rPr>
          <w:rStyle w:val="FootnoteReference"/>
        </w:rPr>
        <w:footnoteReference w:id="536"/>
      </w:r>
    </w:p>
    <w:p w:rsidR="007C1F9F" w:rsidRDefault="007C1F9F" w:rsidP="007C1F9F">
      <w:pPr>
        <w:pStyle w:val="AERbulletlistfirststyle"/>
      </w:pPr>
      <w:r>
        <w:t>the RPP.</w:t>
      </w:r>
    </w:p>
    <w:p w:rsidR="007C1F9F" w:rsidRPr="00163B37" w:rsidRDefault="007C1F9F" w:rsidP="007C1F9F">
      <w:pPr>
        <w:pStyle w:val="AERheading2"/>
        <w:numPr>
          <w:ilvl w:val="1"/>
          <w:numId w:val="7"/>
        </w:numPr>
        <w:tabs>
          <w:tab w:val="clear" w:pos="4317"/>
          <w:tab w:val="num" w:pos="0"/>
        </w:tabs>
        <w:ind w:left="0" w:hanging="720"/>
      </w:pPr>
      <w:bookmarkStart w:id="126" w:name="_Toc334543788"/>
      <w:r>
        <w:t xml:space="preserve">Reasons </w:t>
      </w:r>
      <w:r w:rsidRPr="00163B37">
        <w:t>for decision</w:t>
      </w:r>
      <w:bookmarkEnd w:id="126"/>
    </w:p>
    <w:p w:rsidR="007C1F9F" w:rsidRPr="00163B37" w:rsidRDefault="007C1F9F" w:rsidP="007C1F9F">
      <w:pPr>
        <w:pStyle w:val="AERheading3"/>
        <w:numPr>
          <w:ilvl w:val="2"/>
          <w:numId w:val="7"/>
        </w:numPr>
        <w:tabs>
          <w:tab w:val="clear" w:pos="-357"/>
          <w:tab w:val="num" w:pos="0"/>
        </w:tabs>
        <w:ind w:left="0" w:hanging="714"/>
      </w:pPr>
      <w:r>
        <w:t xml:space="preserve">Carryover from the </w:t>
      </w:r>
      <w:r w:rsidRPr="00163B37">
        <w:t>2008–12 access arrangement period</w:t>
      </w:r>
    </w:p>
    <w:p w:rsidR="007C1F9F" w:rsidRDefault="007C1F9F" w:rsidP="007C1F9F">
      <w:pPr>
        <w:pStyle w:val="AERbodytext"/>
      </w:pPr>
      <w:r>
        <w:t>The mechanism for the carrying over of efficiency gains (or losses) is set out in clause 7.2 of APA GasNet's 2008–12 Access arrangement. The AER considers APA GasNet did not correctly calculate the carryover in accordance with clause 7.2.</w:t>
      </w:r>
      <w:r>
        <w:rPr>
          <w:rStyle w:val="FootnoteReference"/>
        </w:rPr>
        <w:footnoteReference w:id="537"/>
      </w:r>
      <w:r>
        <w:t xml:space="preserve">  Specifically, APA GasNet adjusted the forecast opex benchmarks in the 2008–12 access arrangement period by:</w:t>
      </w:r>
    </w:p>
    <w:p w:rsidR="007C1F9F" w:rsidRPr="003249C1" w:rsidRDefault="007C1F9F" w:rsidP="007C1F9F">
      <w:pPr>
        <w:pStyle w:val="AERbulletlistfirststyle"/>
      </w:pPr>
      <w:r w:rsidRPr="003249C1">
        <w:t>subtract</w:t>
      </w:r>
      <w:r>
        <w:t>ing</w:t>
      </w:r>
      <w:r w:rsidRPr="003249C1">
        <w:t xml:space="preserve"> the efficiency carryover </w:t>
      </w:r>
      <w:r>
        <w:t xml:space="preserve">amounts </w:t>
      </w:r>
      <w:r w:rsidRPr="003249C1">
        <w:t xml:space="preserve">from the </w:t>
      </w:r>
      <w:r>
        <w:t>2003–07</w:t>
      </w:r>
      <w:r w:rsidRPr="003249C1">
        <w:t xml:space="preserve"> access arrangement period </w:t>
      </w:r>
    </w:p>
    <w:p w:rsidR="007C1F9F" w:rsidRPr="003249C1" w:rsidRDefault="007C1F9F" w:rsidP="007C1F9F">
      <w:pPr>
        <w:pStyle w:val="AERbulletlistfirststyle"/>
      </w:pPr>
      <w:r w:rsidRPr="003249C1">
        <w:t>add</w:t>
      </w:r>
      <w:r>
        <w:t>ing</w:t>
      </w:r>
      <w:r w:rsidRPr="003249C1">
        <w:t xml:space="preserve"> the approved forecasts for asymmetric risk, equity raising costs and returns on inventories and linepack.</w:t>
      </w:r>
    </w:p>
    <w:p w:rsidR="007C1F9F" w:rsidRDefault="007C1F9F" w:rsidP="007C1F9F">
      <w:pPr>
        <w:pStyle w:val="AERbodytext"/>
      </w:pPr>
      <w:r>
        <w:t>This calculation does not meet the requirements set out in clause 7.2(f)</w:t>
      </w:r>
      <w:r w:rsidRPr="00A14DC0">
        <w:t xml:space="preserve"> </w:t>
      </w:r>
      <w:r>
        <w:t>of APA GasNet's 2008–12 Access arrangement.</w:t>
      </w:r>
      <w:r>
        <w:rPr>
          <w:rStyle w:val="FootnoteReference"/>
        </w:rPr>
        <w:footnoteReference w:id="538"/>
      </w:r>
    </w:p>
    <w:p w:rsidR="007C1F9F" w:rsidRDefault="007C1F9F" w:rsidP="007C1F9F">
      <w:pPr>
        <w:pStyle w:val="AERbodytext"/>
      </w:pPr>
      <w:r>
        <w:t xml:space="preserve">Clause 7.2(f)(i)(B) requires forecast opex for any year to be equal to </w:t>
      </w:r>
      <w:r w:rsidRPr="002A2FB1">
        <w:t xml:space="preserve">the total forecast opex in table 3.6 of </w:t>
      </w:r>
      <w:r>
        <w:t>APA GasNet</w:t>
      </w:r>
      <w:r w:rsidRPr="002A2FB1">
        <w:t xml:space="preserve">'s </w:t>
      </w:r>
      <w:r w:rsidRPr="00063C6E">
        <w:t xml:space="preserve">2008–12 </w:t>
      </w:r>
      <w:r>
        <w:t>A</w:t>
      </w:r>
      <w:r w:rsidRPr="00063C6E">
        <w:t xml:space="preserve">ccess arrangement information </w:t>
      </w:r>
      <w:r>
        <w:t>less any efficiency carryover from previous access arrangement periods.</w:t>
      </w:r>
      <w:r>
        <w:rPr>
          <w:rStyle w:val="FootnoteReference"/>
        </w:rPr>
        <w:footnoteReference w:id="539"/>
      </w:r>
      <w:r>
        <w:t xml:space="preserve">  The forecast opex benchmarks for the 2008–12 access arrangement period in table 3.6 do not include</w:t>
      </w:r>
      <w:r w:rsidRPr="00930B59">
        <w:t xml:space="preserve"> </w:t>
      </w:r>
      <w:r>
        <w:t xml:space="preserve">any efficiency carryover from previous access arrangement periods. Therefore the AER considers the forecast opex benchmarks already exclude any efficiency carryover and no subtraction from the total forecast opex is required. This reduces the negative carryover accrued by APA GasNet in the 2008–12 access arrangement period. </w:t>
      </w:r>
    </w:p>
    <w:p w:rsidR="007C1F9F" w:rsidRDefault="007C1F9F" w:rsidP="007C1F9F">
      <w:pPr>
        <w:pStyle w:val="AERbodytext"/>
      </w:pPr>
      <w:r>
        <w:t xml:space="preserve">Further, clause 7.2(f) only allows for the addition of specific costs to the forecasts. These costs do not include asymmetric risks, equity raising costs or returns on inventories and linepack. The AER therefore considers APA GasNet's additions to the forecast opex in table 3.6 of APA GasNet's </w:t>
      </w:r>
      <w:r w:rsidRPr="00063C6E">
        <w:t xml:space="preserve">2008–12 </w:t>
      </w:r>
      <w:r>
        <w:t>A</w:t>
      </w:r>
      <w:r w:rsidRPr="00063C6E">
        <w:t xml:space="preserve">ccess arrangement information </w:t>
      </w:r>
      <w:r>
        <w:t>do not accord with the requirements set out in clause 7.2.</w:t>
      </w:r>
    </w:p>
    <w:p w:rsidR="007C1F9F" w:rsidRDefault="007C1F9F" w:rsidP="007C1F9F">
      <w:pPr>
        <w:pStyle w:val="AERbodytext"/>
      </w:pPr>
      <w:r>
        <w:t xml:space="preserve">The actual opex used by </w:t>
      </w:r>
      <w:r w:rsidRPr="00065621">
        <w:t>APA GasNet</w:t>
      </w:r>
      <w:r>
        <w:t xml:space="preserve"> to calculate the carryover included</w:t>
      </w:r>
      <w:r w:rsidRPr="00065621">
        <w:t xml:space="preserve"> provisions. A provision is a liability of uncertain timing or amount. Provision accounts are used to set aside amounts for the payments of these liabilities for when they arise for settlement. A movement in provisions occurs when the amount set aside differs to the amount paid out. The AER considers the movement in these provisions does not represents actual costs incurred in a given year and should be removed from </w:t>
      </w:r>
      <w:r>
        <w:t>the carryover calculation</w:t>
      </w:r>
      <w:r w:rsidRPr="00065621">
        <w:t>.</w:t>
      </w:r>
      <w:r>
        <w:t xml:space="preserve"> The removal of movements in provisions from actual opex reduces the negative carryover accrued by APA GasNet in the 2008–12 access arrangement period.</w:t>
      </w:r>
    </w:p>
    <w:p w:rsidR="007C1F9F" w:rsidRDefault="007C1F9F" w:rsidP="007C1F9F">
      <w:pPr>
        <w:pStyle w:val="AERbodytext"/>
      </w:pPr>
      <w:r>
        <w:t>For these reasons, the AER has recalculated the benefit sharing allowance to ensure t</w:t>
      </w:r>
      <w:r>
        <w:rPr>
          <w:rStyle w:val="AERbody"/>
        </w:rPr>
        <w:t xml:space="preserve">he </w:t>
      </w:r>
      <w:r w:rsidRPr="00B53E60">
        <w:rPr>
          <w:rStyle w:val="AERbody"/>
        </w:rPr>
        <w:t xml:space="preserve">revenue calculations made for the </w:t>
      </w:r>
      <w:r>
        <w:rPr>
          <w:rStyle w:val="AERbody"/>
        </w:rPr>
        <w:t xml:space="preserve">2013–17 access arrangement period </w:t>
      </w:r>
      <w:r w:rsidRPr="00B53E60">
        <w:rPr>
          <w:rStyle w:val="AERbody"/>
        </w:rPr>
        <w:t xml:space="preserve">properly reflect increments or decrements resulting from the operation of the </w:t>
      </w:r>
      <w:r>
        <w:rPr>
          <w:rStyle w:val="AERbody"/>
        </w:rPr>
        <w:t xml:space="preserve">benefit sharing </w:t>
      </w:r>
      <w:r w:rsidRPr="00B53E60">
        <w:rPr>
          <w:rStyle w:val="AERbody"/>
        </w:rPr>
        <w:t>mechanism</w:t>
      </w:r>
      <w:r>
        <w:rPr>
          <w:rStyle w:val="AERbody"/>
        </w:rPr>
        <w:t xml:space="preserve">, in accordance with the requirements set out in </w:t>
      </w:r>
      <w:r>
        <w:t>clause 7.2 (</w:t>
      </w:r>
      <w:r w:rsidR="00DE0D6A">
        <w:fldChar w:fldCharType="begin"/>
      </w:r>
      <w:r>
        <w:instrText xml:space="preserve"> REF  _Ref326588293 \* Lower \h \r </w:instrText>
      </w:r>
      <w:r w:rsidR="00DE0D6A">
        <w:fldChar w:fldCharType="separate"/>
      </w:r>
      <w:r>
        <w:t>table 7.3</w:t>
      </w:r>
      <w:r w:rsidR="00DE0D6A">
        <w:fldChar w:fldCharType="end"/>
      </w:r>
      <w:r>
        <w:t>).</w:t>
      </w:r>
    </w:p>
    <w:p w:rsidR="007C1F9F" w:rsidRPr="00163B37" w:rsidRDefault="007C1F9F" w:rsidP="007C1F9F">
      <w:pPr>
        <w:pStyle w:val="AERtabletitle"/>
      </w:pPr>
      <w:bookmarkStart w:id="127" w:name="_Ref326588293"/>
      <w:r>
        <w:t>AER draft decision carryover</w:t>
      </w:r>
      <w:r w:rsidRPr="00163B37">
        <w:t xml:space="preserve"> from the 2008–12 access arrangement period ($'000, 2006)</w:t>
      </w:r>
      <w:bookmarkEnd w:id="127"/>
    </w:p>
    <w:tbl>
      <w:tblPr>
        <w:tblW w:w="0" w:type="auto"/>
        <w:tblBorders>
          <w:top w:val="single" w:sz="4" w:space="0" w:color="auto"/>
          <w:bottom w:val="single" w:sz="4" w:space="0" w:color="auto"/>
        </w:tblBorders>
        <w:tblLook w:val="04A0"/>
      </w:tblPr>
      <w:tblGrid>
        <w:gridCol w:w="1943"/>
        <w:gridCol w:w="1121"/>
        <w:gridCol w:w="1122"/>
        <w:gridCol w:w="1122"/>
        <w:gridCol w:w="1122"/>
        <w:gridCol w:w="1049"/>
        <w:gridCol w:w="1049"/>
      </w:tblGrid>
      <w:tr w:rsidR="007C1F9F" w:rsidRPr="001D1767" w:rsidTr="00186172">
        <w:tc>
          <w:tcPr>
            <w:tcW w:w="194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p>
        </w:tc>
        <w:tc>
          <w:tcPr>
            <w:tcW w:w="11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2013</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2014</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2015</w:t>
            </w:r>
          </w:p>
        </w:tc>
        <w:tc>
          <w:tcPr>
            <w:tcW w:w="11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2016</w:t>
            </w:r>
          </w:p>
        </w:tc>
        <w:tc>
          <w:tcPr>
            <w:tcW w:w="104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2017</w:t>
            </w:r>
          </w:p>
        </w:tc>
        <w:tc>
          <w:tcPr>
            <w:tcW w:w="104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163B37" w:rsidRDefault="007C1F9F" w:rsidP="00186172">
            <w:pPr>
              <w:pStyle w:val="AERtabletextheadingright"/>
            </w:pPr>
            <w:r w:rsidRPr="00163B37">
              <w:t>Total</w:t>
            </w:r>
          </w:p>
        </w:tc>
      </w:tr>
      <w:tr w:rsidR="007C1F9F" w:rsidRPr="001D1767" w:rsidTr="00186172">
        <w:tc>
          <w:tcPr>
            <w:tcW w:w="1943" w:type="dxa"/>
            <w:shd w:val="clear" w:color="auto" w:fill="auto"/>
            <w:noWrap/>
            <w:tcMar>
              <w:top w:w="0" w:type="dxa"/>
              <w:bottom w:w="0" w:type="dxa"/>
            </w:tcMar>
            <w:vAlign w:val="center"/>
          </w:tcPr>
          <w:p w:rsidR="007C1F9F" w:rsidRPr="00163B37" w:rsidRDefault="007C1F9F" w:rsidP="00186172">
            <w:pPr>
              <w:pStyle w:val="AERtabletext"/>
            </w:pPr>
            <w:r>
              <w:t>APA GasNet</w:t>
            </w:r>
            <w:r w:rsidRPr="00163B37">
              <w:t xml:space="preserve"> proposal</w:t>
            </w:r>
          </w:p>
        </w:tc>
        <w:tc>
          <w:tcPr>
            <w:tcW w:w="1121" w:type="dxa"/>
            <w:shd w:val="clear" w:color="auto" w:fill="auto"/>
            <w:noWrap/>
            <w:tcMar>
              <w:top w:w="0" w:type="dxa"/>
              <w:bottom w:w="0" w:type="dxa"/>
            </w:tcMar>
            <w:vAlign w:val="center"/>
          </w:tcPr>
          <w:p w:rsidR="007C1F9F" w:rsidRPr="006804CE" w:rsidRDefault="007C1F9F" w:rsidP="00186172">
            <w:pPr>
              <w:pStyle w:val="AERtabletext-numbers"/>
            </w:pPr>
            <w:r w:rsidRPr="006804CE">
              <w:t>1724</w:t>
            </w:r>
          </w:p>
        </w:tc>
        <w:tc>
          <w:tcPr>
            <w:tcW w:w="1122" w:type="dxa"/>
            <w:shd w:val="clear" w:color="auto" w:fill="auto"/>
            <w:noWrap/>
            <w:tcMar>
              <w:top w:w="0" w:type="dxa"/>
              <w:bottom w:w="0" w:type="dxa"/>
            </w:tcMar>
            <w:vAlign w:val="center"/>
          </w:tcPr>
          <w:p w:rsidR="007C1F9F" w:rsidRPr="006804CE" w:rsidRDefault="007C1F9F" w:rsidP="00186172">
            <w:pPr>
              <w:pStyle w:val="AERtabletext-numbers"/>
            </w:pPr>
            <w:r w:rsidRPr="006804CE">
              <w:t>328</w:t>
            </w:r>
          </w:p>
        </w:tc>
        <w:tc>
          <w:tcPr>
            <w:tcW w:w="1122" w:type="dxa"/>
            <w:shd w:val="clear" w:color="auto" w:fill="auto"/>
            <w:noWrap/>
            <w:tcMar>
              <w:top w:w="0" w:type="dxa"/>
              <w:bottom w:w="0" w:type="dxa"/>
            </w:tcMar>
            <w:vAlign w:val="center"/>
          </w:tcPr>
          <w:p w:rsidR="007C1F9F" w:rsidRPr="006804CE" w:rsidRDefault="007C1F9F" w:rsidP="00186172">
            <w:pPr>
              <w:pStyle w:val="AERtabletext-numbers"/>
            </w:pPr>
            <w:r w:rsidRPr="006804CE">
              <w:t>–1888</w:t>
            </w:r>
          </w:p>
        </w:tc>
        <w:tc>
          <w:tcPr>
            <w:tcW w:w="1122" w:type="dxa"/>
            <w:shd w:val="clear" w:color="auto" w:fill="auto"/>
            <w:noWrap/>
            <w:tcMar>
              <w:top w:w="0" w:type="dxa"/>
              <w:bottom w:w="0" w:type="dxa"/>
            </w:tcMar>
            <w:vAlign w:val="center"/>
          </w:tcPr>
          <w:p w:rsidR="007C1F9F" w:rsidRPr="006804CE" w:rsidRDefault="007C1F9F" w:rsidP="00186172">
            <w:pPr>
              <w:pStyle w:val="AERtabletext-numbers"/>
            </w:pPr>
            <w:r w:rsidRPr="006804CE">
              <w:t>–2798</w:t>
            </w:r>
          </w:p>
        </w:tc>
        <w:tc>
          <w:tcPr>
            <w:tcW w:w="1049" w:type="dxa"/>
            <w:shd w:val="clear" w:color="auto" w:fill="auto"/>
            <w:noWrap/>
            <w:tcMar>
              <w:top w:w="0" w:type="dxa"/>
              <w:bottom w:w="0" w:type="dxa"/>
            </w:tcMar>
            <w:vAlign w:val="center"/>
          </w:tcPr>
          <w:p w:rsidR="007C1F9F" w:rsidRPr="006804CE" w:rsidRDefault="007C1F9F" w:rsidP="00186172">
            <w:pPr>
              <w:pStyle w:val="AERtabletext-numbers"/>
            </w:pPr>
            <w:r>
              <w:t>–</w:t>
            </w:r>
          </w:p>
        </w:tc>
        <w:tc>
          <w:tcPr>
            <w:tcW w:w="1049" w:type="dxa"/>
            <w:shd w:val="clear" w:color="auto" w:fill="auto"/>
            <w:noWrap/>
            <w:tcMar>
              <w:top w:w="0" w:type="dxa"/>
              <w:bottom w:w="0" w:type="dxa"/>
            </w:tcMar>
            <w:vAlign w:val="center"/>
          </w:tcPr>
          <w:p w:rsidR="007C1F9F" w:rsidRPr="006804CE" w:rsidRDefault="007C1F9F" w:rsidP="00186172">
            <w:pPr>
              <w:pStyle w:val="AERtabletext-numbers"/>
            </w:pPr>
            <w:r w:rsidRPr="006804CE">
              <w:t>–2634</w:t>
            </w:r>
          </w:p>
        </w:tc>
      </w:tr>
      <w:tr w:rsidR="007C1F9F" w:rsidRPr="001D1767" w:rsidTr="00186172">
        <w:tc>
          <w:tcPr>
            <w:tcW w:w="1943" w:type="dxa"/>
            <w:shd w:val="clear" w:color="auto" w:fill="F8B47C"/>
            <w:noWrap/>
            <w:tcMar>
              <w:top w:w="0" w:type="dxa"/>
              <w:bottom w:w="0" w:type="dxa"/>
            </w:tcMar>
            <w:vAlign w:val="center"/>
          </w:tcPr>
          <w:p w:rsidR="007C1F9F" w:rsidRPr="009C03FC" w:rsidRDefault="007C1F9F" w:rsidP="00186172">
            <w:pPr>
              <w:pStyle w:val="AERtabletext"/>
            </w:pPr>
            <w:r w:rsidRPr="009C03FC">
              <w:t>AER draft decision</w:t>
            </w:r>
          </w:p>
        </w:tc>
        <w:tc>
          <w:tcPr>
            <w:tcW w:w="1121" w:type="dxa"/>
            <w:shd w:val="clear" w:color="auto" w:fill="F8B47C"/>
            <w:noWrap/>
            <w:tcMar>
              <w:top w:w="0" w:type="dxa"/>
              <w:bottom w:w="0" w:type="dxa"/>
            </w:tcMar>
          </w:tcPr>
          <w:p w:rsidR="007C1F9F" w:rsidRPr="009C03FC" w:rsidRDefault="007C1F9F" w:rsidP="00186172">
            <w:pPr>
              <w:pStyle w:val="AERtabletext-numbers"/>
            </w:pPr>
            <w:r w:rsidRPr="009C03FC">
              <w:t xml:space="preserve"> 823 </w:t>
            </w:r>
          </w:p>
        </w:tc>
        <w:tc>
          <w:tcPr>
            <w:tcW w:w="1122" w:type="dxa"/>
            <w:shd w:val="clear" w:color="auto" w:fill="F8B47C"/>
            <w:noWrap/>
            <w:tcMar>
              <w:top w:w="0" w:type="dxa"/>
              <w:bottom w:w="0" w:type="dxa"/>
            </w:tcMar>
          </w:tcPr>
          <w:p w:rsidR="007C1F9F" w:rsidRPr="009C03FC" w:rsidRDefault="007C1F9F" w:rsidP="00186172">
            <w:pPr>
              <w:pStyle w:val="AERtabletext-numbers"/>
            </w:pPr>
            <w:r>
              <w:t>–</w:t>
            </w:r>
            <w:r w:rsidRPr="009C03FC">
              <w:t xml:space="preserve">1374 </w:t>
            </w:r>
          </w:p>
        </w:tc>
        <w:tc>
          <w:tcPr>
            <w:tcW w:w="1122" w:type="dxa"/>
            <w:shd w:val="clear" w:color="auto" w:fill="F8B47C"/>
            <w:noWrap/>
            <w:tcMar>
              <w:top w:w="0" w:type="dxa"/>
              <w:bottom w:w="0" w:type="dxa"/>
            </w:tcMar>
          </w:tcPr>
          <w:p w:rsidR="007C1F9F" w:rsidRPr="009C03FC" w:rsidRDefault="007C1F9F" w:rsidP="00186172">
            <w:pPr>
              <w:pStyle w:val="AERtabletext-numbers"/>
            </w:pPr>
            <w:r>
              <w:t>–</w:t>
            </w:r>
            <w:r w:rsidRPr="009C03FC">
              <w:t xml:space="preserve">1715 </w:t>
            </w:r>
          </w:p>
        </w:tc>
        <w:tc>
          <w:tcPr>
            <w:tcW w:w="1122" w:type="dxa"/>
            <w:shd w:val="clear" w:color="auto" w:fill="F8B47C"/>
            <w:noWrap/>
            <w:tcMar>
              <w:top w:w="0" w:type="dxa"/>
              <w:bottom w:w="0" w:type="dxa"/>
            </w:tcMar>
          </w:tcPr>
          <w:p w:rsidR="007C1F9F" w:rsidRPr="009C03FC" w:rsidRDefault="007C1F9F" w:rsidP="00186172">
            <w:pPr>
              <w:pStyle w:val="AERtabletext-numbers"/>
            </w:pPr>
            <w:r>
              <w:t>–</w:t>
            </w:r>
            <w:r w:rsidRPr="009C03FC">
              <w:t xml:space="preserve">1457 </w:t>
            </w:r>
          </w:p>
        </w:tc>
        <w:tc>
          <w:tcPr>
            <w:tcW w:w="1049" w:type="dxa"/>
            <w:shd w:val="clear" w:color="auto" w:fill="F8B47C"/>
            <w:noWrap/>
            <w:tcMar>
              <w:top w:w="0" w:type="dxa"/>
              <w:bottom w:w="0" w:type="dxa"/>
            </w:tcMar>
          </w:tcPr>
          <w:p w:rsidR="007C1F9F" w:rsidRPr="009C03FC" w:rsidRDefault="007C1F9F" w:rsidP="00186172">
            <w:pPr>
              <w:pStyle w:val="AERtabletext-numbers"/>
            </w:pPr>
            <w:r>
              <w:t>–</w:t>
            </w:r>
          </w:p>
        </w:tc>
        <w:tc>
          <w:tcPr>
            <w:tcW w:w="1049" w:type="dxa"/>
            <w:shd w:val="clear" w:color="auto" w:fill="F8B47C"/>
            <w:noWrap/>
            <w:tcMar>
              <w:top w:w="0" w:type="dxa"/>
              <w:bottom w:w="0" w:type="dxa"/>
            </w:tcMar>
          </w:tcPr>
          <w:p w:rsidR="007C1F9F" w:rsidRPr="009C03FC" w:rsidRDefault="007C1F9F" w:rsidP="00186172">
            <w:pPr>
              <w:pStyle w:val="AERtabletext-numbers"/>
            </w:pPr>
            <w:r>
              <w:t>–</w:t>
            </w:r>
            <w:r w:rsidRPr="009C03FC">
              <w:t xml:space="preserve">3723 </w:t>
            </w:r>
          </w:p>
        </w:tc>
      </w:tr>
    </w:tbl>
    <w:p w:rsidR="007C1F9F" w:rsidRDefault="007C1F9F" w:rsidP="007C1F9F">
      <w:pPr>
        <w:pStyle w:val="AERtablesource"/>
      </w:pPr>
      <w:r>
        <w:t xml:space="preserve">Source: </w:t>
      </w:r>
      <w:r>
        <w:tab/>
        <w:t>AER analysis.</w:t>
      </w:r>
    </w:p>
    <w:p w:rsidR="007C1F9F" w:rsidRPr="00163B37" w:rsidRDefault="007C1F9F" w:rsidP="007C1F9F">
      <w:pPr>
        <w:pStyle w:val="AERheading3"/>
        <w:numPr>
          <w:ilvl w:val="2"/>
          <w:numId w:val="7"/>
        </w:numPr>
        <w:tabs>
          <w:tab w:val="clear" w:pos="-357"/>
          <w:tab w:val="num" w:pos="0"/>
        </w:tabs>
        <w:ind w:left="0" w:hanging="714"/>
      </w:pPr>
      <w:r>
        <w:t xml:space="preserve">Incentive </w:t>
      </w:r>
      <w:r w:rsidRPr="00163B37">
        <w:t>mechanism for the 2013–17 access arrangement period</w:t>
      </w:r>
    </w:p>
    <w:p w:rsidR="007C1F9F" w:rsidRDefault="007C1F9F" w:rsidP="007C1F9F">
      <w:pPr>
        <w:pStyle w:val="AERbodytext"/>
      </w:pPr>
      <w:r>
        <w:t>The AER does not accept the incentive mechanism proposed by APA GasNet for inclusion in the 2013–17 Access arrangement. The AER considers amendments are necessary to ensure the incentive mechanism encourages efficiency in the provision of services by APA GasNet and is consistent with the RPP.</w:t>
      </w:r>
    </w:p>
    <w:p w:rsidR="007C1F9F" w:rsidRDefault="007C1F9F" w:rsidP="007C1F9F">
      <w:pPr>
        <w:pStyle w:val="AERheading4"/>
      </w:pPr>
      <w:r>
        <w:t>Operating expenditure incentive mechanism</w:t>
      </w:r>
    </w:p>
    <w:p w:rsidR="007C1F9F" w:rsidRDefault="007C1F9F" w:rsidP="007C1F9F">
      <w:pPr>
        <w:pStyle w:val="AERbodytext"/>
      </w:pPr>
      <w:r>
        <w:t>The AER agrees with APA GasNet's proposal to apply an incentive mechanism to opex. The nature of the building block approach to regulation means a service provider is able to retain benefits from reducing expenditure longer if it does so closer to the start of the access arrangement period. Opex is generally recurrent in nature, so the AER has adopted a revealed cost approach as the basis of forecasting opex. A result of adopting this forecasting approach is that service providers have an incentive to shift expenditure into the base year used to set opex forecasts for the next access arrangement period. Applying an incentive mechanism to opex counteracts these incentives. In particular, an incentive mechanism that allows the service providers to retain the benefits of any efficiencies gained for a period of five years after the year in which the efficiency was made provides service providers a continuous incentive to increase efficiency. This removes the incentive to defer efficiency gains or shift expenditure into the base year.</w:t>
      </w:r>
      <w:r>
        <w:rPr>
          <w:rStyle w:val="FootnoteReference"/>
        </w:rPr>
        <w:footnoteReference w:id="540"/>
      </w:r>
      <w:r>
        <w:t xml:space="preserve"> </w:t>
      </w:r>
    </w:p>
    <w:p w:rsidR="007C1F9F" w:rsidRDefault="007C1F9F" w:rsidP="007C1F9F">
      <w:pPr>
        <w:pStyle w:val="AERbodytext"/>
      </w:pPr>
      <w:r>
        <w:t xml:space="preserve">Efficiency carryover incentive mechanisms provide service providers </w:t>
      </w:r>
      <w:r w:rsidRPr="00407928">
        <w:t>a continuous incentive to reduce expenditure throughout the access</w:t>
      </w:r>
      <w:r>
        <w:t xml:space="preserve"> arrangement period. If a</w:t>
      </w:r>
      <w:r w:rsidRPr="00407928">
        <w:t xml:space="preserve"> </w:t>
      </w:r>
      <w:r>
        <w:t>service provider</w:t>
      </w:r>
      <w:r w:rsidRPr="00407928">
        <w:t xml:space="preserve"> shifts costs into the base year to increase future allowances, it will face negative carryovers from the ‘loss of efficiency’ of shifting the costs into the base year</w:t>
      </w:r>
      <w:r>
        <w:t xml:space="preserve">. </w:t>
      </w:r>
      <w:r w:rsidRPr="00407928">
        <w:t xml:space="preserve">Therefore, the </w:t>
      </w:r>
      <w:r>
        <w:t>service provider</w:t>
      </w:r>
      <w:r w:rsidRPr="00407928">
        <w:t xml:space="preserve"> will be no better off and has no incentive to shift costs into the base year.</w:t>
      </w:r>
      <w:r>
        <w:rPr>
          <w:rStyle w:val="FootnoteReference"/>
        </w:rPr>
        <w:footnoteReference w:id="541"/>
      </w:r>
      <w:r w:rsidRPr="00407928">
        <w:t xml:space="preserve">  </w:t>
      </w:r>
      <w:r>
        <w:t>Providing the service provider a continuous incentive to reveal its efficient costs allows those revealed efficient costs to be used to forecast efficient levels of opex for subsequent access arrangement period, which is in the long term interest of consumers and consistent with the national gas objective.</w:t>
      </w:r>
      <w:r>
        <w:rPr>
          <w:rStyle w:val="FootnoteReference"/>
        </w:rPr>
        <w:footnoteReference w:id="542"/>
      </w:r>
      <w:r w:rsidRPr="00407928">
        <w:t xml:space="preserve"> </w:t>
      </w:r>
    </w:p>
    <w:p w:rsidR="007C1F9F" w:rsidRDefault="007C1F9F" w:rsidP="007C1F9F">
      <w:pPr>
        <w:pStyle w:val="AERbodytext"/>
      </w:pPr>
      <w:r>
        <w:t>The AER is also satisfied the inclusion of an opex incentive mechanism in APA GasNet's access arrangement will provide APA GasNet a reasonable opportunity to recover at least its efficient costs and be consistent with the RPP.</w:t>
      </w:r>
      <w:r>
        <w:rPr>
          <w:rStyle w:val="FootnoteReference"/>
        </w:rPr>
        <w:footnoteReference w:id="543"/>
      </w:r>
      <w:r>
        <w:t xml:space="preserve"> This is because the mechanism rewards efficiency gains and penalises efficiency losses. In this regard it is important to recognise the reward or penalty is set through a combination of using revealed costs to forecast subsequent opex allowances and carryover increments or decrements. For example, if APA GasNet's opex increases in the base year its opex allowance for the following access arrangement period will be higher but it will incur a negative carryover ensuring it retains the efficiency loss for five years after the loss being made.</w:t>
      </w:r>
    </w:p>
    <w:p w:rsidR="007C1F9F" w:rsidRPr="007E3923" w:rsidRDefault="007C1F9F" w:rsidP="007C1F9F">
      <w:pPr>
        <w:pStyle w:val="AERbodytext"/>
        <w:rPr>
          <w:rFonts w:eastAsia="Calibri"/>
        </w:rPr>
      </w:pPr>
      <w:r w:rsidRPr="007E3923">
        <w:rPr>
          <w:rFonts w:eastAsia="Calibri"/>
        </w:rPr>
        <w:t>Consequently, how actual opex is used to inform the opex allowance for the following access arrangement period is a key factor in whether the mechanism will allow APA GasNet to retain the reward associated with efficiency gains for five years. For this to be achieved opex must be forecast based on actual expenditure in the penultimate year of the preceding access arrangement period. If external benchmarks, or a bottom up forecast, is used to set opex allowances APA GasNet would retain the reward (penalty) of efficiency improving (decreasing) initiatives for longer than five years and would in fact be rewarded (penalised) twice, once in the ex ante opex allowance, which would not reflect the efficiency saving (</w:t>
      </w:r>
      <w:r>
        <w:rPr>
          <w:rFonts w:eastAsia="Calibri"/>
        </w:rPr>
        <w:t>loss</w:t>
      </w:r>
      <w:r w:rsidRPr="007E3923">
        <w:rPr>
          <w:rFonts w:eastAsia="Calibri"/>
        </w:rPr>
        <w:t>), and a second time in the carryover increments or decrements. Consequently it is important actual expenditure in the base year is used as the basis for setting opex forecasts in the following access arrangement period.</w:t>
      </w:r>
    </w:p>
    <w:p w:rsidR="007C1F9F" w:rsidRPr="007E3923" w:rsidRDefault="007C1F9F" w:rsidP="007C1F9F">
      <w:pPr>
        <w:pStyle w:val="AERbodytext"/>
        <w:rPr>
          <w:rFonts w:eastAsia="Calibri"/>
        </w:rPr>
      </w:pPr>
      <w:r w:rsidRPr="007E3923">
        <w:rPr>
          <w:rFonts w:eastAsia="Calibri"/>
        </w:rPr>
        <w:t>Further, to ensure APA GasNet retains the reward associated with efficiency improving initiatives for five years it is important opex forecasts reflect the same level of efficiency as that demonstrated in the opex base year. In this regard it is reasonable to apply real cost escalation and network growth (or scale) escalation. This is because more opex will be required to produce more outputs, or pay higher inputs prices at the same level of efficiency. To ensure step changes also reflect the same level of efficiency, the AER considers step changes should only be provided for new regulatory obligations or changes in the external operating environment beyond APA GasNet's control.</w:t>
      </w:r>
    </w:p>
    <w:p w:rsidR="007C1F9F" w:rsidRDefault="007C1F9F" w:rsidP="007C1F9F">
      <w:pPr>
        <w:pStyle w:val="AERbodytext"/>
      </w:pPr>
      <w:r>
        <w:t>As the proposed incentive mechanism only applies to opex, there may be an incentive for APA GasNet to change its capitalisation policy. However, this concern can be mitigated by ensuring any reclassification of opex or capex is reasonable and does not adversely affect the calculation of the carryover. APA GasNet's proposed incentive mechanism requires actual opex to be calculated using the same cost categories and methodology used to calculate forecast opex.</w:t>
      </w:r>
      <w:r>
        <w:rPr>
          <w:rStyle w:val="FootnoteReference"/>
        </w:rPr>
        <w:footnoteReference w:id="544"/>
      </w:r>
      <w:r>
        <w:t xml:space="preserve">  This requirement removes the ability for the capitalisation of opex to exploit efficiency calculations.</w:t>
      </w:r>
    </w:p>
    <w:p w:rsidR="007C1F9F" w:rsidRDefault="007C1F9F" w:rsidP="007C1F9F">
      <w:pPr>
        <w:pStyle w:val="AERheading4"/>
      </w:pPr>
      <w:r>
        <w:t>Calculating efficiency gains or losses</w:t>
      </w:r>
    </w:p>
    <w:p w:rsidR="007C1F9F" w:rsidRDefault="007C1F9F" w:rsidP="007C1F9F">
      <w:pPr>
        <w:pStyle w:val="AERbodytext"/>
      </w:pPr>
      <w:r>
        <w:t>The AER considers APA GasNet's proposed approach to calculating the opex efficiency gain (or loss) for 2013</w:t>
      </w:r>
      <w:r w:rsidRPr="004A298E">
        <w:t xml:space="preserve"> does not properly account for </w:t>
      </w:r>
      <w:r>
        <w:t xml:space="preserve">the </w:t>
      </w:r>
      <w:r w:rsidRPr="004A298E">
        <w:t>efficiency gain (or loss)</w:t>
      </w:r>
      <w:r>
        <w:t xml:space="preserve"> in that year. APA GasNet's proposed calculation of efficiency gains (or losses) for 2014, 2015 and 2016</w:t>
      </w:r>
      <w:r>
        <w:rPr>
          <w:rStyle w:val="FootnoteReference"/>
        </w:rPr>
        <w:footnoteReference w:id="545"/>
      </w:r>
      <w:r>
        <w:t xml:space="preserve"> is consistent with r. 98 of the NGR.</w:t>
      </w:r>
    </w:p>
    <w:p w:rsidR="007C1F9F" w:rsidRDefault="007C1F9F" w:rsidP="007C1F9F">
      <w:pPr>
        <w:pStyle w:val="AERbodytext"/>
      </w:pPr>
      <w:r>
        <w:t xml:space="preserve">The AER proposes to amend APA GasNet's incentive mechanism to replace the equation used to calculate efficiency carryover for the first year of the 2013–17 access arrangement period (2013). This approach is consistent with r. 98(3) of the NGR because it ensures APA GasNet is consistently rewarded for achieving efficiency gains (losses) regardless of the year those gains (losses) are achieved. </w:t>
      </w:r>
    </w:p>
    <w:p w:rsidR="007C1F9F" w:rsidRDefault="007C1F9F" w:rsidP="007C1F9F">
      <w:pPr>
        <w:pStyle w:val="AERheading5"/>
      </w:pPr>
      <w:r>
        <w:t>Calculation of efficiency gains made in 2013</w:t>
      </w:r>
    </w:p>
    <w:p w:rsidR="007C1F9F" w:rsidRDefault="007C1F9F" w:rsidP="007C1F9F">
      <w:pPr>
        <w:pStyle w:val="AERbodytext"/>
      </w:pPr>
      <w:r>
        <w:t>The AER considers efficiency gains made in 2013 should be calculated using the following equation:</w:t>
      </w:r>
    </w:p>
    <w:p w:rsidR="007C1F9F" w:rsidRDefault="007C1F9F" w:rsidP="007C1F9F">
      <w:pPr>
        <w:pStyle w:val="AERbodytextindent1"/>
      </w:pPr>
      <w:r>
        <w:t>E</w:t>
      </w:r>
      <w:r>
        <w:rPr>
          <w:rStyle w:val="AERsubscript"/>
        </w:rPr>
        <w:t>2013</w:t>
      </w:r>
      <w:r>
        <w:t xml:space="preserve"> = (F</w:t>
      </w:r>
      <w:r>
        <w:rPr>
          <w:rStyle w:val="AERsubscript"/>
        </w:rPr>
        <w:t>2013</w:t>
      </w:r>
      <w:r>
        <w:t xml:space="preserve"> – A</w:t>
      </w:r>
      <w:r>
        <w:rPr>
          <w:rStyle w:val="AERsubscript"/>
        </w:rPr>
        <w:t>2013</w:t>
      </w:r>
      <w:r>
        <w:t>) – (F</w:t>
      </w:r>
      <w:r>
        <w:rPr>
          <w:rStyle w:val="AERsubscript"/>
        </w:rPr>
        <w:t>2012</w:t>
      </w:r>
      <w:r>
        <w:t xml:space="preserve"> – A</w:t>
      </w:r>
      <w:r>
        <w:rPr>
          <w:rStyle w:val="AERsubscript"/>
        </w:rPr>
        <w:t>2012</w:t>
      </w:r>
      <w:r>
        <w:t>) + (F</w:t>
      </w:r>
      <w:r>
        <w:rPr>
          <w:rStyle w:val="AERsubscript"/>
        </w:rPr>
        <w:t>2011</w:t>
      </w:r>
      <w:r>
        <w:t xml:space="preserve"> – A</w:t>
      </w:r>
      <w:r>
        <w:rPr>
          <w:rStyle w:val="AERsubscript"/>
        </w:rPr>
        <w:t>2011</w:t>
      </w:r>
      <w:r>
        <w:t>)</w:t>
      </w:r>
    </w:p>
    <w:p w:rsidR="007C1F9F" w:rsidRDefault="007C1F9F" w:rsidP="007C1F9F">
      <w:pPr>
        <w:pStyle w:val="AERbodytextindent1"/>
      </w:pPr>
      <w:r>
        <w:t>where:</w:t>
      </w:r>
    </w:p>
    <w:p w:rsidR="007C1F9F" w:rsidRDefault="007C1F9F" w:rsidP="007C1F9F">
      <w:pPr>
        <w:pStyle w:val="AERbodytextindent1"/>
      </w:pPr>
      <w:r>
        <w:t>E</w:t>
      </w:r>
      <w:r>
        <w:rPr>
          <w:rStyle w:val="AERsubscript"/>
        </w:rPr>
        <w:t>2013</w:t>
      </w:r>
      <w:r>
        <w:t xml:space="preserve"> is the efficiency gain in 2013</w:t>
      </w:r>
    </w:p>
    <w:p w:rsidR="007C1F9F" w:rsidRDefault="007C1F9F" w:rsidP="007C1F9F">
      <w:pPr>
        <w:pStyle w:val="AERbodytextindent1"/>
      </w:pPr>
      <w:r>
        <w:t>F</w:t>
      </w:r>
      <w:r>
        <w:rPr>
          <w:rStyle w:val="AERsubscript"/>
        </w:rPr>
        <w:t>2013</w:t>
      </w:r>
      <w:r>
        <w:t xml:space="preserve"> is the forecast opex for 2013</w:t>
      </w:r>
      <w:r w:rsidRPr="002A2FB1">
        <w:t xml:space="preserve"> as specified in clause 8.2(f)</w:t>
      </w:r>
      <w:r>
        <w:t xml:space="preserve"> </w:t>
      </w:r>
    </w:p>
    <w:p w:rsidR="007C1F9F" w:rsidRDefault="007C1F9F" w:rsidP="007C1F9F">
      <w:pPr>
        <w:pStyle w:val="AERbodytextindent1"/>
      </w:pPr>
      <w:r>
        <w:t>A</w:t>
      </w:r>
      <w:r>
        <w:rPr>
          <w:rStyle w:val="AERsubscript"/>
        </w:rPr>
        <w:t>2013</w:t>
      </w:r>
      <w:r>
        <w:t xml:space="preserve"> is the actual opex for 2013</w:t>
      </w:r>
      <w:r w:rsidRPr="002A2FB1">
        <w:t xml:space="preserve"> as specified in clause 8.2(</w:t>
      </w:r>
      <w:r>
        <w:t>e</w:t>
      </w:r>
      <w:r w:rsidRPr="002A2FB1">
        <w:t>)</w:t>
      </w:r>
    </w:p>
    <w:p w:rsidR="007C1F9F" w:rsidRDefault="007C1F9F" w:rsidP="007C1F9F">
      <w:pPr>
        <w:pStyle w:val="AERbodytextindent1"/>
      </w:pPr>
      <w:r>
        <w:t>F</w:t>
      </w:r>
      <w:r>
        <w:rPr>
          <w:rStyle w:val="AERsubscript"/>
        </w:rPr>
        <w:t>2012</w:t>
      </w:r>
      <w:r>
        <w:t xml:space="preserve"> is the forecast opex for 2012</w:t>
      </w:r>
      <w:r w:rsidRPr="002A2FB1">
        <w:t xml:space="preserve"> as specified in clause 8.2(f)</w:t>
      </w:r>
    </w:p>
    <w:p w:rsidR="007C1F9F" w:rsidRDefault="007C1F9F" w:rsidP="007C1F9F">
      <w:pPr>
        <w:pStyle w:val="AERbodytextindent1"/>
      </w:pPr>
      <w:r>
        <w:t>A</w:t>
      </w:r>
      <w:r>
        <w:rPr>
          <w:rStyle w:val="AERsubscript"/>
        </w:rPr>
        <w:t>2012</w:t>
      </w:r>
      <w:r>
        <w:t xml:space="preserve"> is the actual opex for 2012</w:t>
      </w:r>
      <w:r w:rsidRPr="002A2FB1">
        <w:t xml:space="preserve"> as specified in clause 8.2(</w:t>
      </w:r>
      <w:r>
        <w:t>e</w:t>
      </w:r>
      <w:r w:rsidRPr="002A2FB1">
        <w:t>)</w:t>
      </w:r>
    </w:p>
    <w:p w:rsidR="007C1F9F" w:rsidRDefault="007C1F9F" w:rsidP="007C1F9F">
      <w:pPr>
        <w:pStyle w:val="AERbodytextindent1"/>
      </w:pPr>
      <w:r>
        <w:t>F</w:t>
      </w:r>
      <w:r>
        <w:rPr>
          <w:rStyle w:val="AERsubscript"/>
        </w:rPr>
        <w:t>2011</w:t>
      </w:r>
      <w:r>
        <w:t xml:space="preserve"> is the forecast opex for 2011</w:t>
      </w:r>
      <w:r w:rsidRPr="002A2FB1">
        <w:t xml:space="preserve"> as specified in clause 8.2(f)</w:t>
      </w:r>
    </w:p>
    <w:p w:rsidR="007C1F9F" w:rsidRDefault="007C1F9F" w:rsidP="007C1F9F">
      <w:pPr>
        <w:pStyle w:val="AERbodytextindent1"/>
      </w:pPr>
      <w:r>
        <w:t>A</w:t>
      </w:r>
      <w:r>
        <w:rPr>
          <w:rStyle w:val="AERsubscript"/>
        </w:rPr>
        <w:t>2011</w:t>
      </w:r>
      <w:r>
        <w:t xml:space="preserve"> is the actual opex for 2011</w:t>
      </w:r>
      <w:r w:rsidRPr="002A2FB1">
        <w:t xml:space="preserve"> as specified in clause 8.2(</w:t>
      </w:r>
      <w:r>
        <w:t>e</w:t>
      </w:r>
      <w:r w:rsidRPr="002A2FB1">
        <w:t>)</w:t>
      </w:r>
    </w:p>
    <w:p w:rsidR="007C1F9F" w:rsidRDefault="007C1F9F" w:rsidP="007C1F9F">
      <w:pPr>
        <w:pStyle w:val="AERbodytext"/>
      </w:pPr>
      <w:r>
        <w:t>The AER considers this amendment to the fixed principle is required because APA GasNet's proposed approach results in the efficiency gains made in 2012 being carried over for six years. Because</w:t>
      </w:r>
      <w:r w:rsidRPr="002413F8">
        <w:t xml:space="preserve"> opex forecasts are set based on actual expenditure in 2011, the forecasts implicitly carry over the benefits of any efficiencies made in 2012 for five years (that is, the </w:t>
      </w:r>
      <w:r>
        <w:t>2013–17</w:t>
      </w:r>
      <w:r w:rsidRPr="002413F8">
        <w:t xml:space="preserve"> access arrangement period). For this reason calculating the efficiency gain for 2013 as proposed by </w:t>
      </w:r>
      <w:r>
        <w:t>APA GasNet</w:t>
      </w:r>
      <w:r w:rsidRPr="002413F8">
        <w:t xml:space="preserve"> would </w:t>
      </w:r>
      <w:r>
        <w:t>result in</w:t>
      </w:r>
      <w:r w:rsidRPr="002413F8">
        <w:t xml:space="preserve"> the efficien</w:t>
      </w:r>
      <w:r>
        <w:t>cy gains</w:t>
      </w:r>
      <w:r w:rsidRPr="002413F8">
        <w:t xml:space="preserve"> made in both 2012 and 2013</w:t>
      </w:r>
      <w:r>
        <w:t xml:space="preserve"> being included</w:t>
      </w:r>
      <w:r w:rsidRPr="002413F8">
        <w:t>. Carrying the benefits of this efficiency gain (loss) over for five years would then effectively carryover over the benefits of efficiency gains (losses) made in 2012 for six years</w:t>
      </w:r>
      <w:r>
        <w:t>—</w:t>
      </w:r>
      <w:r w:rsidRPr="002413F8">
        <w:t>five years implicitly through the opex forecasts and for a sixth year through the efficiency carryover payment in 2018.</w:t>
      </w:r>
      <w:r>
        <w:rPr>
          <w:rStyle w:val="FootnoteReference"/>
        </w:rPr>
        <w:footnoteReference w:id="546"/>
      </w:r>
      <w:r>
        <w:t xml:space="preserve">  This is inconsistent with the intent of the incentive mechanism to provide APA GasNet with continuous incentives to achieve efficiencies. </w:t>
      </w:r>
      <w:r w:rsidRPr="003E7715">
        <w:t>The above equation removes the incremental efficiency gain (loss) made in 2012 from the calculation of the efficiency gain (loss) for 2013, thus ensuring any efficiency gain (loss) made in 2012 is carried over for only five years</w:t>
      </w:r>
      <w:r>
        <w:t xml:space="preserve">. </w:t>
      </w:r>
    </w:p>
    <w:p w:rsidR="007C1F9F" w:rsidRDefault="007C1F9F" w:rsidP="007C1F9F">
      <w:pPr>
        <w:pStyle w:val="AERheading4"/>
      </w:pPr>
      <w:r>
        <w:t>Clarification of the proposed fixed principle</w:t>
      </w:r>
    </w:p>
    <w:p w:rsidR="007C1F9F" w:rsidRDefault="007C1F9F" w:rsidP="007C1F9F">
      <w:pPr>
        <w:pStyle w:val="AERbodytext"/>
      </w:pPr>
      <w:r>
        <w:t>The AER considers a number of clauses in the proposed fixed principle for the incentive mechanism require clarification. This is because the fixed principle, as it is currently drafted is ambiguous about the:</w:t>
      </w:r>
    </w:p>
    <w:p w:rsidR="007C1F9F" w:rsidRDefault="007C1F9F" w:rsidP="007C1F9F">
      <w:pPr>
        <w:pStyle w:val="AERbulletlistfirststyle"/>
      </w:pPr>
      <w:r>
        <w:t>adjustments to forecast operating costs for the purposes of calculating efficiency carryover from the fourth access arrangement period (2013–17)</w:t>
      </w:r>
    </w:p>
    <w:p w:rsidR="007C1F9F" w:rsidRDefault="007C1F9F" w:rsidP="007C1F9F">
      <w:pPr>
        <w:pStyle w:val="AERbulletlistfirststyle"/>
      </w:pPr>
      <w:r>
        <w:t>calculation of the approved opex for the fifth access arrangement period (2018–22).</w:t>
      </w:r>
    </w:p>
    <w:p w:rsidR="007C1F9F" w:rsidRDefault="007C1F9F" w:rsidP="007C1F9F">
      <w:pPr>
        <w:pStyle w:val="AERbodytext"/>
      </w:pPr>
      <w:r>
        <w:t>Fixed principle 8.2(f)(i) should be amended to clarify whether carryovers from any previous access arrangement period should be subtracted from the total opex in table 11.1 of APA GasNet's Access arrangement information for 2013–17. The opex in table 11.1 of the Access arrangement information is exclusive of any efficiency carryover from previous access arrangement periods. Therefore, the fixed principle does not require the removal of any efficiency carryover from forecast opex. The AER considers the fixed principle should be amended to state:</w:t>
      </w:r>
    </w:p>
    <w:p w:rsidR="007C1F9F" w:rsidRDefault="007C1F9F" w:rsidP="007C1F9F">
      <w:pPr>
        <w:pStyle w:val="AERbodytextindent1"/>
      </w:pPr>
      <w:r>
        <w:t>(i)</w:t>
      </w:r>
      <w:r>
        <w:tab/>
        <w:t>the forecast operating costs for that year as shown in Table 11.1 of the Service Provider's Access Arrangement Information; plus</w:t>
      </w:r>
    </w:p>
    <w:p w:rsidR="007C1F9F" w:rsidRDefault="007C1F9F" w:rsidP="007C1F9F">
      <w:pPr>
        <w:pStyle w:val="AERbodytext"/>
      </w:pPr>
      <w:r>
        <w:t xml:space="preserve">Fixed principle 8.2(h) should also be amended to clarify the approach to forecasting opex for the fifth access arrangement period. The proposed amendments </w:t>
      </w:r>
      <w:r w:rsidRPr="0042750F">
        <w:t xml:space="preserve">take into account the intention of the </w:t>
      </w:r>
      <w:r>
        <w:t xml:space="preserve">proposed </w:t>
      </w:r>
      <w:r w:rsidRPr="0042750F">
        <w:t>fixed principle</w:t>
      </w:r>
      <w:r>
        <w:t xml:space="preserve"> and incentive mechanism. The fixed principle should be amended to state:</w:t>
      </w:r>
    </w:p>
    <w:p w:rsidR="007C1F9F" w:rsidRDefault="007C1F9F" w:rsidP="007C1F9F">
      <w:pPr>
        <w:pStyle w:val="AERbodytextindent1"/>
      </w:pPr>
      <w:r>
        <w:t>(h)</w:t>
      </w:r>
      <w:r>
        <w:tab/>
        <w:t>In calculating the allowable revenue for operations and maintenance expenditure for the Fifth Access Arrangement Period, the Regulator must:</w:t>
      </w:r>
    </w:p>
    <w:p w:rsidR="007C1F9F" w:rsidRDefault="007C1F9F" w:rsidP="007C1F9F">
      <w:pPr>
        <w:pStyle w:val="AERbodytextindent2"/>
      </w:pPr>
      <w:r>
        <w:t>(i)</w:t>
      </w:r>
      <w:r>
        <w:tab/>
        <w:t>determine the base operations and maintenance expenditure for 2017 to be equal to the actual operating costs in 2016 plus the difference between forecast operating expenditure in 2016 and 2017 as specified in clause 8.2(f)</w:t>
      </w:r>
      <w:r w:rsidRPr="00512D33">
        <w:t xml:space="preserve"> and, to avoid doubt, not tak</w:t>
      </w:r>
      <w:r>
        <w:t>e</w:t>
      </w:r>
      <w:r w:rsidRPr="00512D33">
        <w:t xml:space="preserve"> into account the efficiency gain</w:t>
      </w:r>
      <w:r>
        <w:t xml:space="preserve"> </w:t>
      </w:r>
      <w:r w:rsidRPr="00512D33">
        <w:t>(loss) made in 2017</w:t>
      </w:r>
      <w:r>
        <w:t>; and</w:t>
      </w:r>
    </w:p>
    <w:p w:rsidR="007C1F9F" w:rsidRDefault="007C1F9F" w:rsidP="007C1F9F">
      <w:pPr>
        <w:pStyle w:val="AERbodytextindent2"/>
      </w:pPr>
      <w:r>
        <w:t>(ii)</w:t>
      </w:r>
      <w:r>
        <w:tab/>
        <w:t>take into account forecast changes from the 2017 base opex in:</w:t>
      </w:r>
    </w:p>
    <w:p w:rsidR="007C1F9F" w:rsidRDefault="007C1F9F" w:rsidP="007C1F9F">
      <w:pPr>
        <w:pStyle w:val="AERbodytextindent3"/>
      </w:pPr>
      <w:r>
        <w:t>(A)</w:t>
      </w:r>
      <w:r>
        <w:tab/>
        <w:t>maintenance costs due to network expansion (scale changes);</w:t>
      </w:r>
    </w:p>
    <w:p w:rsidR="007C1F9F" w:rsidRDefault="007C1F9F" w:rsidP="007C1F9F">
      <w:pPr>
        <w:pStyle w:val="AERbodytextindent3"/>
      </w:pPr>
      <w:r>
        <w:t>(B)</w:t>
      </w:r>
      <w:r>
        <w:tab/>
        <w:t>real labour and material costs (real cost escalation)</w:t>
      </w:r>
    </w:p>
    <w:p w:rsidR="007C1F9F" w:rsidRDefault="007C1F9F" w:rsidP="007C1F9F">
      <w:pPr>
        <w:pStyle w:val="AERbodytextindent3"/>
      </w:pPr>
      <w:r>
        <w:t>(C)</w:t>
      </w:r>
      <w:r>
        <w:tab/>
        <w:t>other efficient costs not reflected in the 2017 base opex (step changes); and</w:t>
      </w:r>
    </w:p>
    <w:p w:rsidR="007C1F9F" w:rsidRDefault="007C1F9F" w:rsidP="007C1F9F">
      <w:pPr>
        <w:pStyle w:val="AERbodytextindent3"/>
      </w:pPr>
      <w:r>
        <w:t>(D) capitalisation policy changes.</w:t>
      </w:r>
    </w:p>
    <w:p w:rsidR="007C1F9F" w:rsidRDefault="007C1F9F" w:rsidP="007C1F9F">
      <w:pPr>
        <w:pStyle w:val="AERbodytext"/>
      </w:pPr>
      <w:r w:rsidRPr="009E339A">
        <w:t xml:space="preserve">It is not necessary to include a clause requiring the AER to comply with the </w:t>
      </w:r>
      <w:r>
        <w:t>NGR</w:t>
      </w:r>
      <w:r w:rsidRPr="009E339A">
        <w:t>. Therefore, the AER has removed fixed principle 8.2(h)(i).</w:t>
      </w:r>
    </w:p>
    <w:p w:rsidR="007C1F9F" w:rsidRPr="00163B37" w:rsidRDefault="007C1F9F" w:rsidP="007C1F9F">
      <w:pPr>
        <w:pStyle w:val="AERheading2"/>
        <w:numPr>
          <w:ilvl w:val="1"/>
          <w:numId w:val="7"/>
        </w:numPr>
        <w:tabs>
          <w:tab w:val="clear" w:pos="4317"/>
          <w:tab w:val="num" w:pos="0"/>
        </w:tabs>
        <w:ind w:left="0" w:hanging="720"/>
      </w:pPr>
      <w:bookmarkStart w:id="128" w:name="_Toc334543789"/>
      <w:r>
        <w:t>Revisions</w:t>
      </w:r>
      <w:bookmarkEnd w:id="128"/>
    </w:p>
    <w:p w:rsidR="007C1F9F" w:rsidRPr="00160E5A" w:rsidRDefault="007C1F9F" w:rsidP="007C1F9F">
      <w:pPr>
        <w:pStyle w:val="AERbodytext"/>
        <w:rPr>
          <w:rStyle w:val="AERbody"/>
        </w:rPr>
      </w:pPr>
      <w:r w:rsidRPr="007E3923">
        <w:rPr>
          <w:rStyle w:val="AERbody"/>
          <w:rFonts w:eastAsia="Calibri"/>
        </w:rPr>
        <w:t xml:space="preserve">The AER requires the following revisions to make the </w:t>
      </w:r>
      <w:r>
        <w:rPr>
          <w:rStyle w:val="AERbody"/>
          <w:rFonts w:eastAsia="Calibri"/>
        </w:rPr>
        <w:t>A</w:t>
      </w:r>
      <w:r w:rsidRPr="007E3923">
        <w:rPr>
          <w:rStyle w:val="AERbody"/>
          <w:rFonts w:eastAsia="Calibri"/>
        </w:rPr>
        <w:t>ccess arrangement proposal acceptable:</w:t>
      </w:r>
    </w:p>
    <w:p w:rsidR="007C1F9F" w:rsidRDefault="007C1F9F" w:rsidP="007C1F9F">
      <w:pPr>
        <w:pStyle w:val="AERrevisionbox"/>
      </w:pPr>
      <w:r>
        <w:rPr>
          <w:rStyle w:val="AERtextbold"/>
        </w:rPr>
        <w:t>Revision 7</w:t>
      </w:r>
      <w:r w:rsidRPr="009E0F39">
        <w:rPr>
          <w:rStyle w:val="AERtextbold"/>
        </w:rPr>
        <w:t>.</w:t>
      </w:r>
      <w:r>
        <w:rPr>
          <w:rStyle w:val="AERtextbold"/>
        </w:rPr>
        <w:t>1</w:t>
      </w:r>
      <w:r w:rsidRPr="009E0F39">
        <w:t xml:space="preserve">: </w:t>
      </w:r>
      <w:r>
        <w:t>delete and replace s8.2(c) of the access arrangement proposal to state: The efficiency gain for 2013 is to be calculated in accordance with the following formula:</w:t>
      </w:r>
    </w:p>
    <w:p w:rsidR="007C1F9F" w:rsidRDefault="007C1F9F" w:rsidP="007C1F9F">
      <w:pPr>
        <w:pStyle w:val="AERrevisionbox"/>
      </w:pPr>
      <w:r>
        <w:tab/>
        <w:t>E</w:t>
      </w:r>
      <w:r>
        <w:rPr>
          <w:rStyle w:val="AERsubscript"/>
        </w:rPr>
        <w:t>2013</w:t>
      </w:r>
      <w:r>
        <w:t xml:space="preserve"> = (F</w:t>
      </w:r>
      <w:r>
        <w:rPr>
          <w:rStyle w:val="AERsubscript"/>
        </w:rPr>
        <w:t>2013</w:t>
      </w:r>
      <w:r>
        <w:t xml:space="preserve"> – A</w:t>
      </w:r>
      <w:r>
        <w:rPr>
          <w:rStyle w:val="AERsubscript"/>
        </w:rPr>
        <w:t>2013</w:t>
      </w:r>
      <w:r>
        <w:t>) – (F</w:t>
      </w:r>
      <w:r>
        <w:rPr>
          <w:rStyle w:val="AERsubscript"/>
        </w:rPr>
        <w:t>2012</w:t>
      </w:r>
      <w:r>
        <w:t xml:space="preserve"> – A</w:t>
      </w:r>
      <w:r>
        <w:rPr>
          <w:rStyle w:val="AERsubscript"/>
        </w:rPr>
        <w:t>2012</w:t>
      </w:r>
      <w:r>
        <w:t>) + (F</w:t>
      </w:r>
      <w:r>
        <w:rPr>
          <w:rStyle w:val="AERsubscript"/>
        </w:rPr>
        <w:t>2011</w:t>
      </w:r>
      <w:r>
        <w:t xml:space="preserve"> – A</w:t>
      </w:r>
      <w:r>
        <w:rPr>
          <w:rStyle w:val="AERsubscript"/>
        </w:rPr>
        <w:t>2011</w:t>
      </w:r>
      <w:r>
        <w:t>)</w:t>
      </w:r>
    </w:p>
    <w:p w:rsidR="007C1F9F" w:rsidRDefault="007C1F9F" w:rsidP="007C1F9F">
      <w:pPr>
        <w:pStyle w:val="AERrevisionbox"/>
      </w:pPr>
      <w:r>
        <w:tab/>
        <w:t>where:</w:t>
      </w:r>
    </w:p>
    <w:p w:rsidR="007C1F9F" w:rsidRDefault="007C1F9F" w:rsidP="007C1F9F">
      <w:pPr>
        <w:pStyle w:val="AERrevisionbox"/>
      </w:pPr>
      <w:r>
        <w:tab/>
        <w:t>E</w:t>
      </w:r>
      <w:r>
        <w:rPr>
          <w:rStyle w:val="AERsubscript"/>
        </w:rPr>
        <w:t>2013</w:t>
      </w:r>
      <w:r>
        <w:t xml:space="preserve"> is the efficiency gain in 2013</w:t>
      </w:r>
    </w:p>
    <w:p w:rsidR="007C1F9F" w:rsidRDefault="007C1F9F" w:rsidP="007C1F9F">
      <w:pPr>
        <w:pStyle w:val="AERrevisionbox"/>
      </w:pPr>
      <w:r>
        <w:tab/>
        <w:t>F</w:t>
      </w:r>
      <w:r>
        <w:rPr>
          <w:rStyle w:val="AERsubscript"/>
        </w:rPr>
        <w:t>2013</w:t>
      </w:r>
      <w:r>
        <w:t xml:space="preserve"> is the forecast operating costs for 2013 </w:t>
      </w:r>
      <w:r w:rsidRPr="00C00A6F">
        <w:t>as specified in clause 8.2(f)</w:t>
      </w:r>
    </w:p>
    <w:p w:rsidR="007C1F9F" w:rsidRDefault="007C1F9F" w:rsidP="007C1F9F">
      <w:pPr>
        <w:pStyle w:val="AERrevisionbox"/>
      </w:pPr>
      <w:r>
        <w:tab/>
        <w:t>A</w:t>
      </w:r>
      <w:r>
        <w:rPr>
          <w:rStyle w:val="AERsubscript"/>
        </w:rPr>
        <w:t>2013</w:t>
      </w:r>
      <w:r>
        <w:t xml:space="preserve"> is the actual operating costs for 2013</w:t>
      </w:r>
      <w:r w:rsidRPr="00C00A6F">
        <w:t xml:space="preserve"> as </w:t>
      </w:r>
      <w:r>
        <w:t>specified in clause 8.2(e</w:t>
      </w:r>
      <w:r w:rsidRPr="00C00A6F">
        <w:t>)</w:t>
      </w:r>
    </w:p>
    <w:p w:rsidR="007C1F9F" w:rsidRDefault="007C1F9F" w:rsidP="007C1F9F">
      <w:pPr>
        <w:pStyle w:val="AERrevisionbox"/>
      </w:pPr>
      <w:r>
        <w:tab/>
        <w:t>F</w:t>
      </w:r>
      <w:r>
        <w:rPr>
          <w:rStyle w:val="AERsubscript"/>
        </w:rPr>
        <w:t>2012</w:t>
      </w:r>
      <w:r>
        <w:t xml:space="preserve"> is the forecast operating costs for 2012 </w:t>
      </w:r>
      <w:r w:rsidRPr="00C00A6F">
        <w:t>as specified in clause 8.2(f)</w:t>
      </w:r>
    </w:p>
    <w:p w:rsidR="007C1F9F" w:rsidRDefault="007C1F9F" w:rsidP="007C1F9F">
      <w:pPr>
        <w:pStyle w:val="AERrevisionbox"/>
      </w:pPr>
      <w:r>
        <w:tab/>
        <w:t>A</w:t>
      </w:r>
      <w:r>
        <w:rPr>
          <w:rStyle w:val="AERsubscript"/>
        </w:rPr>
        <w:t>2012</w:t>
      </w:r>
      <w:r>
        <w:t xml:space="preserve"> is the actual operating costs for 2012 </w:t>
      </w:r>
      <w:r w:rsidRPr="00C00A6F">
        <w:t xml:space="preserve">as </w:t>
      </w:r>
      <w:r>
        <w:t>specified in clause 8.2(e</w:t>
      </w:r>
      <w:r w:rsidRPr="00C00A6F">
        <w:t>)</w:t>
      </w:r>
    </w:p>
    <w:p w:rsidR="007C1F9F" w:rsidRDefault="007C1F9F" w:rsidP="007C1F9F">
      <w:pPr>
        <w:pStyle w:val="AERrevisionbox"/>
      </w:pPr>
      <w:r>
        <w:tab/>
        <w:t>F</w:t>
      </w:r>
      <w:r>
        <w:rPr>
          <w:rStyle w:val="AERsubscript"/>
        </w:rPr>
        <w:t>2011</w:t>
      </w:r>
      <w:r>
        <w:t xml:space="preserve"> is the forecast operating costs for 2011 </w:t>
      </w:r>
      <w:r w:rsidRPr="00C00A6F">
        <w:t>as specified in clause 8.2(f)</w:t>
      </w:r>
    </w:p>
    <w:p w:rsidR="007C1F9F" w:rsidRDefault="007C1F9F" w:rsidP="007C1F9F">
      <w:pPr>
        <w:pStyle w:val="AERrevisionbox"/>
      </w:pPr>
      <w:r>
        <w:tab/>
        <w:t>A</w:t>
      </w:r>
      <w:r>
        <w:rPr>
          <w:rStyle w:val="AERsubscript"/>
        </w:rPr>
        <w:t>2011</w:t>
      </w:r>
      <w:r>
        <w:t xml:space="preserve"> is the actual operating costs for 2011 </w:t>
      </w:r>
      <w:r w:rsidRPr="00C00A6F">
        <w:t>as specified in clause 8.2(</w:t>
      </w:r>
      <w:r>
        <w:t>e</w:t>
      </w:r>
      <w:r w:rsidRPr="00C00A6F">
        <w:t>)</w:t>
      </w:r>
      <w:r>
        <w:t>.</w:t>
      </w:r>
    </w:p>
    <w:p w:rsidR="007C1F9F" w:rsidRDefault="007C1F9F" w:rsidP="007C1F9F">
      <w:pPr>
        <w:pStyle w:val="AERrevisionbox"/>
      </w:pPr>
      <w:r>
        <w:rPr>
          <w:rStyle w:val="AERtextbold"/>
        </w:rPr>
        <w:t>Revision 7</w:t>
      </w:r>
      <w:r w:rsidRPr="00BB50CB">
        <w:rPr>
          <w:rStyle w:val="AERtextbold"/>
        </w:rPr>
        <w:t>.</w:t>
      </w:r>
      <w:r>
        <w:rPr>
          <w:rStyle w:val="AERtextbold"/>
        </w:rPr>
        <w:t>2</w:t>
      </w:r>
      <w:r w:rsidRPr="00BB50CB">
        <w:t xml:space="preserve">: </w:t>
      </w:r>
      <w:r>
        <w:t>amend s8.2(e) to state: in each case, A</w:t>
      </w:r>
      <w:r w:rsidRPr="00C00A6F">
        <w:rPr>
          <w:rStyle w:val="AERsubscript"/>
        </w:rPr>
        <w:t>t</w:t>
      </w:r>
      <w:r>
        <w:t xml:space="preserve">, </w:t>
      </w:r>
      <w:r w:rsidRPr="00C00A6F">
        <w:rPr>
          <w:rStyle w:val="AERbody"/>
        </w:rPr>
        <w:t>A</w:t>
      </w:r>
      <w:r w:rsidRPr="00C00A6F">
        <w:rPr>
          <w:rStyle w:val="AERsubscript"/>
        </w:rPr>
        <w:t>t-1</w:t>
      </w:r>
      <w:r>
        <w:t>, A</w:t>
      </w:r>
      <w:r w:rsidRPr="00C00A6F">
        <w:rPr>
          <w:rStyle w:val="AERsubscript"/>
        </w:rPr>
        <w:t>2011</w:t>
      </w:r>
      <w:r>
        <w:t>, A</w:t>
      </w:r>
      <w:r w:rsidRPr="00C00A6F">
        <w:rPr>
          <w:rStyle w:val="AERsubscript"/>
        </w:rPr>
        <w:t>2012</w:t>
      </w:r>
      <w:r>
        <w:t xml:space="preserve"> and A</w:t>
      </w:r>
      <w:r w:rsidRPr="00C00A6F">
        <w:rPr>
          <w:rStyle w:val="AERsubscript"/>
        </w:rPr>
        <w:t>2013</w:t>
      </w:r>
      <w:r>
        <w:t xml:space="preserve"> must be determined:</w:t>
      </w:r>
    </w:p>
    <w:p w:rsidR="007C1F9F" w:rsidRDefault="007C1F9F" w:rsidP="007C1F9F">
      <w:pPr>
        <w:pStyle w:val="AERrevisionbox"/>
      </w:pPr>
      <w:r>
        <w:rPr>
          <w:rStyle w:val="AERtextbold"/>
        </w:rPr>
        <w:t>Revision 7</w:t>
      </w:r>
      <w:r w:rsidRPr="00C00A6F">
        <w:rPr>
          <w:rStyle w:val="AERtextbold"/>
        </w:rPr>
        <w:t>.3</w:t>
      </w:r>
      <w:r w:rsidRPr="00C00A6F">
        <w:t xml:space="preserve">: </w:t>
      </w:r>
      <w:r>
        <w:t>delete and replace s8.2(f)(i) of the access arrangement proposal to state: the forecast operating costs for that year as shown in table 11.1 of the Service Provider's Access Arrangement Information; plus</w:t>
      </w:r>
    </w:p>
    <w:p w:rsidR="007C1F9F" w:rsidRDefault="007C1F9F" w:rsidP="007C1F9F">
      <w:pPr>
        <w:pStyle w:val="AERrevisionbox"/>
      </w:pPr>
      <w:r>
        <w:rPr>
          <w:rStyle w:val="AERtextbold"/>
        </w:rPr>
        <w:t>Revision 7</w:t>
      </w:r>
      <w:r w:rsidRPr="00F51AFE">
        <w:rPr>
          <w:rStyle w:val="AERtextbold"/>
        </w:rPr>
        <w:t>.</w:t>
      </w:r>
      <w:r>
        <w:rPr>
          <w:rStyle w:val="AERtextbold"/>
        </w:rPr>
        <w:t>4</w:t>
      </w:r>
      <w:r w:rsidRPr="00F51AFE">
        <w:t xml:space="preserve">: </w:t>
      </w:r>
      <w:r>
        <w:t>delete and replace s8.2(h</w:t>
      </w:r>
      <w:r w:rsidRPr="00F51AFE">
        <w:t xml:space="preserve">) of the access arrangement proposal to state: </w:t>
      </w:r>
      <w:r>
        <w:t>In calculating the allowable revenue for operations and maintenance expenditure for the Fifth Access Arrangement Period, the Regulator must:</w:t>
      </w:r>
    </w:p>
    <w:p w:rsidR="007C1F9F" w:rsidRDefault="007C1F9F" w:rsidP="007C1F9F">
      <w:pPr>
        <w:pStyle w:val="AERrevisionbox"/>
      </w:pPr>
      <w:r>
        <w:t xml:space="preserve">(i) determine the base operations and maintenance expenditure for 2017 to be equal to the actual operating costs in 2016 plus the difference between forecast operating costs in 2016 and 2017 </w:t>
      </w:r>
      <w:r w:rsidRPr="00267D4E">
        <w:t>as specified in clause 8.2(f)</w:t>
      </w:r>
      <w:r w:rsidRPr="005D152C">
        <w:t xml:space="preserve"> </w:t>
      </w:r>
      <w:r w:rsidRPr="00512D33">
        <w:t>and, to avoid doubt, not tak</w:t>
      </w:r>
      <w:r>
        <w:t>e</w:t>
      </w:r>
      <w:r w:rsidRPr="00512D33">
        <w:t xml:space="preserve"> into account the efficiency gain</w:t>
      </w:r>
      <w:r>
        <w:t xml:space="preserve"> </w:t>
      </w:r>
      <w:r w:rsidRPr="00512D33">
        <w:t>(loss) made in 2017</w:t>
      </w:r>
      <w:r>
        <w:t>; and</w:t>
      </w:r>
    </w:p>
    <w:p w:rsidR="007C1F9F" w:rsidRDefault="007C1F9F" w:rsidP="007C1F9F">
      <w:pPr>
        <w:pStyle w:val="AERrevisionbox"/>
      </w:pPr>
      <w:r>
        <w:t>(ii) take into account forecast changes from the 2017 base opex in:</w:t>
      </w:r>
    </w:p>
    <w:p w:rsidR="007C1F9F" w:rsidRDefault="007C1F9F" w:rsidP="007C1F9F">
      <w:pPr>
        <w:pStyle w:val="AERrevisionbox"/>
      </w:pPr>
      <w:r>
        <w:tab/>
        <w:t xml:space="preserve">(A) </w:t>
      </w:r>
      <w:r w:rsidRPr="002413F8">
        <w:t>maintenance costs due to network expansion (</w:t>
      </w:r>
      <w:r>
        <w:t>scale</w:t>
      </w:r>
      <w:r w:rsidRPr="002413F8">
        <w:t xml:space="preserve"> changes)</w:t>
      </w:r>
    </w:p>
    <w:p w:rsidR="007C1F9F" w:rsidRDefault="007C1F9F" w:rsidP="007C1F9F">
      <w:pPr>
        <w:pStyle w:val="AERrevisionbox"/>
      </w:pPr>
      <w:r>
        <w:tab/>
        <w:t>(B) real labour and materials costs (real cost escalation)</w:t>
      </w:r>
    </w:p>
    <w:p w:rsidR="007C1F9F" w:rsidRDefault="007C1F9F" w:rsidP="007C1F9F">
      <w:pPr>
        <w:pStyle w:val="AERrevisionbox"/>
      </w:pPr>
      <w:r>
        <w:tab/>
        <w:t>(C) other efficient costs not reflected in the 2017 base opex (step changes); and</w:t>
      </w:r>
    </w:p>
    <w:p w:rsidR="007C1F9F" w:rsidRDefault="007C1F9F" w:rsidP="007C1F9F">
      <w:pPr>
        <w:pStyle w:val="AERrevisionbox"/>
      </w:pPr>
      <w:r>
        <w:tab/>
        <w:t>(D) capitalisation policy changes.</w:t>
      </w:r>
    </w:p>
    <w:p w:rsidR="007C1F9F" w:rsidRPr="00BB50CB" w:rsidRDefault="007C1F9F" w:rsidP="007C1F9F">
      <w:pPr>
        <w:pStyle w:val="AERrevisionbox"/>
      </w:pPr>
      <w:r>
        <w:rPr>
          <w:rStyle w:val="AERtextbold"/>
        </w:rPr>
        <w:t>Revision 7</w:t>
      </w:r>
      <w:r w:rsidRPr="00C00A6F">
        <w:rPr>
          <w:rStyle w:val="AERtextbold"/>
        </w:rPr>
        <w:t>.</w:t>
      </w:r>
      <w:r>
        <w:rPr>
          <w:rStyle w:val="AERtextbold"/>
        </w:rPr>
        <w:t>5</w:t>
      </w:r>
      <w:r w:rsidRPr="00C00A6F">
        <w:t>:</w:t>
      </w:r>
      <w:r>
        <w:t xml:space="preserve"> delete and replace table 11.1 in the proposed Access arrangement information with </w:t>
      </w:r>
      <w:r w:rsidR="00DE0D6A">
        <w:fldChar w:fldCharType="begin"/>
      </w:r>
      <w:r>
        <w:instrText xml:space="preserve"> REF  _Ref327870313 \* Lower \h \r </w:instrText>
      </w:r>
      <w:r w:rsidR="00DE0D6A">
        <w:fldChar w:fldCharType="separate"/>
      </w:r>
      <w:r>
        <w:t>table 7.4</w:t>
      </w:r>
      <w:r w:rsidR="00DE0D6A">
        <w:fldChar w:fldCharType="end"/>
      </w:r>
      <w:r>
        <w:t>.</w:t>
      </w:r>
    </w:p>
    <w:p w:rsidR="007C1F9F" w:rsidRPr="00163B37" w:rsidRDefault="007C1F9F" w:rsidP="007C1F9F">
      <w:pPr>
        <w:pStyle w:val="AERtabletitle"/>
      </w:pPr>
      <w:bookmarkStart w:id="129" w:name="_Ref327870313"/>
      <w:bookmarkEnd w:id="129"/>
      <w:r>
        <w:t xml:space="preserve">Forecast operating expenditure for </w:t>
      </w:r>
      <w:r w:rsidRPr="00163B37">
        <w:t>incentive mechanism purposes ($'million, 2012)</w:t>
      </w:r>
    </w:p>
    <w:tbl>
      <w:tblPr>
        <w:tblW w:w="5000" w:type="pct"/>
        <w:tblBorders>
          <w:top w:val="single" w:sz="4" w:space="0" w:color="auto"/>
          <w:bottom w:val="single" w:sz="4" w:space="0" w:color="auto"/>
        </w:tblBorders>
        <w:tblLook w:val="04A0"/>
      </w:tblPr>
      <w:tblGrid>
        <w:gridCol w:w="2950"/>
        <w:gridCol w:w="930"/>
        <w:gridCol w:w="930"/>
        <w:gridCol w:w="930"/>
        <w:gridCol w:w="930"/>
        <w:gridCol w:w="930"/>
        <w:gridCol w:w="928"/>
      </w:tblGrid>
      <w:tr w:rsidR="007C1F9F" w:rsidTr="00186172">
        <w:tc>
          <w:tcPr>
            <w:tcW w:w="1730"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p>
        </w:tc>
        <w:tc>
          <w:tcPr>
            <w:tcW w:w="54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2011</w:t>
            </w:r>
          </w:p>
        </w:tc>
        <w:tc>
          <w:tcPr>
            <w:tcW w:w="54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2012</w:t>
            </w:r>
          </w:p>
        </w:tc>
        <w:tc>
          <w:tcPr>
            <w:tcW w:w="54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2013</w:t>
            </w:r>
          </w:p>
        </w:tc>
        <w:tc>
          <w:tcPr>
            <w:tcW w:w="54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2014</w:t>
            </w:r>
          </w:p>
        </w:tc>
        <w:tc>
          <w:tcPr>
            <w:tcW w:w="54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2015</w:t>
            </w:r>
          </w:p>
        </w:tc>
        <w:tc>
          <w:tcPr>
            <w:tcW w:w="544"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163B37" w:rsidRDefault="007C1F9F" w:rsidP="00186172">
            <w:pPr>
              <w:pStyle w:val="AERtabletextheading"/>
            </w:pPr>
            <w:r w:rsidRPr="00163B37">
              <w:t>2016</w:t>
            </w:r>
          </w:p>
        </w:tc>
      </w:tr>
      <w:tr w:rsidR="007C1F9F" w:rsidTr="00186172">
        <w:tc>
          <w:tcPr>
            <w:tcW w:w="1730" w:type="pct"/>
            <w:shd w:val="clear" w:color="auto" w:fill="auto"/>
            <w:noWrap/>
            <w:tcMar>
              <w:top w:w="0" w:type="dxa"/>
              <w:bottom w:w="0" w:type="dxa"/>
            </w:tcMar>
            <w:vAlign w:val="center"/>
          </w:tcPr>
          <w:p w:rsidR="007C1F9F" w:rsidRPr="001878F8" w:rsidRDefault="007C1F9F" w:rsidP="00186172">
            <w:pPr>
              <w:pStyle w:val="AERtabletext"/>
            </w:pPr>
            <w:r w:rsidRPr="001878F8">
              <w:t>Controllable opex</w:t>
            </w:r>
          </w:p>
        </w:tc>
        <w:tc>
          <w:tcPr>
            <w:tcW w:w="545" w:type="pct"/>
            <w:shd w:val="clear" w:color="auto" w:fill="auto"/>
            <w:noWrap/>
            <w:tcMar>
              <w:top w:w="0" w:type="dxa"/>
              <w:bottom w:w="0" w:type="dxa"/>
            </w:tcMar>
            <w:vAlign w:val="bottom"/>
          </w:tcPr>
          <w:p w:rsidR="007C1F9F" w:rsidRPr="001878F8" w:rsidRDefault="007C1F9F" w:rsidP="00186172">
            <w:pPr>
              <w:pStyle w:val="AERtabletext-numbers"/>
            </w:pPr>
            <w:r w:rsidRPr="001878F8">
              <w:t>26.47</w:t>
            </w:r>
          </w:p>
        </w:tc>
        <w:tc>
          <w:tcPr>
            <w:tcW w:w="545" w:type="pct"/>
            <w:shd w:val="clear" w:color="auto" w:fill="auto"/>
            <w:noWrap/>
            <w:tcMar>
              <w:top w:w="0" w:type="dxa"/>
              <w:bottom w:w="0" w:type="dxa"/>
            </w:tcMar>
            <w:vAlign w:val="bottom"/>
          </w:tcPr>
          <w:p w:rsidR="007C1F9F" w:rsidRPr="001878F8" w:rsidRDefault="007C1F9F" w:rsidP="00186172">
            <w:pPr>
              <w:pStyle w:val="AERtabletext-numbers"/>
            </w:pPr>
            <w:r w:rsidRPr="001878F8">
              <w:t>26.92</w:t>
            </w:r>
          </w:p>
        </w:tc>
        <w:tc>
          <w:tcPr>
            <w:tcW w:w="545" w:type="pct"/>
            <w:shd w:val="clear" w:color="auto" w:fill="auto"/>
            <w:noWrap/>
            <w:tcMar>
              <w:top w:w="0" w:type="dxa"/>
              <w:bottom w:w="0" w:type="dxa"/>
            </w:tcMar>
          </w:tcPr>
          <w:p w:rsidR="007C1F9F" w:rsidRPr="001878F8" w:rsidRDefault="007C1F9F" w:rsidP="00186172">
            <w:pPr>
              <w:pStyle w:val="AERtabletext-numbers"/>
            </w:pPr>
            <w:r w:rsidRPr="001878F8">
              <w:t xml:space="preserve"> 27.03 </w:t>
            </w:r>
          </w:p>
        </w:tc>
        <w:tc>
          <w:tcPr>
            <w:tcW w:w="545" w:type="pct"/>
            <w:shd w:val="clear" w:color="auto" w:fill="auto"/>
            <w:noWrap/>
            <w:tcMar>
              <w:top w:w="0" w:type="dxa"/>
              <w:bottom w:w="0" w:type="dxa"/>
            </w:tcMar>
          </w:tcPr>
          <w:p w:rsidR="007C1F9F" w:rsidRPr="001878F8" w:rsidRDefault="007C1F9F" w:rsidP="00186172">
            <w:pPr>
              <w:pStyle w:val="AERtabletext-numbers"/>
            </w:pPr>
            <w:r w:rsidRPr="001878F8">
              <w:t xml:space="preserve"> 27.30 </w:t>
            </w:r>
          </w:p>
        </w:tc>
        <w:tc>
          <w:tcPr>
            <w:tcW w:w="545" w:type="pct"/>
            <w:shd w:val="clear" w:color="auto" w:fill="auto"/>
            <w:noWrap/>
            <w:tcMar>
              <w:top w:w="0" w:type="dxa"/>
              <w:bottom w:w="0" w:type="dxa"/>
            </w:tcMar>
          </w:tcPr>
          <w:p w:rsidR="007C1F9F" w:rsidRPr="001878F8" w:rsidRDefault="007C1F9F" w:rsidP="00186172">
            <w:pPr>
              <w:pStyle w:val="AERtabletext-numbers"/>
            </w:pPr>
            <w:r w:rsidRPr="001878F8">
              <w:t xml:space="preserve"> 28.15 </w:t>
            </w:r>
          </w:p>
        </w:tc>
        <w:tc>
          <w:tcPr>
            <w:tcW w:w="544" w:type="pct"/>
            <w:shd w:val="clear" w:color="auto" w:fill="auto"/>
            <w:noWrap/>
            <w:tcMar>
              <w:top w:w="0" w:type="dxa"/>
              <w:bottom w:w="0" w:type="dxa"/>
            </w:tcMar>
          </w:tcPr>
          <w:p w:rsidR="007C1F9F" w:rsidRPr="001878F8" w:rsidRDefault="007C1F9F" w:rsidP="00186172">
            <w:pPr>
              <w:pStyle w:val="AERtabletext-numbers"/>
            </w:pPr>
            <w:r w:rsidRPr="001878F8">
              <w:t xml:space="preserve"> 29.06 </w:t>
            </w:r>
          </w:p>
        </w:tc>
      </w:tr>
    </w:tbl>
    <w:p w:rsidR="007C1F9F" w:rsidRPr="00C00A6F" w:rsidRDefault="007C1F9F" w:rsidP="007C1F9F">
      <w:pPr>
        <w:pStyle w:val="AERtablesource"/>
      </w:pPr>
      <w:r>
        <w:t>Source:</w:t>
      </w:r>
      <w:r>
        <w:tab/>
        <w:t>AER analysis.</w:t>
      </w:r>
    </w:p>
    <w:p w:rsidR="007C1F9F" w:rsidRPr="00EA510C" w:rsidRDefault="007C1F9F" w:rsidP="007C1F9F"/>
    <w:p w:rsidR="007C1F9F" w:rsidRPr="007E3923" w:rsidRDefault="007C1F9F" w:rsidP="007C1F9F">
      <w:pPr>
        <w:pStyle w:val="AERheading1"/>
        <w:numPr>
          <w:ilvl w:val="0"/>
          <w:numId w:val="7"/>
        </w:numPr>
        <w:tabs>
          <w:tab w:val="clear" w:pos="-357"/>
          <w:tab w:val="left" w:pos="0"/>
        </w:tabs>
        <w:ind w:left="-354" w:hanging="360"/>
      </w:pPr>
      <w:bookmarkStart w:id="130" w:name="_Ref332715424"/>
      <w:bookmarkStart w:id="131" w:name="_Toc334543790"/>
      <w:bookmarkStart w:id="132" w:name="_Ref314050452"/>
      <w:r>
        <w:t>Corporate income tax</w:t>
      </w:r>
      <w:bookmarkEnd w:id="130"/>
      <w:bookmarkEnd w:id="131"/>
    </w:p>
    <w:p w:rsidR="007C1F9F" w:rsidRPr="00EE7E00" w:rsidRDefault="007C1F9F" w:rsidP="007C1F9F">
      <w:pPr>
        <w:pStyle w:val="AERbodytext"/>
      </w:pPr>
      <w:r w:rsidRPr="00874BD1">
        <w:t xml:space="preserve">When determining the total revenue for </w:t>
      </w:r>
      <w:r>
        <w:t>APA GasNet</w:t>
      </w:r>
      <w:r w:rsidRPr="00874BD1">
        <w:t xml:space="preserve">, the AER must estimate </w:t>
      </w:r>
      <w:r>
        <w:t>APA GasNet's</w:t>
      </w:r>
      <w:r w:rsidRPr="00874BD1">
        <w:t xml:space="preserve"> cost of corporate income tax.</w:t>
      </w:r>
      <w:r w:rsidRPr="00874BD1">
        <w:rPr>
          <w:rStyle w:val="FootnoteReference"/>
        </w:rPr>
        <w:footnoteReference w:id="547"/>
      </w:r>
      <w:r w:rsidRPr="00874BD1">
        <w:t xml:space="preserve"> </w:t>
      </w:r>
      <w:r w:rsidRPr="0007450F">
        <w:t xml:space="preserve">APA </w:t>
      </w:r>
      <w:r>
        <w:t xml:space="preserve">GasNet has adopted the post-tax framework to derive its revenue requirement for the </w:t>
      </w:r>
      <w:r w:rsidRPr="00B077E0">
        <w:rPr>
          <w:rStyle w:val="AERbody"/>
        </w:rPr>
        <w:t>2013–17</w:t>
      </w:r>
      <w:r>
        <w:rPr>
          <w:rStyle w:val="AERbody"/>
        </w:rPr>
        <w:t xml:space="preserve"> </w:t>
      </w:r>
      <w:r>
        <w:t>access arrangement period.</w:t>
      </w:r>
      <w:r>
        <w:rPr>
          <w:rStyle w:val="FootnoteReference"/>
        </w:rPr>
        <w:footnoteReference w:id="548"/>
      </w:r>
      <w:r>
        <w:t xml:space="preserve"> Under the post-tax framework, a </w:t>
      </w:r>
      <w:r w:rsidRPr="005D79C5">
        <w:t xml:space="preserve">separate </w:t>
      </w:r>
      <w:r>
        <w:t>c</w:t>
      </w:r>
      <w:r w:rsidRPr="00EE7E00">
        <w:t xml:space="preserve">orporate income tax allowance </w:t>
      </w:r>
      <w:r>
        <w:t>is calculated as part of the building blocks assessment.</w:t>
      </w:r>
    </w:p>
    <w:p w:rsidR="007C1F9F" w:rsidRDefault="007C1F9F" w:rsidP="007C1F9F">
      <w:pPr>
        <w:pStyle w:val="AERheading2"/>
        <w:numPr>
          <w:ilvl w:val="1"/>
          <w:numId w:val="7"/>
        </w:numPr>
        <w:tabs>
          <w:tab w:val="clear" w:pos="4317"/>
          <w:tab w:val="num" w:pos="0"/>
        </w:tabs>
        <w:ind w:left="0" w:hanging="720"/>
      </w:pPr>
      <w:bookmarkStart w:id="133" w:name="_Toc334543791"/>
      <w:r>
        <w:t>Draft decision</w:t>
      </w:r>
      <w:bookmarkEnd w:id="133"/>
    </w:p>
    <w:p w:rsidR="007C1F9F" w:rsidRDefault="007C1F9F" w:rsidP="007C1F9F">
      <w:pPr>
        <w:pStyle w:val="AERbodytext"/>
      </w:pPr>
      <w:r>
        <w:t>The AER approves APA GasNet’s proposed approach to calculating its forecast corporate income tax allowance. APA GasNet's proposed approach is consistent with the AER's standard post tax revenue model (PTRM). However, the AER does not approve APA GasNet’s proposed forecast corporate income tax allowance of $51.5 million ($nominal</w:t>
      </w:r>
      <w:r w:rsidRPr="00744437">
        <w:t>)</w:t>
      </w:r>
      <w:r w:rsidRPr="00744437">
        <w:rPr>
          <w:rStyle w:val="FootnoteReference"/>
        </w:rPr>
        <w:footnoteReference w:id="549"/>
      </w:r>
      <w:r w:rsidRPr="00EE7E00">
        <w:t xml:space="preserve"> for the </w:t>
      </w:r>
      <w:r w:rsidRPr="00B077E0">
        <w:rPr>
          <w:rStyle w:val="AERbody"/>
        </w:rPr>
        <w:t>2013–17</w:t>
      </w:r>
      <w:r>
        <w:rPr>
          <w:rStyle w:val="AERbody"/>
        </w:rPr>
        <w:t xml:space="preserve"> </w:t>
      </w:r>
      <w:r>
        <w:t>access arrangement</w:t>
      </w:r>
      <w:r w:rsidRPr="00EE7E00">
        <w:t xml:space="preserve"> period</w:t>
      </w:r>
      <w:r>
        <w:t>. This is mainly because of t</w:t>
      </w:r>
      <w:r w:rsidRPr="001C0783">
        <w:t xml:space="preserve">he AER's adjustments to </w:t>
      </w:r>
      <w:r>
        <w:t xml:space="preserve">APA GasNet's </w:t>
      </w:r>
      <w:r w:rsidRPr="0019550D">
        <w:t>opening tax asset base as at 1 January 2013 (section</w:t>
      </w:r>
      <w:r>
        <w:t xml:space="preserve"> </w:t>
      </w:r>
      <w:r w:rsidR="00DE0D6A">
        <w:fldChar w:fldCharType="begin"/>
      </w:r>
      <w:r>
        <w:instrText xml:space="preserve"> REF _Ref333915744 \r \h </w:instrText>
      </w:r>
      <w:r w:rsidR="00DE0D6A">
        <w:fldChar w:fldCharType="separate"/>
      </w:r>
      <w:r>
        <w:t>8.4.1</w:t>
      </w:r>
      <w:r w:rsidR="00DE0D6A">
        <w:fldChar w:fldCharType="end"/>
      </w:r>
      <w:r w:rsidRPr="0019550D">
        <w:t xml:space="preserve">), return on capital (attachment </w:t>
      </w:r>
      <w:r>
        <w:t>5</w:t>
      </w:r>
      <w:r w:rsidRPr="0019550D">
        <w:t xml:space="preserve">) and forecast opex (attachment </w:t>
      </w:r>
      <w:r>
        <w:t>6</w:t>
      </w:r>
      <w:r w:rsidRPr="0019550D">
        <w:t>).</w:t>
      </w:r>
    </w:p>
    <w:p w:rsidR="007C1F9F" w:rsidRDefault="007C1F9F" w:rsidP="007C1F9F">
      <w:pPr>
        <w:pStyle w:val="AERbodytext"/>
      </w:pPr>
      <w:r w:rsidRPr="0019550D">
        <w:t xml:space="preserve">The AER </w:t>
      </w:r>
      <w:r>
        <w:t>a</w:t>
      </w:r>
      <w:r w:rsidRPr="0019550D">
        <w:t xml:space="preserve">pproves </w:t>
      </w:r>
      <w:r>
        <w:t>APA GasNet</w:t>
      </w:r>
      <w:r w:rsidRPr="0019550D">
        <w:t xml:space="preserve">’s proposed method to </w:t>
      </w:r>
      <w:r>
        <w:t>roll forward the</w:t>
      </w:r>
      <w:r w:rsidRPr="0019550D">
        <w:t xml:space="preserve"> tax asset base.</w:t>
      </w:r>
      <w:r>
        <w:t xml:space="preserve"> However, due to input changes made to APA GasNet's proposed roll forward model (RFM), the AER does not approve the value of the opening tax asset base at 1 Jan</w:t>
      </w:r>
      <w:r w:rsidR="001E4A2A">
        <w:t>uary</w:t>
      </w:r>
      <w:r>
        <w:t xml:space="preserve"> 2013.</w:t>
      </w:r>
    </w:p>
    <w:p w:rsidR="007C1F9F" w:rsidRDefault="007C1F9F" w:rsidP="007C1F9F">
      <w:pPr>
        <w:pStyle w:val="AERbodytext"/>
      </w:pPr>
      <w:r>
        <w:t>The AER approves</w:t>
      </w:r>
      <w:r w:rsidRPr="0019550D">
        <w:t xml:space="preserve"> </w:t>
      </w:r>
      <w:r>
        <w:t>APA GasNet</w:t>
      </w:r>
      <w:r w:rsidRPr="0019550D">
        <w:t>’s proposed standard tax asset lives</w:t>
      </w:r>
      <w:r>
        <w:t xml:space="preserve"> for the </w:t>
      </w:r>
      <w:r w:rsidRPr="00B077E0">
        <w:rPr>
          <w:rStyle w:val="AERbody"/>
        </w:rPr>
        <w:t>2013–17</w:t>
      </w:r>
      <w:r>
        <w:rPr>
          <w:rStyle w:val="AERbody"/>
        </w:rPr>
        <w:t xml:space="preserve"> </w:t>
      </w:r>
      <w:r>
        <w:t>access arrangement period</w:t>
      </w:r>
      <w:r w:rsidRPr="0019550D">
        <w:t>.</w:t>
      </w:r>
      <w:r>
        <w:t xml:space="preserve"> This is because they are consistent with the provisions of the </w:t>
      </w:r>
      <w:r w:rsidRPr="006555A7">
        <w:rPr>
          <w:rStyle w:val="AERtextitalic"/>
        </w:rPr>
        <w:t xml:space="preserve">Income Tax Assessment Act </w:t>
      </w:r>
      <w:r w:rsidRPr="00433AA6">
        <w:rPr>
          <w:rStyle w:val="AERtextitalic"/>
        </w:rPr>
        <w:t>(ITAA)</w:t>
      </w:r>
      <w:r w:rsidRPr="006555A7">
        <w:rPr>
          <w:rStyle w:val="AERtextitalic"/>
        </w:rPr>
        <w:t xml:space="preserve"> </w:t>
      </w:r>
      <w:r w:rsidRPr="006555A7">
        <w:t>1997</w:t>
      </w:r>
      <w:r>
        <w:t xml:space="preserve"> and the standard tax asset lives </w:t>
      </w:r>
      <w:r w:rsidRPr="006555A7">
        <w:t xml:space="preserve">prescribed </w:t>
      </w:r>
      <w:r>
        <w:t>in the Tax Ruling 2012</w:t>
      </w:r>
      <w:r w:rsidRPr="006555A7">
        <w:t>/2</w:t>
      </w:r>
      <w:r>
        <w:t>.</w:t>
      </w:r>
      <w:r w:rsidRPr="004434DA">
        <w:t xml:space="preserve"> </w:t>
      </w:r>
      <w:r>
        <w:t xml:space="preserve">These proposed standard tax asset lives are also largely consistent with </w:t>
      </w:r>
      <w:r w:rsidRPr="00F40DA8">
        <w:t>the ACCC</w:t>
      </w:r>
      <w:r>
        <w:t>'s</w:t>
      </w:r>
      <w:r w:rsidRPr="00F40DA8">
        <w:t xml:space="preserve"> approved standard tax asset lives in the </w:t>
      </w:r>
      <w:r w:rsidRPr="00B077E0">
        <w:t>2008–12</w:t>
      </w:r>
      <w:r w:rsidRPr="00F40DA8">
        <w:t xml:space="preserve"> access arrangement period.</w:t>
      </w:r>
      <w:r>
        <w:rPr>
          <w:rStyle w:val="FootnoteReference"/>
        </w:rPr>
        <w:footnoteReference w:id="550"/>
      </w:r>
    </w:p>
    <w:p w:rsidR="007C1F9F" w:rsidRDefault="007C1F9F" w:rsidP="007C1F9F">
      <w:pPr>
        <w:pStyle w:val="AERbodytext"/>
      </w:pPr>
      <w:r>
        <w:t>The AER also accepts APA GasNet's</w:t>
      </w:r>
      <w:r w:rsidRPr="0019550D">
        <w:t xml:space="preserve"> proposed weighted average method to calculate the remaining tax asset lives as at 1 J</w:t>
      </w:r>
      <w:r>
        <w:t>anuary</w:t>
      </w:r>
      <w:r w:rsidRPr="0019550D">
        <w:t xml:space="preserve"> 201</w:t>
      </w:r>
      <w:r>
        <w:t>3. However, the AER does not accept APA GasNet's proposed remaining tax asset lives as at 1 January 2013. This is mainly because of the AER's adjustment to take into account 2007 actual capex in APA GasNet's tax asset base roll forward fo</w:t>
      </w:r>
      <w:r w:rsidR="001E4A2A">
        <w:t xml:space="preserve">r the </w:t>
      </w:r>
      <w:r w:rsidR="001E4A2A" w:rsidRPr="00B077E0">
        <w:t>2008–12</w:t>
      </w:r>
      <w:r w:rsidR="001E4A2A" w:rsidRPr="00F40DA8">
        <w:t xml:space="preserve"> access arrangement period</w:t>
      </w:r>
      <w:r>
        <w:t>.</w:t>
      </w:r>
    </w:p>
    <w:p w:rsidR="007C1F9F" w:rsidRDefault="007C1F9F" w:rsidP="007C1F9F">
      <w:pPr>
        <w:pStyle w:val="AERbodytext"/>
      </w:pPr>
      <w:r>
        <w:t>In assessing APA GasNet's proposal, the AER has had regard to the requirement of the NGO and the revenue and pricing priciples.</w:t>
      </w:r>
      <w:r>
        <w:rPr>
          <w:rStyle w:val="FootnoteReference"/>
        </w:rPr>
        <w:footnoteReference w:id="551"/>
      </w:r>
      <w:r>
        <w:t xml:space="preserve"> </w:t>
      </w:r>
      <w:r w:rsidRPr="009C2602">
        <w:t xml:space="preserve">The AER's draft decision on </w:t>
      </w:r>
      <w:r>
        <w:t>APA GasNet</w:t>
      </w:r>
      <w:r w:rsidRPr="009C2602">
        <w:t xml:space="preserve">'s </w:t>
      </w:r>
      <w:r>
        <w:t>corporate income tax</w:t>
      </w:r>
      <w:r w:rsidRPr="009C2602">
        <w:t xml:space="preserve"> allowance over the </w:t>
      </w:r>
      <w:r w:rsidRPr="00B077E0">
        <w:rPr>
          <w:rStyle w:val="AERbody"/>
        </w:rPr>
        <w:t xml:space="preserve">2013–17 </w:t>
      </w:r>
      <w:r w:rsidRPr="009C2602">
        <w:t>access arrangement period is $</w:t>
      </w:r>
      <w:r>
        <w:t xml:space="preserve">15.7 million ($nominal), as set out in </w:t>
      </w:r>
      <w:r w:rsidR="00DE0D6A">
        <w:fldChar w:fldCharType="begin"/>
      </w:r>
      <w:r>
        <w:instrText xml:space="preserve"> REF  _Ref313869430 \* Lower \h \r </w:instrText>
      </w:r>
      <w:r w:rsidR="00DE0D6A">
        <w:fldChar w:fldCharType="separate"/>
      </w:r>
      <w:r>
        <w:t>table 8.1</w:t>
      </w:r>
      <w:r w:rsidR="00DE0D6A">
        <w:fldChar w:fldCharType="end"/>
      </w:r>
      <w:r>
        <w:t xml:space="preserve">. </w:t>
      </w:r>
      <w:r w:rsidRPr="009C2602">
        <w:t>This represents a reduction of $</w:t>
      </w:r>
      <w:r>
        <w:t>35.8</w:t>
      </w:r>
      <w:r w:rsidRPr="009C2602">
        <w:t xml:space="preserve"> million (</w:t>
      </w:r>
      <w:r>
        <w:t>$</w:t>
      </w:r>
      <w:r w:rsidRPr="009C2602">
        <w:t xml:space="preserve">nominal) or </w:t>
      </w:r>
      <w:r>
        <w:t>69.5</w:t>
      </w:r>
      <w:r w:rsidRPr="009C2602">
        <w:t xml:space="preserve"> per cent of </w:t>
      </w:r>
      <w:r>
        <w:t>APA GasNet</w:t>
      </w:r>
      <w:r w:rsidRPr="009C2602">
        <w:t xml:space="preserve">'s proposed </w:t>
      </w:r>
      <w:r>
        <w:t xml:space="preserve">forecast corporate income tax allowance. </w:t>
      </w:r>
      <w:r w:rsidRPr="008F2D78">
        <w:t xml:space="preserve">Based on the approach to modelling the cash flows in the </w:t>
      </w:r>
      <w:r>
        <w:t>PTRM</w:t>
      </w:r>
      <w:r w:rsidRPr="008F2D78">
        <w:t>, the AER has d</w:t>
      </w:r>
      <w:r>
        <w:t>erived an effective tax rate of 29.2 </w:t>
      </w:r>
      <w:r w:rsidRPr="008F2D78">
        <w:t xml:space="preserve">per cent for this draft </w:t>
      </w:r>
      <w:r>
        <w:t>decision</w:t>
      </w:r>
      <w:r w:rsidRPr="008F2D78">
        <w:t>.</w:t>
      </w:r>
      <w:r w:rsidR="00DE0D6A">
        <w:fldChar w:fldCharType="begin"/>
      </w:r>
      <w:r>
        <w:instrText xml:space="preserve"> REF _Ref329688382 \r \h </w:instrText>
      </w:r>
      <w:r w:rsidR="00DE0D6A">
        <w:fldChar w:fldCharType="separate"/>
      </w:r>
      <w:r>
        <w:t>Table 5.1</w:t>
      </w:r>
      <w:r w:rsidR="00DE0D6A">
        <w:fldChar w:fldCharType="end"/>
      </w:r>
      <w:r w:rsidRPr="009C2602">
        <w:t xml:space="preserve"> </w:t>
      </w:r>
    </w:p>
    <w:p w:rsidR="007C1F9F" w:rsidRPr="003124D9" w:rsidRDefault="007C1F9F" w:rsidP="007C1F9F">
      <w:pPr>
        <w:pStyle w:val="AERtabletitle"/>
      </w:pPr>
      <w:bookmarkStart w:id="134" w:name="_Ref313869430"/>
      <w:bookmarkStart w:id="135" w:name="_Ref329621084"/>
      <w:bookmarkStart w:id="136" w:name="_Ref308172293"/>
      <w:r w:rsidRPr="00C70D05">
        <w:t>AER's draft decision</w:t>
      </w:r>
      <w:r w:rsidRPr="003124D9">
        <w:t xml:space="preserve"> on corporate income tax allowance for APA GasNet ($million, nominal)</w:t>
      </w:r>
      <w:bookmarkEnd w:id="134"/>
      <w:bookmarkEnd w:id="135"/>
      <w:r w:rsidRPr="003124D9" w:rsidDel="00AA1126">
        <w:t xml:space="preserve"> </w:t>
      </w:r>
      <w:bookmarkEnd w:id="136"/>
      <w:r w:rsidRPr="003124D9">
        <w:t xml:space="preserve"> </w:t>
      </w:r>
    </w:p>
    <w:tbl>
      <w:tblPr>
        <w:tblW w:w="8398" w:type="dxa"/>
        <w:tblBorders>
          <w:top w:val="single" w:sz="4" w:space="0" w:color="auto"/>
          <w:bottom w:val="single" w:sz="4" w:space="0" w:color="auto"/>
        </w:tblBorders>
        <w:tblLayout w:type="fixed"/>
        <w:tblLook w:val="01E0"/>
      </w:tblPr>
      <w:tblGrid>
        <w:gridCol w:w="2914"/>
        <w:gridCol w:w="885"/>
        <w:gridCol w:w="885"/>
        <w:gridCol w:w="885"/>
        <w:gridCol w:w="885"/>
        <w:gridCol w:w="885"/>
        <w:gridCol w:w="1059"/>
      </w:tblGrid>
      <w:tr w:rsidR="007C1F9F" w:rsidRPr="004E311C" w:rsidTr="00186172">
        <w:trPr>
          <w:trHeight w:val="489"/>
        </w:trPr>
        <w:tc>
          <w:tcPr>
            <w:tcW w:w="291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07450F" w:rsidRDefault="007C1F9F" w:rsidP="00186172">
            <w:pPr>
              <w:pStyle w:val="AERtabletext"/>
            </w:pP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7450F" w:rsidRDefault="007C1F9F" w:rsidP="00186172">
            <w:pPr>
              <w:pStyle w:val="AERtabletextheadingright"/>
            </w:pPr>
            <w:r w:rsidRPr="0007450F">
              <w:t xml:space="preserve">2013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7450F" w:rsidRDefault="007C1F9F" w:rsidP="00186172">
            <w:pPr>
              <w:pStyle w:val="AERtabletextheadingright"/>
            </w:pPr>
            <w:r w:rsidRPr="0007450F">
              <w:t xml:space="preserve">2014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7450F" w:rsidRDefault="007C1F9F" w:rsidP="00186172">
            <w:pPr>
              <w:pStyle w:val="AERtabletextheadingright"/>
            </w:pPr>
            <w:r w:rsidRPr="0007450F">
              <w:t xml:space="preserve">2015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7450F" w:rsidRDefault="007C1F9F" w:rsidP="00186172">
            <w:pPr>
              <w:pStyle w:val="AERtabletextheadingright"/>
            </w:pPr>
            <w:r w:rsidRPr="0007450F">
              <w:t xml:space="preserve">2016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7450F" w:rsidRDefault="007C1F9F" w:rsidP="00186172">
            <w:pPr>
              <w:pStyle w:val="AERtabletextheadingright"/>
            </w:pPr>
            <w:r w:rsidRPr="0007450F">
              <w:t xml:space="preserve">2017 </w:t>
            </w:r>
          </w:p>
        </w:tc>
        <w:tc>
          <w:tcPr>
            <w:tcW w:w="105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07450F" w:rsidRDefault="007C1F9F" w:rsidP="00186172">
            <w:pPr>
              <w:pStyle w:val="AERtabletextheadingright"/>
            </w:pPr>
            <w:r w:rsidRPr="0007450F">
              <w:t>Total</w:t>
            </w:r>
          </w:p>
        </w:tc>
      </w:tr>
      <w:tr w:rsidR="007C1F9F" w:rsidTr="00186172">
        <w:trPr>
          <w:trHeight w:val="337"/>
        </w:trPr>
        <w:tc>
          <w:tcPr>
            <w:tcW w:w="2914" w:type="dxa"/>
            <w:shd w:val="clear" w:color="auto" w:fill="auto"/>
            <w:noWrap/>
            <w:tcMar>
              <w:top w:w="0" w:type="dxa"/>
              <w:bottom w:w="0" w:type="dxa"/>
            </w:tcMar>
            <w:vAlign w:val="center"/>
          </w:tcPr>
          <w:p w:rsidR="007C1F9F" w:rsidRPr="0007450F" w:rsidRDefault="007C1F9F" w:rsidP="00186172">
            <w:pPr>
              <w:pStyle w:val="AERtabletext"/>
            </w:pPr>
            <w:r w:rsidRPr="0007450F">
              <w:t>Tax payable</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4.2</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4.6</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4.3</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4.4</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3.5</w:t>
            </w:r>
          </w:p>
        </w:tc>
        <w:tc>
          <w:tcPr>
            <w:tcW w:w="1059" w:type="dxa"/>
            <w:shd w:val="clear" w:color="auto" w:fill="auto"/>
            <w:noWrap/>
            <w:tcMar>
              <w:top w:w="0" w:type="dxa"/>
              <w:bottom w:w="0" w:type="dxa"/>
            </w:tcMar>
            <w:vAlign w:val="center"/>
          </w:tcPr>
          <w:p w:rsidR="007C1F9F" w:rsidRPr="00660245" w:rsidRDefault="007C1F9F" w:rsidP="00186172">
            <w:pPr>
              <w:pStyle w:val="AERtabletext-numbers"/>
            </w:pPr>
            <w:r w:rsidRPr="00FD3A27">
              <w:t>20.9</w:t>
            </w:r>
          </w:p>
        </w:tc>
      </w:tr>
      <w:tr w:rsidR="007C1F9F" w:rsidTr="00186172">
        <w:trPr>
          <w:trHeight w:val="463"/>
        </w:trPr>
        <w:tc>
          <w:tcPr>
            <w:tcW w:w="2914" w:type="dxa"/>
            <w:shd w:val="clear" w:color="auto" w:fill="F8B47C"/>
            <w:noWrap/>
            <w:tcMar>
              <w:top w:w="0" w:type="dxa"/>
              <w:bottom w:w="0" w:type="dxa"/>
            </w:tcMar>
            <w:vAlign w:val="center"/>
          </w:tcPr>
          <w:p w:rsidR="007C1F9F" w:rsidRPr="0007450F" w:rsidRDefault="007C1F9F" w:rsidP="00186172">
            <w:pPr>
              <w:pStyle w:val="AERtabletext"/>
            </w:pPr>
            <w:r w:rsidRPr="0007450F">
              <w:t>Less: value of imputation credits</w:t>
            </w:r>
          </w:p>
        </w:tc>
        <w:tc>
          <w:tcPr>
            <w:tcW w:w="885" w:type="dxa"/>
            <w:shd w:val="clear" w:color="auto" w:fill="F8B47C"/>
            <w:noWrap/>
            <w:tcMar>
              <w:top w:w="0" w:type="dxa"/>
              <w:bottom w:w="0" w:type="dxa"/>
            </w:tcMar>
            <w:vAlign w:val="center"/>
          </w:tcPr>
          <w:p w:rsidR="007C1F9F" w:rsidRPr="00660245" w:rsidRDefault="007C1F9F" w:rsidP="00186172">
            <w:pPr>
              <w:pStyle w:val="AERtabletext-numbers"/>
            </w:pPr>
            <w:r w:rsidRPr="00FD3A27">
              <w:t>1.0</w:t>
            </w:r>
          </w:p>
        </w:tc>
        <w:tc>
          <w:tcPr>
            <w:tcW w:w="885" w:type="dxa"/>
            <w:shd w:val="clear" w:color="auto" w:fill="F8B47C"/>
            <w:noWrap/>
            <w:tcMar>
              <w:top w:w="0" w:type="dxa"/>
              <w:bottom w:w="0" w:type="dxa"/>
            </w:tcMar>
            <w:vAlign w:val="center"/>
          </w:tcPr>
          <w:p w:rsidR="007C1F9F" w:rsidRPr="00660245" w:rsidRDefault="007C1F9F" w:rsidP="00186172">
            <w:pPr>
              <w:pStyle w:val="AERtabletext-numbers"/>
            </w:pPr>
            <w:r w:rsidRPr="00FD3A27">
              <w:t>1.1</w:t>
            </w:r>
          </w:p>
        </w:tc>
        <w:tc>
          <w:tcPr>
            <w:tcW w:w="885" w:type="dxa"/>
            <w:shd w:val="clear" w:color="auto" w:fill="F8B47C"/>
            <w:noWrap/>
            <w:tcMar>
              <w:top w:w="0" w:type="dxa"/>
              <w:bottom w:w="0" w:type="dxa"/>
            </w:tcMar>
            <w:vAlign w:val="center"/>
          </w:tcPr>
          <w:p w:rsidR="007C1F9F" w:rsidRPr="00660245" w:rsidRDefault="007C1F9F" w:rsidP="00186172">
            <w:pPr>
              <w:pStyle w:val="AERtabletext-numbers"/>
            </w:pPr>
            <w:r w:rsidRPr="00FD3A27">
              <w:t>1.1</w:t>
            </w:r>
          </w:p>
        </w:tc>
        <w:tc>
          <w:tcPr>
            <w:tcW w:w="885" w:type="dxa"/>
            <w:shd w:val="clear" w:color="auto" w:fill="F8B47C"/>
            <w:noWrap/>
            <w:tcMar>
              <w:top w:w="0" w:type="dxa"/>
              <w:bottom w:w="0" w:type="dxa"/>
            </w:tcMar>
            <w:vAlign w:val="center"/>
          </w:tcPr>
          <w:p w:rsidR="007C1F9F" w:rsidRPr="00660245" w:rsidRDefault="007C1F9F" w:rsidP="00186172">
            <w:pPr>
              <w:pStyle w:val="AERtabletext-numbers"/>
            </w:pPr>
            <w:r w:rsidRPr="00FD3A27">
              <w:t>1.1</w:t>
            </w:r>
          </w:p>
        </w:tc>
        <w:tc>
          <w:tcPr>
            <w:tcW w:w="885" w:type="dxa"/>
            <w:shd w:val="clear" w:color="auto" w:fill="F8B47C"/>
            <w:noWrap/>
            <w:tcMar>
              <w:top w:w="0" w:type="dxa"/>
              <w:bottom w:w="0" w:type="dxa"/>
            </w:tcMar>
            <w:vAlign w:val="center"/>
          </w:tcPr>
          <w:p w:rsidR="007C1F9F" w:rsidRPr="00660245" w:rsidRDefault="007C1F9F" w:rsidP="00186172">
            <w:pPr>
              <w:pStyle w:val="AERtabletext-numbers"/>
            </w:pPr>
            <w:r w:rsidRPr="00FD3A27">
              <w:t>0.9</w:t>
            </w:r>
          </w:p>
        </w:tc>
        <w:tc>
          <w:tcPr>
            <w:tcW w:w="1059" w:type="dxa"/>
            <w:shd w:val="clear" w:color="auto" w:fill="F8B47C"/>
            <w:noWrap/>
            <w:tcMar>
              <w:top w:w="0" w:type="dxa"/>
              <w:bottom w:w="0" w:type="dxa"/>
            </w:tcMar>
            <w:vAlign w:val="center"/>
          </w:tcPr>
          <w:p w:rsidR="007C1F9F" w:rsidRPr="00660245" w:rsidRDefault="007C1F9F" w:rsidP="00186172">
            <w:pPr>
              <w:pStyle w:val="AERtabletext-numbers"/>
            </w:pPr>
            <w:r w:rsidRPr="00FD3A27">
              <w:t>5.2</w:t>
            </w:r>
          </w:p>
        </w:tc>
      </w:tr>
      <w:tr w:rsidR="007C1F9F" w:rsidTr="00186172">
        <w:trPr>
          <w:trHeight w:val="537"/>
        </w:trPr>
        <w:tc>
          <w:tcPr>
            <w:tcW w:w="2914" w:type="dxa"/>
            <w:shd w:val="clear" w:color="auto" w:fill="auto"/>
            <w:noWrap/>
            <w:tcMar>
              <w:top w:w="0" w:type="dxa"/>
              <w:bottom w:w="0" w:type="dxa"/>
            </w:tcMar>
            <w:vAlign w:val="center"/>
          </w:tcPr>
          <w:p w:rsidR="007C1F9F" w:rsidRPr="0007450F" w:rsidRDefault="007C1F9F" w:rsidP="00186172">
            <w:pPr>
              <w:pStyle w:val="AERtabletext"/>
            </w:pPr>
            <w:r w:rsidRPr="0007450F">
              <w:t>Net corporate income tax allowance</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3.1</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3.4</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3.2</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3.3</w:t>
            </w:r>
          </w:p>
        </w:tc>
        <w:tc>
          <w:tcPr>
            <w:tcW w:w="885" w:type="dxa"/>
            <w:shd w:val="clear" w:color="auto" w:fill="auto"/>
            <w:noWrap/>
            <w:tcMar>
              <w:top w:w="0" w:type="dxa"/>
              <w:bottom w:w="0" w:type="dxa"/>
            </w:tcMar>
            <w:vAlign w:val="center"/>
          </w:tcPr>
          <w:p w:rsidR="007C1F9F" w:rsidRPr="00660245" w:rsidRDefault="007C1F9F" w:rsidP="00186172">
            <w:pPr>
              <w:pStyle w:val="AERtabletext-numbers"/>
            </w:pPr>
            <w:r w:rsidRPr="00FD3A27">
              <w:t>2.7</w:t>
            </w:r>
          </w:p>
        </w:tc>
        <w:tc>
          <w:tcPr>
            <w:tcW w:w="1059" w:type="dxa"/>
            <w:shd w:val="clear" w:color="auto" w:fill="auto"/>
            <w:noWrap/>
            <w:tcMar>
              <w:top w:w="0" w:type="dxa"/>
              <w:bottom w:w="0" w:type="dxa"/>
            </w:tcMar>
            <w:vAlign w:val="center"/>
          </w:tcPr>
          <w:p w:rsidR="007C1F9F" w:rsidRPr="00660245" w:rsidRDefault="007C1F9F" w:rsidP="00186172">
            <w:pPr>
              <w:pStyle w:val="AERtabletext-numbers"/>
            </w:pPr>
            <w:r w:rsidRPr="00FD3A27">
              <w:t>15.7</w:t>
            </w:r>
          </w:p>
        </w:tc>
      </w:tr>
    </w:tbl>
    <w:p w:rsidR="007C1F9F" w:rsidRDefault="007C1F9F" w:rsidP="007C1F9F">
      <w:pPr>
        <w:pStyle w:val="AERtablesource"/>
      </w:pPr>
      <w:r w:rsidRPr="00374CF8">
        <w:t>Source:</w:t>
      </w:r>
      <w:r>
        <w:tab/>
        <w:t>AER analysis.</w:t>
      </w:r>
    </w:p>
    <w:p w:rsidR="007C1F9F" w:rsidRPr="0007450F" w:rsidRDefault="007C1F9F" w:rsidP="007C1F9F">
      <w:pPr>
        <w:pStyle w:val="AERheading2"/>
        <w:numPr>
          <w:ilvl w:val="1"/>
          <w:numId w:val="7"/>
        </w:numPr>
        <w:tabs>
          <w:tab w:val="clear" w:pos="4317"/>
          <w:tab w:val="num" w:pos="0"/>
        </w:tabs>
        <w:ind w:left="0" w:hanging="720"/>
      </w:pPr>
      <w:bookmarkStart w:id="137" w:name="_Toc334543792"/>
      <w:r>
        <w:t xml:space="preserve">APA </w:t>
      </w:r>
      <w:r w:rsidRPr="0007450F">
        <w:t>GasNet’s proposal</w:t>
      </w:r>
      <w:bookmarkEnd w:id="137"/>
    </w:p>
    <w:p w:rsidR="007C1F9F" w:rsidRDefault="007C1F9F" w:rsidP="007C1F9F">
      <w:pPr>
        <w:pStyle w:val="AERbodytext"/>
      </w:pPr>
      <w:r>
        <w:t>APA GasNet proposed</w:t>
      </w:r>
      <w:r w:rsidRPr="00EE7E00">
        <w:t xml:space="preserve"> </w:t>
      </w:r>
      <w:bookmarkStart w:id="138" w:name="_Ref308172283"/>
      <w:r>
        <w:t xml:space="preserve">a corporate income tax allowance of $51.5 million ($nominal) for the </w:t>
      </w:r>
      <w:r w:rsidRPr="00B077E0">
        <w:rPr>
          <w:rStyle w:val="AERbody"/>
        </w:rPr>
        <w:t xml:space="preserve">2013–17 </w:t>
      </w:r>
      <w:r>
        <w:t xml:space="preserve">access arrangement period, as set out in </w:t>
      </w:r>
      <w:r w:rsidR="00DE0D6A">
        <w:fldChar w:fldCharType="begin"/>
      </w:r>
      <w:r>
        <w:instrText xml:space="preserve"> REF  _Ref329265248 \* Lower \h \r </w:instrText>
      </w:r>
      <w:r w:rsidR="00DE0D6A">
        <w:fldChar w:fldCharType="separate"/>
      </w:r>
      <w:r>
        <w:t>table 8.2</w:t>
      </w:r>
      <w:r w:rsidR="00DE0D6A">
        <w:fldChar w:fldCharType="end"/>
      </w:r>
      <w:r>
        <w:t xml:space="preserve">. APA GasNet used the AER’s PTRM to calculate the corporate income tax allowance for each year of the </w:t>
      </w:r>
      <w:r w:rsidRPr="00B077E0">
        <w:rPr>
          <w:rStyle w:val="AERbody"/>
        </w:rPr>
        <w:t xml:space="preserve">2013–17 </w:t>
      </w:r>
      <w:r>
        <w:t>access arrangement period. In estimating its corporate income tax allowance, APA GasNet used:</w:t>
      </w:r>
    </w:p>
    <w:p w:rsidR="007C1F9F" w:rsidRDefault="007C1F9F" w:rsidP="007C1F9F">
      <w:pPr>
        <w:pStyle w:val="AERbulletlistfirststyle"/>
      </w:pPr>
      <w:r>
        <w:t xml:space="preserve">an </w:t>
      </w:r>
      <w:r w:rsidRPr="00EE7E00">
        <w:t xml:space="preserve">opening </w:t>
      </w:r>
      <w:r>
        <w:t>tax asset base of $262.9 million ($nominal) as at</w:t>
      </w:r>
      <w:r w:rsidRPr="00EE7E00">
        <w:t xml:space="preserve"> 1 </w:t>
      </w:r>
      <w:r>
        <w:t xml:space="preserve">January 2013 </w:t>
      </w:r>
    </w:p>
    <w:p w:rsidR="007C1F9F" w:rsidRDefault="007C1F9F" w:rsidP="007C1F9F">
      <w:pPr>
        <w:pStyle w:val="AERbulletlistfirststyle"/>
      </w:pPr>
      <w:r>
        <w:t>an expected statutory income rate of 30 per cent per year</w:t>
      </w:r>
    </w:p>
    <w:p w:rsidR="007C1F9F" w:rsidRDefault="007C1F9F" w:rsidP="007C1F9F">
      <w:pPr>
        <w:pStyle w:val="AERbulletlistfirststyle"/>
      </w:pPr>
      <w:r>
        <w:t>a value for the assumed utilisation of imputation credits (gamma) of 0.25</w:t>
      </w:r>
    </w:p>
    <w:p w:rsidR="007C1F9F" w:rsidRDefault="007C1F9F" w:rsidP="007C1F9F">
      <w:pPr>
        <w:pStyle w:val="AERbulletlistfirststyle"/>
      </w:pPr>
      <w:r>
        <w:t xml:space="preserve">the standard tax asset lives and remaining tax asset lives contained </w:t>
      </w:r>
      <w:r w:rsidRPr="00D51A2D">
        <w:t>in its proposed PTRM</w:t>
      </w:r>
      <w:r>
        <w:t>.</w:t>
      </w:r>
    </w:p>
    <w:p w:rsidR="007C1F9F" w:rsidRPr="003124D9" w:rsidRDefault="007C1F9F" w:rsidP="007C1F9F">
      <w:pPr>
        <w:pStyle w:val="AERtabletitle"/>
      </w:pPr>
      <w:bookmarkStart w:id="139" w:name="_Ref329265248"/>
      <w:r>
        <w:t xml:space="preserve">APA </w:t>
      </w:r>
      <w:r w:rsidRPr="003124D9">
        <w:t>GasNet’s proposed corporate income tax allowance ($million, nominal)</w:t>
      </w:r>
      <w:bookmarkEnd w:id="139"/>
      <w:r w:rsidRPr="003124D9" w:rsidDel="00AA1126">
        <w:t xml:space="preserve"> </w:t>
      </w:r>
      <w:bookmarkEnd w:id="138"/>
    </w:p>
    <w:tbl>
      <w:tblPr>
        <w:tblW w:w="8398" w:type="dxa"/>
        <w:tblBorders>
          <w:top w:val="single" w:sz="4" w:space="0" w:color="auto"/>
          <w:bottom w:val="single" w:sz="4" w:space="0" w:color="auto"/>
        </w:tblBorders>
        <w:tblLayout w:type="fixed"/>
        <w:tblLook w:val="01E0"/>
      </w:tblPr>
      <w:tblGrid>
        <w:gridCol w:w="2914"/>
        <w:gridCol w:w="885"/>
        <w:gridCol w:w="885"/>
        <w:gridCol w:w="885"/>
        <w:gridCol w:w="885"/>
        <w:gridCol w:w="885"/>
        <w:gridCol w:w="1059"/>
      </w:tblGrid>
      <w:tr w:rsidR="007C1F9F" w:rsidRPr="004E311C" w:rsidTr="00186172">
        <w:trPr>
          <w:trHeight w:val="489"/>
        </w:trPr>
        <w:tc>
          <w:tcPr>
            <w:tcW w:w="291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8F79FA" w:rsidRDefault="007C1F9F" w:rsidP="00186172">
            <w:pPr>
              <w:pStyle w:val="AERtabletextheadingright"/>
            </w:pP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8F79FA" w:rsidRDefault="007C1F9F" w:rsidP="00186172">
            <w:pPr>
              <w:pStyle w:val="AERtabletextheadingright"/>
            </w:pPr>
            <w:r w:rsidRPr="008F79FA">
              <w:t xml:space="preserve">2013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8F79FA" w:rsidRDefault="007C1F9F" w:rsidP="00186172">
            <w:pPr>
              <w:pStyle w:val="AERtabletextheadingright"/>
            </w:pPr>
            <w:r w:rsidRPr="008F79FA">
              <w:t xml:space="preserve">2014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8F79FA" w:rsidRDefault="007C1F9F" w:rsidP="00186172">
            <w:pPr>
              <w:pStyle w:val="AERtabletextheadingright"/>
            </w:pPr>
            <w:r w:rsidRPr="008F79FA">
              <w:t xml:space="preserve">2015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8F79FA" w:rsidRDefault="007C1F9F" w:rsidP="00186172">
            <w:pPr>
              <w:pStyle w:val="AERtabletextheadingright"/>
            </w:pPr>
            <w:r w:rsidRPr="008F79FA">
              <w:t xml:space="preserve">2016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8F79FA" w:rsidRDefault="007C1F9F" w:rsidP="00186172">
            <w:pPr>
              <w:pStyle w:val="AERtabletextheadingright"/>
            </w:pPr>
            <w:r w:rsidRPr="008F79FA">
              <w:t xml:space="preserve">2017 </w:t>
            </w:r>
          </w:p>
        </w:tc>
        <w:tc>
          <w:tcPr>
            <w:tcW w:w="105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8F79FA" w:rsidRDefault="007C1F9F" w:rsidP="00186172">
            <w:pPr>
              <w:pStyle w:val="AERtabletextheadingright"/>
            </w:pPr>
            <w:r w:rsidRPr="008F79FA">
              <w:t>Total</w:t>
            </w:r>
          </w:p>
        </w:tc>
      </w:tr>
      <w:tr w:rsidR="007C1F9F" w:rsidTr="00186172">
        <w:trPr>
          <w:trHeight w:val="337"/>
        </w:trPr>
        <w:tc>
          <w:tcPr>
            <w:tcW w:w="2914" w:type="dxa"/>
            <w:shd w:val="clear" w:color="auto" w:fill="auto"/>
            <w:noWrap/>
            <w:tcMar>
              <w:top w:w="0" w:type="dxa"/>
              <w:bottom w:w="0" w:type="dxa"/>
            </w:tcMar>
            <w:vAlign w:val="center"/>
          </w:tcPr>
          <w:p w:rsidR="007C1F9F" w:rsidRPr="00D51A2D" w:rsidRDefault="007C1F9F" w:rsidP="00186172">
            <w:pPr>
              <w:pStyle w:val="AERtabletext"/>
            </w:pPr>
            <w:r w:rsidRPr="00D51A2D">
              <w:t>Tax payable</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 xml:space="preserve"> 13.1 </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 xml:space="preserve"> 13.6 </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 xml:space="preserve"> 14.7 </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 xml:space="preserve"> 14.3 </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 xml:space="preserve"> 13.0 </w:t>
            </w:r>
          </w:p>
        </w:tc>
        <w:tc>
          <w:tcPr>
            <w:tcW w:w="1059" w:type="dxa"/>
            <w:shd w:val="clear" w:color="auto" w:fill="auto"/>
            <w:noWrap/>
            <w:tcMar>
              <w:top w:w="0" w:type="dxa"/>
              <w:bottom w:w="0" w:type="dxa"/>
            </w:tcMar>
            <w:vAlign w:val="center"/>
          </w:tcPr>
          <w:p w:rsidR="007C1F9F" w:rsidRPr="00D51A2D" w:rsidRDefault="007C1F9F" w:rsidP="00186172">
            <w:pPr>
              <w:pStyle w:val="AERtabletext-numbers"/>
            </w:pPr>
            <w:r w:rsidRPr="00D51A2D">
              <w:t>68.6</w:t>
            </w:r>
          </w:p>
        </w:tc>
      </w:tr>
      <w:tr w:rsidR="007C1F9F" w:rsidTr="00186172">
        <w:trPr>
          <w:trHeight w:val="463"/>
        </w:trPr>
        <w:tc>
          <w:tcPr>
            <w:tcW w:w="2914" w:type="dxa"/>
            <w:shd w:val="clear" w:color="auto" w:fill="F8B47C"/>
            <w:noWrap/>
            <w:tcMar>
              <w:top w:w="0" w:type="dxa"/>
              <w:bottom w:w="0" w:type="dxa"/>
            </w:tcMar>
            <w:vAlign w:val="center"/>
          </w:tcPr>
          <w:p w:rsidR="007C1F9F" w:rsidRPr="00D51A2D" w:rsidRDefault="007C1F9F" w:rsidP="00186172">
            <w:pPr>
              <w:pStyle w:val="AERtabletext"/>
            </w:pPr>
            <w:r w:rsidRPr="00D51A2D">
              <w:t>Less: value of imputation credits</w:t>
            </w:r>
          </w:p>
        </w:tc>
        <w:tc>
          <w:tcPr>
            <w:tcW w:w="885" w:type="dxa"/>
            <w:shd w:val="clear" w:color="auto" w:fill="F8B47C"/>
            <w:noWrap/>
            <w:tcMar>
              <w:top w:w="0" w:type="dxa"/>
              <w:bottom w:w="0" w:type="dxa"/>
            </w:tcMar>
            <w:vAlign w:val="center"/>
          </w:tcPr>
          <w:p w:rsidR="007C1F9F" w:rsidRPr="00D51A2D" w:rsidRDefault="007C1F9F" w:rsidP="00186172">
            <w:pPr>
              <w:pStyle w:val="AERtabletext-numbers"/>
            </w:pPr>
            <w:r w:rsidRPr="00D51A2D">
              <w:t xml:space="preserve">   3.3 </w:t>
            </w:r>
          </w:p>
        </w:tc>
        <w:tc>
          <w:tcPr>
            <w:tcW w:w="885" w:type="dxa"/>
            <w:shd w:val="clear" w:color="auto" w:fill="F8B47C"/>
            <w:noWrap/>
            <w:tcMar>
              <w:top w:w="0" w:type="dxa"/>
              <w:bottom w:w="0" w:type="dxa"/>
            </w:tcMar>
            <w:vAlign w:val="center"/>
          </w:tcPr>
          <w:p w:rsidR="007C1F9F" w:rsidRPr="00D51A2D" w:rsidRDefault="007C1F9F" w:rsidP="00186172">
            <w:pPr>
              <w:pStyle w:val="AERtabletext-numbers"/>
            </w:pPr>
            <w:r w:rsidRPr="00D51A2D">
              <w:t xml:space="preserve"> 3.4 </w:t>
            </w:r>
          </w:p>
        </w:tc>
        <w:tc>
          <w:tcPr>
            <w:tcW w:w="885" w:type="dxa"/>
            <w:shd w:val="clear" w:color="auto" w:fill="F8B47C"/>
            <w:noWrap/>
            <w:tcMar>
              <w:top w:w="0" w:type="dxa"/>
              <w:bottom w:w="0" w:type="dxa"/>
            </w:tcMar>
            <w:vAlign w:val="center"/>
          </w:tcPr>
          <w:p w:rsidR="007C1F9F" w:rsidRPr="00D51A2D" w:rsidRDefault="007C1F9F" w:rsidP="00186172">
            <w:pPr>
              <w:pStyle w:val="AERtabletext-numbers"/>
            </w:pPr>
            <w:r w:rsidRPr="00D51A2D">
              <w:t xml:space="preserve"> 3.7 </w:t>
            </w:r>
          </w:p>
        </w:tc>
        <w:tc>
          <w:tcPr>
            <w:tcW w:w="885" w:type="dxa"/>
            <w:shd w:val="clear" w:color="auto" w:fill="F8B47C"/>
            <w:noWrap/>
            <w:tcMar>
              <w:top w:w="0" w:type="dxa"/>
              <w:bottom w:w="0" w:type="dxa"/>
            </w:tcMar>
            <w:vAlign w:val="center"/>
          </w:tcPr>
          <w:p w:rsidR="007C1F9F" w:rsidRPr="00D51A2D" w:rsidRDefault="007C1F9F" w:rsidP="00186172">
            <w:pPr>
              <w:pStyle w:val="AERtabletext-numbers"/>
            </w:pPr>
            <w:r w:rsidRPr="00D51A2D">
              <w:t xml:space="preserve">  3.6 </w:t>
            </w:r>
          </w:p>
        </w:tc>
        <w:tc>
          <w:tcPr>
            <w:tcW w:w="885" w:type="dxa"/>
            <w:shd w:val="clear" w:color="auto" w:fill="F8B47C"/>
            <w:noWrap/>
            <w:tcMar>
              <w:top w:w="0" w:type="dxa"/>
              <w:bottom w:w="0" w:type="dxa"/>
            </w:tcMar>
            <w:vAlign w:val="center"/>
          </w:tcPr>
          <w:p w:rsidR="007C1F9F" w:rsidRPr="00D51A2D" w:rsidRDefault="007C1F9F" w:rsidP="00186172">
            <w:pPr>
              <w:pStyle w:val="AERtabletext-numbers"/>
            </w:pPr>
            <w:r>
              <w:t>3.2</w:t>
            </w:r>
          </w:p>
        </w:tc>
        <w:tc>
          <w:tcPr>
            <w:tcW w:w="1059" w:type="dxa"/>
            <w:shd w:val="clear" w:color="auto" w:fill="F8B47C"/>
            <w:noWrap/>
            <w:tcMar>
              <w:top w:w="0" w:type="dxa"/>
              <w:bottom w:w="0" w:type="dxa"/>
            </w:tcMar>
            <w:vAlign w:val="center"/>
          </w:tcPr>
          <w:p w:rsidR="007C1F9F" w:rsidRPr="00D51A2D" w:rsidRDefault="007C1F9F" w:rsidP="00186172">
            <w:pPr>
              <w:pStyle w:val="AERtabletext-numbers"/>
            </w:pPr>
            <w:r>
              <w:t>17.2</w:t>
            </w:r>
          </w:p>
        </w:tc>
      </w:tr>
      <w:tr w:rsidR="007C1F9F" w:rsidTr="00186172">
        <w:trPr>
          <w:trHeight w:val="537"/>
        </w:trPr>
        <w:tc>
          <w:tcPr>
            <w:tcW w:w="2914" w:type="dxa"/>
            <w:shd w:val="clear" w:color="auto" w:fill="auto"/>
            <w:noWrap/>
            <w:tcMar>
              <w:top w:w="0" w:type="dxa"/>
              <w:bottom w:w="0" w:type="dxa"/>
            </w:tcMar>
            <w:vAlign w:val="center"/>
          </w:tcPr>
          <w:p w:rsidR="007C1F9F" w:rsidRPr="00D51A2D" w:rsidRDefault="007C1F9F" w:rsidP="00186172">
            <w:pPr>
              <w:pStyle w:val="AERtabletext"/>
            </w:pPr>
            <w:r w:rsidRPr="00D51A2D">
              <w:t>Net corporate income tax allowance</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 xml:space="preserve">   9.8</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10.2</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11.0</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10.8</w:t>
            </w:r>
          </w:p>
        </w:tc>
        <w:tc>
          <w:tcPr>
            <w:tcW w:w="885" w:type="dxa"/>
            <w:shd w:val="clear" w:color="auto" w:fill="auto"/>
            <w:noWrap/>
            <w:tcMar>
              <w:top w:w="0" w:type="dxa"/>
              <w:bottom w:w="0" w:type="dxa"/>
            </w:tcMar>
            <w:vAlign w:val="center"/>
          </w:tcPr>
          <w:p w:rsidR="007C1F9F" w:rsidRPr="00D51A2D" w:rsidRDefault="007C1F9F" w:rsidP="00186172">
            <w:pPr>
              <w:pStyle w:val="AERtabletext-numbers"/>
            </w:pPr>
            <w:r w:rsidRPr="00D51A2D">
              <w:t>9.7</w:t>
            </w:r>
          </w:p>
        </w:tc>
        <w:tc>
          <w:tcPr>
            <w:tcW w:w="1059" w:type="dxa"/>
            <w:shd w:val="clear" w:color="auto" w:fill="auto"/>
            <w:noWrap/>
            <w:tcMar>
              <w:top w:w="0" w:type="dxa"/>
              <w:bottom w:w="0" w:type="dxa"/>
            </w:tcMar>
            <w:vAlign w:val="center"/>
          </w:tcPr>
          <w:p w:rsidR="007C1F9F" w:rsidRPr="00D51A2D" w:rsidRDefault="007C1F9F" w:rsidP="00186172">
            <w:pPr>
              <w:pStyle w:val="AERtabletext-numbers"/>
            </w:pPr>
            <w:r w:rsidRPr="00D51A2D">
              <w:t>51.5</w:t>
            </w:r>
          </w:p>
        </w:tc>
      </w:tr>
    </w:tbl>
    <w:p w:rsidR="007C1F9F" w:rsidRPr="003D16FB" w:rsidRDefault="007C1F9F" w:rsidP="007C1F9F">
      <w:pPr>
        <w:pStyle w:val="AERtablesource"/>
      </w:pPr>
      <w:r>
        <w:t>S</w:t>
      </w:r>
      <w:r w:rsidRPr="003D16FB">
        <w:t>ource:</w:t>
      </w:r>
      <w:r w:rsidRPr="003D16FB">
        <w:tab/>
      </w:r>
      <w:r>
        <w:t xml:space="preserve">APA </w:t>
      </w:r>
      <w:r w:rsidRPr="00D51A2D">
        <w:t xml:space="preserve">GasNet, </w:t>
      </w:r>
      <w:r>
        <w:rPr>
          <w:rStyle w:val="AERtextitalic"/>
        </w:rPr>
        <w:t>Post tax revenue model</w:t>
      </w:r>
      <w:r w:rsidRPr="00D51A2D">
        <w:t>,</w:t>
      </w:r>
      <w:r w:rsidRPr="003D16FB">
        <w:t xml:space="preserve"> </w:t>
      </w:r>
      <w:r>
        <w:t>March</w:t>
      </w:r>
      <w:r w:rsidRPr="003D16FB">
        <w:t xml:space="preserve"> 201</w:t>
      </w:r>
      <w:r>
        <w:t>2</w:t>
      </w:r>
      <w:r w:rsidRPr="003D16FB">
        <w:t>.</w:t>
      </w:r>
    </w:p>
    <w:p w:rsidR="007C1F9F" w:rsidRDefault="007C1F9F" w:rsidP="007C1F9F">
      <w:pPr>
        <w:pStyle w:val="AERheading2"/>
        <w:numPr>
          <w:ilvl w:val="1"/>
          <w:numId w:val="7"/>
        </w:numPr>
        <w:tabs>
          <w:tab w:val="clear" w:pos="4317"/>
          <w:tab w:val="num" w:pos="0"/>
        </w:tabs>
        <w:ind w:left="0" w:hanging="720"/>
      </w:pPr>
      <w:bookmarkStart w:id="140" w:name="_Ref329266514"/>
      <w:bookmarkStart w:id="141" w:name="_Toc334543793"/>
      <w:r>
        <w:t>Assessment approach</w:t>
      </w:r>
      <w:bookmarkEnd w:id="140"/>
      <w:bookmarkEnd w:id="141"/>
    </w:p>
    <w:p w:rsidR="007C1F9F" w:rsidRPr="00874BD1" w:rsidRDefault="007C1F9F" w:rsidP="007C1F9F">
      <w:pPr>
        <w:pStyle w:val="AERbodytext"/>
      </w:pPr>
      <w:r w:rsidRPr="00874BD1">
        <w:t>The AER</w:t>
      </w:r>
      <w:r>
        <w:t>'</w:t>
      </w:r>
      <w:r w:rsidRPr="00874BD1">
        <w:t xml:space="preserve">s approach </w:t>
      </w:r>
      <w:r>
        <w:t>to</w:t>
      </w:r>
      <w:r w:rsidRPr="00874BD1">
        <w:t xml:space="preserve"> calculating </w:t>
      </w:r>
      <w:r>
        <w:t>APA GasNet's</w:t>
      </w:r>
      <w:r w:rsidRPr="00874BD1">
        <w:t xml:space="preserve"> cost of corporate income tax</w:t>
      </w:r>
      <w:r>
        <w:t xml:space="preserve"> is set out in the PTRM and</w:t>
      </w:r>
      <w:r w:rsidRPr="00874BD1">
        <w:t xml:space="preserve"> </w:t>
      </w:r>
      <w:r>
        <w:t>begins with an</w:t>
      </w:r>
      <w:r w:rsidRPr="00874BD1">
        <w:t xml:space="preserve"> estimate </w:t>
      </w:r>
      <w:r>
        <w:t>of</w:t>
      </w:r>
      <w:r w:rsidRPr="00874BD1">
        <w:t xml:space="preserve"> taxable income that would be earned by an efficient benchmark company operating </w:t>
      </w:r>
      <w:r>
        <w:t>APA GasNet's</w:t>
      </w:r>
      <w:r w:rsidRPr="00874BD1">
        <w:t xml:space="preserve"> business. </w:t>
      </w:r>
      <w:r>
        <w:t>T</w:t>
      </w:r>
      <w:r w:rsidRPr="00874BD1">
        <w:t xml:space="preserve">he AER </w:t>
      </w:r>
      <w:r>
        <w:t xml:space="preserve">has </w:t>
      </w:r>
      <w:r w:rsidRPr="00874BD1">
        <w:t xml:space="preserve">modelled </w:t>
      </w:r>
      <w:r>
        <w:t>APA GasNet's</w:t>
      </w:r>
      <w:r w:rsidRPr="00874BD1">
        <w:t xml:space="preserve"> tax </w:t>
      </w:r>
      <w:r>
        <w:t>expenses over</w:t>
      </w:r>
      <w:r w:rsidRPr="00874BD1">
        <w:t xml:space="preserve"> the </w:t>
      </w:r>
      <w:r w:rsidRPr="00B077E0">
        <w:rPr>
          <w:rStyle w:val="AERbody"/>
        </w:rPr>
        <w:t xml:space="preserve">2013–17 </w:t>
      </w:r>
      <w:r w:rsidRPr="00874BD1">
        <w:t>access arrangement period</w:t>
      </w:r>
      <w:r>
        <w:t xml:space="preserve">. Interest </w:t>
      </w:r>
      <w:r w:rsidRPr="00874BD1">
        <w:t xml:space="preserve">tax </w:t>
      </w:r>
      <w:r>
        <w:t>expense</w:t>
      </w:r>
      <w:r w:rsidRPr="00874BD1">
        <w:t xml:space="preserve"> is estimated using </w:t>
      </w:r>
      <w:r>
        <w:t>a</w:t>
      </w:r>
      <w:r w:rsidRPr="00874BD1">
        <w:t xml:space="preserve"> benchmark 60 per cent gearing, rather than </w:t>
      </w:r>
      <w:r>
        <w:t>APA GasNet</w:t>
      </w:r>
      <w:r w:rsidRPr="00874BD1">
        <w:t>’s actual gearing</w:t>
      </w:r>
      <w:r>
        <w:t>. T</w:t>
      </w:r>
      <w:r w:rsidRPr="00874BD1">
        <w:t>ax depreciation</w:t>
      </w:r>
      <w:r>
        <w:t xml:space="preserve"> is calculated using a separate tax asset base</w:t>
      </w:r>
      <w:r w:rsidRPr="00874BD1">
        <w:t xml:space="preserve">. </w:t>
      </w:r>
      <w:r>
        <w:t>All tax expenses (including other expenses such as operating expenditure) are</w:t>
      </w:r>
      <w:r w:rsidRPr="00874BD1">
        <w:t xml:space="preserve"> offset against the </w:t>
      </w:r>
      <w:r>
        <w:t>service provider</w:t>
      </w:r>
      <w:r w:rsidRPr="00874BD1">
        <w:t xml:space="preserve">'s </w:t>
      </w:r>
      <w:r>
        <w:t>forecast revenue</w:t>
      </w:r>
      <w:r w:rsidRPr="00874BD1">
        <w:t xml:space="preserve"> to estimate the taxable income.</w:t>
      </w:r>
      <w:r>
        <w:t xml:space="preserve"> </w:t>
      </w:r>
      <w:r w:rsidRPr="00874BD1">
        <w:t>The statutory income tax rate</w:t>
      </w:r>
      <w:r>
        <w:t xml:space="preserve"> of 30 per cent</w:t>
      </w:r>
      <w:r w:rsidRPr="00874BD1">
        <w:t xml:space="preserve"> is then applied to the estimated taxable income to arrive at a notional amount of tax payable. The AER then applies a discount to that notional amount of tax payable to account for the assumed utilisation of imputation credits (gamma</w:t>
      </w:r>
      <w:r>
        <w:t>),</w:t>
      </w:r>
      <w:r w:rsidRPr="00A36153">
        <w:t xml:space="preserve"> </w:t>
      </w:r>
      <w:r>
        <w:t>which has a</w:t>
      </w:r>
      <w:r w:rsidRPr="00874BD1">
        <w:t xml:space="preserve"> value of 0.25.</w:t>
      </w:r>
      <w:r>
        <w:t xml:space="preserve"> </w:t>
      </w:r>
      <w:r w:rsidRPr="00874BD1">
        <w:t xml:space="preserve">This amount is then included as a separate building block in determining </w:t>
      </w:r>
      <w:r>
        <w:t>APA GasNet's</w:t>
      </w:r>
      <w:r w:rsidRPr="00874BD1">
        <w:t xml:space="preserve"> total revenue.</w:t>
      </w:r>
      <w:r w:rsidRPr="00874BD1">
        <w:rPr>
          <w:rStyle w:val="FootnoteReference"/>
        </w:rPr>
        <w:footnoteReference w:id="552"/>
      </w:r>
      <w:r w:rsidRPr="00874BD1">
        <w:t xml:space="preserve"> </w:t>
      </w:r>
    </w:p>
    <w:p w:rsidR="007C1F9F" w:rsidRPr="00874BD1" w:rsidRDefault="007C1F9F" w:rsidP="007C1F9F">
      <w:pPr>
        <w:pStyle w:val="AERbodytext"/>
      </w:pPr>
      <w:r w:rsidRPr="00874BD1">
        <w:t xml:space="preserve">The corporate income tax allowance is an output of the AER’s PTRM. The AER therefore has assessed </w:t>
      </w:r>
      <w:r>
        <w:t>APA GasNet's</w:t>
      </w:r>
      <w:r w:rsidRPr="00874BD1">
        <w:t xml:space="preserve"> proposed corporate income tax allowance by analysing </w:t>
      </w:r>
      <w:r>
        <w:t>APA GasNet's</w:t>
      </w:r>
      <w:r w:rsidRPr="00874BD1">
        <w:t xml:space="preserve"> proposed inputs to the PTRM for calculating the tax allowance. These inputs include: </w:t>
      </w:r>
    </w:p>
    <w:p w:rsidR="007C1F9F" w:rsidRDefault="007C1F9F" w:rsidP="007C1F9F">
      <w:pPr>
        <w:pStyle w:val="AERbulletlistfirststyle"/>
      </w:pPr>
      <w:r w:rsidRPr="00874BD1">
        <w:t xml:space="preserve">the opening tax asset base as at 1 January 2013 </w:t>
      </w:r>
    </w:p>
    <w:p w:rsidR="007C1F9F" w:rsidRDefault="007C1F9F" w:rsidP="007C1F9F">
      <w:pPr>
        <w:pStyle w:val="AERbulletlistfirststyle"/>
      </w:pPr>
      <w:r w:rsidRPr="00D51A2D">
        <w:t>the standard tax asset life for each asset</w:t>
      </w:r>
      <w:r>
        <w:t xml:space="preserve"> class</w:t>
      </w:r>
    </w:p>
    <w:p w:rsidR="007C1F9F" w:rsidRPr="00874BD1" w:rsidRDefault="007C1F9F" w:rsidP="007C1F9F">
      <w:pPr>
        <w:pStyle w:val="AERbulletlistfirststyle"/>
      </w:pPr>
      <w:r>
        <w:t xml:space="preserve">the remaining tax asset life </w:t>
      </w:r>
      <w:r w:rsidRPr="00D51A2D">
        <w:t xml:space="preserve">for each asset </w:t>
      </w:r>
      <w:r>
        <w:t xml:space="preserve">class as at </w:t>
      </w:r>
      <w:r w:rsidRPr="00D51A2D">
        <w:t>1 January 2013</w:t>
      </w:r>
    </w:p>
    <w:p w:rsidR="007C1F9F" w:rsidRDefault="007C1F9F" w:rsidP="007C1F9F">
      <w:pPr>
        <w:pStyle w:val="AERbulletlistfirststyle"/>
      </w:pPr>
      <w:r w:rsidRPr="00874BD1">
        <w:t xml:space="preserve">the income tax rate </w:t>
      </w:r>
    </w:p>
    <w:p w:rsidR="007C1F9F" w:rsidRDefault="007C1F9F" w:rsidP="007C1F9F">
      <w:pPr>
        <w:pStyle w:val="AERbulletlistfirststyle"/>
      </w:pPr>
      <w:r w:rsidRPr="00874BD1">
        <w:t>the value of gamma.</w:t>
      </w:r>
    </w:p>
    <w:p w:rsidR="007C1F9F" w:rsidRPr="00B077E0" w:rsidRDefault="007C1F9F" w:rsidP="007C1F9F">
      <w:pPr>
        <w:pStyle w:val="AERbodytext"/>
      </w:pPr>
      <w:r w:rsidRPr="00B077E0">
        <w:rPr>
          <w:rStyle w:val="AERbody"/>
        </w:rPr>
        <w:t xml:space="preserve">In assessing </w:t>
      </w:r>
      <w:r>
        <w:rPr>
          <w:rStyle w:val="AERbody"/>
        </w:rPr>
        <w:t>APA GasNet's proposal, the AER has had r</w:t>
      </w:r>
      <w:r w:rsidRPr="00B077E0">
        <w:rPr>
          <w:rStyle w:val="AERbody"/>
        </w:rPr>
        <w:t>egard to the NGO and the revenue and pricing principles.</w:t>
      </w:r>
      <w:r>
        <w:rPr>
          <w:rStyle w:val="FootnoteReference"/>
        </w:rPr>
        <w:footnoteReference w:id="553"/>
      </w:r>
    </w:p>
    <w:p w:rsidR="007C1F9F" w:rsidRPr="00874BD1" w:rsidRDefault="007C1F9F" w:rsidP="007C1F9F">
      <w:pPr>
        <w:pStyle w:val="AERbodytext"/>
      </w:pPr>
      <w:r w:rsidRPr="00874BD1">
        <w:t xml:space="preserve">The AER considers that the roll forward of the opening tax asset base to 1 January 2013 should be based on the </w:t>
      </w:r>
      <w:r>
        <w:t>ACCC's</w:t>
      </w:r>
      <w:r w:rsidRPr="00874BD1">
        <w:t xml:space="preserve"> approved opening tax asset base as at 1 January 2007 and </w:t>
      </w:r>
      <w:r>
        <w:t>APA GasNet's</w:t>
      </w:r>
      <w:r w:rsidRPr="00874BD1">
        <w:t xml:space="preserve"> actual capex in earlier access arrangement periods. The value of the actual capex used for roll</w:t>
      </w:r>
      <w:r>
        <w:t>ing</w:t>
      </w:r>
      <w:r w:rsidRPr="00874BD1">
        <w:t xml:space="preserve"> forward the tax asset base is subject to the AER’s assessment o</w:t>
      </w:r>
      <w:r>
        <w:t>f</w:t>
      </w:r>
      <w:r w:rsidRPr="00874BD1">
        <w:t xml:space="preserve"> these values as discussed in attachment</w:t>
      </w:r>
      <w:r>
        <w:t>s 2 and</w:t>
      </w:r>
      <w:r w:rsidRPr="00874BD1">
        <w:t xml:space="preserve"> </w:t>
      </w:r>
      <w:r>
        <w:t>3</w:t>
      </w:r>
      <w:r w:rsidRPr="00874BD1">
        <w:t>.</w:t>
      </w:r>
      <w:r w:rsidRPr="00874BD1">
        <w:rPr>
          <w:rStyle w:val="FootnoteReference"/>
        </w:rPr>
        <w:footnoteReference w:id="554"/>
      </w:r>
    </w:p>
    <w:p w:rsidR="007C1F9F" w:rsidRPr="00874BD1" w:rsidRDefault="007C1F9F" w:rsidP="007C1F9F">
      <w:pPr>
        <w:pStyle w:val="AERbodytext"/>
      </w:pPr>
      <w:r w:rsidRPr="00874BD1">
        <w:t xml:space="preserve">The AER assesses </w:t>
      </w:r>
      <w:r>
        <w:t>APA GasNet's</w:t>
      </w:r>
      <w:r w:rsidRPr="00874BD1">
        <w:t xml:space="preserve"> proposed standard tax asset lives, where necessary, against those prescribed by the Commi</w:t>
      </w:r>
      <w:r>
        <w:t>ssioner for taxation in Tax R</w:t>
      </w:r>
      <w:r w:rsidRPr="00874BD1">
        <w:t>uling 201</w:t>
      </w:r>
      <w:r>
        <w:t>2</w:t>
      </w:r>
      <w:r w:rsidRPr="00874BD1">
        <w:t>/</w:t>
      </w:r>
      <w:r>
        <w:t xml:space="preserve">2 </w:t>
      </w:r>
      <w:r w:rsidRPr="00AC1105">
        <w:t>and the ACCC</w:t>
      </w:r>
      <w:r>
        <w:t>'s</w:t>
      </w:r>
      <w:r w:rsidRPr="00AC1105">
        <w:t xml:space="preserve"> approved standard tax asset lives in the </w:t>
      </w:r>
      <w:r w:rsidRPr="00B077E0">
        <w:t xml:space="preserve">2008–12 </w:t>
      </w:r>
      <w:r w:rsidRPr="00AC1105">
        <w:t>access arrangement period.</w:t>
      </w:r>
      <w:r w:rsidRPr="00874BD1">
        <w:t xml:space="preserve"> </w:t>
      </w:r>
    </w:p>
    <w:p w:rsidR="007C1F9F" w:rsidRDefault="007C1F9F" w:rsidP="007C1F9F">
      <w:pPr>
        <w:pStyle w:val="AERbodytext"/>
      </w:pPr>
      <w:r w:rsidRPr="00874BD1">
        <w:t xml:space="preserve">The AER's </w:t>
      </w:r>
      <w:r>
        <w:t>standard</w:t>
      </w:r>
      <w:r w:rsidRPr="00874BD1">
        <w:t xml:space="preserve"> method </w:t>
      </w:r>
      <w:r>
        <w:t>for</w:t>
      </w:r>
      <w:r w:rsidRPr="00874BD1">
        <w:t xml:space="preserve"> determin</w:t>
      </w:r>
      <w:r>
        <w:t>ing</w:t>
      </w:r>
      <w:r w:rsidRPr="00874BD1">
        <w:t xml:space="preserve"> the remaining tax asset lives is the weighted average method. </w:t>
      </w:r>
      <w:r w:rsidRPr="003A447F">
        <w:t xml:space="preserve">The weighted average method </w:t>
      </w:r>
      <w:r>
        <w:t>rolls forward the remaining tax asset life for a tax asset class from the beginning of the earlier access arrangement period. This approach</w:t>
      </w:r>
      <w:r w:rsidRPr="00334ADF">
        <w:t xml:space="preserve"> reflect</w:t>
      </w:r>
      <w:r>
        <w:t>s</w:t>
      </w:r>
      <w:r w:rsidRPr="00334ADF">
        <w:t xml:space="preserve"> the mix of assets within that </w:t>
      </w:r>
      <w:r>
        <w:t xml:space="preserve">tax </w:t>
      </w:r>
      <w:r w:rsidRPr="00334ADF">
        <w:t>asset class, when they were acquired over that period (or if they were existing asset</w:t>
      </w:r>
      <w:r>
        <w:t>s</w:t>
      </w:r>
      <w:r w:rsidRPr="00334ADF">
        <w:t xml:space="preserve"> at </w:t>
      </w:r>
      <w:r>
        <w:t>the</w:t>
      </w:r>
      <w:r w:rsidRPr="00334ADF">
        <w:t xml:space="preserve"> beginning), and the remaining value of those assets (used as a weight) at the end of the period. The AER will assess the outcomes of other approaches against </w:t>
      </w:r>
      <w:r>
        <w:t>the outcomes of t</w:t>
      </w:r>
      <w:r w:rsidRPr="00334ADF">
        <w:t>his standard approach</w:t>
      </w:r>
      <w:r>
        <w:t>.</w:t>
      </w:r>
    </w:p>
    <w:p w:rsidR="007C1F9F" w:rsidRDefault="007C1F9F" w:rsidP="007C1F9F">
      <w:pPr>
        <w:pStyle w:val="AERheading2"/>
        <w:numPr>
          <w:ilvl w:val="1"/>
          <w:numId w:val="7"/>
        </w:numPr>
        <w:tabs>
          <w:tab w:val="clear" w:pos="4317"/>
          <w:tab w:val="num" w:pos="0"/>
        </w:tabs>
        <w:ind w:left="0" w:hanging="720"/>
      </w:pPr>
      <w:bookmarkStart w:id="142" w:name="_Toc334543794"/>
      <w:r>
        <w:t>Reasons for decision</w:t>
      </w:r>
      <w:bookmarkEnd w:id="142"/>
    </w:p>
    <w:p w:rsidR="007C1F9F" w:rsidRPr="00874BD1" w:rsidRDefault="007C1F9F" w:rsidP="007C1F9F">
      <w:bookmarkStart w:id="143" w:name="_Ref314734530"/>
      <w:r w:rsidRPr="00874BD1">
        <w:t xml:space="preserve">The AER’s draft decision on </w:t>
      </w:r>
      <w:r>
        <w:t>APA GasNet</w:t>
      </w:r>
      <w:r w:rsidRPr="00874BD1">
        <w:t>’s corporate income tax allowance is $</w:t>
      </w:r>
      <w:r w:rsidRPr="00E17C4C">
        <w:t>15.7</w:t>
      </w:r>
      <w:r w:rsidRPr="003F47B6">
        <w:t xml:space="preserve"> </w:t>
      </w:r>
      <w:r w:rsidRPr="00874BD1">
        <w:t xml:space="preserve">million ($nominal), which is a reduction of </w:t>
      </w:r>
      <w:r>
        <w:t>$35.8</w:t>
      </w:r>
      <w:r w:rsidRPr="00874BD1">
        <w:t xml:space="preserve"> million ($nominal) or </w:t>
      </w:r>
      <w:r>
        <w:t>69.</w:t>
      </w:r>
      <w:r w:rsidRPr="00E17C4C">
        <w:rPr>
          <w:rStyle w:val="AERbody"/>
        </w:rPr>
        <w:t>5</w:t>
      </w:r>
      <w:r>
        <w:rPr>
          <w:rStyle w:val="AERbody"/>
        </w:rPr>
        <w:t xml:space="preserve"> per cent</w:t>
      </w:r>
      <w:r w:rsidRPr="00874BD1">
        <w:t xml:space="preserve"> to </w:t>
      </w:r>
      <w:r>
        <w:t>APA GasNet</w:t>
      </w:r>
      <w:r w:rsidRPr="00874BD1">
        <w:t>’s</w:t>
      </w:r>
      <w:r>
        <w:t xml:space="preserve"> proposal</w:t>
      </w:r>
      <w:r w:rsidRPr="00874BD1">
        <w:t xml:space="preserve">. The AER accepts most of </w:t>
      </w:r>
      <w:r>
        <w:t>APA GasNet</w:t>
      </w:r>
      <w:r w:rsidRPr="00874BD1">
        <w:t xml:space="preserve">’s </w:t>
      </w:r>
      <w:r>
        <w:t xml:space="preserve">proposed </w:t>
      </w:r>
      <w:r w:rsidRPr="00874BD1">
        <w:t>method</w:t>
      </w:r>
      <w:r>
        <w:t>s</w:t>
      </w:r>
      <w:r w:rsidRPr="00874BD1">
        <w:t xml:space="preserve"> for calculating the corporate income tax allowance. However, the AER adjusted several of </w:t>
      </w:r>
      <w:r>
        <w:t>APA GasNet</w:t>
      </w:r>
      <w:r w:rsidRPr="00874BD1">
        <w:t>’s proposed inputs to the PTRM for calculating the corporate income tax allowance, which include:</w:t>
      </w:r>
    </w:p>
    <w:p w:rsidR="007C1F9F" w:rsidRDefault="007C1F9F" w:rsidP="007C1F9F">
      <w:pPr>
        <w:pStyle w:val="AERbulletlistfirststyle"/>
      </w:pPr>
      <w:r w:rsidRPr="00874BD1">
        <w:t>the opening tax asset base as at 1 Jan</w:t>
      </w:r>
      <w:r>
        <w:t>uary</w:t>
      </w:r>
      <w:r w:rsidRPr="00874BD1">
        <w:t xml:space="preserve"> 2013</w:t>
      </w:r>
    </w:p>
    <w:p w:rsidR="007C1F9F" w:rsidRDefault="007C1F9F" w:rsidP="007C1F9F">
      <w:pPr>
        <w:pStyle w:val="AERbulletlistfirststyle"/>
      </w:pPr>
      <w:r>
        <w:t xml:space="preserve">remaining tax asset lives as at 1 </w:t>
      </w:r>
      <w:r w:rsidRPr="00AC1105">
        <w:t>January 2013</w:t>
      </w:r>
      <w:r>
        <w:t>.</w:t>
      </w:r>
    </w:p>
    <w:p w:rsidR="007C1F9F" w:rsidRPr="003124D9" w:rsidRDefault="007C1F9F" w:rsidP="007C1F9F">
      <w:pPr>
        <w:pStyle w:val="AERbulletlistfirststyle"/>
      </w:pPr>
      <w:r>
        <w:t xml:space="preserve">In addition, there are various other changes </w:t>
      </w:r>
      <w:r w:rsidRPr="003124D9">
        <w:t>to the building block components in this draft decision that impact forecast revenues. These will consequently affect the forecast income tax allowance.</w:t>
      </w:r>
    </w:p>
    <w:p w:rsidR="007C1F9F" w:rsidRDefault="007C1F9F" w:rsidP="007C1F9F">
      <w:pPr>
        <w:pStyle w:val="AERheading3"/>
        <w:numPr>
          <w:ilvl w:val="2"/>
          <w:numId w:val="7"/>
        </w:numPr>
        <w:tabs>
          <w:tab w:val="clear" w:pos="-357"/>
          <w:tab w:val="num" w:pos="0"/>
        </w:tabs>
        <w:ind w:left="0" w:hanging="714"/>
      </w:pPr>
      <w:bookmarkStart w:id="144" w:name="_Ref333915744"/>
      <w:bookmarkEnd w:id="143"/>
      <w:r>
        <w:t xml:space="preserve">Opening tax </w:t>
      </w:r>
      <w:r w:rsidRPr="0007450F">
        <w:t>asset base as at 1 January 2013</w:t>
      </w:r>
      <w:bookmarkEnd w:id="144"/>
    </w:p>
    <w:p w:rsidR="007C1F9F" w:rsidRDefault="007C1F9F" w:rsidP="007C1F9F">
      <w:pPr>
        <w:pStyle w:val="AERbodytext"/>
      </w:pPr>
      <w:r>
        <w:t xml:space="preserve">The AER accepts APA GasNet’s proposed method for calculating the opening tax asset base as at 1 January 2013. This is because APA GasNet has used the ACCC approved opening tax base as at 1 January 2007 and the actual capex in the </w:t>
      </w:r>
      <w:r w:rsidRPr="00B077E0">
        <w:t>2008–12</w:t>
      </w:r>
      <w:r>
        <w:t xml:space="preserve"> access arrangement period for calculating the roll forward of the tax asset base.  </w:t>
      </w:r>
    </w:p>
    <w:p w:rsidR="007C1F9F" w:rsidRDefault="007C1F9F" w:rsidP="007C1F9F">
      <w:pPr>
        <w:pStyle w:val="AERbodytext"/>
      </w:pPr>
      <w:r>
        <w:t>However, t</w:t>
      </w:r>
      <w:r w:rsidRPr="002E31C4">
        <w:t xml:space="preserve">he AER </w:t>
      </w:r>
      <w:r>
        <w:t>does not approve</w:t>
      </w:r>
      <w:r w:rsidRPr="002E31C4">
        <w:t xml:space="preserve"> </w:t>
      </w:r>
      <w:r>
        <w:t>APA GasNet’s</w:t>
      </w:r>
      <w:r w:rsidRPr="002E31C4">
        <w:t xml:space="preserve"> proposed </w:t>
      </w:r>
      <w:r>
        <w:t xml:space="preserve">total </w:t>
      </w:r>
      <w:r w:rsidRPr="002E31C4">
        <w:t>opening tax asset base of $</w:t>
      </w:r>
      <w:r>
        <w:t>262.9</w:t>
      </w:r>
      <w:r w:rsidRPr="002E31C4">
        <w:t xml:space="preserve"> million (</w:t>
      </w:r>
      <w:r>
        <w:t>$</w:t>
      </w:r>
      <w:r w:rsidRPr="002E31C4">
        <w:t xml:space="preserve">nominal) as at 1 </w:t>
      </w:r>
      <w:r>
        <w:t>January 2013</w:t>
      </w:r>
      <w:r w:rsidRPr="002E31C4">
        <w:t xml:space="preserve">. </w:t>
      </w:r>
      <w:r>
        <w:t>This is primarily because APA GasNet's proposal included forecast 2007 capex instead of actual 2007 capex. The AER identified this issue in an information request to APA GasNet, who proposed to resubmit a revised tax value roll forward.</w:t>
      </w:r>
      <w:r>
        <w:rPr>
          <w:rStyle w:val="FootnoteReference"/>
        </w:rPr>
        <w:footnoteReference w:id="555"/>
      </w:r>
      <w:r>
        <w:t xml:space="preserve"> However, this issue was addressed in correcting the 2007 capex inputs in the RFM for actuals as part of the roll forward of the capital base as at 1 January 2013 (see attachment 2). This correction also automatically carried through to the roll forward of the opening tax asset base as at 1 January 2013. The AER has also amended APA GasNet's net capex in 2010 to account for actual disposals in that year. This is discussed in greater detail in the AER's assessment of capex in the </w:t>
      </w:r>
      <w:r w:rsidRPr="00B077E0">
        <w:t xml:space="preserve">2008–12 </w:t>
      </w:r>
      <w:r>
        <w:t>access arrangement period, in attachments 2 and 3.</w:t>
      </w:r>
      <w:r>
        <w:rPr>
          <w:rStyle w:val="FootnoteReference"/>
        </w:rPr>
        <w:footnoteReference w:id="556"/>
      </w:r>
      <w:r>
        <w:t xml:space="preserve"> </w:t>
      </w:r>
    </w:p>
    <w:p w:rsidR="007C1F9F" w:rsidRDefault="007C1F9F" w:rsidP="007C1F9F">
      <w:pPr>
        <w:pStyle w:val="AERbodytext"/>
      </w:pPr>
      <w:r>
        <w:t xml:space="preserve">Based on these changes, the AER’s draft decision on APA GasNet’s proposed capex in the </w:t>
      </w:r>
      <w:r w:rsidRPr="00B077E0">
        <w:t xml:space="preserve">2008–12 </w:t>
      </w:r>
      <w:r>
        <w:t xml:space="preserve">access arrangement period reduces APA GasNet’s proposed total opening tax asset base as at 1 January 2013 by about $27 million ($nominal) or 10 per cent. </w:t>
      </w:r>
    </w:p>
    <w:p w:rsidR="007C1F9F" w:rsidRDefault="007C1F9F" w:rsidP="007C1F9F">
      <w:pPr>
        <w:pStyle w:val="AERbodytext"/>
      </w:pPr>
      <w:r>
        <w:t xml:space="preserve">The AER’s draft decision on APA GasNet’s tax asset base roll forward for the </w:t>
      </w:r>
      <w:r w:rsidRPr="00B077E0">
        <w:t xml:space="preserve">2008–12 </w:t>
      </w:r>
      <w:r>
        <w:t xml:space="preserve">access arrangement period is set out in </w:t>
      </w:r>
      <w:r w:rsidR="00DE0D6A">
        <w:fldChar w:fldCharType="begin"/>
      </w:r>
      <w:r>
        <w:instrText xml:space="preserve"> REF  _Ref329621168 \* Lower \h \r </w:instrText>
      </w:r>
      <w:r w:rsidR="00DE0D6A">
        <w:fldChar w:fldCharType="separate"/>
      </w:r>
      <w:r>
        <w:t>table 8.3</w:t>
      </w:r>
      <w:r w:rsidR="00DE0D6A">
        <w:fldChar w:fldCharType="end"/>
      </w:r>
      <w:r>
        <w:t xml:space="preserve"> .</w:t>
      </w:r>
    </w:p>
    <w:p w:rsidR="007C1F9F" w:rsidRPr="003124D9" w:rsidRDefault="007C1F9F" w:rsidP="007C1F9F">
      <w:pPr>
        <w:pStyle w:val="AERtabletitle"/>
      </w:pPr>
      <w:bookmarkStart w:id="145" w:name="_Ref329621168"/>
      <w:r>
        <w:t xml:space="preserve">AER's draft decision on APA GasNet's </w:t>
      </w:r>
      <w:r w:rsidRPr="003124D9">
        <w:t>roll forward of tax asset base for the 2008–12 access arrangement period ($million, nominal)</w:t>
      </w:r>
      <w:bookmarkEnd w:id="145"/>
    </w:p>
    <w:tbl>
      <w:tblPr>
        <w:tblW w:w="8472" w:type="dxa"/>
        <w:tblBorders>
          <w:top w:val="single" w:sz="4" w:space="0" w:color="auto"/>
          <w:bottom w:val="single" w:sz="4" w:space="0" w:color="auto"/>
        </w:tblBorders>
        <w:tblLook w:val="0060"/>
      </w:tblPr>
      <w:tblGrid>
        <w:gridCol w:w="2122"/>
        <w:gridCol w:w="1105"/>
        <w:gridCol w:w="1417"/>
        <w:gridCol w:w="1418"/>
        <w:gridCol w:w="1276"/>
        <w:gridCol w:w="1134"/>
      </w:tblGrid>
      <w:tr w:rsidR="007C1F9F" w:rsidTr="00186172">
        <w:tc>
          <w:tcPr>
            <w:tcW w:w="2122"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Tax asset class</w:t>
            </w:r>
          </w:p>
        </w:tc>
        <w:tc>
          <w:tcPr>
            <w:tcW w:w="110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5521A" w:rsidRDefault="007C1F9F" w:rsidP="00186172">
            <w:pPr>
              <w:pStyle w:val="AERtabletextheadingright"/>
              <w:rPr>
                <w:rStyle w:val="AERtextbold"/>
                <w:b/>
              </w:rPr>
            </w:pPr>
            <w:r w:rsidRPr="0095521A">
              <w:rPr>
                <w:rStyle w:val="AERtextbold"/>
                <w:b/>
              </w:rPr>
              <w:t>2008</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5521A" w:rsidRDefault="007C1F9F" w:rsidP="00186172">
            <w:pPr>
              <w:pStyle w:val="AERtabletextheadingright"/>
              <w:rPr>
                <w:rStyle w:val="AERtextbold"/>
                <w:b/>
              </w:rPr>
            </w:pPr>
            <w:r w:rsidRPr="0095521A">
              <w:rPr>
                <w:rStyle w:val="AERtextbold"/>
                <w:b/>
              </w:rPr>
              <w:t>2009</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5521A" w:rsidRDefault="007C1F9F" w:rsidP="00186172">
            <w:pPr>
              <w:pStyle w:val="AERtabletextheadingright"/>
              <w:rPr>
                <w:rStyle w:val="AERtextbold"/>
                <w:b/>
              </w:rPr>
            </w:pPr>
            <w:r w:rsidRPr="0095521A">
              <w:rPr>
                <w:rStyle w:val="AERtextbold"/>
                <w:b/>
              </w:rPr>
              <w:t>2010</w:t>
            </w: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95521A" w:rsidRDefault="007C1F9F" w:rsidP="00186172">
            <w:pPr>
              <w:pStyle w:val="AERtabletextheadingright"/>
              <w:rPr>
                <w:rStyle w:val="AERtextbold"/>
                <w:b/>
              </w:rPr>
            </w:pPr>
            <w:r w:rsidRPr="0095521A">
              <w:rPr>
                <w:rStyle w:val="AERtextbold"/>
                <w:b/>
              </w:rPr>
              <w:t>2011</w:t>
            </w:r>
          </w:p>
        </w:tc>
        <w:tc>
          <w:tcPr>
            <w:tcW w:w="113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95521A" w:rsidRDefault="007C1F9F" w:rsidP="00186172">
            <w:pPr>
              <w:pStyle w:val="AERtabletextheadingright"/>
              <w:rPr>
                <w:rStyle w:val="AERtextbold"/>
                <w:b/>
              </w:rPr>
            </w:pPr>
            <w:r w:rsidRPr="0095521A">
              <w:rPr>
                <w:rStyle w:val="AERtextbold"/>
                <w:b/>
              </w:rPr>
              <w:t>2012</w:t>
            </w:r>
          </w:p>
        </w:tc>
      </w:tr>
      <w:tr w:rsidR="007C1F9F" w:rsidTr="00186172">
        <w:tc>
          <w:tcPr>
            <w:tcW w:w="2122" w:type="dxa"/>
            <w:shd w:val="clear" w:color="auto" w:fill="auto"/>
            <w:noWrap/>
            <w:tcMar>
              <w:top w:w="0" w:type="dxa"/>
              <w:bottom w:w="0" w:type="dxa"/>
            </w:tcMar>
            <w:vAlign w:val="center"/>
          </w:tcPr>
          <w:p w:rsidR="007C1F9F" w:rsidRPr="00CB1EA5" w:rsidRDefault="007C1F9F" w:rsidP="00186172">
            <w:pPr>
              <w:pStyle w:val="AERtabletext"/>
            </w:pPr>
            <w:r w:rsidRPr="00CB1EA5">
              <w:t>Opening tax asset base</w:t>
            </w:r>
          </w:p>
        </w:tc>
        <w:tc>
          <w:tcPr>
            <w:tcW w:w="1105" w:type="dxa"/>
            <w:shd w:val="clear" w:color="auto" w:fill="auto"/>
            <w:noWrap/>
            <w:tcMar>
              <w:top w:w="0" w:type="dxa"/>
              <w:bottom w:w="0" w:type="dxa"/>
            </w:tcMar>
            <w:vAlign w:val="center"/>
          </w:tcPr>
          <w:p w:rsidR="007C1F9F" w:rsidRPr="00CB1EA5" w:rsidRDefault="007C1F9F" w:rsidP="00186172">
            <w:pPr>
              <w:pStyle w:val="AERtabletext-numbers"/>
            </w:pPr>
            <w:r>
              <w:t>165.7</w:t>
            </w:r>
          </w:p>
        </w:tc>
        <w:tc>
          <w:tcPr>
            <w:tcW w:w="1417" w:type="dxa"/>
            <w:shd w:val="clear" w:color="auto" w:fill="auto"/>
            <w:noWrap/>
            <w:tcMar>
              <w:top w:w="0" w:type="dxa"/>
              <w:bottom w:w="0" w:type="dxa"/>
            </w:tcMar>
            <w:vAlign w:val="center"/>
          </w:tcPr>
          <w:p w:rsidR="007C1F9F" w:rsidRPr="00CB1EA5" w:rsidRDefault="007C1F9F" w:rsidP="00186172">
            <w:pPr>
              <w:pStyle w:val="AERtabletext-numbers"/>
            </w:pPr>
            <w:r>
              <w:t>186.1</w:t>
            </w:r>
          </w:p>
        </w:tc>
        <w:tc>
          <w:tcPr>
            <w:tcW w:w="1418" w:type="dxa"/>
            <w:shd w:val="clear" w:color="auto" w:fill="auto"/>
            <w:noWrap/>
            <w:tcMar>
              <w:top w:w="0" w:type="dxa"/>
              <w:bottom w:w="0" w:type="dxa"/>
            </w:tcMar>
            <w:vAlign w:val="center"/>
          </w:tcPr>
          <w:p w:rsidR="007C1F9F" w:rsidRPr="00CB1EA5" w:rsidRDefault="007C1F9F" w:rsidP="00186172">
            <w:pPr>
              <w:pStyle w:val="AERtabletext-numbers"/>
            </w:pPr>
            <w:r>
              <w:t>177.0</w:t>
            </w:r>
          </w:p>
        </w:tc>
        <w:tc>
          <w:tcPr>
            <w:tcW w:w="1276" w:type="dxa"/>
            <w:shd w:val="clear" w:color="auto" w:fill="auto"/>
            <w:noWrap/>
            <w:tcMar>
              <w:top w:w="0" w:type="dxa"/>
              <w:bottom w:w="0" w:type="dxa"/>
            </w:tcMar>
            <w:vAlign w:val="center"/>
          </w:tcPr>
          <w:p w:rsidR="007C1F9F" w:rsidRPr="00CB1EA5" w:rsidRDefault="007C1F9F" w:rsidP="00186172">
            <w:pPr>
              <w:pStyle w:val="AERtabletext-numbers"/>
            </w:pPr>
            <w:r>
              <w:t>167.7</w:t>
            </w:r>
          </w:p>
        </w:tc>
        <w:tc>
          <w:tcPr>
            <w:tcW w:w="1134" w:type="dxa"/>
            <w:shd w:val="clear" w:color="auto" w:fill="auto"/>
            <w:noWrap/>
            <w:tcMar>
              <w:top w:w="0" w:type="dxa"/>
              <w:bottom w:w="0" w:type="dxa"/>
            </w:tcMar>
            <w:vAlign w:val="center"/>
          </w:tcPr>
          <w:p w:rsidR="007C1F9F" w:rsidRPr="00CB1EA5" w:rsidRDefault="007C1F9F" w:rsidP="00186172">
            <w:pPr>
              <w:pStyle w:val="AERtabletext-numbers"/>
            </w:pPr>
            <w:r>
              <w:t>201.4</w:t>
            </w:r>
          </w:p>
        </w:tc>
      </w:tr>
      <w:tr w:rsidR="007C1F9F" w:rsidTr="00186172">
        <w:tc>
          <w:tcPr>
            <w:tcW w:w="2122" w:type="dxa"/>
            <w:shd w:val="clear" w:color="auto" w:fill="F8B47C"/>
            <w:noWrap/>
            <w:tcMar>
              <w:top w:w="0" w:type="dxa"/>
              <w:bottom w:w="0" w:type="dxa"/>
            </w:tcMar>
            <w:vAlign w:val="center"/>
          </w:tcPr>
          <w:p w:rsidR="007C1F9F" w:rsidRPr="00CB1EA5" w:rsidRDefault="007C1F9F" w:rsidP="00186172">
            <w:pPr>
              <w:pStyle w:val="AERtabletext"/>
            </w:pPr>
            <w:r>
              <w:t>Net capital expenditure</w:t>
            </w:r>
          </w:p>
        </w:tc>
        <w:tc>
          <w:tcPr>
            <w:tcW w:w="1105" w:type="dxa"/>
            <w:shd w:val="clear" w:color="auto" w:fill="F8B47C"/>
            <w:noWrap/>
            <w:tcMar>
              <w:top w:w="0" w:type="dxa"/>
              <w:bottom w:w="0" w:type="dxa"/>
            </w:tcMar>
            <w:vAlign w:val="center"/>
          </w:tcPr>
          <w:p w:rsidR="007C1F9F" w:rsidRPr="00CB1EA5" w:rsidRDefault="007C1F9F" w:rsidP="00186172">
            <w:pPr>
              <w:pStyle w:val="AERtabletext-numbers"/>
            </w:pPr>
            <w:r>
              <w:t>37.8</w:t>
            </w:r>
          </w:p>
        </w:tc>
        <w:tc>
          <w:tcPr>
            <w:tcW w:w="1417" w:type="dxa"/>
            <w:shd w:val="clear" w:color="auto" w:fill="F8B47C"/>
            <w:noWrap/>
            <w:tcMar>
              <w:top w:w="0" w:type="dxa"/>
              <w:bottom w:w="0" w:type="dxa"/>
            </w:tcMar>
            <w:vAlign w:val="center"/>
          </w:tcPr>
          <w:p w:rsidR="007C1F9F" w:rsidRPr="00CB1EA5" w:rsidRDefault="007C1F9F" w:rsidP="00186172">
            <w:pPr>
              <w:pStyle w:val="AERtabletext-numbers"/>
            </w:pPr>
            <w:r>
              <w:t>10.2</w:t>
            </w:r>
          </w:p>
        </w:tc>
        <w:tc>
          <w:tcPr>
            <w:tcW w:w="1418" w:type="dxa"/>
            <w:shd w:val="clear" w:color="auto" w:fill="F8B47C"/>
            <w:noWrap/>
            <w:tcMar>
              <w:top w:w="0" w:type="dxa"/>
              <w:bottom w:w="0" w:type="dxa"/>
            </w:tcMar>
            <w:vAlign w:val="center"/>
          </w:tcPr>
          <w:p w:rsidR="007C1F9F" w:rsidRPr="00CB1EA5" w:rsidRDefault="007C1F9F" w:rsidP="00186172">
            <w:pPr>
              <w:pStyle w:val="AERtabletext-numbers"/>
            </w:pPr>
            <w:r>
              <w:t>10.6</w:t>
            </w:r>
          </w:p>
        </w:tc>
        <w:tc>
          <w:tcPr>
            <w:tcW w:w="1276" w:type="dxa"/>
            <w:shd w:val="clear" w:color="auto" w:fill="F8B47C"/>
            <w:noWrap/>
            <w:tcMar>
              <w:top w:w="0" w:type="dxa"/>
              <w:bottom w:w="0" w:type="dxa"/>
            </w:tcMar>
            <w:vAlign w:val="center"/>
          </w:tcPr>
          <w:p w:rsidR="007C1F9F" w:rsidRPr="00CB1EA5" w:rsidRDefault="007C1F9F" w:rsidP="00186172">
            <w:pPr>
              <w:pStyle w:val="AERtabletext-numbers"/>
            </w:pPr>
            <w:r>
              <w:t>53.6</w:t>
            </w:r>
          </w:p>
        </w:tc>
        <w:tc>
          <w:tcPr>
            <w:tcW w:w="1134" w:type="dxa"/>
            <w:shd w:val="clear" w:color="auto" w:fill="F8B47C"/>
            <w:noWrap/>
            <w:tcMar>
              <w:top w:w="0" w:type="dxa"/>
              <w:bottom w:w="0" w:type="dxa"/>
            </w:tcMar>
            <w:vAlign w:val="center"/>
          </w:tcPr>
          <w:p w:rsidR="007C1F9F" w:rsidRPr="00CB1EA5" w:rsidRDefault="007C1F9F" w:rsidP="00186172">
            <w:pPr>
              <w:pStyle w:val="AERtabletext-numbers"/>
            </w:pPr>
            <w:r>
              <w:t>52.5</w:t>
            </w:r>
          </w:p>
        </w:tc>
      </w:tr>
      <w:tr w:rsidR="007C1F9F" w:rsidTr="00186172">
        <w:tc>
          <w:tcPr>
            <w:tcW w:w="2122" w:type="dxa"/>
            <w:shd w:val="clear" w:color="auto" w:fill="auto"/>
            <w:noWrap/>
            <w:tcMar>
              <w:top w:w="0" w:type="dxa"/>
              <w:bottom w:w="0" w:type="dxa"/>
            </w:tcMar>
            <w:vAlign w:val="center"/>
          </w:tcPr>
          <w:p w:rsidR="007C1F9F" w:rsidRPr="00CB1EA5" w:rsidRDefault="007C1F9F" w:rsidP="00186172">
            <w:pPr>
              <w:pStyle w:val="AERtabletext"/>
            </w:pPr>
            <w:r w:rsidRPr="00CB1EA5">
              <w:t>Tax depreciation</w:t>
            </w:r>
          </w:p>
        </w:tc>
        <w:tc>
          <w:tcPr>
            <w:tcW w:w="1105" w:type="dxa"/>
            <w:shd w:val="clear" w:color="auto" w:fill="auto"/>
            <w:noWrap/>
            <w:tcMar>
              <w:top w:w="0" w:type="dxa"/>
              <w:bottom w:w="0" w:type="dxa"/>
            </w:tcMar>
            <w:vAlign w:val="center"/>
          </w:tcPr>
          <w:p w:rsidR="007C1F9F" w:rsidRPr="00CB1EA5" w:rsidRDefault="007C1F9F" w:rsidP="00186172">
            <w:pPr>
              <w:pStyle w:val="AERtabletext-numbers"/>
            </w:pPr>
            <w:r>
              <w:t>17.4</w:t>
            </w:r>
          </w:p>
        </w:tc>
        <w:tc>
          <w:tcPr>
            <w:tcW w:w="1417" w:type="dxa"/>
            <w:shd w:val="clear" w:color="auto" w:fill="auto"/>
            <w:noWrap/>
            <w:tcMar>
              <w:top w:w="0" w:type="dxa"/>
              <w:bottom w:w="0" w:type="dxa"/>
            </w:tcMar>
            <w:vAlign w:val="center"/>
          </w:tcPr>
          <w:p w:rsidR="007C1F9F" w:rsidRPr="00CB1EA5" w:rsidRDefault="007C1F9F" w:rsidP="00186172">
            <w:pPr>
              <w:pStyle w:val="AERtabletext-numbers"/>
            </w:pPr>
            <w:r>
              <w:t>19.3</w:t>
            </w:r>
          </w:p>
        </w:tc>
        <w:tc>
          <w:tcPr>
            <w:tcW w:w="1418" w:type="dxa"/>
            <w:shd w:val="clear" w:color="auto" w:fill="auto"/>
            <w:noWrap/>
            <w:tcMar>
              <w:top w:w="0" w:type="dxa"/>
              <w:bottom w:w="0" w:type="dxa"/>
            </w:tcMar>
            <w:vAlign w:val="center"/>
          </w:tcPr>
          <w:p w:rsidR="007C1F9F" w:rsidRPr="00CB1EA5" w:rsidRDefault="007C1F9F" w:rsidP="00186172">
            <w:pPr>
              <w:pStyle w:val="AERtabletext-numbers"/>
            </w:pPr>
            <w:r>
              <w:t>19.9</w:t>
            </w:r>
          </w:p>
        </w:tc>
        <w:tc>
          <w:tcPr>
            <w:tcW w:w="1276" w:type="dxa"/>
            <w:shd w:val="clear" w:color="auto" w:fill="auto"/>
            <w:noWrap/>
            <w:tcMar>
              <w:top w:w="0" w:type="dxa"/>
              <w:bottom w:w="0" w:type="dxa"/>
            </w:tcMar>
            <w:vAlign w:val="center"/>
          </w:tcPr>
          <w:p w:rsidR="007C1F9F" w:rsidRPr="00CB1EA5" w:rsidRDefault="007C1F9F" w:rsidP="00186172">
            <w:pPr>
              <w:pStyle w:val="AERtabletext-numbers"/>
            </w:pPr>
            <w:r>
              <w:t>19.9</w:t>
            </w:r>
          </w:p>
        </w:tc>
        <w:tc>
          <w:tcPr>
            <w:tcW w:w="1134" w:type="dxa"/>
            <w:shd w:val="clear" w:color="auto" w:fill="auto"/>
            <w:noWrap/>
            <w:tcMar>
              <w:top w:w="0" w:type="dxa"/>
              <w:bottom w:w="0" w:type="dxa"/>
            </w:tcMar>
            <w:vAlign w:val="center"/>
          </w:tcPr>
          <w:p w:rsidR="007C1F9F" w:rsidRPr="00CB1EA5" w:rsidRDefault="007C1F9F" w:rsidP="00186172">
            <w:pPr>
              <w:pStyle w:val="AERtabletext-numbers"/>
            </w:pPr>
            <w:r>
              <w:t>22.4</w:t>
            </w:r>
          </w:p>
        </w:tc>
      </w:tr>
      <w:tr w:rsidR="007C1F9F" w:rsidTr="00186172">
        <w:tc>
          <w:tcPr>
            <w:tcW w:w="2122" w:type="dxa"/>
            <w:shd w:val="clear" w:color="auto" w:fill="F8B47C"/>
            <w:noWrap/>
            <w:tcMar>
              <w:top w:w="0" w:type="dxa"/>
              <w:bottom w:w="0" w:type="dxa"/>
            </w:tcMar>
            <w:vAlign w:val="center"/>
          </w:tcPr>
          <w:p w:rsidR="007C1F9F" w:rsidRPr="00C06233" w:rsidRDefault="007C1F9F" w:rsidP="00186172">
            <w:pPr>
              <w:pStyle w:val="AERtabletext"/>
            </w:pPr>
            <w:r w:rsidRPr="00C06233">
              <w:t>Closing tax asset base</w:t>
            </w:r>
          </w:p>
        </w:tc>
        <w:tc>
          <w:tcPr>
            <w:tcW w:w="1105" w:type="dxa"/>
            <w:shd w:val="clear" w:color="auto" w:fill="F8B47C"/>
            <w:noWrap/>
            <w:tcMar>
              <w:top w:w="0" w:type="dxa"/>
              <w:bottom w:w="0" w:type="dxa"/>
            </w:tcMar>
            <w:vAlign w:val="center"/>
          </w:tcPr>
          <w:p w:rsidR="007C1F9F" w:rsidRPr="00C06233" w:rsidRDefault="007C1F9F" w:rsidP="00186172">
            <w:pPr>
              <w:pStyle w:val="AERtabletext-numbers"/>
            </w:pPr>
            <w:r w:rsidRPr="00C06233">
              <w:t>18</w:t>
            </w:r>
            <w:r>
              <w:t>6.1</w:t>
            </w:r>
          </w:p>
        </w:tc>
        <w:tc>
          <w:tcPr>
            <w:tcW w:w="1417" w:type="dxa"/>
            <w:shd w:val="clear" w:color="auto" w:fill="F8B47C"/>
            <w:noWrap/>
            <w:tcMar>
              <w:top w:w="0" w:type="dxa"/>
              <w:bottom w:w="0" w:type="dxa"/>
            </w:tcMar>
            <w:vAlign w:val="center"/>
          </w:tcPr>
          <w:p w:rsidR="007C1F9F" w:rsidRPr="00C06233" w:rsidRDefault="007C1F9F" w:rsidP="00186172">
            <w:pPr>
              <w:pStyle w:val="AERtabletext-numbers"/>
            </w:pPr>
            <w:r w:rsidRPr="00C06233">
              <w:t>17</w:t>
            </w:r>
            <w:r>
              <w:t>7.0</w:t>
            </w:r>
          </w:p>
        </w:tc>
        <w:tc>
          <w:tcPr>
            <w:tcW w:w="1418" w:type="dxa"/>
            <w:shd w:val="clear" w:color="auto" w:fill="F8B47C"/>
            <w:noWrap/>
            <w:tcMar>
              <w:top w:w="0" w:type="dxa"/>
              <w:bottom w:w="0" w:type="dxa"/>
            </w:tcMar>
            <w:vAlign w:val="center"/>
          </w:tcPr>
          <w:p w:rsidR="007C1F9F" w:rsidRPr="00C06233" w:rsidRDefault="007C1F9F" w:rsidP="00186172">
            <w:pPr>
              <w:pStyle w:val="AERtabletext-numbers"/>
            </w:pPr>
            <w:r w:rsidRPr="00C06233">
              <w:t>1</w:t>
            </w:r>
            <w:r>
              <w:t>67.7</w:t>
            </w:r>
          </w:p>
        </w:tc>
        <w:tc>
          <w:tcPr>
            <w:tcW w:w="1276" w:type="dxa"/>
            <w:shd w:val="clear" w:color="auto" w:fill="F8B47C"/>
            <w:noWrap/>
            <w:tcMar>
              <w:top w:w="0" w:type="dxa"/>
              <w:bottom w:w="0" w:type="dxa"/>
            </w:tcMar>
            <w:vAlign w:val="center"/>
          </w:tcPr>
          <w:p w:rsidR="007C1F9F" w:rsidRPr="00C06233" w:rsidRDefault="007C1F9F" w:rsidP="00186172">
            <w:pPr>
              <w:pStyle w:val="AERtabletext-numbers"/>
            </w:pPr>
            <w:r w:rsidRPr="00C06233">
              <w:t>20</w:t>
            </w:r>
            <w:r>
              <w:t>1.4</w:t>
            </w:r>
          </w:p>
        </w:tc>
        <w:tc>
          <w:tcPr>
            <w:tcW w:w="1134" w:type="dxa"/>
            <w:shd w:val="clear" w:color="auto" w:fill="F8B47C"/>
            <w:noWrap/>
            <w:tcMar>
              <w:top w:w="0" w:type="dxa"/>
              <w:bottom w:w="0" w:type="dxa"/>
            </w:tcMar>
            <w:vAlign w:val="center"/>
          </w:tcPr>
          <w:p w:rsidR="007C1F9F" w:rsidRPr="00C06233" w:rsidRDefault="007C1F9F" w:rsidP="00186172">
            <w:pPr>
              <w:pStyle w:val="AERtabletext-numbers"/>
            </w:pPr>
            <w:r>
              <w:t>231.5</w:t>
            </w:r>
          </w:p>
        </w:tc>
      </w:tr>
    </w:tbl>
    <w:p w:rsidR="007C1F9F" w:rsidRDefault="007C1F9F" w:rsidP="007C1F9F">
      <w:pPr>
        <w:pStyle w:val="AERtablesource"/>
      </w:pPr>
      <w:r w:rsidRPr="00F73932">
        <w:t xml:space="preserve">Source: </w:t>
      </w:r>
      <w:r w:rsidRPr="00F73932">
        <w:tab/>
        <w:t>AER analysis.</w:t>
      </w:r>
    </w:p>
    <w:p w:rsidR="007C1F9F" w:rsidRDefault="007C1F9F" w:rsidP="007C1F9F">
      <w:pPr>
        <w:pStyle w:val="AERheading3"/>
        <w:numPr>
          <w:ilvl w:val="2"/>
          <w:numId w:val="7"/>
        </w:numPr>
        <w:tabs>
          <w:tab w:val="clear" w:pos="-357"/>
          <w:tab w:val="num" w:pos="0"/>
        </w:tabs>
        <w:ind w:left="0" w:hanging="714"/>
      </w:pPr>
      <w:r>
        <w:t>Standard t</w:t>
      </w:r>
      <w:r w:rsidRPr="0007450F">
        <w:t>ax asset life</w:t>
      </w:r>
      <w:r>
        <w:t xml:space="preserve"> and remaining tax asset lives</w:t>
      </w:r>
    </w:p>
    <w:p w:rsidR="007C1F9F" w:rsidRDefault="007C1F9F" w:rsidP="007C1F9F">
      <w:pPr>
        <w:pStyle w:val="AERbodytext"/>
      </w:pPr>
      <w:r>
        <w:t>T</w:t>
      </w:r>
      <w:r w:rsidRPr="00AB1F30">
        <w:t xml:space="preserve">he AER approves </w:t>
      </w:r>
      <w:r>
        <w:t>APA GasNet's</w:t>
      </w:r>
      <w:r w:rsidRPr="00AB1F30">
        <w:t xml:space="preserve"> propos</w:t>
      </w:r>
      <w:r>
        <w:t xml:space="preserve">ed standard tax asset lives assigned to each of its asset classes for </w:t>
      </w:r>
      <w:r w:rsidRPr="00AB1F30">
        <w:t xml:space="preserve">the </w:t>
      </w:r>
      <w:r w:rsidRPr="00B077E0">
        <w:rPr>
          <w:rStyle w:val="AERbody"/>
        </w:rPr>
        <w:t>2013–17</w:t>
      </w:r>
      <w:r>
        <w:rPr>
          <w:rStyle w:val="AERbody"/>
        </w:rPr>
        <w:t xml:space="preserve"> </w:t>
      </w:r>
      <w:r w:rsidRPr="00AB1F30">
        <w:t xml:space="preserve">access arrangement period. This is because they are consistent with </w:t>
      </w:r>
      <w:r>
        <w:t xml:space="preserve">the statutory cap on the effective life of gas transmission assets under the </w:t>
      </w:r>
      <w:r w:rsidRPr="006555A7">
        <w:rPr>
          <w:rStyle w:val="AERtextitalic"/>
        </w:rPr>
        <w:t xml:space="preserve">Income Tax Assessment Act </w:t>
      </w:r>
      <w:r w:rsidRPr="003124D9">
        <w:rPr>
          <w:rStyle w:val="AERtextitalic"/>
        </w:rPr>
        <w:t>(ITAA)</w:t>
      </w:r>
      <w:r w:rsidRPr="006555A7">
        <w:rPr>
          <w:rStyle w:val="AERtextitalic"/>
        </w:rPr>
        <w:t xml:space="preserve"> </w:t>
      </w:r>
      <w:r w:rsidRPr="006555A7">
        <w:t>1997</w:t>
      </w:r>
      <w:r>
        <w:t>,</w:t>
      </w:r>
      <w:r w:rsidRPr="0019550D">
        <w:rPr>
          <w:rStyle w:val="FootnoteReference"/>
        </w:rPr>
        <w:footnoteReference w:id="557"/>
      </w:r>
      <w:r>
        <w:t xml:space="preserve"> and with the standard tax asset lives </w:t>
      </w:r>
      <w:r w:rsidRPr="006555A7">
        <w:t xml:space="preserve">prescribed </w:t>
      </w:r>
      <w:r>
        <w:t>in the Tax Ruling 2012</w:t>
      </w:r>
      <w:r w:rsidRPr="006555A7">
        <w:t>/2</w:t>
      </w:r>
      <w:r>
        <w:t xml:space="preserve">. These proposed standard tax asset lives are also largely consistent with </w:t>
      </w:r>
      <w:r w:rsidRPr="00F40DA8">
        <w:t>the ACCC</w:t>
      </w:r>
      <w:r>
        <w:t>'s</w:t>
      </w:r>
      <w:r w:rsidRPr="00F40DA8">
        <w:t xml:space="preserve"> approved standard tax asset lives in the </w:t>
      </w:r>
      <w:r w:rsidRPr="00B077E0">
        <w:t xml:space="preserve">2008–12 </w:t>
      </w:r>
      <w:r w:rsidRPr="00F40DA8">
        <w:t>access arrangement period.</w:t>
      </w:r>
      <w:r>
        <w:rPr>
          <w:rStyle w:val="FootnoteReference"/>
        </w:rPr>
        <w:footnoteReference w:id="558"/>
      </w:r>
      <w:r w:rsidRPr="00F40DA8">
        <w:t xml:space="preserve"> </w:t>
      </w:r>
    </w:p>
    <w:p w:rsidR="007C1F9F" w:rsidRDefault="007C1F9F" w:rsidP="007C1F9F">
      <w:pPr>
        <w:pStyle w:val="AERbodytext"/>
      </w:pPr>
      <w:r>
        <w:t>The AER accepts APA GasNet's proposed weighted average method to calculate the remaining tax asset lives as at 1 January 2013. In accepting the weighted average method, the AER has updated APA GasNet's remaining tax asset lives</w:t>
      </w:r>
      <w:r>
        <w:rPr>
          <w:rStyle w:val="FootnoteReference"/>
        </w:rPr>
        <w:footnoteReference w:id="559"/>
      </w:r>
      <w:r>
        <w:t xml:space="preserve"> as at 1 January 2013 to reflect APA GasNet's revised tax asset base roll forward in the RFM.</w:t>
      </w:r>
      <w:r>
        <w:rPr>
          <w:rStyle w:val="FootnoteReference"/>
        </w:rPr>
        <w:footnoteReference w:id="560"/>
      </w:r>
      <w:r>
        <w:t xml:space="preserve"> </w:t>
      </w:r>
    </w:p>
    <w:p w:rsidR="007C1F9F" w:rsidRDefault="007C1F9F" w:rsidP="007C1F9F">
      <w:pPr>
        <w:pStyle w:val="AERbodytext"/>
      </w:pPr>
      <w:r>
        <w:t xml:space="preserve">The AER’s draft decision on APA GasNet's standard tax asset lives and remaining tax asset lives for each of its asset classes for the </w:t>
      </w:r>
      <w:r w:rsidRPr="00B077E0">
        <w:rPr>
          <w:rStyle w:val="AERbody"/>
        </w:rPr>
        <w:t xml:space="preserve">2013–17 </w:t>
      </w:r>
      <w:r>
        <w:t xml:space="preserve">access arrangement period is set out in </w:t>
      </w:r>
      <w:fldSimple w:instr=" REF  _Ref329274474 \* Lower \h \r  \* MERGEFORMAT ">
        <w:r>
          <w:t>table 8.4</w:t>
        </w:r>
      </w:fldSimple>
      <w:r>
        <w:t xml:space="preserve">. </w:t>
      </w:r>
    </w:p>
    <w:p w:rsidR="007C1F9F" w:rsidRPr="003124D9" w:rsidRDefault="007C1F9F" w:rsidP="007C1F9F">
      <w:pPr>
        <w:pStyle w:val="AERtabletitle"/>
      </w:pPr>
      <w:bookmarkStart w:id="146" w:name="_Ref315102837"/>
      <w:bookmarkStart w:id="147" w:name="_Ref329274474"/>
      <w:bookmarkStart w:id="148" w:name="_Ref314059158"/>
      <w:r>
        <w:t>AER</w:t>
      </w:r>
      <w:r w:rsidRPr="003124D9">
        <w:t>'s draft decision on APA GasNet’s standard tax asset lives and remaining tax asset lives</w:t>
      </w:r>
      <w:bookmarkEnd w:id="146"/>
      <w:bookmarkEnd w:id="147"/>
      <w:r w:rsidRPr="003124D9">
        <w:t xml:space="preserve"> for the </w:t>
      </w:r>
      <w:r w:rsidRPr="003124D9">
        <w:rPr>
          <w:rStyle w:val="AERbody"/>
        </w:rPr>
        <w:t xml:space="preserve">2013–17 </w:t>
      </w:r>
      <w:r w:rsidRPr="003124D9">
        <w:t xml:space="preserve">access arrangement period </w:t>
      </w:r>
      <w:bookmarkEnd w:id="148"/>
    </w:p>
    <w:tbl>
      <w:tblPr>
        <w:tblW w:w="0" w:type="auto"/>
        <w:tblBorders>
          <w:top w:val="single" w:sz="4" w:space="0" w:color="auto"/>
          <w:bottom w:val="single" w:sz="4" w:space="0" w:color="auto"/>
        </w:tblBorders>
        <w:tblLook w:val="04A0"/>
      </w:tblPr>
      <w:tblGrid>
        <w:gridCol w:w="2943"/>
        <w:gridCol w:w="2835"/>
        <w:gridCol w:w="2694"/>
      </w:tblGrid>
      <w:tr w:rsidR="007C1F9F" w:rsidRPr="002C4B0D" w:rsidTr="00186172">
        <w:tc>
          <w:tcPr>
            <w:tcW w:w="294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Tax asset class</w:t>
            </w:r>
          </w:p>
        </w:tc>
        <w:tc>
          <w:tcPr>
            <w:tcW w:w="283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2C4B0D" w:rsidRDefault="007C1F9F" w:rsidP="00186172">
            <w:pPr>
              <w:pStyle w:val="AERtabletext"/>
              <w:rPr>
                <w:rStyle w:val="AERtextbold"/>
              </w:rPr>
            </w:pPr>
            <w:r w:rsidRPr="002C4B0D">
              <w:rPr>
                <w:rStyle w:val="AERtextbold"/>
              </w:rPr>
              <w:t>Standard tax asset life (year)</w:t>
            </w:r>
          </w:p>
        </w:tc>
        <w:tc>
          <w:tcPr>
            <w:tcW w:w="269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2C4B0D" w:rsidRDefault="007C1F9F" w:rsidP="00186172">
            <w:pPr>
              <w:pStyle w:val="AERtabletext"/>
              <w:rPr>
                <w:rStyle w:val="AERtextbold"/>
              </w:rPr>
            </w:pPr>
            <w:r w:rsidRPr="002C4B0D">
              <w:rPr>
                <w:rStyle w:val="AERtextbold"/>
              </w:rPr>
              <w:t>Remaining tax asset life (year)</w:t>
            </w:r>
          </w:p>
        </w:tc>
      </w:tr>
      <w:tr w:rsidR="007C1F9F" w:rsidRPr="002C4B0D" w:rsidTr="00186172">
        <w:tc>
          <w:tcPr>
            <w:tcW w:w="2943"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Pipelines</w:t>
            </w:r>
          </w:p>
        </w:tc>
        <w:tc>
          <w:tcPr>
            <w:tcW w:w="2835"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20</w:t>
            </w:r>
          </w:p>
        </w:tc>
        <w:tc>
          <w:tcPr>
            <w:tcW w:w="2694" w:type="dxa"/>
            <w:shd w:val="clear" w:color="auto" w:fill="auto"/>
            <w:noWrap/>
            <w:tcMar>
              <w:top w:w="0" w:type="dxa"/>
              <w:bottom w:w="0" w:type="dxa"/>
            </w:tcMar>
            <w:vAlign w:val="center"/>
          </w:tcPr>
          <w:p w:rsidR="007C1F9F" w:rsidRPr="00C65BD3" w:rsidRDefault="007C1F9F" w:rsidP="00186172">
            <w:pPr>
              <w:pStyle w:val="AERtabletext"/>
            </w:pPr>
            <w:r w:rsidRPr="00C65BD3">
              <w:t>10.6</w:t>
            </w:r>
          </w:p>
        </w:tc>
      </w:tr>
      <w:tr w:rsidR="007C1F9F" w:rsidRPr="002C4B0D" w:rsidTr="00186172">
        <w:tc>
          <w:tcPr>
            <w:tcW w:w="2943"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Compressors</w:t>
            </w:r>
          </w:p>
        </w:tc>
        <w:tc>
          <w:tcPr>
            <w:tcW w:w="2835"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20</w:t>
            </w:r>
          </w:p>
        </w:tc>
        <w:tc>
          <w:tcPr>
            <w:tcW w:w="2694" w:type="dxa"/>
            <w:shd w:val="clear" w:color="auto" w:fill="F8B47C"/>
            <w:noWrap/>
            <w:tcMar>
              <w:top w:w="0" w:type="dxa"/>
              <w:bottom w:w="0" w:type="dxa"/>
            </w:tcMar>
            <w:vAlign w:val="center"/>
          </w:tcPr>
          <w:p w:rsidR="007C1F9F" w:rsidRPr="00C65BD3" w:rsidRDefault="007C1F9F" w:rsidP="00186172">
            <w:pPr>
              <w:pStyle w:val="AERtabletext"/>
            </w:pPr>
            <w:r w:rsidRPr="00C65BD3">
              <w:t>16.4</w:t>
            </w:r>
          </w:p>
        </w:tc>
      </w:tr>
      <w:tr w:rsidR="007C1F9F" w:rsidRPr="002C4B0D" w:rsidTr="00186172">
        <w:tc>
          <w:tcPr>
            <w:tcW w:w="2943"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City gates and field regulators</w:t>
            </w:r>
          </w:p>
        </w:tc>
        <w:tc>
          <w:tcPr>
            <w:tcW w:w="2835"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20</w:t>
            </w:r>
          </w:p>
        </w:tc>
        <w:tc>
          <w:tcPr>
            <w:tcW w:w="2694" w:type="dxa"/>
            <w:shd w:val="clear" w:color="auto" w:fill="auto"/>
            <w:noWrap/>
            <w:tcMar>
              <w:top w:w="0" w:type="dxa"/>
              <w:bottom w:w="0" w:type="dxa"/>
            </w:tcMar>
            <w:vAlign w:val="center"/>
          </w:tcPr>
          <w:p w:rsidR="007C1F9F" w:rsidRPr="00C65BD3" w:rsidRDefault="007C1F9F" w:rsidP="00186172">
            <w:pPr>
              <w:pStyle w:val="AERtabletext"/>
            </w:pPr>
            <w:r w:rsidRPr="00C65BD3">
              <w:t>14.2</w:t>
            </w:r>
          </w:p>
        </w:tc>
      </w:tr>
      <w:tr w:rsidR="007C1F9F" w:rsidRPr="002C4B0D" w:rsidTr="00186172">
        <w:tc>
          <w:tcPr>
            <w:tcW w:w="2943"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Odourant plants</w:t>
            </w:r>
          </w:p>
        </w:tc>
        <w:tc>
          <w:tcPr>
            <w:tcW w:w="2835"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20</w:t>
            </w:r>
          </w:p>
        </w:tc>
        <w:tc>
          <w:tcPr>
            <w:tcW w:w="2694" w:type="dxa"/>
            <w:shd w:val="clear" w:color="auto" w:fill="F8B47C"/>
            <w:noWrap/>
            <w:tcMar>
              <w:top w:w="0" w:type="dxa"/>
              <w:bottom w:w="0" w:type="dxa"/>
            </w:tcMar>
            <w:vAlign w:val="center"/>
          </w:tcPr>
          <w:p w:rsidR="007C1F9F" w:rsidRPr="00C65BD3" w:rsidRDefault="007C1F9F" w:rsidP="00186172">
            <w:pPr>
              <w:pStyle w:val="AERtabletext"/>
            </w:pPr>
            <w:r w:rsidRPr="00C65BD3">
              <w:t>18.2</w:t>
            </w:r>
          </w:p>
        </w:tc>
      </w:tr>
      <w:tr w:rsidR="007C1F9F" w:rsidRPr="002C4B0D" w:rsidTr="00186172">
        <w:tc>
          <w:tcPr>
            <w:tcW w:w="2943"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Gas quality</w:t>
            </w:r>
          </w:p>
        </w:tc>
        <w:tc>
          <w:tcPr>
            <w:tcW w:w="2835"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20</w:t>
            </w:r>
          </w:p>
        </w:tc>
        <w:tc>
          <w:tcPr>
            <w:tcW w:w="2694" w:type="dxa"/>
            <w:shd w:val="clear" w:color="auto" w:fill="auto"/>
            <w:noWrap/>
            <w:tcMar>
              <w:top w:w="0" w:type="dxa"/>
              <w:bottom w:w="0" w:type="dxa"/>
            </w:tcMar>
            <w:vAlign w:val="center"/>
          </w:tcPr>
          <w:p w:rsidR="007C1F9F" w:rsidRPr="00C65BD3" w:rsidRDefault="007C1F9F" w:rsidP="00186172">
            <w:pPr>
              <w:pStyle w:val="AERtabletext"/>
            </w:pPr>
            <w:r w:rsidRPr="00C65BD3">
              <w:t>4.3</w:t>
            </w:r>
          </w:p>
        </w:tc>
      </w:tr>
      <w:tr w:rsidR="007C1F9F" w:rsidRPr="002C4B0D" w:rsidTr="00186172">
        <w:tc>
          <w:tcPr>
            <w:tcW w:w="2943"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Other</w:t>
            </w:r>
          </w:p>
        </w:tc>
        <w:tc>
          <w:tcPr>
            <w:tcW w:w="2835"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7.5</w:t>
            </w:r>
          </w:p>
        </w:tc>
        <w:tc>
          <w:tcPr>
            <w:tcW w:w="2694" w:type="dxa"/>
            <w:shd w:val="clear" w:color="auto" w:fill="F8B47C"/>
            <w:noWrap/>
            <w:tcMar>
              <w:top w:w="0" w:type="dxa"/>
              <w:bottom w:w="0" w:type="dxa"/>
            </w:tcMar>
            <w:vAlign w:val="center"/>
          </w:tcPr>
          <w:p w:rsidR="007C1F9F" w:rsidRPr="00C65BD3" w:rsidRDefault="007C1F9F" w:rsidP="00186172">
            <w:pPr>
              <w:pStyle w:val="AERtabletext"/>
            </w:pPr>
            <w:r w:rsidRPr="00C65BD3">
              <w:t>6.5</w:t>
            </w:r>
          </w:p>
        </w:tc>
      </w:tr>
      <w:tr w:rsidR="007C1F9F" w:rsidRPr="002C4B0D" w:rsidTr="00186172">
        <w:tc>
          <w:tcPr>
            <w:tcW w:w="2943"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General buildings</w:t>
            </w:r>
          </w:p>
        </w:tc>
        <w:tc>
          <w:tcPr>
            <w:tcW w:w="2835" w:type="dxa"/>
            <w:shd w:val="clear" w:color="auto" w:fill="auto"/>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60</w:t>
            </w:r>
          </w:p>
        </w:tc>
        <w:tc>
          <w:tcPr>
            <w:tcW w:w="2694" w:type="dxa"/>
            <w:shd w:val="clear" w:color="auto" w:fill="auto"/>
            <w:noWrap/>
            <w:tcMar>
              <w:top w:w="0" w:type="dxa"/>
              <w:bottom w:w="0" w:type="dxa"/>
            </w:tcMar>
            <w:vAlign w:val="center"/>
          </w:tcPr>
          <w:p w:rsidR="007C1F9F" w:rsidRPr="00C65BD3" w:rsidRDefault="007C1F9F" w:rsidP="00186172">
            <w:pPr>
              <w:pStyle w:val="AERtabletext"/>
            </w:pPr>
            <w:r w:rsidRPr="00C65BD3">
              <w:t>49.5</w:t>
            </w:r>
          </w:p>
        </w:tc>
      </w:tr>
      <w:tr w:rsidR="007C1F9F" w:rsidRPr="002C4B0D" w:rsidTr="00186172">
        <w:tc>
          <w:tcPr>
            <w:tcW w:w="2943"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General land</w:t>
            </w:r>
          </w:p>
        </w:tc>
        <w:tc>
          <w:tcPr>
            <w:tcW w:w="2835" w:type="dxa"/>
            <w:shd w:val="clear" w:color="auto" w:fill="F8B47C"/>
            <w:noWrap/>
            <w:tcMar>
              <w:top w:w="0" w:type="dxa"/>
              <w:bottom w:w="0" w:type="dxa"/>
            </w:tcMar>
            <w:vAlign w:val="center"/>
          </w:tcPr>
          <w:p w:rsidR="007C1F9F" w:rsidRPr="003124D9" w:rsidRDefault="007C1F9F" w:rsidP="00186172">
            <w:pPr>
              <w:pStyle w:val="AERtabletext"/>
              <w:rPr>
                <w:rStyle w:val="AERtextbold"/>
              </w:rPr>
            </w:pPr>
            <w:r w:rsidRPr="003124D9">
              <w:rPr>
                <w:rStyle w:val="AERtextbold"/>
              </w:rPr>
              <w:t>n/a</w:t>
            </w:r>
          </w:p>
        </w:tc>
        <w:tc>
          <w:tcPr>
            <w:tcW w:w="2694" w:type="dxa"/>
            <w:shd w:val="clear" w:color="auto" w:fill="F8B47C"/>
            <w:noWrap/>
            <w:tcMar>
              <w:top w:w="0" w:type="dxa"/>
              <w:bottom w:w="0" w:type="dxa"/>
            </w:tcMar>
            <w:vAlign w:val="center"/>
          </w:tcPr>
          <w:p w:rsidR="007C1F9F" w:rsidRPr="00C65BD3" w:rsidRDefault="007C1F9F" w:rsidP="00186172">
            <w:pPr>
              <w:pStyle w:val="AERtabletext"/>
            </w:pPr>
            <w:r w:rsidRPr="00C65BD3">
              <w:t>n/a</w:t>
            </w:r>
          </w:p>
        </w:tc>
      </w:tr>
    </w:tbl>
    <w:p w:rsidR="007C1F9F" w:rsidRDefault="007C1F9F" w:rsidP="007C1F9F">
      <w:pPr>
        <w:pStyle w:val="AERtablesource"/>
      </w:pPr>
      <w:r w:rsidRPr="00EA0E36">
        <w:t xml:space="preserve">Source: </w:t>
      </w:r>
      <w:r w:rsidRPr="00EA0E36">
        <w:tab/>
        <w:t>AER analysis.</w:t>
      </w:r>
    </w:p>
    <w:p w:rsidR="007C1F9F" w:rsidRDefault="007C1F9F" w:rsidP="007C1F9F">
      <w:pPr>
        <w:pStyle w:val="AERtablesource"/>
      </w:pPr>
      <w:r w:rsidRPr="00EA0E36">
        <w:t>n/a</w:t>
      </w:r>
      <w:r w:rsidRPr="00EA0E36">
        <w:tab/>
        <w:t>Not applicable.</w:t>
      </w:r>
    </w:p>
    <w:p w:rsidR="007C1F9F" w:rsidRPr="0007450F" w:rsidRDefault="007C1F9F" w:rsidP="007C1F9F">
      <w:pPr>
        <w:pStyle w:val="AERheading3"/>
        <w:numPr>
          <w:ilvl w:val="2"/>
          <w:numId w:val="7"/>
        </w:numPr>
        <w:tabs>
          <w:tab w:val="clear" w:pos="-357"/>
          <w:tab w:val="num" w:pos="0"/>
        </w:tabs>
        <w:ind w:left="0" w:hanging="714"/>
      </w:pPr>
      <w:bookmarkStart w:id="149" w:name="OLE_LINK7"/>
      <w:bookmarkStart w:id="150" w:name="OLE_LINK8"/>
      <w:r>
        <w:t xml:space="preserve">Utilisation of </w:t>
      </w:r>
      <w:r w:rsidRPr="0007450F">
        <w:t>imputation credits (gamma)</w:t>
      </w:r>
    </w:p>
    <w:bookmarkEnd w:id="149"/>
    <w:bookmarkEnd w:id="150"/>
    <w:p w:rsidR="007C1F9F" w:rsidRPr="0068226D" w:rsidRDefault="007C1F9F" w:rsidP="007C1F9F">
      <w:pPr>
        <w:pStyle w:val="AERbodytext"/>
      </w:pPr>
      <w:r>
        <w:t>Under the Australian imputation tax system, domestic investors receive a credit for tax paid at the company level (an ‘imputation credit’ or gamma) that offsets part or all of their personal income tax liabilities. For eligible shareholders, imputation credits represent a benefit from the investment in addition to any cash dividend or capital gains received. As part of the post</w:t>
      </w:r>
      <w:r>
        <w:noBreakHyphen/>
        <w:t xml:space="preserve">tax nominal framework, the value of gamma must be applied to calculate the net income tax allowance </w:t>
      </w:r>
      <w:r w:rsidRPr="00E52786">
        <w:t xml:space="preserve">for the </w:t>
      </w:r>
      <w:r w:rsidRPr="00B077E0">
        <w:rPr>
          <w:rStyle w:val="AERbody"/>
        </w:rPr>
        <w:t xml:space="preserve">2013–17 </w:t>
      </w:r>
      <w:r w:rsidRPr="00E52786">
        <w:t>access arrangement period.</w:t>
      </w:r>
    </w:p>
    <w:p w:rsidR="007C1F9F" w:rsidRDefault="007C1F9F" w:rsidP="007C1F9F">
      <w:pPr>
        <w:pStyle w:val="AERbodytext"/>
      </w:pPr>
      <w:r>
        <w:t>The AER accepts APA GasNet’s proposal to adopt the value of 0.25 for gamma. The proposed gamma value is consistent with the findings by the Australian Competition Tribunal (Tribunal) in its review of the AER’s 2010 distribution determinations for Energex, Ergon Energy and ETSA Utilities.</w:t>
      </w:r>
      <w:r>
        <w:rPr>
          <w:rStyle w:val="FootnoteReference"/>
        </w:rPr>
        <w:footnoteReference w:id="561"/>
      </w:r>
      <w:r>
        <w:t xml:space="preserve"> The AER also adopted the value of 0.25 for gamma in its recent final decision for the </w:t>
      </w:r>
      <w:r w:rsidRPr="00E52786">
        <w:t>Roma to Brisbane gas pipeline access arrangement</w:t>
      </w:r>
      <w:r>
        <w:t>.</w:t>
      </w:r>
      <w:r>
        <w:rPr>
          <w:rStyle w:val="FootnoteReference"/>
        </w:rPr>
        <w:footnoteReference w:id="562"/>
      </w:r>
      <w:r>
        <w:t xml:space="preserve"> There is no new evidence before the AER to cause it to vary from the findings of the Tribunal.</w:t>
      </w:r>
    </w:p>
    <w:p w:rsidR="007C1F9F" w:rsidRDefault="007C1F9F" w:rsidP="007C1F9F">
      <w:pPr>
        <w:pStyle w:val="AERheading2"/>
        <w:numPr>
          <w:ilvl w:val="1"/>
          <w:numId w:val="7"/>
        </w:numPr>
        <w:tabs>
          <w:tab w:val="clear" w:pos="4317"/>
          <w:tab w:val="num" w:pos="0"/>
        </w:tabs>
        <w:ind w:left="0" w:hanging="720"/>
      </w:pPr>
      <w:bookmarkStart w:id="151" w:name="_Toc334543795"/>
      <w:r>
        <w:t>Proposed amendments</w:t>
      </w:r>
      <w:bookmarkEnd w:id="151"/>
    </w:p>
    <w:p w:rsidR="007C1F9F" w:rsidRPr="0045293F" w:rsidRDefault="007C1F9F" w:rsidP="007C1F9F">
      <w:pPr>
        <w:pStyle w:val="AERbodytext"/>
      </w:pPr>
      <w:r w:rsidRPr="00B077E0">
        <w:rPr>
          <w:rStyle w:val="AERbody"/>
        </w:rPr>
        <w:t>The AER requires the following revisions to make the access arrangement proposal acceptable</w:t>
      </w:r>
      <w:r>
        <w:t>:</w:t>
      </w:r>
    </w:p>
    <w:p w:rsidR="007C1F9F" w:rsidRDefault="007C1F9F" w:rsidP="007C1F9F">
      <w:pPr>
        <w:pStyle w:val="AERrevisionbox"/>
      </w:pPr>
      <w:r w:rsidRPr="00B077E0">
        <w:rPr>
          <w:rStyle w:val="AERtextbold"/>
        </w:rPr>
        <w:t xml:space="preserve">Revision </w:t>
      </w:r>
      <w:r w:rsidR="00DE0D6A">
        <w:rPr>
          <w:rStyle w:val="AERtextbold"/>
        </w:rPr>
        <w:fldChar w:fldCharType="begin"/>
      </w:r>
      <w:r>
        <w:rPr>
          <w:rStyle w:val="AERtextbold"/>
        </w:rPr>
        <w:instrText xml:space="preserve"> REF _Ref332715424 \r \h </w:instrText>
      </w:r>
      <w:r w:rsidR="00DE0D6A">
        <w:rPr>
          <w:rStyle w:val="AERtextbold"/>
        </w:rPr>
      </w:r>
      <w:r w:rsidR="00DE0D6A">
        <w:rPr>
          <w:rStyle w:val="AERtextbold"/>
        </w:rPr>
        <w:fldChar w:fldCharType="separate"/>
      </w:r>
      <w:r>
        <w:rPr>
          <w:rStyle w:val="AERtextbold"/>
        </w:rPr>
        <w:t>8</w:t>
      </w:r>
      <w:r w:rsidR="00DE0D6A">
        <w:rPr>
          <w:rStyle w:val="AERtextbold"/>
        </w:rPr>
        <w:fldChar w:fldCharType="end"/>
      </w:r>
      <w:r w:rsidRPr="00874BD1">
        <w:rPr>
          <w:rStyle w:val="AERtextbold"/>
        </w:rPr>
        <w:t>.1</w:t>
      </w:r>
      <w:r w:rsidRPr="00874BD1">
        <w:t xml:space="preserve">: </w:t>
      </w:r>
      <w:r w:rsidRPr="00B077E0">
        <w:t>Make all necessary amendments to reflect the AER’s draft decision on the</w:t>
      </w:r>
      <w:r w:rsidRPr="00874BD1">
        <w:t xml:space="preserve"> proposed corporate income tax allowance for the</w:t>
      </w:r>
      <w:r>
        <w:t xml:space="preserve"> </w:t>
      </w:r>
      <w:r w:rsidRPr="00B077E0">
        <w:rPr>
          <w:rStyle w:val="AERbody"/>
        </w:rPr>
        <w:t>2013–17</w:t>
      </w:r>
      <w:r>
        <w:rPr>
          <w:rStyle w:val="AERbody"/>
        </w:rPr>
        <w:t xml:space="preserve"> </w:t>
      </w:r>
      <w:r w:rsidRPr="00874BD1">
        <w:t>access arrangement period, as set out i</w:t>
      </w:r>
      <w:r>
        <w:t xml:space="preserve">n </w:t>
      </w:r>
      <w:r w:rsidR="00DE0D6A">
        <w:fldChar w:fldCharType="begin"/>
      </w:r>
      <w:r>
        <w:instrText xml:space="preserve"> REF  _Ref329621084 \* Lower \h \r </w:instrText>
      </w:r>
      <w:r w:rsidR="00DE0D6A">
        <w:fldChar w:fldCharType="separate"/>
      </w:r>
      <w:r>
        <w:t>table 8.1</w:t>
      </w:r>
      <w:r w:rsidR="00DE0D6A">
        <w:fldChar w:fldCharType="end"/>
      </w:r>
      <w:r w:rsidRPr="00874BD1">
        <w:t>.</w:t>
      </w:r>
    </w:p>
    <w:p w:rsidR="007C1F9F" w:rsidRPr="00874BD1" w:rsidRDefault="007C1F9F" w:rsidP="007C1F9F">
      <w:pPr>
        <w:pStyle w:val="AERrevisionbox"/>
      </w:pPr>
      <w:r w:rsidRPr="00B077E0">
        <w:rPr>
          <w:rStyle w:val="AERtextbold"/>
        </w:rPr>
        <w:t>Revision</w:t>
      </w:r>
      <w:r>
        <w:rPr>
          <w:rStyle w:val="AERtextbold"/>
        </w:rPr>
        <w:t xml:space="preserve"> </w:t>
      </w:r>
      <w:r w:rsidR="00DE0D6A" w:rsidRPr="00B077E0">
        <w:rPr>
          <w:rStyle w:val="AERtextbold"/>
        </w:rPr>
        <w:fldChar w:fldCharType="begin"/>
      </w:r>
      <w:r w:rsidRPr="00B077E0">
        <w:rPr>
          <w:rStyle w:val="AERtextbold"/>
        </w:rPr>
        <w:instrText xml:space="preserve"> REF _Ref332715424 \r \h </w:instrText>
      </w:r>
      <w:r w:rsidR="00DE0D6A" w:rsidRPr="00B077E0">
        <w:rPr>
          <w:rStyle w:val="AERtextbold"/>
        </w:rPr>
      </w:r>
      <w:r w:rsidR="00DE0D6A" w:rsidRPr="00B077E0">
        <w:rPr>
          <w:rStyle w:val="AERtextbold"/>
        </w:rPr>
        <w:fldChar w:fldCharType="separate"/>
      </w:r>
      <w:r>
        <w:rPr>
          <w:rStyle w:val="AERtextbold"/>
        </w:rPr>
        <w:t>8</w:t>
      </w:r>
      <w:r w:rsidR="00DE0D6A" w:rsidRPr="00B077E0">
        <w:rPr>
          <w:rStyle w:val="AERtextbold"/>
        </w:rPr>
        <w:fldChar w:fldCharType="end"/>
      </w:r>
      <w:r w:rsidRPr="00874BD1">
        <w:rPr>
          <w:rStyle w:val="AERtextbold"/>
        </w:rPr>
        <w:t>.</w:t>
      </w:r>
      <w:r>
        <w:rPr>
          <w:rStyle w:val="AERtextbold"/>
        </w:rPr>
        <w:t>2</w:t>
      </w:r>
      <w:r w:rsidRPr="00874BD1">
        <w:t xml:space="preserve">: </w:t>
      </w:r>
      <w:r w:rsidRPr="00B077E0">
        <w:t xml:space="preserve">Make all necessary amendments to reflect the AER’s draft decision on the </w:t>
      </w:r>
      <w:r>
        <w:t xml:space="preserve">opening tax asset base as at 1 January 2013, as set out in </w:t>
      </w:r>
      <w:r w:rsidR="00DE0D6A">
        <w:fldChar w:fldCharType="begin"/>
      </w:r>
      <w:r>
        <w:instrText xml:space="preserve"> REF  _Ref329621168 \* Lower \h \r </w:instrText>
      </w:r>
      <w:r w:rsidR="00DE0D6A">
        <w:fldChar w:fldCharType="separate"/>
      </w:r>
      <w:r>
        <w:t>table 8.3</w:t>
      </w:r>
      <w:r w:rsidR="00DE0D6A">
        <w:fldChar w:fldCharType="end"/>
      </w:r>
      <w:r>
        <w:t>.</w:t>
      </w:r>
    </w:p>
    <w:p w:rsidR="007C1F9F" w:rsidRPr="0007450F" w:rsidRDefault="007C1F9F" w:rsidP="007C1F9F">
      <w:pPr>
        <w:pStyle w:val="AERrevisionbox"/>
      </w:pPr>
      <w:r w:rsidRPr="00B077E0">
        <w:rPr>
          <w:rStyle w:val="AERtextbold"/>
        </w:rPr>
        <w:t>Revision</w:t>
      </w:r>
      <w:r w:rsidRPr="00874BD1">
        <w:rPr>
          <w:rStyle w:val="AERtextbold"/>
        </w:rPr>
        <w:t xml:space="preserve"> </w:t>
      </w:r>
      <w:r w:rsidR="00DE0D6A" w:rsidRPr="00B077E0">
        <w:rPr>
          <w:rStyle w:val="AERtextbold"/>
        </w:rPr>
        <w:fldChar w:fldCharType="begin"/>
      </w:r>
      <w:r w:rsidRPr="00B077E0">
        <w:rPr>
          <w:rStyle w:val="AERtextbold"/>
        </w:rPr>
        <w:instrText xml:space="preserve"> REF _Ref332715424 \r \h </w:instrText>
      </w:r>
      <w:r w:rsidR="00DE0D6A" w:rsidRPr="00B077E0">
        <w:rPr>
          <w:rStyle w:val="AERtextbold"/>
        </w:rPr>
      </w:r>
      <w:r w:rsidR="00DE0D6A" w:rsidRPr="00B077E0">
        <w:rPr>
          <w:rStyle w:val="AERtextbold"/>
        </w:rPr>
        <w:fldChar w:fldCharType="separate"/>
      </w:r>
      <w:r>
        <w:rPr>
          <w:rStyle w:val="AERtextbold"/>
        </w:rPr>
        <w:t>8</w:t>
      </w:r>
      <w:r w:rsidR="00DE0D6A" w:rsidRPr="00B077E0">
        <w:rPr>
          <w:rStyle w:val="AERtextbold"/>
        </w:rPr>
        <w:fldChar w:fldCharType="end"/>
      </w:r>
      <w:r w:rsidRPr="00874BD1">
        <w:rPr>
          <w:rStyle w:val="AERtextbold"/>
        </w:rPr>
        <w:t>.</w:t>
      </w:r>
      <w:r>
        <w:rPr>
          <w:rStyle w:val="AERtextbold"/>
        </w:rPr>
        <w:t>3</w:t>
      </w:r>
      <w:r w:rsidRPr="00874BD1">
        <w:t xml:space="preserve">: </w:t>
      </w:r>
      <w:r w:rsidRPr="00B077E0">
        <w:t xml:space="preserve">Make all necessary amendments to reflect the AER’s draft decision on the </w:t>
      </w:r>
      <w:r>
        <w:t xml:space="preserve">remaining tax asset lives for the </w:t>
      </w:r>
      <w:r w:rsidRPr="00B077E0">
        <w:rPr>
          <w:rStyle w:val="AERbody"/>
        </w:rPr>
        <w:t>2013–17</w:t>
      </w:r>
      <w:r>
        <w:rPr>
          <w:rStyle w:val="AERbody"/>
        </w:rPr>
        <w:t xml:space="preserve"> </w:t>
      </w:r>
      <w:r>
        <w:t xml:space="preserve">access arrangement period, as set out in </w:t>
      </w:r>
      <w:r w:rsidR="00DE0D6A">
        <w:fldChar w:fldCharType="begin"/>
      </w:r>
      <w:r>
        <w:instrText xml:space="preserve"> REF  _Ref315102837 \* Lower \h \r </w:instrText>
      </w:r>
      <w:r w:rsidR="00DE0D6A">
        <w:fldChar w:fldCharType="separate"/>
      </w:r>
      <w:r>
        <w:t>table 8.4</w:t>
      </w:r>
      <w:r w:rsidR="00DE0D6A">
        <w:fldChar w:fldCharType="end"/>
      </w:r>
      <w:r>
        <w:t>.</w:t>
      </w:r>
      <w:bookmarkEnd w:id="132"/>
    </w:p>
    <w:p w:rsidR="007C1F9F" w:rsidRDefault="007C1F9F" w:rsidP="007C1F9F">
      <w:pPr>
        <w:pStyle w:val="AERheading1"/>
        <w:numPr>
          <w:ilvl w:val="0"/>
          <w:numId w:val="7"/>
        </w:numPr>
        <w:tabs>
          <w:tab w:val="clear" w:pos="-357"/>
          <w:tab w:val="left" w:pos="0"/>
        </w:tabs>
        <w:ind w:left="-354" w:hanging="360"/>
      </w:pPr>
      <w:bookmarkStart w:id="152" w:name="_Toc334543796"/>
      <w:r>
        <w:t>Capacity utilisation forecasts</w:t>
      </w:r>
      <w:bookmarkEnd w:id="152"/>
    </w:p>
    <w:p w:rsidR="007C1F9F" w:rsidRPr="00174F1D" w:rsidRDefault="007C1F9F" w:rsidP="007C1F9F">
      <w:pPr>
        <w:pStyle w:val="AERbodytext"/>
      </w:pPr>
      <w:r>
        <w:t xml:space="preserve">This attachment sets out the AER's consideration of APA GasNet's capacity utilisation forecasts over the </w:t>
      </w:r>
      <w:r w:rsidR="00202065">
        <w:t>2013–17</w:t>
      </w:r>
      <w:r>
        <w:t xml:space="preserve"> access arrangement period. The NGR requires, to the extent it is practicable, that an access arrangement must include a forecast of pipeline capacity and utilisation of pipeline capacity over the access arrangement period. It must also include the basis on which such forecasts have been derived.</w:t>
      </w:r>
      <w:r>
        <w:rPr>
          <w:rStyle w:val="FootnoteReference"/>
        </w:rPr>
        <w:footnoteReference w:id="563"/>
      </w:r>
    </w:p>
    <w:p w:rsidR="007C1F9F" w:rsidRDefault="007C1F9F" w:rsidP="007C1F9F">
      <w:pPr>
        <w:pStyle w:val="AERheading2"/>
        <w:numPr>
          <w:ilvl w:val="1"/>
          <w:numId w:val="7"/>
        </w:numPr>
        <w:tabs>
          <w:tab w:val="clear" w:pos="4317"/>
          <w:tab w:val="num" w:pos="0"/>
        </w:tabs>
        <w:ind w:left="0" w:hanging="720"/>
      </w:pPr>
      <w:bookmarkStart w:id="153" w:name="_Toc334543797"/>
      <w:r>
        <w:t>Draft decision</w:t>
      </w:r>
      <w:bookmarkEnd w:id="153"/>
    </w:p>
    <w:p w:rsidR="007C1F9F" w:rsidRDefault="007C1F9F" w:rsidP="007C1F9F">
      <w:pPr>
        <w:pStyle w:val="AERbodytext"/>
      </w:pPr>
      <w:r>
        <w:t>The AER considers that APA GasNet's forecasts of capacity utilisation are not arrived at on a reasonable basis and do not represent best possible forecasts in the circumstances. The AER considers that the level of demand from shippers to transport gas to Culcairn is not as high as proposed by APA GasNet. As a result, the AER has provided its own forecasts of VTS capacity and utilisation rates in section 9.5, and considers these forecasts to be made on a reasonable basis, and the best possible in the circumstances.</w:t>
      </w:r>
    </w:p>
    <w:p w:rsidR="007C1F9F" w:rsidRDefault="007C1F9F" w:rsidP="007C1F9F">
      <w:pPr>
        <w:pStyle w:val="AERbodytext"/>
      </w:pPr>
      <w:r>
        <w:t xml:space="preserve">The AER considers that the levels of demand proposed by APA GasNet are, for some sections of the pipeline, in general made on a reasonable basis, and the best possible in the circumstances. </w:t>
      </w:r>
    </w:p>
    <w:p w:rsidR="007C1F9F" w:rsidRDefault="007C1F9F" w:rsidP="007C1F9F">
      <w:pPr>
        <w:pStyle w:val="AERheading2"/>
        <w:numPr>
          <w:ilvl w:val="1"/>
          <w:numId w:val="7"/>
        </w:numPr>
        <w:tabs>
          <w:tab w:val="clear" w:pos="4317"/>
          <w:tab w:val="num" w:pos="0"/>
        </w:tabs>
        <w:ind w:left="0" w:hanging="720"/>
      </w:pPr>
      <w:bookmarkStart w:id="154" w:name="_Toc334543798"/>
      <w:r>
        <w:t>APA GasNet's proposal</w:t>
      </w:r>
      <w:bookmarkEnd w:id="154"/>
    </w:p>
    <w:p w:rsidR="007C1F9F" w:rsidRPr="000C4876" w:rsidRDefault="007C1F9F" w:rsidP="007C1F9F">
      <w:pPr>
        <w:pStyle w:val="AERheading3"/>
        <w:numPr>
          <w:ilvl w:val="2"/>
          <w:numId w:val="7"/>
        </w:numPr>
        <w:tabs>
          <w:tab w:val="clear" w:pos="-357"/>
          <w:tab w:val="num" w:pos="0"/>
        </w:tabs>
        <w:ind w:left="0" w:hanging="714"/>
      </w:pPr>
      <w:r w:rsidRPr="000C4876">
        <w:t>APA GasNet's forecast methodology</w:t>
      </w:r>
    </w:p>
    <w:p w:rsidR="007C1F9F" w:rsidRPr="000C4876" w:rsidRDefault="007C1F9F" w:rsidP="007C1F9F">
      <w:pPr>
        <w:pStyle w:val="AERbodytext"/>
      </w:pPr>
      <w:r w:rsidRPr="000C4876">
        <w:t>APA GasNet has primarily utilised the demand forecasts of the system planner, AEMO, in providing its estimates of capacity utilisation. The bulk of gas delivered through the VTS is 'used' by AEMO, in the sense that shippers contract with AEMO to access the reference service under the Market Carriage Model. APA GasNet has diverged from AEMO's forecasts when forecasting</w:t>
      </w:r>
      <w:r>
        <w:t xml:space="preserve"> the demand for</w:t>
      </w:r>
      <w:r w:rsidRPr="000C4876">
        <w:t xml:space="preserve"> gas exports, underground storage refill volumes</w:t>
      </w:r>
      <w:r>
        <w:t xml:space="preserve">, and </w:t>
      </w:r>
      <w:r w:rsidRPr="000C4876">
        <w:t>gas-powered generation (GPG).</w:t>
      </w:r>
      <w:r w:rsidRPr="000C4876">
        <w:rPr>
          <w:rStyle w:val="FootnoteReference"/>
        </w:rPr>
        <w:footnoteReference w:id="564"/>
      </w:r>
    </w:p>
    <w:p w:rsidR="007C1F9F" w:rsidRPr="000C4876" w:rsidRDefault="007C1F9F" w:rsidP="007C1F9F">
      <w:pPr>
        <w:pStyle w:val="AERbodytext"/>
      </w:pPr>
      <w:r w:rsidRPr="000C4876">
        <w:t>APA GasNet has based its forecast of exports on demand by shippers for increased capacity on some sections of the pipeline. The demand by shippers, and the resulting plan to increase capacity, is the reason for the break in trend from historical export levels.</w:t>
      </w:r>
      <w:r w:rsidRPr="000C4876">
        <w:rPr>
          <w:rStyle w:val="FootnoteReference"/>
        </w:rPr>
        <w:footnoteReference w:id="565"/>
      </w:r>
    </w:p>
    <w:p w:rsidR="007C1F9F" w:rsidRPr="000C4876" w:rsidRDefault="007C1F9F" w:rsidP="007C1F9F">
      <w:pPr>
        <w:pStyle w:val="AERbodytext"/>
      </w:pPr>
      <w:r w:rsidRPr="000C4876">
        <w:t>Flows into and out of underground storage at Port Campbell, and to the LNG plant at Dandenong have fluctuate</w:t>
      </w:r>
      <w:r>
        <w:t xml:space="preserve">d significantly over the </w:t>
      </w:r>
      <w:r w:rsidR="00202065">
        <w:t>2008–12</w:t>
      </w:r>
      <w:r w:rsidRPr="000C4876">
        <w:t xml:space="preserve"> access arrangement period.</w:t>
      </w:r>
      <w:r w:rsidRPr="000C4876">
        <w:rPr>
          <w:rStyle w:val="FootnoteReference"/>
        </w:rPr>
        <w:footnoteReference w:id="566"/>
      </w:r>
      <w:r w:rsidRPr="000C4876">
        <w:t xml:space="preserve"> APA GasNet's forecast is based on assumptions regarding the availability of gas from local fields being utilised to refill underground storage and increasing utilisation of LNG as transport fuel.</w:t>
      </w:r>
    </w:p>
    <w:p w:rsidR="007C1F9F" w:rsidRPr="000C4876" w:rsidRDefault="007C1F9F" w:rsidP="007C1F9F">
      <w:pPr>
        <w:pStyle w:val="AERbodytext"/>
      </w:pPr>
      <w:r w:rsidRPr="000C4876">
        <w:t>APA GasNet submitted that the forecasts regarding GPG in AEMO's system planning process were outdated.</w:t>
      </w:r>
      <w:r w:rsidRPr="000C4876">
        <w:rPr>
          <w:rStyle w:val="FootnoteReference"/>
        </w:rPr>
        <w:footnoteReference w:id="567"/>
      </w:r>
      <w:r w:rsidRPr="000C4876">
        <w:t xml:space="preserve"> APA GasNet has provided its own assessment of the likely growth path of gas demand from GPG. </w:t>
      </w:r>
      <w:r>
        <w:t>APA GasNet submitted that t</w:t>
      </w:r>
      <w:r w:rsidRPr="000C4876">
        <w:t>his forecast takes into account:</w:t>
      </w:r>
    </w:p>
    <w:p w:rsidR="007C1F9F" w:rsidRPr="000C4876" w:rsidRDefault="007C1F9F" w:rsidP="007C1F9F">
      <w:pPr>
        <w:pStyle w:val="AERbulletlistfirststyle"/>
      </w:pPr>
      <w:r>
        <w:t>t</w:t>
      </w:r>
      <w:r w:rsidRPr="000C4876">
        <w:t>he most up-to-date information on a carbon price</w:t>
      </w:r>
    </w:p>
    <w:p w:rsidR="007C1F9F" w:rsidRPr="000C4876" w:rsidRDefault="007C1F9F" w:rsidP="007C1F9F">
      <w:pPr>
        <w:pStyle w:val="AERbulletlistfirststyle"/>
      </w:pPr>
      <w:r>
        <w:t>an</w:t>
      </w:r>
      <w:r w:rsidRPr="000C4876">
        <w:t xml:space="preserve"> assessment of the uncertainty surrounding the continuity of a carbon price, given the possibility of a change in government, and the effect this has on GPG investment</w:t>
      </w:r>
    </w:p>
    <w:p w:rsidR="007C1F9F" w:rsidRPr="000C4876" w:rsidRDefault="007C1F9F" w:rsidP="007C1F9F">
      <w:pPr>
        <w:pStyle w:val="AERbulletlistfirststyle"/>
      </w:pPr>
      <w:r>
        <w:t>a</w:t>
      </w:r>
      <w:r w:rsidRPr="000C4876">
        <w:t xml:space="preserve">ny approaches (or lack thereof) </w:t>
      </w:r>
      <w:r>
        <w:t>from</w:t>
      </w:r>
      <w:r w:rsidRPr="000C4876">
        <w:t xml:space="preserve"> market participants to APA GasNet for supply of gas to new GPG plant.</w:t>
      </w:r>
      <w:r w:rsidRPr="000C4876">
        <w:rPr>
          <w:rStyle w:val="FootnoteReference"/>
        </w:rPr>
        <w:footnoteReference w:id="568"/>
      </w:r>
    </w:p>
    <w:p w:rsidR="007C1F9F" w:rsidRDefault="007C1F9F" w:rsidP="007C1F9F">
      <w:pPr>
        <w:pStyle w:val="AERheading3"/>
        <w:numPr>
          <w:ilvl w:val="2"/>
          <w:numId w:val="7"/>
        </w:numPr>
        <w:tabs>
          <w:tab w:val="clear" w:pos="-357"/>
          <w:tab w:val="num" w:pos="0"/>
        </w:tabs>
        <w:ind w:left="0" w:hanging="714"/>
      </w:pPr>
      <w:r>
        <w:t>APA GasNet's forecast of VTS capacity</w:t>
      </w:r>
    </w:p>
    <w:p w:rsidR="007C1F9F" w:rsidRDefault="00DE0D6A" w:rsidP="007C1F9F">
      <w:pPr>
        <w:pStyle w:val="AERbodytext"/>
      </w:pPr>
      <w:r>
        <w:fldChar w:fldCharType="begin"/>
      </w:r>
      <w:r w:rsidR="007C1F9F">
        <w:instrText xml:space="preserve"> REF _Ref329178496 \r \h </w:instrText>
      </w:r>
      <w:r>
        <w:fldChar w:fldCharType="separate"/>
      </w:r>
      <w:r w:rsidR="007C1F9F">
        <w:t>Table 9.1</w:t>
      </w:r>
      <w:r>
        <w:fldChar w:fldCharType="end"/>
      </w:r>
      <w:r w:rsidR="007C1F9F">
        <w:t xml:space="preserve"> shows APA GasNet's forecast of capacity on the VTS over the </w:t>
      </w:r>
      <w:r w:rsidR="00202065">
        <w:t>2013–17</w:t>
      </w:r>
      <w:r w:rsidR="007C1F9F">
        <w:t xml:space="preserve"> access arrangement period. Since the VTS comprises a number of networked pipelines, this capacity is estimated for various segments of the VTS. This estimated capacity represents the aggregated contracted maximum daily quantities (MDQ).</w:t>
      </w:r>
    </w:p>
    <w:p w:rsidR="007C1F9F" w:rsidRDefault="007C1F9F" w:rsidP="007C1F9F">
      <w:pPr>
        <w:pStyle w:val="AERtabletitle"/>
      </w:pPr>
      <w:bookmarkStart w:id="155" w:name="_Ref329178496"/>
      <w:r>
        <w:t>APA GasNet's forecast of capacity</w:t>
      </w:r>
      <w:bookmarkEnd w:id="155"/>
    </w:p>
    <w:tbl>
      <w:tblPr>
        <w:tblW w:w="0" w:type="auto"/>
        <w:tblBorders>
          <w:top w:val="single" w:sz="4" w:space="0" w:color="auto"/>
          <w:bottom w:val="single" w:sz="4" w:space="0" w:color="auto"/>
        </w:tblBorders>
        <w:tblLook w:val="0020"/>
      </w:tblPr>
      <w:tblGrid>
        <w:gridCol w:w="2093"/>
        <w:gridCol w:w="749"/>
        <w:gridCol w:w="1421"/>
        <w:gridCol w:w="1421"/>
        <w:gridCol w:w="1422"/>
        <w:gridCol w:w="1422"/>
      </w:tblGrid>
      <w:tr w:rsidR="007C1F9F" w:rsidTr="00186172">
        <w:tc>
          <w:tcPr>
            <w:tcW w:w="209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pPr>
            <w:r w:rsidRPr="007E3923">
              <w:t>Forecast Capacity (TJ/day)</w:t>
            </w:r>
          </w:p>
        </w:tc>
        <w:tc>
          <w:tcPr>
            <w:tcW w:w="74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2093" w:type="dxa"/>
            <w:shd w:val="clear" w:color="auto" w:fill="auto"/>
            <w:noWrap/>
            <w:tcMar>
              <w:top w:w="0" w:type="dxa"/>
              <w:bottom w:w="0" w:type="dxa"/>
            </w:tcMar>
            <w:vAlign w:val="center"/>
          </w:tcPr>
          <w:p w:rsidR="007C1F9F" w:rsidRPr="00B01D48" w:rsidRDefault="007C1F9F" w:rsidP="00186172">
            <w:pPr>
              <w:pStyle w:val="AERtabletext"/>
            </w:pPr>
            <w:r w:rsidRPr="00B01D48">
              <w:t>Longford to Melbourne</w:t>
            </w:r>
          </w:p>
        </w:tc>
        <w:tc>
          <w:tcPr>
            <w:tcW w:w="749"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1030</w:t>
            </w:r>
          </w:p>
        </w:tc>
      </w:tr>
      <w:tr w:rsidR="007C1F9F" w:rsidTr="00186172">
        <w:tc>
          <w:tcPr>
            <w:tcW w:w="2093" w:type="dxa"/>
            <w:shd w:val="clear" w:color="auto" w:fill="F8B47C"/>
            <w:noWrap/>
            <w:tcMar>
              <w:top w:w="0" w:type="dxa"/>
              <w:bottom w:w="0" w:type="dxa"/>
            </w:tcMar>
            <w:vAlign w:val="center"/>
          </w:tcPr>
          <w:p w:rsidR="007C1F9F" w:rsidRPr="00B01D48" w:rsidRDefault="007C1F9F" w:rsidP="00186172">
            <w:pPr>
              <w:pStyle w:val="AERtabletext"/>
            </w:pPr>
            <w:r w:rsidRPr="00B01D48">
              <w:t>South West pipeline (from Iona)</w:t>
            </w:r>
          </w:p>
        </w:tc>
        <w:tc>
          <w:tcPr>
            <w:tcW w:w="749" w:type="dxa"/>
            <w:shd w:val="clear" w:color="auto" w:fill="F8B47C"/>
            <w:noWrap/>
            <w:tcMar>
              <w:top w:w="0" w:type="dxa"/>
              <w:bottom w:w="0" w:type="dxa"/>
            </w:tcMar>
            <w:vAlign w:val="center"/>
          </w:tcPr>
          <w:p w:rsidR="007C1F9F" w:rsidRPr="007E3923" w:rsidRDefault="007C1F9F" w:rsidP="00186172">
            <w:pPr>
              <w:pStyle w:val="AERtabletext-numbers"/>
            </w:pPr>
            <w:r>
              <w:t>353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412</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412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412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412</w:t>
            </w:r>
          </w:p>
        </w:tc>
      </w:tr>
      <w:tr w:rsidR="007C1F9F" w:rsidTr="00186172">
        <w:tc>
          <w:tcPr>
            <w:tcW w:w="2093" w:type="dxa"/>
            <w:shd w:val="clear" w:color="auto" w:fill="auto"/>
            <w:noWrap/>
            <w:tcMar>
              <w:top w:w="0" w:type="dxa"/>
              <w:bottom w:w="0" w:type="dxa"/>
            </w:tcMar>
            <w:vAlign w:val="center"/>
          </w:tcPr>
          <w:p w:rsidR="007C1F9F" w:rsidRPr="00B01D48" w:rsidRDefault="007C1F9F" w:rsidP="00186172">
            <w:pPr>
              <w:pStyle w:val="AERtabletext"/>
            </w:pPr>
            <w:r w:rsidRPr="00B01D48">
              <w:t>South West Pipeline (to Iona)</w:t>
            </w:r>
          </w:p>
        </w:tc>
        <w:tc>
          <w:tcPr>
            <w:tcW w:w="749" w:type="dxa"/>
            <w:shd w:val="clear" w:color="auto" w:fill="auto"/>
            <w:noWrap/>
            <w:tcMar>
              <w:top w:w="0" w:type="dxa"/>
              <w:bottom w:w="0" w:type="dxa"/>
            </w:tcMar>
            <w:vAlign w:val="center"/>
          </w:tcPr>
          <w:p w:rsidR="007C1F9F" w:rsidRPr="007E3923" w:rsidRDefault="007C1F9F" w:rsidP="00186172">
            <w:pPr>
              <w:pStyle w:val="AERtabletext-numbers"/>
            </w:pPr>
            <w:r>
              <w:t>129</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190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190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190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190</w:t>
            </w:r>
          </w:p>
        </w:tc>
      </w:tr>
      <w:tr w:rsidR="007C1F9F" w:rsidTr="00186172">
        <w:tc>
          <w:tcPr>
            <w:tcW w:w="2093" w:type="dxa"/>
            <w:shd w:val="clear" w:color="auto" w:fill="F8B47C"/>
            <w:noWrap/>
            <w:tcMar>
              <w:top w:w="0" w:type="dxa"/>
              <w:bottom w:w="0" w:type="dxa"/>
            </w:tcMar>
            <w:vAlign w:val="center"/>
          </w:tcPr>
          <w:p w:rsidR="007C1F9F" w:rsidRPr="00B01D48" w:rsidRDefault="007C1F9F" w:rsidP="00186172">
            <w:pPr>
              <w:pStyle w:val="AERtabletext"/>
            </w:pPr>
            <w:r w:rsidRPr="00B01D48">
              <w:t>Western Transmission System</w:t>
            </w:r>
          </w:p>
        </w:tc>
        <w:tc>
          <w:tcPr>
            <w:tcW w:w="749"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28</w:t>
            </w:r>
          </w:p>
        </w:tc>
      </w:tr>
      <w:tr w:rsidR="007C1F9F" w:rsidTr="00186172">
        <w:tc>
          <w:tcPr>
            <w:tcW w:w="2093" w:type="dxa"/>
            <w:shd w:val="clear" w:color="auto" w:fill="auto"/>
            <w:noWrap/>
            <w:tcMar>
              <w:top w:w="0" w:type="dxa"/>
              <w:bottom w:w="0" w:type="dxa"/>
            </w:tcMar>
            <w:vAlign w:val="center"/>
          </w:tcPr>
          <w:p w:rsidR="007C1F9F" w:rsidRPr="007E3923" w:rsidRDefault="007C1F9F" w:rsidP="00186172">
            <w:pPr>
              <w:pStyle w:val="AERtabletext"/>
            </w:pPr>
            <w:r w:rsidRPr="00B01D48">
              <w:t>New South Wales Interconnect (to Vic</w:t>
            </w:r>
            <w:r w:rsidRPr="007E3923">
              <w:t>toria)</w:t>
            </w:r>
          </w:p>
        </w:tc>
        <w:tc>
          <w:tcPr>
            <w:tcW w:w="749" w:type="dxa"/>
            <w:shd w:val="clear" w:color="auto" w:fill="auto"/>
            <w:noWrap/>
            <w:tcMar>
              <w:top w:w="0" w:type="dxa"/>
              <w:bottom w:w="0" w:type="dxa"/>
            </w:tcMar>
            <w:vAlign w:val="center"/>
          </w:tcPr>
          <w:p w:rsidR="007C1F9F" w:rsidRPr="007E3923" w:rsidRDefault="007C1F9F" w:rsidP="00186172">
            <w:pPr>
              <w:pStyle w:val="AERtabletext-numbers"/>
            </w:pPr>
            <w:r>
              <w:t>92</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92</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117</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117</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117</w:t>
            </w:r>
          </w:p>
        </w:tc>
      </w:tr>
      <w:tr w:rsidR="007C1F9F" w:rsidTr="00186172">
        <w:tc>
          <w:tcPr>
            <w:tcW w:w="2093" w:type="dxa"/>
            <w:shd w:val="clear" w:color="auto" w:fill="F8B47C"/>
            <w:noWrap/>
            <w:tcMar>
              <w:top w:w="0" w:type="dxa"/>
              <w:bottom w:w="0" w:type="dxa"/>
            </w:tcMar>
            <w:vAlign w:val="center"/>
          </w:tcPr>
          <w:p w:rsidR="007C1F9F" w:rsidRPr="007E3923" w:rsidRDefault="007C1F9F" w:rsidP="00186172">
            <w:pPr>
              <w:pStyle w:val="AERtabletext"/>
            </w:pPr>
            <w:r w:rsidRPr="00B01D48">
              <w:t>New South Wales Interconnect (from Vic</w:t>
            </w:r>
            <w:r w:rsidRPr="007E3923">
              <w:t>toria (Summer))</w:t>
            </w:r>
          </w:p>
        </w:tc>
        <w:tc>
          <w:tcPr>
            <w:tcW w:w="749" w:type="dxa"/>
            <w:shd w:val="clear" w:color="auto" w:fill="F8B47C"/>
            <w:noWrap/>
            <w:tcMar>
              <w:top w:w="0" w:type="dxa"/>
              <w:bottom w:w="0" w:type="dxa"/>
            </w:tcMar>
            <w:vAlign w:val="center"/>
          </w:tcPr>
          <w:p w:rsidR="007C1F9F" w:rsidRPr="007E3923" w:rsidRDefault="007C1F9F" w:rsidP="00186172">
            <w:pPr>
              <w:pStyle w:val="AERtabletext-numbers"/>
            </w:pPr>
            <w:r>
              <w:t>83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83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126</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126</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126</w:t>
            </w:r>
          </w:p>
        </w:tc>
      </w:tr>
      <w:tr w:rsidR="007C1F9F" w:rsidTr="00186172">
        <w:tc>
          <w:tcPr>
            <w:tcW w:w="2093" w:type="dxa"/>
            <w:shd w:val="clear" w:color="auto" w:fill="auto"/>
            <w:noWrap/>
            <w:tcMar>
              <w:top w:w="0" w:type="dxa"/>
              <w:bottom w:w="0" w:type="dxa"/>
            </w:tcMar>
            <w:vAlign w:val="center"/>
          </w:tcPr>
          <w:p w:rsidR="007C1F9F" w:rsidRPr="007E3923" w:rsidRDefault="007C1F9F" w:rsidP="00186172">
            <w:pPr>
              <w:pStyle w:val="AERtabletext"/>
            </w:pPr>
            <w:r w:rsidRPr="00144304">
              <w:t>New South Wales Interconnect (</w:t>
            </w:r>
            <w:r w:rsidRPr="007E3923">
              <w:t>from Vic (Winter))</w:t>
            </w:r>
          </w:p>
        </w:tc>
        <w:tc>
          <w:tcPr>
            <w:tcW w:w="749" w:type="dxa"/>
            <w:shd w:val="clear" w:color="auto" w:fill="auto"/>
            <w:noWrap/>
            <w:tcMar>
              <w:top w:w="0" w:type="dxa"/>
              <w:bottom w:w="0" w:type="dxa"/>
            </w:tcMar>
            <w:vAlign w:val="center"/>
          </w:tcPr>
          <w:p w:rsidR="007C1F9F" w:rsidRPr="007E3923" w:rsidRDefault="007C1F9F" w:rsidP="00186172">
            <w:pPr>
              <w:pStyle w:val="AERtabletext-numbers"/>
            </w:pPr>
            <w:r>
              <w:t>38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38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81</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81</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81</w:t>
            </w:r>
          </w:p>
        </w:tc>
      </w:tr>
    </w:tbl>
    <w:p w:rsidR="007C1F9F" w:rsidRDefault="007C1F9F" w:rsidP="007C1F9F">
      <w:pPr>
        <w:pStyle w:val="AERtablesource"/>
      </w:pPr>
      <w:r>
        <w:t xml:space="preserve">Source: APA GasNet, </w:t>
      </w:r>
      <w:r w:rsidRPr="00D737AB">
        <w:rPr>
          <w:rStyle w:val="AERtextitalic"/>
        </w:rPr>
        <w:t xml:space="preserve">Access </w:t>
      </w:r>
      <w:r>
        <w:rPr>
          <w:rStyle w:val="AERtextitalic"/>
        </w:rPr>
        <w:t>a</w:t>
      </w:r>
      <w:r w:rsidRPr="00D737AB">
        <w:rPr>
          <w:rStyle w:val="AERtextitalic"/>
        </w:rPr>
        <w:t xml:space="preserve">rrangement </w:t>
      </w:r>
      <w:r>
        <w:rPr>
          <w:rStyle w:val="AERtextitalic"/>
        </w:rPr>
        <w:t>i</w:t>
      </w:r>
      <w:r w:rsidRPr="00D737AB">
        <w:rPr>
          <w:rStyle w:val="AERtextitalic"/>
        </w:rPr>
        <w:t>nformation</w:t>
      </w:r>
      <w:r>
        <w:t>, 31 March 2012, p. 14.</w:t>
      </w:r>
    </w:p>
    <w:p w:rsidR="007C1F9F" w:rsidRDefault="007C1F9F" w:rsidP="007C1F9F">
      <w:pPr>
        <w:pStyle w:val="AERbodytext"/>
      </w:pPr>
      <w:r>
        <w:t>APA GasNet's forecast of capacity shows a static level of capacity on the Longford to Melbourne and Western Transmission System sections of the VTS. There is no augmentation planned for these sections of the network.</w:t>
      </w:r>
    </w:p>
    <w:p w:rsidR="007C1F9F" w:rsidRPr="00E0446E" w:rsidRDefault="007C1F9F" w:rsidP="007C1F9F">
      <w:pPr>
        <w:pStyle w:val="AERbodytext"/>
      </w:pPr>
      <w:r>
        <w:t xml:space="preserve">APA GasNet has proposed augmentation for the South West Pipeline and the New South Wales Interconnect. This augmentation consists of work being finalised over the </w:t>
      </w:r>
      <w:r w:rsidR="00202065">
        <w:t>2008–12</w:t>
      </w:r>
      <w:r>
        <w:t xml:space="preserve"> access arrangement period and work planned for the </w:t>
      </w:r>
      <w:r w:rsidR="00202065">
        <w:t>2013–17</w:t>
      </w:r>
      <w:r>
        <w:t xml:space="preserve"> access arrangement period. As a result, the VTS's capacity to deliver gas through the South West Pipeline (from Iona) is proposed to increase by 59 TJ/day in 2014, and exports through the New South Wales Interconnect by 43 TJ/day in 2015.</w:t>
      </w:r>
      <w:r w:rsidRPr="00905592">
        <w:rPr>
          <w:rStyle w:val="FootnoteReference"/>
        </w:rPr>
        <w:t xml:space="preserve"> </w:t>
      </w:r>
      <w:r>
        <w:rPr>
          <w:rStyle w:val="FootnoteReference"/>
        </w:rPr>
        <w:footnoteReference w:id="569"/>
      </w:r>
    </w:p>
    <w:p w:rsidR="007C1F9F" w:rsidRDefault="007C1F9F" w:rsidP="007C1F9F">
      <w:pPr>
        <w:pStyle w:val="AERheading3"/>
        <w:numPr>
          <w:ilvl w:val="2"/>
          <w:numId w:val="7"/>
        </w:numPr>
        <w:tabs>
          <w:tab w:val="clear" w:pos="-357"/>
          <w:tab w:val="num" w:pos="0"/>
        </w:tabs>
        <w:ind w:left="0" w:hanging="714"/>
      </w:pPr>
      <w:r>
        <w:t>APA GasNet's forecast of VTS utilisation</w:t>
      </w:r>
    </w:p>
    <w:p w:rsidR="007C1F9F" w:rsidRPr="00C8115B" w:rsidRDefault="00DE0D6A" w:rsidP="007C1F9F">
      <w:pPr>
        <w:pStyle w:val="AERbodytext"/>
      </w:pPr>
      <w:r>
        <w:fldChar w:fldCharType="begin"/>
      </w:r>
      <w:r w:rsidR="007C1F9F">
        <w:instrText xml:space="preserve"> REF _Ref329178521 \r \h </w:instrText>
      </w:r>
      <w:r>
        <w:fldChar w:fldCharType="separate"/>
      </w:r>
      <w:r w:rsidR="007C1F9F">
        <w:t>Table 9.2</w:t>
      </w:r>
      <w:r>
        <w:fldChar w:fldCharType="end"/>
      </w:r>
      <w:r w:rsidR="007C1F9F">
        <w:t xml:space="preserve"> shows APA GasNet's forecast of utilisation</w:t>
      </w:r>
      <w:r w:rsidR="007C1F9F" w:rsidRPr="00C8115B">
        <w:t xml:space="preserve"> on the VTS over the </w:t>
      </w:r>
      <w:r w:rsidR="00202065">
        <w:t>2013–17</w:t>
      </w:r>
      <w:r w:rsidR="007C1F9F">
        <w:t xml:space="preserve"> </w:t>
      </w:r>
      <w:r w:rsidR="007C1F9F" w:rsidRPr="00C8115B">
        <w:t xml:space="preserve">access arrangement period. This capacity is estimated </w:t>
      </w:r>
      <w:r w:rsidR="007C1F9F">
        <w:t>as a percentage of utilised capacity</w:t>
      </w:r>
      <w:r w:rsidR="007C1F9F" w:rsidRPr="00C8115B">
        <w:t>.</w:t>
      </w:r>
    </w:p>
    <w:p w:rsidR="007C1F9F" w:rsidRDefault="007C1F9F" w:rsidP="007C1F9F">
      <w:pPr>
        <w:pStyle w:val="AERtabletitle"/>
      </w:pPr>
      <w:bookmarkStart w:id="156" w:name="_Ref329178521"/>
      <w:r>
        <w:t>APA GasNet's forecast of utilisation</w:t>
      </w:r>
      <w:bookmarkEnd w:id="156"/>
    </w:p>
    <w:tbl>
      <w:tblPr>
        <w:tblW w:w="0" w:type="auto"/>
        <w:tblBorders>
          <w:top w:val="single" w:sz="4" w:space="0" w:color="auto"/>
          <w:bottom w:val="single" w:sz="4" w:space="0" w:color="auto"/>
        </w:tblBorders>
        <w:tblLook w:val="0020"/>
      </w:tblPr>
      <w:tblGrid>
        <w:gridCol w:w="1809"/>
        <w:gridCol w:w="1033"/>
        <w:gridCol w:w="1421"/>
        <w:gridCol w:w="1421"/>
        <w:gridCol w:w="1422"/>
        <w:gridCol w:w="1422"/>
      </w:tblGrid>
      <w:tr w:rsidR="007C1F9F" w:rsidTr="00186172">
        <w:tc>
          <w:tcPr>
            <w:tcW w:w="180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pPr>
            <w:r w:rsidRPr="007E3923">
              <w:t>Forecast Utilisation (%)</w:t>
            </w:r>
          </w:p>
        </w:tc>
        <w:tc>
          <w:tcPr>
            <w:tcW w:w="103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1809" w:type="dxa"/>
            <w:shd w:val="clear" w:color="auto" w:fill="auto"/>
            <w:noWrap/>
            <w:tcMar>
              <w:top w:w="0" w:type="dxa"/>
              <w:bottom w:w="0" w:type="dxa"/>
            </w:tcMar>
            <w:vAlign w:val="center"/>
          </w:tcPr>
          <w:p w:rsidR="007C1F9F" w:rsidRPr="00B01D48" w:rsidRDefault="007C1F9F" w:rsidP="00186172">
            <w:pPr>
              <w:pStyle w:val="AERtabletext"/>
            </w:pPr>
            <w:r w:rsidRPr="00B01D48">
              <w:t>Longford to Melbourne</w:t>
            </w:r>
          </w:p>
        </w:tc>
        <w:tc>
          <w:tcPr>
            <w:tcW w:w="1033" w:type="dxa"/>
            <w:shd w:val="clear" w:color="auto" w:fill="auto"/>
            <w:noWrap/>
            <w:tcMar>
              <w:top w:w="0" w:type="dxa"/>
              <w:bottom w:w="0" w:type="dxa"/>
            </w:tcMar>
            <w:vAlign w:val="center"/>
          </w:tcPr>
          <w:p w:rsidR="007C1F9F" w:rsidRPr="007E3923" w:rsidRDefault="007C1F9F" w:rsidP="00186172">
            <w:pPr>
              <w:pStyle w:val="AERtabletext-numbers"/>
            </w:pPr>
            <w:r>
              <w:t>43.3%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43.3%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43.2%</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43.2%</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43.4%</w:t>
            </w:r>
          </w:p>
        </w:tc>
      </w:tr>
      <w:tr w:rsidR="007C1F9F" w:rsidTr="00186172">
        <w:tc>
          <w:tcPr>
            <w:tcW w:w="1809" w:type="dxa"/>
            <w:shd w:val="clear" w:color="auto" w:fill="F8B47C"/>
            <w:noWrap/>
            <w:tcMar>
              <w:top w:w="0" w:type="dxa"/>
              <w:bottom w:w="0" w:type="dxa"/>
            </w:tcMar>
            <w:vAlign w:val="center"/>
          </w:tcPr>
          <w:p w:rsidR="007C1F9F" w:rsidRPr="00B01D48" w:rsidRDefault="007C1F9F" w:rsidP="00186172">
            <w:pPr>
              <w:pStyle w:val="AERtabletext"/>
            </w:pPr>
            <w:r w:rsidRPr="00B01D48">
              <w:t>South West pipeline (from Iona)</w:t>
            </w:r>
          </w:p>
        </w:tc>
        <w:tc>
          <w:tcPr>
            <w:tcW w:w="1033" w:type="dxa"/>
            <w:shd w:val="clear" w:color="auto" w:fill="F8B47C"/>
            <w:noWrap/>
            <w:tcMar>
              <w:top w:w="0" w:type="dxa"/>
              <w:bottom w:w="0" w:type="dxa"/>
            </w:tcMar>
            <w:vAlign w:val="center"/>
          </w:tcPr>
          <w:p w:rsidR="007C1F9F" w:rsidRPr="007E3923" w:rsidRDefault="007C1F9F" w:rsidP="00186172">
            <w:pPr>
              <w:pStyle w:val="AERtabletext-numbers"/>
            </w:pPr>
            <w:r>
              <w:t>34.4%</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29.5%</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40.6%</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43.3%</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50.6%</w:t>
            </w:r>
          </w:p>
        </w:tc>
      </w:tr>
      <w:tr w:rsidR="007C1F9F" w:rsidTr="00186172">
        <w:tc>
          <w:tcPr>
            <w:tcW w:w="1809" w:type="dxa"/>
            <w:shd w:val="clear" w:color="auto" w:fill="auto"/>
            <w:noWrap/>
            <w:tcMar>
              <w:top w:w="0" w:type="dxa"/>
              <w:bottom w:w="0" w:type="dxa"/>
            </w:tcMar>
            <w:vAlign w:val="center"/>
          </w:tcPr>
          <w:p w:rsidR="007C1F9F" w:rsidRPr="00B01D48" w:rsidRDefault="007C1F9F" w:rsidP="00186172">
            <w:pPr>
              <w:pStyle w:val="AERtabletext"/>
            </w:pPr>
            <w:r w:rsidRPr="00B01D48">
              <w:t>South West Pipeline (to Iona)</w:t>
            </w:r>
          </w:p>
        </w:tc>
        <w:tc>
          <w:tcPr>
            <w:tcW w:w="1033" w:type="dxa"/>
            <w:shd w:val="clear" w:color="auto" w:fill="auto"/>
            <w:noWrap/>
            <w:tcMar>
              <w:top w:w="0" w:type="dxa"/>
              <w:bottom w:w="0" w:type="dxa"/>
            </w:tcMar>
            <w:vAlign w:val="center"/>
          </w:tcPr>
          <w:p w:rsidR="007C1F9F" w:rsidRPr="007E3923" w:rsidRDefault="007C1F9F" w:rsidP="00186172">
            <w:pPr>
              <w:pStyle w:val="AERtabletext-numbers"/>
            </w:pPr>
            <w:r>
              <w:t>11.6%</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7.9%</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7.9%</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7.9%</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7.9%</w:t>
            </w:r>
          </w:p>
        </w:tc>
      </w:tr>
      <w:tr w:rsidR="007C1F9F" w:rsidTr="00186172">
        <w:tc>
          <w:tcPr>
            <w:tcW w:w="1809" w:type="dxa"/>
            <w:shd w:val="clear" w:color="auto" w:fill="F8B47C"/>
            <w:noWrap/>
            <w:tcMar>
              <w:top w:w="0" w:type="dxa"/>
              <w:bottom w:w="0" w:type="dxa"/>
            </w:tcMar>
            <w:vAlign w:val="center"/>
          </w:tcPr>
          <w:p w:rsidR="007C1F9F" w:rsidRPr="00B01D48" w:rsidRDefault="007C1F9F" w:rsidP="00186172">
            <w:pPr>
              <w:pStyle w:val="AERtabletext"/>
            </w:pPr>
            <w:r w:rsidRPr="00B01D48">
              <w:t>Western Transmission System</w:t>
            </w:r>
          </w:p>
        </w:tc>
        <w:tc>
          <w:tcPr>
            <w:tcW w:w="1033" w:type="dxa"/>
            <w:shd w:val="clear" w:color="auto" w:fill="F8B47C"/>
            <w:noWrap/>
            <w:tcMar>
              <w:top w:w="0" w:type="dxa"/>
              <w:bottom w:w="0" w:type="dxa"/>
            </w:tcMar>
            <w:vAlign w:val="center"/>
          </w:tcPr>
          <w:p w:rsidR="007C1F9F" w:rsidRPr="007E3923" w:rsidRDefault="007C1F9F" w:rsidP="00186172">
            <w:pPr>
              <w:pStyle w:val="AERtabletext-numbers"/>
            </w:pPr>
            <w:r>
              <w:t>46.9%</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48.2%</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49.0%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52.0%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52.5%</w:t>
            </w:r>
          </w:p>
        </w:tc>
      </w:tr>
      <w:tr w:rsidR="007C1F9F" w:rsidTr="00186172">
        <w:tc>
          <w:tcPr>
            <w:tcW w:w="1809" w:type="dxa"/>
            <w:shd w:val="clear" w:color="auto" w:fill="auto"/>
            <w:noWrap/>
            <w:tcMar>
              <w:top w:w="0" w:type="dxa"/>
              <w:bottom w:w="0" w:type="dxa"/>
            </w:tcMar>
            <w:vAlign w:val="center"/>
          </w:tcPr>
          <w:p w:rsidR="007C1F9F" w:rsidRPr="007E3923" w:rsidRDefault="007C1F9F" w:rsidP="00186172">
            <w:pPr>
              <w:pStyle w:val="AERtabletext"/>
            </w:pPr>
            <w:r w:rsidRPr="00B01D48">
              <w:t>New South Wales Interconnect (to Vic</w:t>
            </w:r>
            <w:r w:rsidRPr="007E3923">
              <w:t>toria)</w:t>
            </w:r>
          </w:p>
        </w:tc>
        <w:tc>
          <w:tcPr>
            <w:tcW w:w="1033" w:type="dxa"/>
            <w:shd w:val="clear" w:color="auto" w:fill="auto"/>
            <w:noWrap/>
            <w:tcMar>
              <w:top w:w="0" w:type="dxa"/>
              <w:bottom w:w="0" w:type="dxa"/>
            </w:tcMar>
            <w:vAlign w:val="center"/>
          </w:tcPr>
          <w:p w:rsidR="007C1F9F" w:rsidRPr="007E3923" w:rsidRDefault="007C1F9F" w:rsidP="00186172">
            <w:pPr>
              <w:pStyle w:val="AERtabletext-numbers"/>
            </w:pPr>
            <w:r>
              <w:t>2.9%</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2.9%</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2.3%</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2.3%</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2.3%</w:t>
            </w:r>
          </w:p>
        </w:tc>
      </w:tr>
      <w:tr w:rsidR="007C1F9F" w:rsidTr="00186172">
        <w:tc>
          <w:tcPr>
            <w:tcW w:w="1809" w:type="dxa"/>
            <w:shd w:val="clear" w:color="auto" w:fill="F8B47C"/>
            <w:noWrap/>
            <w:tcMar>
              <w:top w:w="0" w:type="dxa"/>
              <w:bottom w:w="0" w:type="dxa"/>
            </w:tcMar>
            <w:vAlign w:val="center"/>
          </w:tcPr>
          <w:p w:rsidR="007C1F9F" w:rsidRPr="007E3923" w:rsidRDefault="007C1F9F" w:rsidP="00186172">
            <w:pPr>
              <w:pStyle w:val="AERtabletext"/>
            </w:pPr>
            <w:r w:rsidRPr="00B01D48">
              <w:t>New South Wales Interconnect (from Vic</w:t>
            </w:r>
            <w:r w:rsidRPr="007E3923">
              <w:t>toria (Summer))</w:t>
            </w:r>
          </w:p>
        </w:tc>
        <w:tc>
          <w:tcPr>
            <w:tcW w:w="1033" w:type="dxa"/>
            <w:shd w:val="clear" w:color="auto" w:fill="F8B47C"/>
            <w:noWrap/>
            <w:tcMar>
              <w:top w:w="0" w:type="dxa"/>
              <w:bottom w:w="0" w:type="dxa"/>
            </w:tcMar>
            <w:vAlign w:val="center"/>
          </w:tcPr>
          <w:p w:rsidR="007C1F9F" w:rsidRPr="007E3923" w:rsidRDefault="007C1F9F" w:rsidP="00186172">
            <w:pPr>
              <w:pStyle w:val="AERtabletext-numbers"/>
            </w:pPr>
            <w:r>
              <w:t>24.5%</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24.5%</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38.6%</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38.4%</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38.6%</w:t>
            </w:r>
          </w:p>
        </w:tc>
      </w:tr>
      <w:tr w:rsidR="007C1F9F" w:rsidTr="00186172">
        <w:tc>
          <w:tcPr>
            <w:tcW w:w="1809" w:type="dxa"/>
            <w:shd w:val="clear" w:color="auto" w:fill="auto"/>
            <w:noWrap/>
            <w:tcMar>
              <w:top w:w="0" w:type="dxa"/>
              <w:bottom w:w="0" w:type="dxa"/>
            </w:tcMar>
            <w:vAlign w:val="center"/>
          </w:tcPr>
          <w:p w:rsidR="007C1F9F" w:rsidRPr="00B01D48" w:rsidRDefault="007C1F9F" w:rsidP="00186172">
            <w:pPr>
              <w:pStyle w:val="AERtabletext"/>
            </w:pPr>
            <w:r w:rsidRPr="00B01D48">
              <w:t>New South Wales Interconnect (to Vic (Winter))</w:t>
            </w:r>
          </w:p>
        </w:tc>
        <w:tc>
          <w:tcPr>
            <w:tcW w:w="1033" w:type="dxa"/>
            <w:shd w:val="clear" w:color="auto" w:fill="auto"/>
            <w:noWrap/>
            <w:tcMar>
              <w:top w:w="0" w:type="dxa"/>
              <w:bottom w:w="0" w:type="dxa"/>
            </w:tcMar>
            <w:vAlign w:val="center"/>
          </w:tcPr>
          <w:p w:rsidR="007C1F9F" w:rsidRPr="007E3923" w:rsidRDefault="007C1F9F" w:rsidP="00186172">
            <w:pPr>
              <w:pStyle w:val="AERtabletext-numbers"/>
            </w:pPr>
            <w:r>
              <w:t>40.3%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40.3%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45.2%</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45.2%</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45.2%</w:t>
            </w:r>
          </w:p>
        </w:tc>
      </w:tr>
    </w:tbl>
    <w:p w:rsidR="007C1F9F" w:rsidRDefault="007C1F9F" w:rsidP="007C1F9F">
      <w:pPr>
        <w:pStyle w:val="AERtablesource"/>
      </w:pPr>
      <w:r>
        <w:t xml:space="preserve">Source: APA GasNet, </w:t>
      </w:r>
      <w:r w:rsidRPr="00AF65D0">
        <w:rPr>
          <w:rStyle w:val="AERtextitalic"/>
        </w:rPr>
        <w:t xml:space="preserve">Access </w:t>
      </w:r>
      <w:r>
        <w:rPr>
          <w:rStyle w:val="AERtextitalic"/>
        </w:rPr>
        <w:t>a</w:t>
      </w:r>
      <w:r w:rsidRPr="00AF65D0">
        <w:rPr>
          <w:rStyle w:val="AERtextitalic"/>
        </w:rPr>
        <w:t xml:space="preserve">rrangement </w:t>
      </w:r>
      <w:r>
        <w:rPr>
          <w:rStyle w:val="AERtextitalic"/>
        </w:rPr>
        <w:t>i</w:t>
      </w:r>
      <w:r w:rsidRPr="00AF65D0">
        <w:rPr>
          <w:rStyle w:val="AERtextitalic"/>
        </w:rPr>
        <w:t>nformation</w:t>
      </w:r>
      <w:r>
        <w:t>, 31 March 2012, p. 15.</w:t>
      </w:r>
    </w:p>
    <w:p w:rsidR="007C1F9F" w:rsidRPr="009C2537" w:rsidRDefault="007C1F9F" w:rsidP="007C1F9F">
      <w:pPr>
        <w:pStyle w:val="AERbodytext"/>
      </w:pPr>
      <w:r>
        <w:t xml:space="preserve">APA GasNet's utilisation forecasts show a flat usage of the VTS from Longford to Melbourne. This is consistent with AEMO's forecasts of system demand being fairly constant over the </w:t>
      </w:r>
      <w:r w:rsidR="00202065">
        <w:t>2013–17</w:t>
      </w:r>
      <w:r>
        <w:t xml:space="preserve"> access arrangement period. The main changes in utilisation rates are due to demand for increased export capacity from shippers and the resulting planned augmentations of the network.</w:t>
      </w:r>
    </w:p>
    <w:p w:rsidR="007C1F9F" w:rsidRDefault="007C1F9F" w:rsidP="007C1F9F">
      <w:pPr>
        <w:pStyle w:val="AERheading3"/>
        <w:numPr>
          <w:ilvl w:val="2"/>
          <w:numId w:val="7"/>
        </w:numPr>
        <w:tabs>
          <w:tab w:val="clear" w:pos="-357"/>
          <w:tab w:val="num" w:pos="0"/>
        </w:tabs>
        <w:ind w:left="0" w:hanging="714"/>
      </w:pPr>
      <w:r w:rsidRPr="00BD087C">
        <w:t xml:space="preserve">APA GasNet's forecast of </w:t>
      </w:r>
      <w:r>
        <w:t>maximum and average demand</w:t>
      </w:r>
    </w:p>
    <w:p w:rsidR="007C1F9F" w:rsidRPr="00287A3B" w:rsidRDefault="007C1F9F" w:rsidP="007C1F9F">
      <w:pPr>
        <w:pStyle w:val="AERbodytext"/>
      </w:pPr>
      <w:r>
        <w:t xml:space="preserve">APA GasNet also provided a forecast of system-wide maximum and average demand, as shown in </w:t>
      </w:r>
      <w:r w:rsidR="00DE0D6A">
        <w:fldChar w:fldCharType="begin"/>
      </w:r>
      <w:r>
        <w:instrText xml:space="preserve"> REF _Ref329178533 \r \h </w:instrText>
      </w:r>
      <w:r w:rsidR="00DE0D6A">
        <w:fldChar w:fldCharType="separate"/>
      </w:r>
      <w:r>
        <w:t>Table 9.3</w:t>
      </w:r>
      <w:r w:rsidR="00DE0D6A">
        <w:fldChar w:fldCharType="end"/>
      </w:r>
      <w:r>
        <w:t>.</w:t>
      </w:r>
    </w:p>
    <w:p w:rsidR="007C1F9F" w:rsidRPr="00BD087C" w:rsidRDefault="007C1F9F" w:rsidP="007C1F9F">
      <w:pPr>
        <w:pStyle w:val="AERtabletitle"/>
      </w:pPr>
      <w:bookmarkStart w:id="157" w:name="_Ref329178533"/>
      <w:r>
        <w:t>APA GasNet's forecast of maximum and average demand</w:t>
      </w:r>
      <w:bookmarkEnd w:id="157"/>
    </w:p>
    <w:tbl>
      <w:tblPr>
        <w:tblW w:w="0" w:type="auto"/>
        <w:tblBorders>
          <w:top w:val="single" w:sz="4" w:space="0" w:color="auto"/>
          <w:bottom w:val="single" w:sz="4" w:space="0" w:color="auto"/>
        </w:tblBorders>
        <w:tblLook w:val="0020"/>
      </w:tblPr>
      <w:tblGrid>
        <w:gridCol w:w="1421"/>
        <w:gridCol w:w="1421"/>
        <w:gridCol w:w="1421"/>
        <w:gridCol w:w="1421"/>
        <w:gridCol w:w="1422"/>
        <w:gridCol w:w="1422"/>
      </w:tblGrid>
      <w:tr w:rsidR="007C1F9F" w:rsidTr="00186172">
        <w:tc>
          <w:tcPr>
            <w:tcW w:w="142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pPr>
            <w:r w:rsidRPr="007E3923">
              <w:t>Forecast Demand (TJ/day)</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t>Maximum demand</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1306.8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1313.0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1358.9</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1361.9</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1369.4</w:t>
            </w: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t>Average demand</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615.0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614.0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645.0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657.0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664.0</w:t>
            </w:r>
          </w:p>
        </w:tc>
      </w:tr>
    </w:tbl>
    <w:p w:rsidR="007C1F9F" w:rsidRDefault="007C1F9F" w:rsidP="007C1F9F">
      <w:pPr>
        <w:pStyle w:val="AERtablesource"/>
      </w:pPr>
      <w:r>
        <w:t xml:space="preserve">Source: </w:t>
      </w:r>
      <w:r w:rsidRPr="00BD087C">
        <w:t xml:space="preserve">APA GasNet, </w:t>
      </w:r>
      <w:r w:rsidRPr="00F56025">
        <w:rPr>
          <w:rStyle w:val="AERtextitalic"/>
        </w:rPr>
        <w:t xml:space="preserve">Access </w:t>
      </w:r>
      <w:r>
        <w:rPr>
          <w:rStyle w:val="AERtextitalic"/>
        </w:rPr>
        <w:t>a</w:t>
      </w:r>
      <w:r w:rsidRPr="00F56025">
        <w:rPr>
          <w:rStyle w:val="AERtextitalic"/>
        </w:rPr>
        <w:t xml:space="preserve">rrangement </w:t>
      </w:r>
      <w:r>
        <w:rPr>
          <w:rStyle w:val="AERtextitalic"/>
        </w:rPr>
        <w:t>i</w:t>
      </w:r>
      <w:r w:rsidRPr="00F56025">
        <w:rPr>
          <w:rStyle w:val="AERtextitalic"/>
        </w:rPr>
        <w:t>nformation</w:t>
      </w:r>
      <w:r w:rsidRPr="00BD087C">
        <w:t xml:space="preserve">, </w:t>
      </w:r>
      <w:r>
        <w:t xml:space="preserve">31 March 2012, </w:t>
      </w:r>
      <w:r w:rsidRPr="00BD087C">
        <w:t>p. 15.</w:t>
      </w:r>
    </w:p>
    <w:p w:rsidR="007C1F9F" w:rsidRDefault="007C1F9F" w:rsidP="007C1F9F">
      <w:pPr>
        <w:pStyle w:val="AERheading3"/>
        <w:numPr>
          <w:ilvl w:val="2"/>
          <w:numId w:val="7"/>
        </w:numPr>
        <w:tabs>
          <w:tab w:val="clear" w:pos="-357"/>
          <w:tab w:val="num" w:pos="0"/>
        </w:tabs>
        <w:ind w:left="0" w:hanging="714"/>
      </w:pPr>
      <w:r>
        <w:t>Further details of APA GasNet's demand forecasts</w:t>
      </w:r>
    </w:p>
    <w:p w:rsidR="007C1F9F" w:rsidRDefault="007C1F9F" w:rsidP="007C1F9F">
      <w:pPr>
        <w:pStyle w:val="AERbodytext"/>
      </w:pPr>
      <w:r>
        <w:t xml:space="preserve">The forecast level of demand affects the way the reference service tariff is calculated for the VTS. In its submission, APA GasNet provided further disaggregated details on the level of demand on the VTS. These are required inputs to the tariff calculation for the </w:t>
      </w:r>
      <w:r w:rsidR="00202065">
        <w:t>2013–17</w:t>
      </w:r>
      <w:r>
        <w:t xml:space="preserve"> access arrangement period. Forecast annual and peak levels of both withdrawals from the VTS and injections to the VTS are shown in </w:t>
      </w:r>
      <w:r w:rsidR="00DE0D6A">
        <w:fldChar w:fldCharType="begin"/>
      </w:r>
      <w:r>
        <w:instrText xml:space="preserve"> REF _Ref329178556 \r \h </w:instrText>
      </w:r>
      <w:r w:rsidR="00DE0D6A">
        <w:fldChar w:fldCharType="separate"/>
      </w:r>
      <w:r>
        <w:t>Table 9.4</w:t>
      </w:r>
      <w:r w:rsidR="00DE0D6A">
        <w:fldChar w:fldCharType="end"/>
      </w:r>
      <w:r>
        <w:t xml:space="preserve"> and </w:t>
      </w:r>
      <w:r w:rsidR="00DE0D6A">
        <w:fldChar w:fldCharType="begin"/>
      </w:r>
      <w:r>
        <w:instrText xml:space="preserve"> REF _Ref329178561 \r \h </w:instrText>
      </w:r>
      <w:r w:rsidR="00DE0D6A">
        <w:fldChar w:fldCharType="separate"/>
      </w:r>
      <w:r>
        <w:t>Table 9.5</w:t>
      </w:r>
      <w:r w:rsidR="00DE0D6A">
        <w:fldChar w:fldCharType="end"/>
      </w:r>
      <w:r>
        <w:t xml:space="preserve"> below.</w:t>
      </w:r>
    </w:p>
    <w:p w:rsidR="007C1F9F" w:rsidRDefault="007C1F9F" w:rsidP="007C1F9F">
      <w:pPr>
        <w:pStyle w:val="AERtabletitle"/>
      </w:pPr>
      <w:bookmarkStart w:id="158" w:name="_Ref329178556"/>
      <w:r>
        <w:t>APA GasNet's forecast of withdrawals</w:t>
      </w:r>
      <w:bookmarkEnd w:id="158"/>
    </w:p>
    <w:tbl>
      <w:tblPr>
        <w:tblW w:w="0" w:type="auto"/>
        <w:tblBorders>
          <w:top w:val="single" w:sz="4" w:space="0" w:color="auto"/>
          <w:bottom w:val="single" w:sz="4" w:space="0" w:color="auto"/>
        </w:tblBorders>
        <w:tblLook w:val="0020"/>
      </w:tblPr>
      <w:tblGrid>
        <w:gridCol w:w="1384"/>
        <w:gridCol w:w="1458"/>
        <w:gridCol w:w="1421"/>
        <w:gridCol w:w="1421"/>
        <w:gridCol w:w="1422"/>
        <w:gridCol w:w="1422"/>
      </w:tblGrid>
      <w:tr w:rsidR="007C1F9F" w:rsidTr="00186172">
        <w:tc>
          <w:tcPr>
            <w:tcW w:w="138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pPr>
            <w:r w:rsidRPr="007E3923">
              <w:t>Annual withdrawals (PJ)</w:t>
            </w:r>
          </w:p>
        </w:tc>
        <w:tc>
          <w:tcPr>
            <w:tcW w:w="145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1384" w:type="dxa"/>
            <w:shd w:val="clear" w:color="auto" w:fill="auto"/>
            <w:noWrap/>
            <w:tcMar>
              <w:top w:w="0" w:type="dxa"/>
              <w:bottom w:w="0" w:type="dxa"/>
            </w:tcMar>
            <w:vAlign w:val="center"/>
          </w:tcPr>
          <w:p w:rsidR="007C1F9F" w:rsidRPr="007E3923" w:rsidRDefault="007C1F9F" w:rsidP="00186172">
            <w:pPr>
              <w:pStyle w:val="AERtabletext"/>
            </w:pPr>
            <w:r w:rsidRPr="00D46D3C">
              <w:t>AEMO (excl</w:t>
            </w:r>
            <w:r w:rsidRPr="007E3923">
              <w:t>uding Fuel gas &amp; GPG)</w:t>
            </w:r>
          </w:p>
        </w:tc>
        <w:tc>
          <w:tcPr>
            <w:tcW w:w="1458" w:type="dxa"/>
            <w:shd w:val="clear" w:color="auto" w:fill="auto"/>
            <w:noWrap/>
            <w:tcMar>
              <w:top w:w="0" w:type="dxa"/>
              <w:bottom w:w="0" w:type="dxa"/>
            </w:tcMar>
            <w:vAlign w:val="center"/>
          </w:tcPr>
          <w:p w:rsidR="007C1F9F" w:rsidRPr="007E3923" w:rsidRDefault="007C1F9F" w:rsidP="00186172">
            <w:pPr>
              <w:pStyle w:val="AERtabletext-numbers"/>
            </w:pPr>
            <w:r w:rsidRPr="00D46D3C">
              <w:t>199.5</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198.6</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199.2</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200.6</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201.5</w:t>
            </w:r>
          </w:p>
        </w:tc>
      </w:tr>
      <w:tr w:rsidR="007C1F9F" w:rsidTr="00186172">
        <w:tc>
          <w:tcPr>
            <w:tcW w:w="1384" w:type="dxa"/>
            <w:shd w:val="clear" w:color="auto" w:fill="F8B47C"/>
            <w:noWrap/>
            <w:tcMar>
              <w:top w:w="0" w:type="dxa"/>
              <w:bottom w:w="0" w:type="dxa"/>
            </w:tcMar>
            <w:vAlign w:val="center"/>
          </w:tcPr>
          <w:p w:rsidR="007C1F9F" w:rsidRPr="007E3923" w:rsidRDefault="007C1F9F" w:rsidP="00186172">
            <w:pPr>
              <w:pStyle w:val="AERtabletext"/>
            </w:pPr>
            <w:r w:rsidRPr="00D46D3C">
              <w:t>GPG</w:t>
            </w:r>
          </w:p>
        </w:tc>
        <w:tc>
          <w:tcPr>
            <w:tcW w:w="1458" w:type="dxa"/>
            <w:shd w:val="clear" w:color="auto" w:fill="F8B47C"/>
            <w:noWrap/>
            <w:tcMar>
              <w:top w:w="0" w:type="dxa"/>
              <w:bottom w:w="0" w:type="dxa"/>
            </w:tcMar>
            <w:vAlign w:val="center"/>
          </w:tcPr>
          <w:p w:rsidR="007C1F9F" w:rsidRPr="007E3923" w:rsidRDefault="007C1F9F" w:rsidP="00186172">
            <w:pPr>
              <w:pStyle w:val="AERtabletext-numbers"/>
            </w:pPr>
            <w:r w:rsidRPr="00D46D3C">
              <w:t>6.5</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6.5</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6.9</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7.5</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7.9</w:t>
            </w:r>
          </w:p>
        </w:tc>
      </w:tr>
      <w:tr w:rsidR="007C1F9F" w:rsidTr="00186172">
        <w:tc>
          <w:tcPr>
            <w:tcW w:w="1384" w:type="dxa"/>
            <w:shd w:val="clear" w:color="auto" w:fill="auto"/>
            <w:noWrap/>
            <w:tcMar>
              <w:top w:w="0" w:type="dxa"/>
              <w:bottom w:w="0" w:type="dxa"/>
            </w:tcMar>
            <w:vAlign w:val="center"/>
          </w:tcPr>
          <w:p w:rsidR="007C1F9F" w:rsidRPr="007E3923" w:rsidRDefault="007C1F9F" w:rsidP="00186172">
            <w:pPr>
              <w:pStyle w:val="AERtabletext"/>
            </w:pPr>
            <w:r w:rsidRPr="00D46D3C">
              <w:t>Culcairn</w:t>
            </w:r>
          </w:p>
        </w:tc>
        <w:tc>
          <w:tcPr>
            <w:tcW w:w="1458" w:type="dxa"/>
            <w:shd w:val="clear" w:color="auto" w:fill="auto"/>
            <w:noWrap/>
            <w:tcMar>
              <w:top w:w="0" w:type="dxa"/>
              <w:bottom w:w="0" w:type="dxa"/>
            </w:tcMar>
            <w:vAlign w:val="center"/>
          </w:tcPr>
          <w:p w:rsidR="007C1F9F" w:rsidRPr="007E3923" w:rsidRDefault="007C1F9F" w:rsidP="00186172">
            <w:pPr>
              <w:pStyle w:val="AERtabletext-numbers"/>
            </w:pPr>
            <w:r w:rsidRPr="00D46D3C">
              <w:t>8</w:t>
            </w:r>
            <w:r w:rsidRPr="007E3923">
              <w:t>.0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8.0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17.0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17.0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17.0</w:t>
            </w:r>
          </w:p>
        </w:tc>
      </w:tr>
      <w:tr w:rsidR="007C1F9F" w:rsidTr="00186172">
        <w:tc>
          <w:tcPr>
            <w:tcW w:w="1384" w:type="dxa"/>
            <w:shd w:val="clear" w:color="auto" w:fill="F8B47C"/>
            <w:noWrap/>
            <w:tcMar>
              <w:top w:w="0" w:type="dxa"/>
              <w:bottom w:w="0" w:type="dxa"/>
            </w:tcMar>
            <w:vAlign w:val="center"/>
          </w:tcPr>
          <w:p w:rsidR="007C1F9F" w:rsidRPr="007E3923" w:rsidRDefault="007C1F9F" w:rsidP="00186172">
            <w:pPr>
              <w:pStyle w:val="AERtabletext"/>
            </w:pPr>
            <w:r w:rsidRPr="00D46D3C">
              <w:t>VicHub</w:t>
            </w:r>
          </w:p>
        </w:tc>
        <w:tc>
          <w:tcPr>
            <w:tcW w:w="1458" w:type="dxa"/>
            <w:shd w:val="clear" w:color="auto" w:fill="F8B47C"/>
            <w:noWrap/>
            <w:tcMar>
              <w:top w:w="0" w:type="dxa"/>
              <w:bottom w:w="0" w:type="dxa"/>
            </w:tcMar>
            <w:vAlign w:val="center"/>
          </w:tcPr>
          <w:p w:rsidR="007C1F9F" w:rsidRPr="007E3923" w:rsidRDefault="007C1F9F" w:rsidP="00186172">
            <w:pPr>
              <w:pStyle w:val="AERtabletext-numbers"/>
            </w:pPr>
            <w:r>
              <w:t>2.0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2.0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2.0</w:t>
            </w:r>
          </w:p>
        </w:tc>
      </w:tr>
      <w:tr w:rsidR="007C1F9F" w:rsidTr="00186172">
        <w:tc>
          <w:tcPr>
            <w:tcW w:w="1384" w:type="dxa"/>
            <w:shd w:val="clear" w:color="auto" w:fill="auto"/>
            <w:noWrap/>
            <w:tcMar>
              <w:top w:w="0" w:type="dxa"/>
              <w:bottom w:w="0" w:type="dxa"/>
            </w:tcMar>
            <w:vAlign w:val="center"/>
          </w:tcPr>
          <w:p w:rsidR="007C1F9F" w:rsidRPr="007E3923" w:rsidRDefault="007C1F9F" w:rsidP="00186172">
            <w:pPr>
              <w:pStyle w:val="AERtabletext"/>
            </w:pPr>
            <w:r w:rsidRPr="00D46D3C">
              <w:t>UGS/LNG refill</w:t>
            </w:r>
          </w:p>
        </w:tc>
        <w:tc>
          <w:tcPr>
            <w:tcW w:w="1458" w:type="dxa"/>
            <w:shd w:val="clear" w:color="auto" w:fill="auto"/>
            <w:noWrap/>
            <w:tcMar>
              <w:top w:w="0" w:type="dxa"/>
              <w:bottom w:w="0" w:type="dxa"/>
            </w:tcMar>
            <w:vAlign w:val="center"/>
          </w:tcPr>
          <w:p w:rsidR="007C1F9F" w:rsidRPr="007E3923" w:rsidRDefault="007C1F9F" w:rsidP="00186172">
            <w:pPr>
              <w:pStyle w:val="AERtabletext-numbers"/>
            </w:pPr>
            <w:r>
              <w:t>8.0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8.0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8.0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8.0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8.0</w:t>
            </w:r>
          </w:p>
        </w:tc>
      </w:tr>
      <w:tr w:rsidR="007C1F9F" w:rsidTr="00186172">
        <w:tc>
          <w:tcPr>
            <w:tcW w:w="1384" w:type="dxa"/>
            <w:shd w:val="clear" w:color="auto" w:fill="F8B47C"/>
            <w:noWrap/>
            <w:tcMar>
              <w:top w:w="0" w:type="dxa"/>
              <w:bottom w:w="0" w:type="dxa"/>
            </w:tcMar>
            <w:vAlign w:val="center"/>
          </w:tcPr>
          <w:p w:rsidR="007C1F9F" w:rsidRPr="007E3923" w:rsidRDefault="007C1F9F" w:rsidP="00186172">
            <w:pPr>
              <w:pStyle w:val="AERtabletext"/>
            </w:pPr>
            <w:r w:rsidRPr="00D46D3C">
              <w:t>Total</w:t>
            </w:r>
          </w:p>
        </w:tc>
        <w:tc>
          <w:tcPr>
            <w:tcW w:w="1458" w:type="dxa"/>
            <w:shd w:val="clear" w:color="auto" w:fill="F8B47C"/>
            <w:noWrap/>
            <w:tcMar>
              <w:top w:w="0" w:type="dxa"/>
              <w:bottom w:w="0" w:type="dxa"/>
            </w:tcMar>
            <w:vAlign w:val="center"/>
          </w:tcPr>
          <w:p w:rsidR="007C1F9F" w:rsidRPr="007E3923" w:rsidRDefault="007C1F9F" w:rsidP="00186172">
            <w:pPr>
              <w:pStyle w:val="AERtabletext-numbers"/>
            </w:pPr>
            <w:r w:rsidRPr="00D46D3C">
              <w:t>224</w:t>
            </w:r>
            <w:r w:rsidRPr="007E3923">
              <w:t>.0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223.1</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233.2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235</w:t>
            </w:r>
            <w:r w:rsidRPr="007E3923">
              <w:t>.0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236.4</w:t>
            </w:r>
          </w:p>
        </w:tc>
      </w:tr>
      <w:tr w:rsidR="007C1F9F" w:rsidTr="00186172">
        <w:tc>
          <w:tcPr>
            <w:tcW w:w="1384" w:type="dxa"/>
            <w:shd w:val="clear" w:color="auto" w:fill="auto"/>
            <w:noWrap/>
            <w:tcMar>
              <w:top w:w="0" w:type="dxa"/>
              <w:bottom w:w="0" w:type="dxa"/>
            </w:tcMar>
            <w:vAlign w:val="center"/>
          </w:tcPr>
          <w:p w:rsidR="007C1F9F" w:rsidRPr="007E3923" w:rsidRDefault="007C1F9F" w:rsidP="00186172">
            <w:pPr>
              <w:pStyle w:val="AERtabletextheading"/>
            </w:pPr>
            <w:r>
              <w:t>Peak withdrawals (TJ/day)</w:t>
            </w:r>
          </w:p>
        </w:tc>
        <w:tc>
          <w:tcPr>
            <w:tcW w:w="1458" w:type="dxa"/>
            <w:shd w:val="clear" w:color="auto" w:fill="auto"/>
            <w:noWrap/>
            <w:tcMar>
              <w:top w:w="0" w:type="dxa"/>
              <w:bottom w:w="0" w:type="dxa"/>
            </w:tcMar>
            <w:vAlign w:val="center"/>
          </w:tcPr>
          <w:p w:rsidR="007C1F9F" w:rsidRDefault="007C1F9F" w:rsidP="00186172">
            <w:pPr>
              <w:pStyle w:val="AERtabletextheading"/>
            </w:pPr>
          </w:p>
        </w:tc>
        <w:tc>
          <w:tcPr>
            <w:tcW w:w="1421" w:type="dxa"/>
            <w:shd w:val="clear" w:color="auto" w:fill="auto"/>
            <w:noWrap/>
            <w:tcMar>
              <w:top w:w="0" w:type="dxa"/>
              <w:bottom w:w="0" w:type="dxa"/>
            </w:tcMar>
            <w:vAlign w:val="center"/>
          </w:tcPr>
          <w:p w:rsidR="007C1F9F" w:rsidRDefault="007C1F9F" w:rsidP="00186172">
            <w:pPr>
              <w:pStyle w:val="AERtabletextheading"/>
            </w:pPr>
          </w:p>
        </w:tc>
        <w:tc>
          <w:tcPr>
            <w:tcW w:w="1421" w:type="dxa"/>
            <w:shd w:val="clear" w:color="auto" w:fill="auto"/>
            <w:noWrap/>
            <w:tcMar>
              <w:top w:w="0" w:type="dxa"/>
              <w:bottom w:w="0" w:type="dxa"/>
            </w:tcMar>
            <w:vAlign w:val="center"/>
          </w:tcPr>
          <w:p w:rsidR="007C1F9F" w:rsidRDefault="007C1F9F" w:rsidP="00186172">
            <w:pPr>
              <w:pStyle w:val="AERtabletextheading"/>
            </w:pPr>
          </w:p>
        </w:tc>
        <w:tc>
          <w:tcPr>
            <w:tcW w:w="1422" w:type="dxa"/>
            <w:shd w:val="clear" w:color="auto" w:fill="auto"/>
            <w:noWrap/>
            <w:tcMar>
              <w:top w:w="0" w:type="dxa"/>
              <w:bottom w:w="0" w:type="dxa"/>
            </w:tcMar>
            <w:vAlign w:val="center"/>
          </w:tcPr>
          <w:p w:rsidR="007C1F9F" w:rsidRDefault="007C1F9F" w:rsidP="00186172">
            <w:pPr>
              <w:pStyle w:val="AERtabletextheading"/>
            </w:pPr>
          </w:p>
        </w:tc>
        <w:tc>
          <w:tcPr>
            <w:tcW w:w="1422" w:type="dxa"/>
            <w:shd w:val="clear" w:color="auto" w:fill="auto"/>
            <w:noWrap/>
            <w:tcMar>
              <w:top w:w="0" w:type="dxa"/>
              <w:bottom w:w="0" w:type="dxa"/>
            </w:tcMar>
            <w:vAlign w:val="center"/>
          </w:tcPr>
          <w:p w:rsidR="007C1F9F" w:rsidRDefault="007C1F9F" w:rsidP="00186172">
            <w:pPr>
              <w:pStyle w:val="AERtabletextheading"/>
            </w:pPr>
          </w:p>
        </w:tc>
      </w:tr>
      <w:tr w:rsidR="007C1F9F" w:rsidTr="00186172">
        <w:tc>
          <w:tcPr>
            <w:tcW w:w="1384" w:type="dxa"/>
            <w:shd w:val="clear" w:color="auto" w:fill="F8B47C"/>
            <w:noWrap/>
            <w:tcMar>
              <w:top w:w="0" w:type="dxa"/>
              <w:bottom w:w="0" w:type="dxa"/>
            </w:tcMar>
            <w:vAlign w:val="center"/>
          </w:tcPr>
          <w:p w:rsidR="007C1F9F" w:rsidRPr="007E3923" w:rsidRDefault="007C1F9F" w:rsidP="00186172">
            <w:pPr>
              <w:pStyle w:val="AERtabletext"/>
            </w:pPr>
            <w:r w:rsidRPr="00D46D3C">
              <w:t>AEMO (excl</w:t>
            </w:r>
            <w:r w:rsidRPr="007E3923">
              <w:t>uding Fuel gas &amp; GPG)</w:t>
            </w:r>
          </w:p>
        </w:tc>
        <w:tc>
          <w:tcPr>
            <w:tcW w:w="1458" w:type="dxa"/>
            <w:shd w:val="clear" w:color="auto" w:fill="F8B47C"/>
            <w:noWrap/>
            <w:tcMar>
              <w:top w:w="0" w:type="dxa"/>
              <w:bottom w:w="0" w:type="dxa"/>
            </w:tcMar>
            <w:vAlign w:val="center"/>
          </w:tcPr>
          <w:p w:rsidR="007C1F9F" w:rsidRPr="007E3923" w:rsidRDefault="007C1F9F" w:rsidP="00186172">
            <w:pPr>
              <w:pStyle w:val="AERtabletext-numbers"/>
            </w:pPr>
            <w:r w:rsidRPr="00D46D3C">
              <w:t>1155</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1152</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1155</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1162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1169</w:t>
            </w:r>
          </w:p>
        </w:tc>
      </w:tr>
      <w:tr w:rsidR="007C1F9F" w:rsidTr="00186172">
        <w:tc>
          <w:tcPr>
            <w:tcW w:w="1384" w:type="dxa"/>
            <w:shd w:val="clear" w:color="auto" w:fill="auto"/>
            <w:noWrap/>
            <w:tcMar>
              <w:top w:w="0" w:type="dxa"/>
              <w:bottom w:w="0" w:type="dxa"/>
            </w:tcMar>
            <w:vAlign w:val="center"/>
          </w:tcPr>
          <w:p w:rsidR="007C1F9F" w:rsidRPr="007E3923" w:rsidRDefault="007C1F9F" w:rsidP="00186172">
            <w:pPr>
              <w:pStyle w:val="AERtabletext"/>
            </w:pPr>
            <w:r w:rsidRPr="00D46D3C">
              <w:t>GPG</w:t>
            </w:r>
          </w:p>
        </w:tc>
        <w:tc>
          <w:tcPr>
            <w:tcW w:w="1458" w:type="dxa"/>
            <w:shd w:val="clear" w:color="auto" w:fill="auto"/>
            <w:noWrap/>
            <w:tcMar>
              <w:top w:w="0" w:type="dxa"/>
              <w:bottom w:w="0" w:type="dxa"/>
            </w:tcMar>
            <w:vAlign w:val="center"/>
          </w:tcPr>
          <w:p w:rsidR="007C1F9F" w:rsidRPr="007E3923" w:rsidRDefault="007C1F9F" w:rsidP="00186172">
            <w:pPr>
              <w:pStyle w:val="AERtabletext-numbers"/>
            </w:pPr>
            <w:r w:rsidRPr="00D46D3C">
              <w:t>50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50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50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50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50</w:t>
            </w:r>
          </w:p>
        </w:tc>
      </w:tr>
      <w:tr w:rsidR="007C1F9F" w:rsidTr="00186172">
        <w:tc>
          <w:tcPr>
            <w:tcW w:w="1384" w:type="dxa"/>
            <w:shd w:val="clear" w:color="auto" w:fill="F8B47C"/>
            <w:noWrap/>
            <w:tcMar>
              <w:top w:w="0" w:type="dxa"/>
              <w:bottom w:w="0" w:type="dxa"/>
            </w:tcMar>
            <w:vAlign w:val="center"/>
          </w:tcPr>
          <w:p w:rsidR="007C1F9F" w:rsidRPr="007E3923" w:rsidRDefault="007C1F9F" w:rsidP="00186172">
            <w:pPr>
              <w:pStyle w:val="AERtabletext"/>
            </w:pPr>
            <w:r w:rsidRPr="00D46D3C">
              <w:t>Culcairn</w:t>
            </w:r>
          </w:p>
        </w:tc>
        <w:tc>
          <w:tcPr>
            <w:tcW w:w="1458" w:type="dxa"/>
            <w:shd w:val="clear" w:color="auto" w:fill="F8B47C"/>
            <w:noWrap/>
            <w:tcMar>
              <w:top w:w="0" w:type="dxa"/>
              <w:bottom w:w="0" w:type="dxa"/>
            </w:tcMar>
            <w:vAlign w:val="center"/>
          </w:tcPr>
          <w:p w:rsidR="007C1F9F" w:rsidRPr="007E3923" w:rsidRDefault="007C1F9F" w:rsidP="00186172">
            <w:pPr>
              <w:pStyle w:val="AERtabletext-numbers"/>
            </w:pPr>
            <w:r w:rsidRPr="00D46D3C">
              <w:t>17</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17</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62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62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62</w:t>
            </w:r>
          </w:p>
        </w:tc>
      </w:tr>
      <w:tr w:rsidR="007C1F9F" w:rsidTr="00186172">
        <w:tc>
          <w:tcPr>
            <w:tcW w:w="1384" w:type="dxa"/>
            <w:shd w:val="clear" w:color="auto" w:fill="auto"/>
            <w:noWrap/>
            <w:tcMar>
              <w:top w:w="0" w:type="dxa"/>
              <w:bottom w:w="0" w:type="dxa"/>
            </w:tcMar>
            <w:vAlign w:val="center"/>
          </w:tcPr>
          <w:p w:rsidR="007C1F9F" w:rsidRPr="007E3923" w:rsidRDefault="007C1F9F" w:rsidP="00186172">
            <w:pPr>
              <w:pStyle w:val="AERtabletext"/>
            </w:pPr>
            <w:r w:rsidRPr="00D46D3C">
              <w:t>VicHub</w:t>
            </w:r>
          </w:p>
        </w:tc>
        <w:tc>
          <w:tcPr>
            <w:tcW w:w="1458" w:type="dxa"/>
            <w:shd w:val="clear" w:color="auto" w:fill="auto"/>
            <w:noWrap/>
            <w:tcMar>
              <w:top w:w="0" w:type="dxa"/>
              <w:bottom w:w="0" w:type="dxa"/>
            </w:tcMar>
            <w:vAlign w:val="center"/>
          </w:tcPr>
          <w:p w:rsidR="007C1F9F" w:rsidRPr="007E3923" w:rsidRDefault="007C1F9F" w:rsidP="00186172">
            <w:pPr>
              <w:pStyle w:val="AERtabletext-numbers"/>
            </w:pPr>
            <w:r w:rsidRPr="00D46D3C">
              <w:t>6</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6</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6</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6</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6</w:t>
            </w:r>
          </w:p>
        </w:tc>
      </w:tr>
      <w:tr w:rsidR="007C1F9F" w:rsidTr="00186172">
        <w:tc>
          <w:tcPr>
            <w:tcW w:w="1384" w:type="dxa"/>
            <w:shd w:val="clear" w:color="auto" w:fill="F8B47C"/>
            <w:noWrap/>
            <w:tcMar>
              <w:top w:w="0" w:type="dxa"/>
              <w:bottom w:w="0" w:type="dxa"/>
            </w:tcMar>
            <w:vAlign w:val="center"/>
          </w:tcPr>
          <w:p w:rsidR="007C1F9F" w:rsidRPr="007E3923" w:rsidRDefault="007C1F9F" w:rsidP="00186172">
            <w:pPr>
              <w:pStyle w:val="AERtabletext"/>
            </w:pPr>
            <w:r w:rsidRPr="00D46D3C">
              <w:t>UGS/LNG refill</w:t>
            </w:r>
          </w:p>
        </w:tc>
        <w:tc>
          <w:tcPr>
            <w:tcW w:w="1458" w:type="dxa"/>
            <w:shd w:val="clear" w:color="auto" w:fill="F8B47C"/>
            <w:noWrap/>
            <w:tcMar>
              <w:top w:w="0" w:type="dxa"/>
              <w:bottom w:w="0" w:type="dxa"/>
            </w:tcMar>
            <w:vAlign w:val="center"/>
          </w:tcPr>
          <w:p w:rsidR="007C1F9F" w:rsidRPr="007E3923" w:rsidRDefault="0077757F" w:rsidP="00186172">
            <w:pPr>
              <w:pStyle w:val="AERtabletext-numbers"/>
            </w:pPr>
            <w:r>
              <w:t>–</w:t>
            </w:r>
          </w:p>
        </w:tc>
        <w:tc>
          <w:tcPr>
            <w:tcW w:w="1421" w:type="dxa"/>
            <w:shd w:val="clear" w:color="auto" w:fill="F8B47C"/>
            <w:noWrap/>
            <w:tcMar>
              <w:top w:w="0" w:type="dxa"/>
              <w:bottom w:w="0" w:type="dxa"/>
            </w:tcMar>
            <w:vAlign w:val="center"/>
          </w:tcPr>
          <w:p w:rsidR="007C1F9F" w:rsidRPr="007E3923" w:rsidRDefault="0077757F" w:rsidP="00186172">
            <w:pPr>
              <w:pStyle w:val="AERtabletext-numbers"/>
            </w:pPr>
            <w:r>
              <w:t>–</w:t>
            </w:r>
          </w:p>
        </w:tc>
        <w:tc>
          <w:tcPr>
            <w:tcW w:w="1421" w:type="dxa"/>
            <w:shd w:val="clear" w:color="auto" w:fill="F8B47C"/>
            <w:noWrap/>
            <w:tcMar>
              <w:top w:w="0" w:type="dxa"/>
              <w:bottom w:w="0" w:type="dxa"/>
            </w:tcMar>
            <w:vAlign w:val="center"/>
          </w:tcPr>
          <w:p w:rsidR="007C1F9F" w:rsidRPr="007E3923" w:rsidRDefault="0077757F" w:rsidP="00186172">
            <w:pPr>
              <w:pStyle w:val="AERtabletext-numbers"/>
            </w:pPr>
            <w:r>
              <w:t>–</w:t>
            </w:r>
          </w:p>
        </w:tc>
        <w:tc>
          <w:tcPr>
            <w:tcW w:w="1422" w:type="dxa"/>
            <w:shd w:val="clear" w:color="auto" w:fill="F8B47C"/>
            <w:noWrap/>
            <w:tcMar>
              <w:top w:w="0" w:type="dxa"/>
              <w:bottom w:w="0" w:type="dxa"/>
            </w:tcMar>
            <w:vAlign w:val="center"/>
          </w:tcPr>
          <w:p w:rsidR="007C1F9F" w:rsidRPr="007E3923" w:rsidRDefault="0077757F" w:rsidP="00186172">
            <w:pPr>
              <w:pStyle w:val="AERtabletext-numbers"/>
            </w:pPr>
            <w:r>
              <w:t>–</w:t>
            </w:r>
          </w:p>
        </w:tc>
        <w:tc>
          <w:tcPr>
            <w:tcW w:w="1422" w:type="dxa"/>
            <w:shd w:val="clear" w:color="auto" w:fill="F8B47C"/>
            <w:noWrap/>
            <w:tcMar>
              <w:top w:w="0" w:type="dxa"/>
              <w:bottom w:w="0" w:type="dxa"/>
            </w:tcMar>
            <w:vAlign w:val="center"/>
          </w:tcPr>
          <w:p w:rsidR="007C1F9F" w:rsidRPr="007E3923" w:rsidRDefault="0077757F" w:rsidP="00186172">
            <w:pPr>
              <w:pStyle w:val="AERtabletext-numbers"/>
            </w:pPr>
            <w:r>
              <w:t>–</w:t>
            </w:r>
          </w:p>
        </w:tc>
      </w:tr>
      <w:tr w:rsidR="007C1F9F" w:rsidTr="00186172">
        <w:tc>
          <w:tcPr>
            <w:tcW w:w="1384" w:type="dxa"/>
            <w:shd w:val="clear" w:color="auto" w:fill="auto"/>
            <w:noWrap/>
            <w:tcMar>
              <w:top w:w="0" w:type="dxa"/>
              <w:bottom w:w="0" w:type="dxa"/>
            </w:tcMar>
            <w:vAlign w:val="center"/>
          </w:tcPr>
          <w:p w:rsidR="007C1F9F" w:rsidRPr="007E3923" w:rsidRDefault="007C1F9F" w:rsidP="00186172">
            <w:pPr>
              <w:pStyle w:val="AERtabletext"/>
            </w:pPr>
            <w:r w:rsidRPr="00D46D3C">
              <w:t>Total</w:t>
            </w:r>
          </w:p>
        </w:tc>
        <w:tc>
          <w:tcPr>
            <w:tcW w:w="1458" w:type="dxa"/>
            <w:shd w:val="clear" w:color="auto" w:fill="auto"/>
            <w:noWrap/>
            <w:tcMar>
              <w:top w:w="0" w:type="dxa"/>
              <w:bottom w:w="0" w:type="dxa"/>
            </w:tcMar>
            <w:vAlign w:val="center"/>
          </w:tcPr>
          <w:p w:rsidR="007C1F9F" w:rsidRPr="007E3923" w:rsidRDefault="007C1F9F" w:rsidP="00186172">
            <w:pPr>
              <w:pStyle w:val="AERtabletext-numbers"/>
            </w:pPr>
            <w:r w:rsidRPr="00D46D3C">
              <w:t>1228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1225</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1273</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1280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1287</w:t>
            </w:r>
          </w:p>
        </w:tc>
      </w:tr>
    </w:tbl>
    <w:p w:rsidR="007C1F9F" w:rsidRDefault="007C1F9F" w:rsidP="007C1F9F">
      <w:pPr>
        <w:pStyle w:val="AERtablesource"/>
      </w:pPr>
      <w:r>
        <w:t xml:space="preserve">Source: APA GasNet, </w:t>
      </w:r>
      <w:r w:rsidRPr="00F56025">
        <w:rPr>
          <w:rStyle w:val="AERtextitalic"/>
        </w:rPr>
        <w:t>VTS Tariff Model - revised</w:t>
      </w:r>
      <w:r>
        <w:t>, 8 July 2012.</w:t>
      </w:r>
    </w:p>
    <w:p w:rsidR="007C1F9F" w:rsidRDefault="007C1F9F" w:rsidP="007C1F9F">
      <w:pPr>
        <w:pStyle w:val="AERtabletitle"/>
      </w:pPr>
      <w:bookmarkStart w:id="159" w:name="_Ref329178561"/>
      <w:r>
        <w:t>APA GasNet's forecast of injections</w:t>
      </w:r>
      <w:bookmarkEnd w:id="159"/>
    </w:p>
    <w:tbl>
      <w:tblPr>
        <w:tblW w:w="0" w:type="auto"/>
        <w:tblBorders>
          <w:top w:val="single" w:sz="4" w:space="0" w:color="auto"/>
          <w:bottom w:val="single" w:sz="4" w:space="0" w:color="auto"/>
        </w:tblBorders>
        <w:tblLook w:val="0020"/>
      </w:tblPr>
      <w:tblGrid>
        <w:gridCol w:w="1421"/>
        <w:gridCol w:w="1421"/>
        <w:gridCol w:w="1421"/>
        <w:gridCol w:w="1421"/>
        <w:gridCol w:w="1422"/>
        <w:gridCol w:w="1422"/>
      </w:tblGrid>
      <w:tr w:rsidR="007C1F9F" w:rsidTr="00186172">
        <w:tc>
          <w:tcPr>
            <w:tcW w:w="142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pPr>
            <w:r w:rsidRPr="007E3923">
              <w:t>Annual injections (PJ)</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rsidRPr="00D46D3C">
              <w:t>Longford</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162.8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162.8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162.4</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162.5</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163</w:t>
            </w: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rsidRPr="00D46D3C">
              <w:t>Port Campbell</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37.8</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37</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47.6</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49.2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50.1</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rsidRPr="00D46D3C">
              <w:t>Culcairn</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w:t>
            </w:r>
            <w:r w:rsidRPr="007E3923">
              <w:t>.0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1.0</w:t>
            </w: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rsidRPr="00D46D3C">
              <w:t>Pakenham</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14.0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14.0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14.0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14.0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14.0</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rsidRPr="00D46D3C">
              <w:t>Dandenong</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0.3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0.3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0.3</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0.3</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0.3</w:t>
            </w: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rsidRPr="00D46D3C">
              <w:t>Total</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216</w:t>
            </w:r>
            <w:r w:rsidRPr="007E3923">
              <w:t>.0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215.1</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225.2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227.1</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228.5</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heading"/>
            </w:pPr>
            <w:r>
              <w:t>Peak injections (TJ/day)</w:t>
            </w:r>
          </w:p>
        </w:tc>
        <w:tc>
          <w:tcPr>
            <w:tcW w:w="1421" w:type="dxa"/>
            <w:shd w:val="clear" w:color="auto" w:fill="auto"/>
            <w:noWrap/>
            <w:tcMar>
              <w:top w:w="0" w:type="dxa"/>
              <w:bottom w:w="0" w:type="dxa"/>
            </w:tcMar>
            <w:vAlign w:val="center"/>
          </w:tcPr>
          <w:p w:rsidR="007C1F9F" w:rsidRDefault="007C1F9F" w:rsidP="00186172">
            <w:pPr>
              <w:pStyle w:val="AERtabletextheading"/>
            </w:pPr>
          </w:p>
        </w:tc>
        <w:tc>
          <w:tcPr>
            <w:tcW w:w="1421" w:type="dxa"/>
            <w:shd w:val="clear" w:color="auto" w:fill="auto"/>
            <w:noWrap/>
            <w:tcMar>
              <w:top w:w="0" w:type="dxa"/>
              <w:bottom w:w="0" w:type="dxa"/>
            </w:tcMar>
            <w:vAlign w:val="center"/>
          </w:tcPr>
          <w:p w:rsidR="007C1F9F" w:rsidRDefault="007C1F9F" w:rsidP="00186172">
            <w:pPr>
              <w:pStyle w:val="AERtabletextheading"/>
            </w:pPr>
          </w:p>
        </w:tc>
        <w:tc>
          <w:tcPr>
            <w:tcW w:w="1421" w:type="dxa"/>
            <w:shd w:val="clear" w:color="auto" w:fill="auto"/>
            <w:noWrap/>
            <w:tcMar>
              <w:top w:w="0" w:type="dxa"/>
              <w:bottom w:w="0" w:type="dxa"/>
            </w:tcMar>
            <w:vAlign w:val="center"/>
          </w:tcPr>
          <w:p w:rsidR="007C1F9F" w:rsidRDefault="007C1F9F" w:rsidP="00186172">
            <w:pPr>
              <w:pStyle w:val="AERtabletextheading"/>
            </w:pPr>
          </w:p>
        </w:tc>
        <w:tc>
          <w:tcPr>
            <w:tcW w:w="1422" w:type="dxa"/>
            <w:shd w:val="clear" w:color="auto" w:fill="auto"/>
            <w:noWrap/>
            <w:tcMar>
              <w:top w:w="0" w:type="dxa"/>
              <w:bottom w:w="0" w:type="dxa"/>
            </w:tcMar>
            <w:vAlign w:val="center"/>
          </w:tcPr>
          <w:p w:rsidR="007C1F9F" w:rsidRDefault="007C1F9F" w:rsidP="00186172">
            <w:pPr>
              <w:pStyle w:val="AERtabletextheading"/>
            </w:pPr>
          </w:p>
        </w:tc>
        <w:tc>
          <w:tcPr>
            <w:tcW w:w="1422" w:type="dxa"/>
            <w:shd w:val="clear" w:color="auto" w:fill="auto"/>
            <w:noWrap/>
            <w:tcMar>
              <w:top w:w="0" w:type="dxa"/>
              <w:bottom w:w="0" w:type="dxa"/>
            </w:tcMar>
            <w:vAlign w:val="center"/>
          </w:tcPr>
          <w:p w:rsidR="007C1F9F" w:rsidRDefault="007C1F9F" w:rsidP="00186172">
            <w:pPr>
              <w:pStyle w:val="AERtabletextheading"/>
            </w:pP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rsidRPr="00D46D3C">
              <w:t>Longford</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730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727</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730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737</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744</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rsidRPr="00D46D3C">
              <w:t>Port Campbell</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353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353</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398</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398</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398</w:t>
            </w: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rsidRPr="00D46D3C">
              <w:t>Culcairn</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60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60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60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60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60</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rsidRPr="00D46D3C">
              <w:t>Pakenham</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55</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55</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55</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55</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55</w:t>
            </w: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rsidRPr="00D46D3C">
              <w:t>Dandenong</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30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30</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rsidRPr="00D46D3C">
              <w:t>30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30</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rsidRPr="00D46D3C">
              <w:t>30</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rsidRPr="00D46D3C">
              <w:t>Total</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1228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1225</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rsidRPr="00D46D3C">
              <w:t>1273</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1280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rsidRPr="00D46D3C">
              <w:t>1287</w:t>
            </w:r>
          </w:p>
        </w:tc>
      </w:tr>
    </w:tbl>
    <w:p w:rsidR="007C1F9F" w:rsidRDefault="007C1F9F" w:rsidP="007C1F9F">
      <w:pPr>
        <w:pStyle w:val="AERtablesource"/>
      </w:pPr>
      <w:r>
        <w:t xml:space="preserve">Source: APA GasNet, </w:t>
      </w:r>
      <w:r w:rsidRPr="00F56025">
        <w:rPr>
          <w:rStyle w:val="AERtextitalic"/>
        </w:rPr>
        <w:t>VTS Tariff Model - revised</w:t>
      </w:r>
      <w:r>
        <w:t>, 8 July 2012.</w:t>
      </w:r>
    </w:p>
    <w:p w:rsidR="007C1F9F" w:rsidRDefault="00DE0D6A" w:rsidP="007C1F9F">
      <w:pPr>
        <w:pStyle w:val="AERbodytext"/>
      </w:pPr>
      <w:r>
        <w:fldChar w:fldCharType="begin"/>
      </w:r>
      <w:r w:rsidR="007C1F9F">
        <w:instrText xml:space="preserve"> REF _Ref329874587 \r \h </w:instrText>
      </w:r>
      <w:r>
        <w:fldChar w:fldCharType="separate"/>
      </w:r>
      <w:r w:rsidR="00377B37">
        <w:t>Figure 9.1</w:t>
      </w:r>
      <w:r>
        <w:fldChar w:fldCharType="end"/>
      </w:r>
      <w:r w:rsidR="007C1F9F">
        <w:t xml:space="preserve"> illustrates APA GasNet's forecast of VTS system demand, showing total demand on the VTS and the portion attributable to AEMO's usage (that is, excluding GPG, exports, and refill of underground storage).</w:t>
      </w:r>
    </w:p>
    <w:p w:rsidR="007C1F9F" w:rsidRPr="00263816" w:rsidRDefault="007C1F9F" w:rsidP="002C5036">
      <w:pPr>
        <w:pStyle w:val="AERfigureheading"/>
        <w:numPr>
          <w:ilvl w:val="3"/>
          <w:numId w:val="48"/>
        </w:numPr>
      </w:pPr>
      <w:bookmarkStart w:id="160" w:name="_Ref329874587"/>
      <w:r>
        <w:t>APA GasNet's forecast of VTS system demand</w:t>
      </w:r>
      <w:bookmarkEnd w:id="160"/>
    </w:p>
    <w:p w:rsidR="007C1F9F" w:rsidRPr="00B01D48" w:rsidRDefault="00AB287B" w:rsidP="007C1F9F">
      <w:pPr>
        <w:pStyle w:val="AERbodytext"/>
      </w:pPr>
      <w:r>
        <w:pict>
          <v:shape id="_x0000_i1035" type="#_x0000_t75" style="width:395.15pt;height:279.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1IaF2wAAAAUBAAAPAAAAZHJzL2Rvd25y&#10;ZXYueG1sTI9BS8QwEIXvgv8hjODNTXeh1damiwhehD24rrDHaZNtismkNNlt/feOXvTy4PGG976p&#10;t4t34mKmOARSsF5lIAx1QQ/UKzi8v9w9gIgJSaMLZBR8mQjb5vqqxkqHmd7MZZ96wSUUK1RgUxor&#10;KWNnjce4CqMhzk5h8pjYTr3UE85c7p3cZFkhPQ7ECxZH82xN97k/ewXl6YiH3c61c2910S3H13X8&#10;KJS6vVmeHkEks6S/Y/jBZ3RomKkNZ9JROAX8SPpVzu7LDdtWQZ6XOcimlv/pm2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">
            <v:imagedata r:id="rId30" o:title="" croptop="-2526f" cropbottom="-1901f" cropleft="-1707f" cropright="-3156f"/>
            <o:lock v:ext="edit" aspectratio="f"/>
          </v:shape>
        </w:pict>
      </w:r>
    </w:p>
    <w:p w:rsidR="007C1F9F" w:rsidRPr="00AE1428" w:rsidRDefault="007C1F9F" w:rsidP="007C1F9F">
      <w:pPr>
        <w:pStyle w:val="AERtablesource"/>
      </w:pPr>
      <w:r>
        <w:t xml:space="preserve">Source: APA GasNet, </w:t>
      </w:r>
      <w:r w:rsidRPr="00F56025">
        <w:rPr>
          <w:rStyle w:val="AERtextitalic"/>
        </w:rPr>
        <w:t>VTS Tariff Model - revised</w:t>
      </w:r>
      <w:r>
        <w:t>, 8 July 2012, AER analysis</w:t>
      </w:r>
    </w:p>
    <w:p w:rsidR="007C1F9F" w:rsidRDefault="007C1F9F" w:rsidP="007C1F9F">
      <w:pPr>
        <w:pStyle w:val="AERheading2"/>
        <w:numPr>
          <w:ilvl w:val="1"/>
          <w:numId w:val="7"/>
        </w:numPr>
        <w:tabs>
          <w:tab w:val="clear" w:pos="4317"/>
          <w:tab w:val="num" w:pos="0"/>
        </w:tabs>
        <w:ind w:left="0" w:hanging="720"/>
      </w:pPr>
      <w:bookmarkStart w:id="161" w:name="_Toc334543799"/>
      <w:r>
        <w:t>Assessment approach</w:t>
      </w:r>
      <w:bookmarkEnd w:id="161"/>
    </w:p>
    <w:p w:rsidR="007C1F9F" w:rsidRDefault="007C1F9F" w:rsidP="007C1F9F">
      <w:pPr>
        <w:pStyle w:val="AERbodytext"/>
      </w:pPr>
      <w:r>
        <w:t>For the purpose of price and revenue regulation, the NGR provides that the access arrangement information for a full access arrangement must include:</w:t>
      </w:r>
    </w:p>
    <w:p w:rsidR="007C1F9F" w:rsidRDefault="007C1F9F" w:rsidP="007C1F9F">
      <w:pPr>
        <w:pStyle w:val="AERquote"/>
      </w:pPr>
      <w:r w:rsidRPr="00287A3B">
        <w:t xml:space="preserve">to the extent </w:t>
      </w:r>
      <w:r>
        <w:t>i</w:t>
      </w:r>
      <w:r w:rsidRPr="00287A3B">
        <w:t>t is practicable to forecast pipeline capacity and u</w:t>
      </w:r>
      <w:r>
        <w:t xml:space="preserve">tilisation of pipeline capacity </w:t>
      </w:r>
      <w:r w:rsidRPr="00287A3B">
        <w:t>over the access arrangement period, a forecast of pipeline capacity and utilisation of pipeline</w:t>
      </w:r>
      <w:r>
        <w:t xml:space="preserve"> </w:t>
      </w:r>
      <w:r w:rsidRPr="00287A3B">
        <w:t>capacity over that period and the basis on which the forecast has been derived.</w:t>
      </w:r>
      <w:r>
        <w:rPr>
          <w:rStyle w:val="FootnoteReference"/>
        </w:rPr>
        <w:footnoteReference w:id="570"/>
      </w:r>
    </w:p>
    <w:p w:rsidR="007C1F9F" w:rsidRDefault="007C1F9F" w:rsidP="007C1F9F">
      <w:pPr>
        <w:pStyle w:val="AERbodytext"/>
      </w:pPr>
      <w:r w:rsidRPr="00287A3B">
        <w:t>The NGR provides that any information in the nature of a forecast or estimate mus</w:t>
      </w:r>
      <w:r>
        <w:t xml:space="preserve">t be </w:t>
      </w:r>
      <w:r w:rsidRPr="00287A3B">
        <w:t>supported by a statement of the basis of the forecast or es</w:t>
      </w:r>
      <w:r>
        <w:t xml:space="preserve">timate. It also provides that a </w:t>
      </w:r>
      <w:r w:rsidRPr="00287A3B">
        <w:t>forecast or estimate must be arrived at on a reasonable ba</w:t>
      </w:r>
      <w:r>
        <w:t xml:space="preserve">sis and must represent the best </w:t>
      </w:r>
      <w:r w:rsidRPr="00287A3B">
        <w:t>forecast or estimate possible in the circumstances</w:t>
      </w:r>
      <w:r>
        <w:t>.</w:t>
      </w:r>
      <w:r>
        <w:rPr>
          <w:rStyle w:val="FootnoteReference"/>
        </w:rPr>
        <w:footnoteReference w:id="571"/>
      </w:r>
      <w:r>
        <w:t xml:space="preserve"> </w:t>
      </w:r>
      <w:r w:rsidRPr="00287A3B">
        <w:t xml:space="preserve">Therefore, the AER </w:t>
      </w:r>
      <w:r>
        <w:t xml:space="preserve">must </w:t>
      </w:r>
      <w:r w:rsidRPr="00287A3B">
        <w:t>assess the service provider’s forecasts of the pipel</w:t>
      </w:r>
      <w:r>
        <w:t xml:space="preserve">ine capacity and utilisation of </w:t>
      </w:r>
      <w:r w:rsidRPr="00287A3B">
        <w:t>pipeline capacity over the access arrangement period for the covered pipeline</w:t>
      </w:r>
      <w:r>
        <w:t>.</w:t>
      </w:r>
    </w:p>
    <w:p w:rsidR="007C1F9F" w:rsidRDefault="007C1F9F" w:rsidP="007C1F9F">
      <w:pPr>
        <w:pStyle w:val="AERbodytext"/>
      </w:pPr>
      <w:r>
        <w:t>The level of forecast demand is an input into the AER's determination of APA GasNet's tariffs for the reference service. Tariff levels, as well as the expectation of available capacity and utilisation of the pipeline are all relevant factors to users of the VTS.</w:t>
      </w:r>
    </w:p>
    <w:p w:rsidR="007C1F9F" w:rsidRDefault="007C1F9F" w:rsidP="007C1F9F">
      <w:pPr>
        <w:pStyle w:val="AERbodytext"/>
      </w:pPr>
      <w:r>
        <w:t>The AER has undertaken an assessment of APA GasNet's forecasting methodology and the source of its data. The AER reviewed the assumptions underlying the forecasts to ensure that they are reasonable in the circumstances and unbiased. Underlying the AER's investigations were considerations of factors such as the existing trend in gas consumption in Victoria and the likelihood of increases or decreases in consumption triggered by gas powered generation or major industrial users starting up or shutting down.</w:t>
      </w:r>
    </w:p>
    <w:p w:rsidR="007C1F9F" w:rsidRDefault="007C1F9F" w:rsidP="007C1F9F">
      <w:pPr>
        <w:pStyle w:val="AERbodytext"/>
      </w:pPr>
      <w:r>
        <w:t>In coming to its view on APA GasNet's demand forecasts, the AER had regard to the following sources of information:</w:t>
      </w:r>
    </w:p>
    <w:p w:rsidR="007C1F9F" w:rsidRDefault="007C1F9F" w:rsidP="007C1F9F">
      <w:pPr>
        <w:pStyle w:val="AERbulletlistfirststyle"/>
      </w:pPr>
      <w:r>
        <w:t>APA GasNet's access arrangement proposal</w:t>
      </w:r>
    </w:p>
    <w:p w:rsidR="007C1F9F" w:rsidRDefault="007C1F9F" w:rsidP="007C1F9F">
      <w:pPr>
        <w:pStyle w:val="AERbulletlistfirststyle"/>
      </w:pPr>
      <w:r>
        <w:t>AEMO's 2011 Victoria</w:t>
      </w:r>
      <w:r w:rsidR="009D7515">
        <w:t>n Annual Planning Report</w:t>
      </w:r>
    </w:p>
    <w:p w:rsidR="007C1F9F" w:rsidRDefault="007C1F9F" w:rsidP="007C1F9F">
      <w:pPr>
        <w:pStyle w:val="AERbulletlistfirststyle"/>
      </w:pPr>
      <w:r>
        <w:t>AEMO's 2011 Gas Statement of Opportunities</w:t>
      </w:r>
    </w:p>
    <w:p w:rsidR="007C1F9F" w:rsidRDefault="007C1F9F" w:rsidP="007C1F9F">
      <w:pPr>
        <w:pStyle w:val="AERbulletlistfirststyle"/>
      </w:pPr>
      <w:r>
        <w:t>Information from third parties that use the VTS.</w:t>
      </w:r>
    </w:p>
    <w:p w:rsidR="007C1F9F" w:rsidRPr="00287A3B" w:rsidRDefault="007C1F9F" w:rsidP="007C1F9F">
      <w:pPr>
        <w:pStyle w:val="AERbodytext"/>
      </w:pPr>
      <w:r>
        <w:t>The AER commissioned a report on the level of gas demand in Victoria from ACIL Tasman.</w:t>
      </w:r>
      <w:r>
        <w:rPr>
          <w:rStyle w:val="FootnoteReference"/>
        </w:rPr>
        <w:footnoteReference w:id="572"/>
      </w:r>
      <w:r>
        <w:t xml:space="preserve"> The AER considered ACIL Tasman's analysis in this decision.</w:t>
      </w:r>
    </w:p>
    <w:p w:rsidR="007C1F9F" w:rsidRDefault="007C1F9F" w:rsidP="007C1F9F">
      <w:pPr>
        <w:pStyle w:val="AERheading2"/>
        <w:numPr>
          <w:ilvl w:val="1"/>
          <w:numId w:val="7"/>
        </w:numPr>
        <w:tabs>
          <w:tab w:val="clear" w:pos="4317"/>
          <w:tab w:val="num" w:pos="0"/>
        </w:tabs>
        <w:ind w:left="0" w:hanging="720"/>
      </w:pPr>
      <w:bookmarkStart w:id="162" w:name="_Toc334543800"/>
      <w:r>
        <w:t>Reasons for decision</w:t>
      </w:r>
      <w:bookmarkEnd w:id="162"/>
    </w:p>
    <w:p w:rsidR="007C1F9F" w:rsidRDefault="007C1F9F" w:rsidP="007C1F9F">
      <w:pPr>
        <w:pStyle w:val="AERbodytext"/>
      </w:pPr>
      <w:r>
        <w:t xml:space="preserve">The AER does not approve APA GasNet's capacity utilisation forecasts for the </w:t>
      </w:r>
      <w:r w:rsidR="00202065">
        <w:t>2013–17</w:t>
      </w:r>
      <w:r>
        <w:t xml:space="preserve"> access arrangement period. The AER considers that the forecasts provided for the NSW Interconnect section of the VTS are not arrived at on a reasonable basis, and are not the best possible in the circumstances. Information provided by users of the pipeline does not support the total of the proposed increase in utilisation on the NSW Interconnect section of the VTS. The AER considers that the throughput of gas on this section of the VTS will be lower than that forecast by APA GasNet. Due to the influence of augmentation projects proposed by APA GasNet on the capacity of the pipeline, which the AER has not approved, the AER also considers that the capacity and utilisation rates of some sections of the VTS will be different to those forecast by APA GasNet.</w:t>
      </w:r>
    </w:p>
    <w:p w:rsidR="007C1F9F" w:rsidRDefault="007C1F9F" w:rsidP="007C1F9F">
      <w:pPr>
        <w:pStyle w:val="AERbodytext"/>
      </w:pPr>
      <w:r>
        <w:t>The AER considers that APA GasNet's forecasts of usage on other sections of the pipeline are arrived at on a reasonable basis and are the best possible in the circumstances. The AER considers that in the circumstances, it is appropriate to use the forecasts provided by AEMO and that these forecasts are provided based on reasonable assumptions and methodologies. These forecasts will, however, require updating for the final decision using the most recent information to remain the best forecasts in the circumstances.</w:t>
      </w:r>
    </w:p>
    <w:p w:rsidR="007C1F9F" w:rsidRDefault="007C1F9F" w:rsidP="007C1F9F">
      <w:pPr>
        <w:pStyle w:val="AERheading3"/>
        <w:numPr>
          <w:ilvl w:val="2"/>
          <w:numId w:val="7"/>
        </w:numPr>
        <w:tabs>
          <w:tab w:val="clear" w:pos="-357"/>
          <w:tab w:val="num" w:pos="0"/>
        </w:tabs>
        <w:ind w:left="0" w:hanging="714"/>
      </w:pPr>
      <w:bookmarkStart w:id="163" w:name="_Ref331150507"/>
      <w:r>
        <w:t>APA GasNet's capacity utilisation forecasts for the NSW Interconnect</w:t>
      </w:r>
      <w:bookmarkEnd w:id="163"/>
    </w:p>
    <w:p w:rsidR="007C1F9F" w:rsidRDefault="007C1F9F" w:rsidP="007C1F9F">
      <w:pPr>
        <w:pStyle w:val="AERbodytext"/>
      </w:pPr>
      <w:r>
        <w:t>APA GasNet has proposed the Gas to Culcairn augmentation project to increase the capacity of the VTS to deliver gas to NSW.</w:t>
      </w:r>
      <w:r>
        <w:rPr>
          <w:rStyle w:val="FootnoteReference"/>
        </w:rPr>
        <w:footnoteReference w:id="573"/>
      </w:r>
      <w:r>
        <w:t xml:space="preserve"> For a full discussion of the AER's consideration of this project, see the capex attachment 3.</w:t>
      </w:r>
    </w:p>
    <w:p w:rsidR="007C1F9F" w:rsidRDefault="007C1F9F" w:rsidP="007C1F9F">
      <w:pPr>
        <w:pStyle w:val="AERbodytext"/>
      </w:pPr>
      <w:r>
        <w:t>In support of its proposal to augment the VTS to carry more gas through Culcairn and the NSW Interconnect, APA GasNet has proposed that the extra capacity demanded by shippers will allow the project to return a net economic benefit.</w:t>
      </w:r>
    </w:p>
    <w:p w:rsidR="007C1F9F" w:rsidRDefault="007C1F9F" w:rsidP="007C1F9F">
      <w:pPr>
        <w:pStyle w:val="AERbodytext"/>
      </w:pPr>
      <w:r>
        <w:t xml:space="preserve">The AER received submissions from Origin, AGL, and TRUenergy on the subject of APA GasNet's capacity utilisation forecasts for the NSW Interconnect. Origin submitted that actual withdrawals at Culcairn had exceeded forecast withdrawals over the </w:t>
      </w:r>
      <w:r w:rsidR="00202065">
        <w:t>2008–12</w:t>
      </w:r>
      <w:r>
        <w:t xml:space="preserve"> access arrangement period.</w:t>
      </w:r>
      <w:r>
        <w:rPr>
          <w:rStyle w:val="FootnoteReference"/>
        </w:rPr>
        <w:footnoteReference w:id="574"/>
      </w:r>
      <w:r>
        <w:t xml:space="preserve"> TRUenergy submitted that it supported the proposed expansion of withdrawal capacity at Culcairn due to the many requests for the increased capacity that APA GasNet had received.</w:t>
      </w:r>
      <w:r>
        <w:rPr>
          <w:rStyle w:val="FootnoteReference"/>
        </w:rPr>
        <w:footnoteReference w:id="575"/>
      </w:r>
      <w:r>
        <w:t xml:space="preserve"> AGL submitted that the volumes attributed by APA GasNet to AGL's use of the VTS to ship gas to Culcairn were inaccurate.</w:t>
      </w:r>
      <w:r>
        <w:rPr>
          <w:rStyle w:val="FootnoteReference"/>
        </w:rPr>
        <w:footnoteReference w:id="576"/>
      </w:r>
    </w:p>
    <w:p w:rsidR="007C1F9F" w:rsidRDefault="007C1F9F" w:rsidP="007C1F9F">
      <w:pPr>
        <w:pStyle w:val="AERbodytext"/>
      </w:pPr>
      <w:r>
        <w:t>Further discussion of these submissions, and the issues raised by them, is pro</w:t>
      </w:r>
      <w:r w:rsidR="00DB3CBE">
        <w:t>vided in confidential appendix D</w:t>
      </w:r>
      <w:r>
        <w:t>.</w:t>
      </w:r>
    </w:p>
    <w:p w:rsidR="007C1F9F" w:rsidRDefault="007C1F9F" w:rsidP="007C1F9F">
      <w:pPr>
        <w:pStyle w:val="AERbodytext"/>
      </w:pPr>
      <w:r>
        <w:t>The AER considers that the information it has received directly from shippers on their plans to utilise the VTS does not support the level of utilisation APA GasNet has forecast for the NSW Interconnect.</w:t>
      </w:r>
      <w:r>
        <w:rPr>
          <w:rStyle w:val="FootnoteReference"/>
        </w:rPr>
        <w:footnoteReference w:id="577"/>
      </w:r>
      <w:r>
        <w:t xml:space="preserve"> The AER considers that the best possible forecast in the circumstances is that provided in section 9.5 below.</w:t>
      </w:r>
    </w:p>
    <w:p w:rsidR="007C1F9F" w:rsidRDefault="007C1F9F" w:rsidP="007C1F9F">
      <w:pPr>
        <w:pStyle w:val="AERbodytext"/>
      </w:pPr>
      <w:r>
        <w:t>The AER has considered APA GasNet's proposed augmentation plan for the NSW Interconnect, and does not approve it. This has changed the likely available capacity on the NSW Interconnect.</w:t>
      </w:r>
      <w:r>
        <w:rPr>
          <w:rStyle w:val="FootnoteReference"/>
        </w:rPr>
        <w:footnoteReference w:id="578"/>
      </w:r>
      <w:r>
        <w:t xml:space="preserve"> As such, the AER has made the requisite changes to the forecast of available capacity in </w:t>
      </w:r>
      <w:r w:rsidR="00DE0D6A">
        <w:rPr>
          <w:rStyle w:val="AERtexthighlight"/>
        </w:rPr>
        <w:fldChar w:fldCharType="begin"/>
      </w:r>
      <w:r>
        <w:instrText xml:space="preserve"> REF _Ref329956138 \r \h </w:instrText>
      </w:r>
      <w:r w:rsidR="00DE0D6A">
        <w:rPr>
          <w:rStyle w:val="AERtexthighlight"/>
        </w:rPr>
      </w:r>
      <w:r w:rsidR="00DE0D6A">
        <w:rPr>
          <w:rStyle w:val="AERtexthighlight"/>
        </w:rPr>
        <w:fldChar w:fldCharType="separate"/>
      </w:r>
      <w:r>
        <w:t>Table 9.6</w:t>
      </w:r>
      <w:r w:rsidR="00DE0D6A">
        <w:rPr>
          <w:rStyle w:val="AERtexthighlight"/>
        </w:rPr>
        <w:fldChar w:fldCharType="end"/>
      </w:r>
      <w:r>
        <w:rPr>
          <w:rStyle w:val="AERbody"/>
        </w:rPr>
        <w:t xml:space="preserve">, in section </w:t>
      </w:r>
      <w:r w:rsidR="00DE0D6A">
        <w:rPr>
          <w:rStyle w:val="AERbody"/>
        </w:rPr>
        <w:fldChar w:fldCharType="begin"/>
      </w:r>
      <w:r>
        <w:rPr>
          <w:rStyle w:val="AERbody"/>
        </w:rPr>
        <w:instrText xml:space="preserve"> REF _Ref333322379 \r \h </w:instrText>
      </w:r>
      <w:r w:rsidR="00DE0D6A">
        <w:rPr>
          <w:rStyle w:val="AERbody"/>
        </w:rPr>
      </w:r>
      <w:r w:rsidR="00DE0D6A">
        <w:rPr>
          <w:rStyle w:val="AERbody"/>
        </w:rPr>
        <w:fldChar w:fldCharType="separate"/>
      </w:r>
      <w:r>
        <w:rPr>
          <w:rStyle w:val="AERbody"/>
        </w:rPr>
        <w:t>9.5</w:t>
      </w:r>
      <w:r w:rsidR="00DE0D6A">
        <w:rPr>
          <w:rStyle w:val="AERbody"/>
        </w:rPr>
        <w:fldChar w:fldCharType="end"/>
      </w:r>
      <w:r>
        <w:rPr>
          <w:rStyle w:val="AERbody"/>
        </w:rPr>
        <w:t xml:space="preserve"> </w:t>
      </w:r>
      <w:r>
        <w:t>below.</w:t>
      </w:r>
    </w:p>
    <w:p w:rsidR="007C1F9F" w:rsidRDefault="007C1F9F" w:rsidP="007C1F9F">
      <w:pPr>
        <w:pStyle w:val="AERheading3"/>
        <w:numPr>
          <w:ilvl w:val="2"/>
          <w:numId w:val="7"/>
        </w:numPr>
        <w:tabs>
          <w:tab w:val="clear" w:pos="-357"/>
          <w:tab w:val="num" w:pos="0"/>
        </w:tabs>
        <w:ind w:left="0" w:hanging="714"/>
      </w:pPr>
      <w:r>
        <w:t>APA GasNet's use of AEMO's forecasts</w:t>
      </w:r>
    </w:p>
    <w:p w:rsidR="007C1F9F" w:rsidRDefault="007C1F9F" w:rsidP="007C1F9F">
      <w:pPr>
        <w:pStyle w:val="AERbodytext"/>
      </w:pPr>
      <w:bookmarkStart w:id="164" w:name="_Ref329183849"/>
      <w:r>
        <w:t xml:space="preserve">With the exception of certain demand forecasts (see </w:t>
      </w:r>
      <w:r w:rsidR="00DE0D6A">
        <w:fldChar w:fldCharType="begin"/>
      </w:r>
      <w:r>
        <w:instrText xml:space="preserve"> REF _Ref331150507 \r \h </w:instrText>
      </w:r>
      <w:r w:rsidR="00DE0D6A">
        <w:fldChar w:fldCharType="separate"/>
      </w:r>
      <w:r>
        <w:t>9.4.1</w:t>
      </w:r>
      <w:r w:rsidR="00DE0D6A">
        <w:fldChar w:fldCharType="end"/>
      </w:r>
      <w:r>
        <w:t xml:space="preserve"> above, and </w:t>
      </w:r>
      <w:r w:rsidR="00DE0D6A">
        <w:fldChar w:fldCharType="begin"/>
      </w:r>
      <w:r>
        <w:instrText xml:space="preserve"> REF _Ref331150527 \r \h </w:instrText>
      </w:r>
      <w:r w:rsidR="00DE0D6A">
        <w:fldChar w:fldCharType="separate"/>
      </w:r>
      <w:r>
        <w:t>9.4.3</w:t>
      </w:r>
      <w:r w:rsidR="00DE0D6A">
        <w:fldChar w:fldCharType="end"/>
      </w:r>
      <w:r>
        <w:t xml:space="preserve"> and </w:t>
      </w:r>
      <w:r w:rsidR="00DE0D6A">
        <w:fldChar w:fldCharType="begin"/>
      </w:r>
      <w:r>
        <w:instrText xml:space="preserve"> REF _Ref331150529 \r \h </w:instrText>
      </w:r>
      <w:r w:rsidR="00DE0D6A">
        <w:fldChar w:fldCharType="separate"/>
      </w:r>
      <w:r>
        <w:t>9.4.4</w:t>
      </w:r>
      <w:r w:rsidR="00DE0D6A">
        <w:fldChar w:fldCharType="end"/>
      </w:r>
      <w:r>
        <w:t xml:space="preserve"> below) APA GasNet's capacity utilisation forecasts rely on the forecasts provided by AEMO in its 2011 Gas Statement of Opportunities publication (GSOO). AEMO has responsibilities in the Victorian Declared Wholesale Gas Market as the Market Operator, and is also the VTS operator. Furthermore, AEMO reports on the interconnected Australian gas transmission systems in its GSOO. AEMO is in a unique position that gives it expertise in forecasting gas flows through the VTS.</w:t>
      </w:r>
    </w:p>
    <w:p w:rsidR="007C1F9F" w:rsidRDefault="007C1F9F" w:rsidP="007C1F9F">
      <w:pPr>
        <w:pStyle w:val="AERbodytext"/>
      </w:pPr>
      <w:r>
        <w:t>The substantive inputs to the econometric models that underlie AEMO's gas usage forecasts are:</w:t>
      </w:r>
    </w:p>
    <w:p w:rsidR="007C1F9F" w:rsidRDefault="007C1F9F" w:rsidP="007C1F9F">
      <w:pPr>
        <w:pStyle w:val="AERbulletlistfirststyle"/>
      </w:pPr>
      <w:r>
        <w:t>Victorian gross state product</w:t>
      </w:r>
    </w:p>
    <w:p w:rsidR="007C1F9F" w:rsidRDefault="007C1F9F" w:rsidP="007C1F9F">
      <w:pPr>
        <w:pStyle w:val="AERbulletlistfirststyle"/>
      </w:pPr>
      <w:r>
        <w:t>State industry output projections, and</w:t>
      </w:r>
    </w:p>
    <w:p w:rsidR="007C1F9F" w:rsidRDefault="007C1F9F" w:rsidP="007C1F9F">
      <w:pPr>
        <w:pStyle w:val="AERbulletlistfirststyle"/>
      </w:pPr>
      <w:r>
        <w:t>Projections of state population, dwelling stocks, real household disposable income, gas and electricity prices and the CPI.</w:t>
      </w:r>
      <w:r>
        <w:rPr>
          <w:rStyle w:val="FootnoteReference"/>
        </w:rPr>
        <w:footnoteReference w:id="579"/>
      </w:r>
    </w:p>
    <w:p w:rsidR="007C1F9F" w:rsidRDefault="007C1F9F" w:rsidP="007C1F9F">
      <w:pPr>
        <w:pStyle w:val="AERbodytext"/>
      </w:pPr>
      <w:r>
        <w:t>Additional input factors taken into account in the forecasts include:</w:t>
      </w:r>
    </w:p>
    <w:p w:rsidR="007C1F9F" w:rsidRDefault="007C1F9F" w:rsidP="007C1F9F">
      <w:pPr>
        <w:pStyle w:val="AERbulletlistfirststyle"/>
      </w:pPr>
      <w:r>
        <w:t>a survey of major industrial gas users</w:t>
      </w:r>
    </w:p>
    <w:p w:rsidR="007C1F9F" w:rsidRDefault="007C1F9F" w:rsidP="007C1F9F">
      <w:pPr>
        <w:pStyle w:val="AERbulletlistfirststyle"/>
      </w:pPr>
      <w:r>
        <w:t>market information obtained from media reports</w:t>
      </w:r>
    </w:p>
    <w:p w:rsidR="007C1F9F" w:rsidRDefault="007C1F9F" w:rsidP="007C1F9F">
      <w:pPr>
        <w:pStyle w:val="AERbulletlistfirststyle"/>
      </w:pPr>
      <w:r>
        <w:t>Federal and State government energy policies, and</w:t>
      </w:r>
    </w:p>
    <w:p w:rsidR="007C1F9F" w:rsidRDefault="007C1F9F" w:rsidP="007C1F9F">
      <w:pPr>
        <w:pStyle w:val="AERbulletlistfirststyle"/>
      </w:pPr>
      <w:r>
        <w:t>standard weather conditions.</w:t>
      </w:r>
      <w:r>
        <w:rPr>
          <w:rStyle w:val="FootnoteReference"/>
        </w:rPr>
        <w:footnoteReference w:id="580"/>
      </w:r>
    </w:p>
    <w:p w:rsidR="007C1F9F" w:rsidRDefault="007C1F9F" w:rsidP="007C1F9F">
      <w:pPr>
        <w:pStyle w:val="AERbodytext"/>
      </w:pPr>
      <w:r>
        <w:t>The AER considers that these factors are representative of the likely determinants of future gas demand. The AER considers that the methods by which these factors are taken into account, and the forecasts arrived at, are made on a reasonable basis and the best possible in the circumstances.</w:t>
      </w:r>
    </w:p>
    <w:p w:rsidR="007C1F9F" w:rsidRDefault="007C1F9F" w:rsidP="007C1F9F">
      <w:pPr>
        <w:pStyle w:val="AERbodytext"/>
      </w:pPr>
      <w:r>
        <w:t xml:space="preserve">The AER has considered a report on the demand forecasts for APA GasNet by its consultants ACIL Tasman. </w:t>
      </w:r>
      <w:r w:rsidR="00DE0D6A">
        <w:fldChar w:fldCharType="begin"/>
      </w:r>
      <w:r>
        <w:instrText xml:space="preserve"> REF _Ref329598226 \r \h </w:instrText>
      </w:r>
      <w:r w:rsidR="00DE0D6A">
        <w:fldChar w:fldCharType="separate"/>
      </w:r>
      <w:r w:rsidR="00377B37">
        <w:t>Figure 9.2</w:t>
      </w:r>
      <w:r w:rsidR="00DE0D6A">
        <w:fldChar w:fldCharType="end"/>
      </w:r>
      <w:r>
        <w:t xml:space="preserve"> compares a trend analysis of weather adjusted historical system withdrawals on the VTS with forecast withdrawals.</w:t>
      </w:r>
    </w:p>
    <w:p w:rsidR="007C1F9F" w:rsidRPr="00263816" w:rsidRDefault="007C1F9F" w:rsidP="007C1F9F">
      <w:pPr>
        <w:pStyle w:val="AERfigureheading"/>
      </w:pPr>
      <w:bookmarkStart w:id="165" w:name="_Ref329598226"/>
      <w:r>
        <w:t>Weather adjusted historical and forecast system withdrawals from the VTS</w:t>
      </w:r>
      <w:bookmarkEnd w:id="165"/>
    </w:p>
    <w:p w:rsidR="007C1F9F" w:rsidRDefault="00AB287B" w:rsidP="007C1F9F">
      <w:pPr>
        <w:pStyle w:val="AERbodytext"/>
      </w:pPr>
      <w:r>
        <w:pict>
          <v:shape id="_x0000_i1036" type="#_x0000_t75" style="width:401.85pt;height:239.45pt">
            <v:imagedata r:id="rId31" o:title="pic3" croptop="2367f"/>
          </v:shape>
        </w:pict>
      </w:r>
    </w:p>
    <w:p w:rsidR="007C1F9F" w:rsidRDefault="007C1F9F" w:rsidP="007C1F9F">
      <w:pPr>
        <w:pStyle w:val="AERtablesource"/>
      </w:pPr>
      <w:r w:rsidRPr="00252E9C">
        <w:t xml:space="preserve">Source: ACIL Tasman, </w:t>
      </w:r>
      <w:r w:rsidRPr="00252E9C">
        <w:rPr>
          <w:rStyle w:val="AERtextitalic"/>
        </w:rPr>
        <w:t>Review of Demand Forecasts for APA GasNet</w:t>
      </w:r>
      <w:r w:rsidRPr="00252E9C">
        <w:t>, July 2012, p. 31.</w:t>
      </w:r>
    </w:p>
    <w:p w:rsidR="007C1F9F" w:rsidRPr="00A843A4" w:rsidRDefault="007C1F9F" w:rsidP="007C1F9F">
      <w:pPr>
        <w:pStyle w:val="AERbodytext"/>
      </w:pPr>
    </w:p>
    <w:p w:rsidR="007C1F9F" w:rsidRPr="008E5B73" w:rsidRDefault="007C1F9F" w:rsidP="007C1F9F">
      <w:pPr>
        <w:pStyle w:val="AERbodytext"/>
      </w:pPr>
      <w:r>
        <w:t xml:space="preserve">An analysis of historical withdrawals (adjusted for weather) with the forecast system withdrawals shows that the forecast volumes are not dissimilar to the existing demand trend. In addition, the slope of the trend line in </w:t>
      </w:r>
      <w:r w:rsidR="00DE0D6A">
        <w:fldChar w:fldCharType="begin"/>
      </w:r>
      <w:r>
        <w:instrText xml:space="preserve"> REF _Ref329598226 \r \h </w:instrText>
      </w:r>
      <w:r w:rsidR="00DE0D6A">
        <w:fldChar w:fldCharType="separate"/>
      </w:r>
      <w:r>
        <w:t>Figure 9.12</w:t>
      </w:r>
      <w:r w:rsidR="00DE0D6A">
        <w:fldChar w:fldCharType="end"/>
      </w:r>
      <w:r>
        <w:t xml:space="preserve"> would be lower were it not for anomalously high demand in 2007 due to drought conditions resulting in high dispatch of Victorian GPG.</w:t>
      </w:r>
      <w:r>
        <w:rPr>
          <w:rStyle w:val="FootnoteReference"/>
        </w:rPr>
        <w:footnoteReference w:id="581"/>
      </w:r>
    </w:p>
    <w:p w:rsidR="007C1F9F" w:rsidRDefault="007C1F9F" w:rsidP="007C1F9F">
      <w:pPr>
        <w:pStyle w:val="AERbodytext"/>
      </w:pPr>
      <w:r>
        <w:t xml:space="preserve">The forecast of slow growth in system demand is supported by the survey of major industrial gas users, and publically available information on recent plant closures. </w:t>
      </w:r>
      <w:r>
        <w:rPr>
          <w:rStyle w:val="FootnoteReference"/>
        </w:rPr>
        <w:footnoteReference w:id="582"/>
      </w:r>
      <w:r>
        <w:t xml:space="preserve"> </w:t>
      </w:r>
      <w:r>
        <w:rPr>
          <w:rStyle w:val="FootnoteReference"/>
        </w:rPr>
        <w:footnoteReference w:id="583"/>
      </w:r>
    </w:p>
    <w:p w:rsidR="007C1F9F" w:rsidRDefault="007C1F9F" w:rsidP="007C1F9F">
      <w:pPr>
        <w:pStyle w:val="AERbodytext"/>
      </w:pPr>
      <w:r>
        <w:t>The Energy Users Coalition of Victoria submitted that APA GasNet has an incentive to underestimate gas demand when forecasting. It further submitted that APA GasNet has forecast a drop in gas demand with little evidence to support this.</w:t>
      </w:r>
      <w:r>
        <w:rPr>
          <w:rStyle w:val="FootnoteReference"/>
        </w:rPr>
        <w:footnoteReference w:id="584"/>
      </w:r>
    </w:p>
    <w:p w:rsidR="007C1F9F" w:rsidRDefault="007C1F9F" w:rsidP="007C1F9F">
      <w:pPr>
        <w:pStyle w:val="AERbodytext"/>
      </w:pPr>
      <w:r>
        <w:t>In response, the AER considers that information from the National Institute of Economic and Industry Research's (NIEIR) survey of major industrial gas users, as well as public information available on plant closures, supports the forecast reduction in demand from 2011. Reports from ACIL Tasman and AEMO further support this conclusion</w:t>
      </w:r>
      <w:r>
        <w:rPr>
          <w:rStyle w:val="FootnoteReference"/>
        </w:rPr>
        <w:footnoteReference w:id="585"/>
      </w:r>
      <w:r>
        <w:t xml:space="preserve"> </w:t>
      </w:r>
      <w:r>
        <w:rPr>
          <w:rStyle w:val="FootnoteReference"/>
        </w:rPr>
        <w:footnoteReference w:id="586"/>
      </w:r>
      <w:r>
        <w:t>.</w:t>
      </w:r>
    </w:p>
    <w:p w:rsidR="007C1F9F" w:rsidRDefault="007C1F9F" w:rsidP="007C1F9F">
      <w:pPr>
        <w:pStyle w:val="AERbodytext"/>
      </w:pPr>
      <w:r>
        <w:t>Furthermore, the forecasts for peak demand on the VTS are also broadly in line with the trend underlying historical data.</w:t>
      </w:r>
      <w:r>
        <w:rPr>
          <w:rStyle w:val="FootnoteReference"/>
        </w:rPr>
        <w:footnoteReference w:id="587"/>
      </w:r>
      <w:r>
        <w:t xml:space="preserve"> The forecasts of peak demand levels were arrived at on the basis of applying load factors to the forecasts of average daily demand.</w:t>
      </w:r>
      <w:r>
        <w:rPr>
          <w:rStyle w:val="FootnoteReference"/>
        </w:rPr>
        <w:footnoteReference w:id="588"/>
      </w:r>
      <w:r>
        <w:t xml:space="preserve"> The AER recognises that there are inherent difficulties in forecasting peak demand levels due to the highly specific conditions that contribute to such demand, such as weather and electricity market conditions. The AER considers, however, that the basis of the approach is reasonable and represents the best possible estimates in the circumstances.</w:t>
      </w:r>
    </w:p>
    <w:p w:rsidR="007C1F9F" w:rsidRDefault="007C1F9F" w:rsidP="007C1F9F">
      <w:pPr>
        <w:pStyle w:val="AERbodytext"/>
      </w:pPr>
      <w:r>
        <w:t>AEMO will produce a GSOO for 2012 later this year, and this publication will update the forecasts for Victorian gas demand. The NGR require that the forecasts provided in a gas access arrangement must be arrived at on a reasonable basis, and must represent the best forecast or estimate possible in the circumstances.</w:t>
      </w:r>
      <w:r>
        <w:rPr>
          <w:rStyle w:val="FootnoteReference"/>
        </w:rPr>
        <w:footnoteReference w:id="589"/>
      </w:r>
      <w:r>
        <w:t xml:space="preserve"> As such, the AER intends to update APA GasNet's forecasts of system demand with the most recently available forecasts prior to its final decision. </w:t>
      </w:r>
    </w:p>
    <w:p w:rsidR="007C1F9F" w:rsidRDefault="007C1F9F" w:rsidP="007C1F9F">
      <w:pPr>
        <w:pStyle w:val="AERheading3"/>
        <w:numPr>
          <w:ilvl w:val="2"/>
          <w:numId w:val="7"/>
        </w:numPr>
        <w:tabs>
          <w:tab w:val="clear" w:pos="-357"/>
          <w:tab w:val="num" w:pos="0"/>
        </w:tabs>
        <w:ind w:left="0" w:hanging="714"/>
      </w:pPr>
      <w:bookmarkStart w:id="166" w:name="_Ref331150527"/>
      <w:r>
        <w:t>APA GasNet's forecast of GPG-related demand</w:t>
      </w:r>
      <w:bookmarkEnd w:id="166"/>
    </w:p>
    <w:p w:rsidR="007C1F9F" w:rsidRDefault="007C1F9F" w:rsidP="007C1F9F">
      <w:pPr>
        <w:pStyle w:val="AERbodytext"/>
      </w:pPr>
      <w:r>
        <w:t xml:space="preserve">APA GasNet has not used AEMO's 2011 GSOO to provide its forecast of demand on the VTS from GPG. </w:t>
      </w:r>
      <w:r w:rsidR="00DE0D6A">
        <w:fldChar w:fldCharType="begin"/>
      </w:r>
      <w:r>
        <w:instrText xml:space="preserve"> REF _Ref329874731 \r \h </w:instrText>
      </w:r>
      <w:r w:rsidR="00DE0D6A">
        <w:fldChar w:fldCharType="separate"/>
      </w:r>
      <w:r w:rsidR="00377B37">
        <w:t>Figure 9.3</w:t>
      </w:r>
      <w:r w:rsidR="00DE0D6A">
        <w:fldChar w:fldCharType="end"/>
      </w:r>
      <w:r>
        <w:t xml:space="preserve"> shows APA GasNet's forecast of GPG demand and historic GPG demand. The year 2008 was a particularly high GPG-demand year due to drought conditions impacting the availability of a number of power stations.</w:t>
      </w:r>
      <w:r>
        <w:rPr>
          <w:rStyle w:val="FootnoteReference"/>
        </w:rPr>
        <w:footnoteReference w:id="590"/>
      </w:r>
      <w:r>
        <w:t xml:space="preserve"> </w:t>
      </w:r>
    </w:p>
    <w:p w:rsidR="007C1F9F" w:rsidRPr="00263816" w:rsidRDefault="007C1F9F" w:rsidP="007C1F9F">
      <w:pPr>
        <w:pStyle w:val="AERfigureheading"/>
      </w:pPr>
      <w:bookmarkStart w:id="167" w:name="_Ref329874731"/>
      <w:r>
        <w:t>Forecast and historic GPG demand</w:t>
      </w:r>
      <w:bookmarkEnd w:id="167"/>
    </w:p>
    <w:p w:rsidR="007C1F9F" w:rsidRDefault="00AB287B" w:rsidP="007C1F9F">
      <w:pPr>
        <w:pStyle w:val="AERbodytext"/>
      </w:pPr>
      <w:r>
        <w:pict>
          <v:shape id="_x0000_i1037" type="#_x0000_t75" style="width:396.85pt;height:24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xc6A2wAAAAUBAAAPAAAAZHJzL2Rvd25y&#10;ZXYueG1sTI9BS8QwEIXvgv8hjODNTXdx1dZOFxEVBC+uXrylzdhWm0lpst24v97Ri14ePN7w3jfl&#10;JrlBzTSF3jPCcpGBIm687blFeH25P7sCFaJhawbPhPBFATbV8VFpCuv3/EzzNrZKSjgUBqGLcSy0&#10;Dk1HzoSFH4kle/eTM1Hs1Go7mb2Uu0GvsuxCO9OzLHRmpNuOms/tziEcOD012Xpe1mP9+Hb3MafD&#10;Q58QT0/SzTWoSCn+HcMPvqBDJUy137ENakCQR+KvSnaZr8TWCOd5vgZdlfo/ffUN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">
            <v:imagedata r:id="rId32" o:title="" croptop="-4983f" cropbottom="-1426f" cropleft="-2139f" cropright="-2905f"/>
            <o:lock v:ext="edit" aspectratio="f"/>
          </v:shape>
        </w:pict>
      </w:r>
    </w:p>
    <w:p w:rsidR="007C1F9F" w:rsidRPr="00AE1428" w:rsidRDefault="007C1F9F" w:rsidP="007C1F9F">
      <w:pPr>
        <w:pStyle w:val="AERtablesource"/>
      </w:pPr>
      <w:r>
        <w:t xml:space="preserve">Source: APA GasNet, </w:t>
      </w:r>
      <w:r w:rsidRPr="002D08A0">
        <w:rPr>
          <w:rStyle w:val="AERtextitalic"/>
        </w:rPr>
        <w:t>VTS Tariff Model - revised</w:t>
      </w:r>
      <w:r>
        <w:t>, July 2012, AER analysis</w:t>
      </w:r>
    </w:p>
    <w:p w:rsidR="007C1F9F" w:rsidRDefault="007C1F9F" w:rsidP="007C1F9F">
      <w:pPr>
        <w:pStyle w:val="AERbodytext"/>
      </w:pPr>
      <w:r>
        <w:t xml:space="preserve">The AER considers it appropriate that APA GasNet utilise AEMO's mid-range forecasts for 2012 as a starting point to forecast its GPG-related demand. The AER also considers that APA GasNet's assumption that demand from GPG is likely to increase over the access arrangement period reasonable, given the passage of the Federal Government's </w:t>
      </w:r>
      <w:r w:rsidRPr="00D66B8F">
        <w:rPr>
          <w:rStyle w:val="AERtextitalic"/>
        </w:rPr>
        <w:t>Clean Energy Future</w:t>
      </w:r>
      <w:r>
        <w:t xml:space="preserve"> legislation. Although APA GasNet's forecast rise of 0.5 PJ/year in demand from GPG is a conservative estimate, the AER considers that it is not an unreasonable estimate in the prevailing circumstances. A report prepared for the AER by ACIL Tasman also states that APA GasNet's estimate of the year-to-year increase in demand from GPG is consistent with the underlying conditions in the market for Victorian electricity generation.</w:t>
      </w:r>
      <w:r>
        <w:rPr>
          <w:rStyle w:val="FootnoteReference"/>
        </w:rPr>
        <w:footnoteReference w:id="591"/>
      </w:r>
      <w:r>
        <w:t xml:space="preserve"> APA GasNet also submits that no existing brown coal generators have approached it to procure gas transportation services as replacement for generators shut down under the Clean Energy Future's Contract for Closure program.</w:t>
      </w:r>
      <w:r>
        <w:rPr>
          <w:rStyle w:val="FootnoteReference"/>
        </w:rPr>
        <w:footnoteReference w:id="592"/>
      </w:r>
      <w:r>
        <w:t xml:space="preserve"> The AER considers that APA GasNet's forecasts of demand from GPG is made on a reasonable basis, and is the best possible in the circumstances. The AER further considers, however, that the forecast may require updating for its final decision to take into account the most recent available information in order for it to remain the best possible in the circumstances. </w:t>
      </w:r>
    </w:p>
    <w:p w:rsidR="007C1F9F" w:rsidRDefault="007C1F9F" w:rsidP="007C1F9F">
      <w:pPr>
        <w:pStyle w:val="AERbodytext"/>
      </w:pPr>
      <w:r>
        <w:t>The Energy Users Coalition of Victoria submitted that APA GasNet's forecasts of GPG gas demand do not align with those of AEMO.</w:t>
      </w:r>
      <w:r>
        <w:rPr>
          <w:rStyle w:val="FootnoteReference"/>
        </w:rPr>
        <w:footnoteReference w:id="593"/>
      </w:r>
    </w:p>
    <w:p w:rsidR="007C1F9F" w:rsidRDefault="007C1F9F" w:rsidP="007C1F9F">
      <w:pPr>
        <w:pStyle w:val="AERbodytext"/>
      </w:pPr>
      <w:r>
        <w:t xml:space="preserve">The AER considers that the forecast of GPG demand contained in AEMO's 2011 GSOO is not a reasonable estimate, nor the best in the circumstances. The AEMO forecast shows a substantial spike in VTS-connected GPG demand in the final year of the </w:t>
      </w:r>
      <w:r w:rsidR="00202065">
        <w:t>2013–17</w:t>
      </w:r>
      <w:r>
        <w:t xml:space="preserve"> access arrangement period (</w:t>
      </w:r>
      <w:r w:rsidRPr="00B65F23">
        <w:t>from 9.9 PJ of demand in 2016 to 19.3 PJ in 2017</w:t>
      </w:r>
      <w:r>
        <w:t xml:space="preserve">). Federal Treasury modelling on the effects of the </w:t>
      </w:r>
      <w:r w:rsidRPr="00615181">
        <w:rPr>
          <w:rStyle w:val="AERtextitalic"/>
        </w:rPr>
        <w:t>Clean Energy Future</w:t>
      </w:r>
      <w:r>
        <w:t xml:space="preserve"> legislation package shows no significant spike in GPG generation over the </w:t>
      </w:r>
      <w:r w:rsidR="00202065">
        <w:t>2013–17</w:t>
      </w:r>
      <w:r>
        <w:t xml:space="preserve"> access arrangement period.</w:t>
      </w:r>
      <w:r>
        <w:rPr>
          <w:rStyle w:val="FootnoteReference"/>
        </w:rPr>
        <w:footnoteReference w:id="594"/>
      </w:r>
      <w:r>
        <w:t xml:space="preserve"> The AER considers that the predicted path of power generation over the </w:t>
      </w:r>
      <w:r w:rsidR="00202065">
        <w:t>2013–17</w:t>
      </w:r>
      <w:r>
        <w:t xml:space="preserve"> access arrangement period will be affected by the assumptions of whether the price of carbon will continue to rise after the fixed-price period, or will fall for a period of time. The price of carbon will have an effect on the relative cost-competitiveness of GPG compared to coal-fired electricity generation. The Victorian Gas Declared Transmission System Medium Term Outlook appendix to AEMO's 2011 GSOO assumes that the carbon price after the initial fixed-price period will continue to rise in line with Treasury's core policy scenario.</w:t>
      </w:r>
      <w:r>
        <w:rPr>
          <w:rStyle w:val="FootnoteReference"/>
        </w:rPr>
        <w:footnoteReference w:id="595"/>
      </w:r>
      <w:r>
        <w:t xml:space="preserve"> This is in contrast to the proposition in the main body of the document, which assumes a higher carbon price.</w:t>
      </w:r>
      <w:r>
        <w:rPr>
          <w:rStyle w:val="FootnoteReference"/>
        </w:rPr>
        <w:footnoteReference w:id="596"/>
      </w:r>
      <w:r>
        <w:t xml:space="preserve"> APA GasNet's rejection of AEMO's GPG demand forecasts are, however, based on the appendix to the 2011 GSOO.</w:t>
      </w:r>
      <w:r>
        <w:rPr>
          <w:rStyle w:val="FootnoteReference"/>
        </w:rPr>
        <w:footnoteReference w:id="597"/>
      </w:r>
    </w:p>
    <w:p w:rsidR="007C1F9F" w:rsidRDefault="007C1F9F" w:rsidP="007C1F9F">
      <w:pPr>
        <w:pStyle w:val="AERbodytext"/>
      </w:pPr>
      <w:r>
        <w:t>The AER's demand consultants, ACIL Tasman, have advised that following the fixed-price period, the price of carbon is not likely to rise to the degree forecast in Treasury's core policy scenario. Furthermore, ACIL Tasman's analysis shows that AEMO's forecast of electricity demand in the Victorian market has fallen substantially between the release of the 2011 Electricity Statement of Opportunities (August 2011) and the 2012 National Electricity Forecasting Report (June 2012).</w:t>
      </w:r>
      <w:r>
        <w:rPr>
          <w:rStyle w:val="FootnoteReference"/>
        </w:rPr>
        <w:footnoteReference w:id="598"/>
      </w:r>
      <w:r>
        <w:t xml:space="preserve"> The assumption of a lower relative carbon price, and lower overall demand for electricity, has a dampening effect on the forecast of gas demand for GPG in the Victorian market. ACIL Tasman's modelling of the Victorian electricity market shows that significant transition to GPG from coal is not likely to occur within the </w:t>
      </w:r>
      <w:r w:rsidR="00202065">
        <w:t>2013–17</w:t>
      </w:r>
      <w:r>
        <w:t xml:space="preserve"> access arrangement period.</w:t>
      </w:r>
      <w:r>
        <w:rPr>
          <w:rStyle w:val="FootnoteReference"/>
        </w:rPr>
        <w:footnoteReference w:id="599"/>
      </w:r>
    </w:p>
    <w:p w:rsidR="007C1F9F" w:rsidRDefault="007C1F9F" w:rsidP="007C1F9F">
      <w:pPr>
        <w:pStyle w:val="AERbodytext"/>
      </w:pPr>
      <w:r>
        <w:t xml:space="preserve">The AER has considered the information provided by APA GasNet, AEMO and ACIL Tasman, and considers that more weight should be given to the most recent and ongoing analysis of demand provided by ACIL Tasman. The AER considers that the forecast of a relatively slow increase in demand from GPG towards the end of the </w:t>
      </w:r>
      <w:r w:rsidR="00202065">
        <w:t>2013–17</w:t>
      </w:r>
      <w:r>
        <w:t xml:space="preserve"> access arrangement period represents the best possible estimate in the circumstances, rather than the forecast provided in AEMO's 2011 GSOO.</w:t>
      </w:r>
    </w:p>
    <w:p w:rsidR="007C1F9F" w:rsidRDefault="007C1F9F" w:rsidP="007C1F9F">
      <w:pPr>
        <w:pStyle w:val="AERheading3"/>
        <w:numPr>
          <w:ilvl w:val="2"/>
          <w:numId w:val="7"/>
        </w:numPr>
        <w:tabs>
          <w:tab w:val="clear" w:pos="-357"/>
          <w:tab w:val="num" w:pos="0"/>
        </w:tabs>
        <w:ind w:left="0" w:hanging="714"/>
      </w:pPr>
      <w:bookmarkStart w:id="168" w:name="_Ref331150529"/>
      <w:r>
        <w:t>Other forecast components</w:t>
      </w:r>
      <w:bookmarkEnd w:id="168"/>
    </w:p>
    <w:p w:rsidR="007C1F9F" w:rsidRDefault="007C1F9F" w:rsidP="007C1F9F">
      <w:pPr>
        <w:pStyle w:val="AERbodytext"/>
      </w:pPr>
      <w:r>
        <w:t>APA GasNet has further supplemented AEMO's forecasts with its own forecasts of gas flows to and from the Western Underground Storage (WUGS), the SEAGas pipeline, VicHub, and the LNG facility at Dandenong.</w:t>
      </w:r>
      <w:r>
        <w:rPr>
          <w:rStyle w:val="FootnoteReference"/>
        </w:rPr>
        <w:footnoteReference w:id="600"/>
      </w:r>
      <w:r>
        <w:t xml:space="preserve"> Usage of gas for these purposes is small relative to overall system demand on the VTS.</w:t>
      </w:r>
    </w:p>
    <w:p w:rsidR="007C1F9F" w:rsidRDefault="007C1F9F" w:rsidP="007C1F9F">
      <w:pPr>
        <w:pStyle w:val="AERbodytext"/>
      </w:pPr>
      <w:r>
        <w:t>Some of the factors affecting gas usage at these points on the VTS include:</w:t>
      </w:r>
    </w:p>
    <w:p w:rsidR="007C1F9F" w:rsidRDefault="007C1F9F" w:rsidP="007C1F9F">
      <w:pPr>
        <w:pStyle w:val="AERbulletlistfirststyle"/>
      </w:pPr>
      <w:r>
        <w:t>weather</w:t>
      </w:r>
    </w:p>
    <w:p w:rsidR="007C1F9F" w:rsidRDefault="007C1F9F" w:rsidP="007C1F9F">
      <w:pPr>
        <w:pStyle w:val="AERbulletlistfirststyle"/>
      </w:pPr>
      <w:r>
        <w:t>production of both Victorian and interstate gas fields</w:t>
      </w:r>
    </w:p>
    <w:p w:rsidR="007C1F9F" w:rsidRDefault="007C1F9F" w:rsidP="007C1F9F">
      <w:pPr>
        <w:pStyle w:val="AERbulletlistfirststyle"/>
      </w:pPr>
      <w:r>
        <w:t>relative prices of gas in different geographic regions.</w:t>
      </w:r>
    </w:p>
    <w:p w:rsidR="007C1F9F" w:rsidRDefault="007C1F9F" w:rsidP="007C1F9F">
      <w:pPr>
        <w:pStyle w:val="AERbodytext"/>
      </w:pPr>
      <w:r>
        <w:t>Historically, the magnitudes of these flows has fluctuated widely.</w:t>
      </w:r>
      <w:r>
        <w:rPr>
          <w:rStyle w:val="FootnoteReference"/>
        </w:rPr>
        <w:footnoteReference w:id="601"/>
      </w:r>
      <w:r>
        <w:t xml:space="preserve"> The AER has analysed the flows through these connection points identified by APA GasNet over the previous ten years, and accepts that the variation in demand at these connection points makes forecasting difficult. Furthermore, the AER considers that commercial decisions by shippers based on prevailing gas prices in Victoria and geographically removed markets also play a role in gas throughput at these connection points, as stated by APA GasNet.</w:t>
      </w:r>
      <w:r>
        <w:rPr>
          <w:rStyle w:val="FootnoteReference"/>
        </w:rPr>
        <w:footnoteReference w:id="602"/>
      </w:r>
    </w:p>
    <w:p w:rsidR="007C1F9F" w:rsidRDefault="007C1F9F" w:rsidP="007C1F9F">
      <w:pPr>
        <w:pStyle w:val="AERbodytext"/>
      </w:pPr>
      <w:r>
        <w:t>The AER considers that given the likely unpredictable variation in the demand at these connection points of the VTS over time, the approach proposed by APA GasNet of forecasting a stable level of withdrawals is a reasonable basis on which to forecast demand. On the basis of the information provided in APA GasNet's proposal, together with ACIL Tasman's advice, the AER considers that the demand forecasts for these connection points on the VTS represent the best possible in the circumstances.</w:t>
      </w:r>
    </w:p>
    <w:p w:rsidR="007C1F9F" w:rsidRDefault="007C1F9F" w:rsidP="007C1F9F">
      <w:pPr>
        <w:pStyle w:val="AERheading2"/>
        <w:numPr>
          <w:ilvl w:val="1"/>
          <w:numId w:val="7"/>
        </w:numPr>
        <w:tabs>
          <w:tab w:val="clear" w:pos="4317"/>
          <w:tab w:val="num" w:pos="0"/>
        </w:tabs>
        <w:ind w:left="0" w:hanging="720"/>
      </w:pPr>
      <w:bookmarkStart w:id="169" w:name="_Ref333322379"/>
      <w:bookmarkStart w:id="170" w:name="_Toc334543801"/>
      <w:r>
        <w:t>Revisions</w:t>
      </w:r>
      <w:bookmarkEnd w:id="164"/>
      <w:bookmarkEnd w:id="169"/>
      <w:bookmarkEnd w:id="170"/>
    </w:p>
    <w:p w:rsidR="007C1F9F" w:rsidRDefault="007C1F9F" w:rsidP="007C1F9F">
      <w:pPr>
        <w:pStyle w:val="AERbodytext"/>
      </w:pPr>
      <w:r>
        <w:t>The AER considers that the capacity utilisation forecasts provided by APA GasNet are not arrived at on a reasonable basis, and are not the best possible in the circumstances. The AER has provided substitute forecasts of capacity, utilisation, average and maximum demand on the VTS. The AER requires the following revisions to make the access arrangement proposal acceptable:</w:t>
      </w:r>
    </w:p>
    <w:p w:rsidR="007C1F9F" w:rsidRPr="00803B24" w:rsidRDefault="007C1F9F" w:rsidP="007C1F9F">
      <w:pPr>
        <w:pStyle w:val="AERrevisionbox"/>
        <w:rPr>
          <w:rStyle w:val="AERtextbold"/>
        </w:rPr>
      </w:pPr>
      <w:r>
        <w:rPr>
          <w:rStyle w:val="AERtextbold"/>
        </w:rPr>
        <w:t>Revision</w:t>
      </w:r>
      <w:r w:rsidRPr="00803B24">
        <w:rPr>
          <w:rStyle w:val="AERtextbold"/>
        </w:rPr>
        <w:t xml:space="preserve"> </w:t>
      </w:r>
      <w:r>
        <w:rPr>
          <w:rStyle w:val="AERtextbold"/>
        </w:rPr>
        <w:t>9</w:t>
      </w:r>
      <w:r w:rsidRPr="00803B24">
        <w:rPr>
          <w:rStyle w:val="AERtextbold"/>
        </w:rPr>
        <w:t>.1</w:t>
      </w:r>
    </w:p>
    <w:p w:rsidR="007C1F9F" w:rsidRDefault="007C1F9F" w:rsidP="007C1F9F">
      <w:pPr>
        <w:pStyle w:val="AERrevisionbox"/>
      </w:pPr>
      <w:r>
        <w:t xml:space="preserve">Make all necessary amendments to reflect the AER's draft decision on the proposed capacity utilisation forecasts for the </w:t>
      </w:r>
      <w:r w:rsidR="00202065">
        <w:t>2013–17</w:t>
      </w:r>
      <w:r>
        <w:t xml:space="preserve"> access arrangement period, as set out in </w:t>
      </w:r>
      <w:r w:rsidR="00DE0D6A">
        <w:fldChar w:fldCharType="begin"/>
      </w:r>
      <w:r>
        <w:instrText xml:space="preserve"> REF _Ref333917463 \r \h </w:instrText>
      </w:r>
      <w:r w:rsidR="00DE0D6A">
        <w:fldChar w:fldCharType="separate"/>
      </w:r>
      <w:r>
        <w:t>Table 9.6</w:t>
      </w:r>
      <w:r w:rsidR="00DE0D6A">
        <w:fldChar w:fldCharType="end"/>
      </w:r>
      <w:r>
        <w:t xml:space="preserve">, </w:t>
      </w:r>
      <w:r w:rsidR="00DE0D6A">
        <w:fldChar w:fldCharType="begin"/>
      </w:r>
      <w:r>
        <w:instrText xml:space="preserve"> REF _Ref333917474 \r \h </w:instrText>
      </w:r>
      <w:r w:rsidR="00DE0D6A">
        <w:fldChar w:fldCharType="separate"/>
      </w:r>
      <w:r>
        <w:t>Table 9.7</w:t>
      </w:r>
      <w:r w:rsidR="00DE0D6A">
        <w:fldChar w:fldCharType="end"/>
      </w:r>
      <w:r>
        <w:t xml:space="preserve"> and </w:t>
      </w:r>
      <w:r w:rsidR="00DE0D6A">
        <w:fldChar w:fldCharType="begin"/>
      </w:r>
      <w:r>
        <w:instrText xml:space="preserve"> REF _Ref333917494 \r \h </w:instrText>
      </w:r>
      <w:r w:rsidR="00DE0D6A">
        <w:fldChar w:fldCharType="separate"/>
      </w:r>
      <w:r>
        <w:t>Table 9.8</w:t>
      </w:r>
      <w:r w:rsidR="00DE0D6A">
        <w:fldChar w:fldCharType="end"/>
      </w:r>
      <w:r>
        <w:t xml:space="preserve">. </w:t>
      </w:r>
    </w:p>
    <w:p w:rsidR="007C1F9F" w:rsidRDefault="007C1F9F" w:rsidP="007C1F9F">
      <w:pPr>
        <w:pStyle w:val="AERtabletitle"/>
      </w:pPr>
      <w:bookmarkStart w:id="171" w:name="_Ref329956138"/>
      <w:bookmarkStart w:id="172" w:name="_Ref333917463"/>
      <w:r>
        <w:t>Forecast of VTS capacity</w:t>
      </w:r>
      <w:bookmarkEnd w:id="171"/>
      <w:r>
        <w:rPr>
          <w:rStyle w:val="FootnoteReference"/>
        </w:rPr>
        <w:footnoteReference w:id="603"/>
      </w:r>
      <w:bookmarkEnd w:id="172"/>
    </w:p>
    <w:tbl>
      <w:tblPr>
        <w:tblW w:w="0" w:type="auto"/>
        <w:tblBorders>
          <w:top w:val="single" w:sz="4" w:space="0" w:color="auto"/>
          <w:bottom w:val="single" w:sz="4" w:space="0" w:color="auto"/>
        </w:tblBorders>
        <w:tblLook w:val="0020"/>
      </w:tblPr>
      <w:tblGrid>
        <w:gridCol w:w="2235"/>
        <w:gridCol w:w="607"/>
        <w:gridCol w:w="1421"/>
        <w:gridCol w:w="1421"/>
        <w:gridCol w:w="1422"/>
        <w:gridCol w:w="1422"/>
      </w:tblGrid>
      <w:tr w:rsidR="007C1F9F" w:rsidTr="00186172">
        <w:tc>
          <w:tcPr>
            <w:tcW w:w="2235"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pPr>
            <w:r w:rsidRPr="007E3923">
              <w:t>Forecast Capacity (TJ/day)</w:t>
            </w:r>
          </w:p>
        </w:tc>
        <w:tc>
          <w:tcPr>
            <w:tcW w:w="60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2235" w:type="dxa"/>
            <w:shd w:val="clear" w:color="auto" w:fill="auto"/>
            <w:noWrap/>
            <w:tcMar>
              <w:top w:w="0" w:type="dxa"/>
              <w:bottom w:w="0" w:type="dxa"/>
            </w:tcMar>
            <w:vAlign w:val="center"/>
          </w:tcPr>
          <w:p w:rsidR="007C1F9F" w:rsidRPr="007E3923" w:rsidRDefault="007C1F9F" w:rsidP="00186172">
            <w:pPr>
              <w:pStyle w:val="AERtabletext"/>
            </w:pPr>
            <w:r w:rsidRPr="0081312C">
              <w:t>Longford to Melbourne</w:t>
            </w:r>
          </w:p>
        </w:tc>
        <w:tc>
          <w:tcPr>
            <w:tcW w:w="607"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1030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1030</w:t>
            </w:r>
          </w:p>
        </w:tc>
      </w:tr>
      <w:tr w:rsidR="007C1F9F" w:rsidTr="00186172">
        <w:tc>
          <w:tcPr>
            <w:tcW w:w="2235" w:type="dxa"/>
            <w:shd w:val="clear" w:color="auto" w:fill="F8B47C"/>
            <w:noWrap/>
            <w:tcMar>
              <w:top w:w="0" w:type="dxa"/>
              <w:bottom w:w="0" w:type="dxa"/>
            </w:tcMar>
            <w:vAlign w:val="center"/>
          </w:tcPr>
          <w:p w:rsidR="007C1F9F" w:rsidRPr="007E3923" w:rsidRDefault="007C1F9F" w:rsidP="00186172">
            <w:pPr>
              <w:pStyle w:val="AERtabletext"/>
            </w:pPr>
            <w:r w:rsidRPr="0081312C">
              <w:t>South West pipeline (from Iona)</w:t>
            </w:r>
          </w:p>
        </w:tc>
        <w:tc>
          <w:tcPr>
            <w:tcW w:w="607" w:type="dxa"/>
            <w:shd w:val="clear" w:color="auto" w:fill="F8B47C"/>
            <w:noWrap/>
            <w:tcMar>
              <w:top w:w="0" w:type="dxa"/>
              <w:bottom w:w="0" w:type="dxa"/>
            </w:tcMar>
            <w:vAlign w:val="center"/>
          </w:tcPr>
          <w:p w:rsidR="007C1F9F" w:rsidRPr="007E3923" w:rsidRDefault="007C1F9F" w:rsidP="00186172">
            <w:pPr>
              <w:pStyle w:val="AERtabletext-numbers"/>
            </w:pPr>
            <w:r>
              <w:t>353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353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422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422</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422</w:t>
            </w:r>
          </w:p>
        </w:tc>
      </w:tr>
      <w:tr w:rsidR="007C1F9F" w:rsidTr="00186172">
        <w:tc>
          <w:tcPr>
            <w:tcW w:w="2235" w:type="dxa"/>
            <w:shd w:val="clear" w:color="auto" w:fill="auto"/>
            <w:noWrap/>
            <w:tcMar>
              <w:top w:w="0" w:type="dxa"/>
              <w:bottom w:w="0" w:type="dxa"/>
            </w:tcMar>
            <w:vAlign w:val="center"/>
          </w:tcPr>
          <w:p w:rsidR="007C1F9F" w:rsidRPr="007E3923" w:rsidRDefault="007C1F9F" w:rsidP="00186172">
            <w:pPr>
              <w:pStyle w:val="AERtabletext"/>
            </w:pPr>
            <w:r w:rsidRPr="0081312C">
              <w:t xml:space="preserve">South West </w:t>
            </w:r>
            <w:r w:rsidRPr="007E3923">
              <w:t>Pipeline (to Iona)</w:t>
            </w:r>
          </w:p>
        </w:tc>
        <w:tc>
          <w:tcPr>
            <w:tcW w:w="607" w:type="dxa"/>
            <w:shd w:val="clear" w:color="auto" w:fill="auto"/>
            <w:noWrap/>
            <w:tcMar>
              <w:top w:w="0" w:type="dxa"/>
              <w:bottom w:w="0" w:type="dxa"/>
            </w:tcMar>
            <w:vAlign w:val="center"/>
          </w:tcPr>
          <w:p w:rsidR="007C1F9F" w:rsidRPr="007E3923" w:rsidRDefault="007C1F9F" w:rsidP="00186172">
            <w:pPr>
              <w:pStyle w:val="AERtabletext-numbers"/>
            </w:pPr>
            <w:r>
              <w:t>129</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129</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190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190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190</w:t>
            </w:r>
          </w:p>
        </w:tc>
      </w:tr>
      <w:tr w:rsidR="007C1F9F" w:rsidTr="00186172">
        <w:tc>
          <w:tcPr>
            <w:tcW w:w="2235" w:type="dxa"/>
            <w:shd w:val="clear" w:color="auto" w:fill="F8B47C"/>
            <w:noWrap/>
            <w:tcMar>
              <w:top w:w="0" w:type="dxa"/>
              <w:bottom w:w="0" w:type="dxa"/>
            </w:tcMar>
            <w:vAlign w:val="center"/>
          </w:tcPr>
          <w:p w:rsidR="007C1F9F" w:rsidRPr="007E3923" w:rsidRDefault="007C1F9F" w:rsidP="00186172">
            <w:pPr>
              <w:pStyle w:val="AERtabletext"/>
            </w:pPr>
            <w:r w:rsidRPr="0081312C">
              <w:t>Western Transmission System</w:t>
            </w:r>
          </w:p>
        </w:tc>
        <w:tc>
          <w:tcPr>
            <w:tcW w:w="607"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28</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28</w:t>
            </w:r>
          </w:p>
        </w:tc>
      </w:tr>
      <w:tr w:rsidR="007C1F9F" w:rsidTr="00186172">
        <w:tc>
          <w:tcPr>
            <w:tcW w:w="2235" w:type="dxa"/>
            <w:shd w:val="clear" w:color="auto" w:fill="auto"/>
            <w:noWrap/>
            <w:tcMar>
              <w:top w:w="0" w:type="dxa"/>
              <w:bottom w:w="0" w:type="dxa"/>
            </w:tcMar>
            <w:vAlign w:val="center"/>
          </w:tcPr>
          <w:p w:rsidR="007C1F9F" w:rsidRPr="007E3923" w:rsidRDefault="007C1F9F" w:rsidP="00186172">
            <w:pPr>
              <w:pStyle w:val="AERtabletext"/>
            </w:pPr>
            <w:r w:rsidRPr="0081312C">
              <w:t>New South Wales Interconnect (to Vic)</w:t>
            </w:r>
          </w:p>
        </w:tc>
        <w:tc>
          <w:tcPr>
            <w:tcW w:w="607" w:type="dxa"/>
            <w:shd w:val="clear" w:color="auto" w:fill="auto"/>
            <w:noWrap/>
            <w:tcMar>
              <w:top w:w="0" w:type="dxa"/>
              <w:bottom w:w="0" w:type="dxa"/>
            </w:tcMar>
            <w:vAlign w:val="center"/>
          </w:tcPr>
          <w:p w:rsidR="007C1F9F" w:rsidRPr="007E3923" w:rsidRDefault="007C1F9F" w:rsidP="00186172">
            <w:pPr>
              <w:pStyle w:val="AERtabletext-numbers"/>
            </w:pPr>
            <w:r>
              <w:t>92</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92</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110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110</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110</w:t>
            </w:r>
          </w:p>
        </w:tc>
      </w:tr>
      <w:tr w:rsidR="007C1F9F" w:rsidTr="00186172">
        <w:tc>
          <w:tcPr>
            <w:tcW w:w="2235" w:type="dxa"/>
            <w:shd w:val="clear" w:color="auto" w:fill="F8B47C"/>
            <w:noWrap/>
            <w:tcMar>
              <w:top w:w="0" w:type="dxa"/>
              <w:bottom w:w="0" w:type="dxa"/>
            </w:tcMar>
            <w:vAlign w:val="center"/>
          </w:tcPr>
          <w:p w:rsidR="007C1F9F" w:rsidRPr="007E3923" w:rsidRDefault="007C1F9F" w:rsidP="00186172">
            <w:pPr>
              <w:pStyle w:val="AERtabletext"/>
            </w:pPr>
            <w:r w:rsidRPr="0081312C">
              <w:t>New South Wales Interconnect (from Vic (Summer))</w:t>
            </w:r>
          </w:p>
        </w:tc>
        <w:tc>
          <w:tcPr>
            <w:tcW w:w="607" w:type="dxa"/>
            <w:shd w:val="clear" w:color="auto" w:fill="F8B47C"/>
            <w:noWrap/>
            <w:tcMar>
              <w:top w:w="0" w:type="dxa"/>
              <w:bottom w:w="0" w:type="dxa"/>
            </w:tcMar>
            <w:vAlign w:val="center"/>
          </w:tcPr>
          <w:p w:rsidR="007C1F9F" w:rsidRPr="007E3923" w:rsidRDefault="007C1F9F" w:rsidP="00186172">
            <w:pPr>
              <w:pStyle w:val="AERtabletext-numbers"/>
            </w:pPr>
            <w:r>
              <w:t>83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83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101</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101</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101</w:t>
            </w:r>
          </w:p>
        </w:tc>
      </w:tr>
      <w:tr w:rsidR="007C1F9F" w:rsidTr="00186172">
        <w:tc>
          <w:tcPr>
            <w:tcW w:w="2235" w:type="dxa"/>
            <w:shd w:val="clear" w:color="auto" w:fill="auto"/>
            <w:noWrap/>
            <w:tcMar>
              <w:top w:w="0" w:type="dxa"/>
              <w:bottom w:w="0" w:type="dxa"/>
            </w:tcMar>
            <w:vAlign w:val="center"/>
          </w:tcPr>
          <w:p w:rsidR="007C1F9F" w:rsidRPr="007E3923" w:rsidRDefault="007C1F9F" w:rsidP="00186172">
            <w:pPr>
              <w:pStyle w:val="AERtabletext"/>
            </w:pPr>
            <w:r w:rsidRPr="0081312C">
              <w:t>New South Wales Intercon</w:t>
            </w:r>
            <w:r w:rsidRPr="007E3923">
              <w:t>nect (from Vic (Winter))</w:t>
            </w:r>
          </w:p>
        </w:tc>
        <w:tc>
          <w:tcPr>
            <w:tcW w:w="607" w:type="dxa"/>
            <w:shd w:val="clear" w:color="auto" w:fill="auto"/>
            <w:noWrap/>
            <w:tcMar>
              <w:top w:w="0" w:type="dxa"/>
              <w:bottom w:w="0" w:type="dxa"/>
            </w:tcMar>
            <w:vAlign w:val="center"/>
          </w:tcPr>
          <w:p w:rsidR="007C1F9F" w:rsidRPr="007E3923" w:rsidRDefault="007C1F9F" w:rsidP="00186172">
            <w:pPr>
              <w:pStyle w:val="AERtabletext-numbers"/>
            </w:pPr>
            <w:r>
              <w:t>38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38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56</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56</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56</w:t>
            </w:r>
          </w:p>
        </w:tc>
      </w:tr>
    </w:tbl>
    <w:p w:rsidR="007C1F9F" w:rsidRDefault="007C1F9F" w:rsidP="007C1F9F">
      <w:pPr>
        <w:pStyle w:val="AERbodytext"/>
      </w:pPr>
    </w:p>
    <w:p w:rsidR="007C1F9F" w:rsidRDefault="007C1F9F" w:rsidP="007C1F9F">
      <w:pPr>
        <w:pStyle w:val="AERtabletitle"/>
      </w:pPr>
      <w:bookmarkStart w:id="173" w:name="_Ref333917474"/>
      <w:r>
        <w:t>Forecast of VTS utilisation</w:t>
      </w:r>
      <w:bookmarkEnd w:id="173"/>
    </w:p>
    <w:tbl>
      <w:tblPr>
        <w:tblW w:w="0" w:type="auto"/>
        <w:tblBorders>
          <w:top w:val="single" w:sz="4" w:space="0" w:color="auto"/>
          <w:bottom w:val="single" w:sz="4" w:space="0" w:color="auto"/>
        </w:tblBorders>
        <w:tblLook w:val="0020"/>
      </w:tblPr>
      <w:tblGrid>
        <w:gridCol w:w="2093"/>
        <w:gridCol w:w="749"/>
        <w:gridCol w:w="1421"/>
        <w:gridCol w:w="1421"/>
        <w:gridCol w:w="1422"/>
        <w:gridCol w:w="1422"/>
      </w:tblGrid>
      <w:tr w:rsidR="007C1F9F" w:rsidTr="00186172">
        <w:tc>
          <w:tcPr>
            <w:tcW w:w="2093"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
            </w:pPr>
            <w:r w:rsidRPr="007E3923">
              <w:t>Forecast Utilisation (%)</w:t>
            </w:r>
          </w:p>
        </w:tc>
        <w:tc>
          <w:tcPr>
            <w:tcW w:w="74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2093" w:type="dxa"/>
            <w:shd w:val="clear" w:color="auto" w:fill="auto"/>
            <w:noWrap/>
            <w:tcMar>
              <w:top w:w="0" w:type="dxa"/>
              <w:bottom w:w="0" w:type="dxa"/>
            </w:tcMar>
            <w:vAlign w:val="center"/>
          </w:tcPr>
          <w:p w:rsidR="007C1F9F" w:rsidRPr="00065687" w:rsidRDefault="007C1F9F" w:rsidP="00186172">
            <w:pPr>
              <w:pStyle w:val="AERtabletext"/>
            </w:pPr>
            <w:r w:rsidRPr="00065687">
              <w:t>Longford to Melbourne</w:t>
            </w:r>
          </w:p>
        </w:tc>
        <w:tc>
          <w:tcPr>
            <w:tcW w:w="749" w:type="dxa"/>
            <w:shd w:val="clear" w:color="auto" w:fill="auto"/>
            <w:noWrap/>
            <w:tcMar>
              <w:top w:w="0" w:type="dxa"/>
              <w:bottom w:w="0" w:type="dxa"/>
            </w:tcMar>
            <w:vAlign w:val="center"/>
          </w:tcPr>
          <w:p w:rsidR="007C1F9F" w:rsidRPr="00065687" w:rsidRDefault="007C1F9F" w:rsidP="00186172">
            <w:pPr>
              <w:pStyle w:val="AERtabletext-numbers"/>
            </w:pPr>
            <w:r w:rsidRPr="00065687">
              <w:t>43.3%</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43.3%</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43.2%</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43.2%</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43.4%</w:t>
            </w:r>
          </w:p>
        </w:tc>
      </w:tr>
      <w:tr w:rsidR="007C1F9F" w:rsidTr="00186172">
        <w:tc>
          <w:tcPr>
            <w:tcW w:w="2093" w:type="dxa"/>
            <w:shd w:val="clear" w:color="auto" w:fill="F8B47C"/>
            <w:noWrap/>
            <w:tcMar>
              <w:top w:w="0" w:type="dxa"/>
              <w:bottom w:w="0" w:type="dxa"/>
            </w:tcMar>
            <w:vAlign w:val="center"/>
          </w:tcPr>
          <w:p w:rsidR="007C1F9F" w:rsidRPr="00065687" w:rsidRDefault="007C1F9F" w:rsidP="00186172">
            <w:pPr>
              <w:pStyle w:val="AERtabletext"/>
            </w:pPr>
            <w:r w:rsidRPr="00065687">
              <w:t>South West pipeline (from Iona)</w:t>
            </w:r>
          </w:p>
        </w:tc>
        <w:tc>
          <w:tcPr>
            <w:tcW w:w="749" w:type="dxa"/>
            <w:shd w:val="clear" w:color="auto" w:fill="F8B47C"/>
            <w:noWrap/>
            <w:tcMar>
              <w:top w:w="0" w:type="dxa"/>
              <w:bottom w:w="0" w:type="dxa"/>
            </w:tcMar>
            <w:vAlign w:val="center"/>
          </w:tcPr>
          <w:p w:rsidR="007C1F9F" w:rsidRPr="00065687" w:rsidRDefault="007C1F9F" w:rsidP="00186172">
            <w:pPr>
              <w:pStyle w:val="AERtabletext-numbers"/>
            </w:pPr>
            <w:r w:rsidRPr="00065687">
              <w:t>29.3%</w:t>
            </w:r>
          </w:p>
        </w:tc>
        <w:tc>
          <w:tcPr>
            <w:tcW w:w="1421" w:type="dxa"/>
            <w:shd w:val="clear" w:color="auto" w:fill="F8B47C"/>
            <w:noWrap/>
            <w:tcMar>
              <w:top w:w="0" w:type="dxa"/>
              <w:bottom w:w="0" w:type="dxa"/>
            </w:tcMar>
            <w:vAlign w:val="center"/>
          </w:tcPr>
          <w:p w:rsidR="007C1F9F" w:rsidRPr="00065687" w:rsidRDefault="007C1F9F" w:rsidP="00186172">
            <w:pPr>
              <w:pStyle w:val="AERtabletext-numbers"/>
            </w:pPr>
            <w:r w:rsidRPr="00065687">
              <w:t>28.7%</w:t>
            </w:r>
          </w:p>
        </w:tc>
        <w:tc>
          <w:tcPr>
            <w:tcW w:w="1421" w:type="dxa"/>
            <w:shd w:val="clear" w:color="auto" w:fill="F8B47C"/>
            <w:noWrap/>
            <w:tcMar>
              <w:top w:w="0" w:type="dxa"/>
              <w:bottom w:w="0" w:type="dxa"/>
            </w:tcMar>
            <w:vAlign w:val="center"/>
          </w:tcPr>
          <w:p w:rsidR="007C1F9F" w:rsidRPr="00065687" w:rsidRDefault="007C1F9F" w:rsidP="00186172">
            <w:pPr>
              <w:pStyle w:val="AERtabletext-numbers"/>
            </w:pPr>
            <w:r w:rsidRPr="00065687">
              <w:t>29.0%</w:t>
            </w:r>
          </w:p>
        </w:tc>
        <w:tc>
          <w:tcPr>
            <w:tcW w:w="1422" w:type="dxa"/>
            <w:shd w:val="clear" w:color="auto" w:fill="F8B47C"/>
            <w:noWrap/>
            <w:tcMar>
              <w:top w:w="0" w:type="dxa"/>
              <w:bottom w:w="0" w:type="dxa"/>
            </w:tcMar>
            <w:vAlign w:val="center"/>
          </w:tcPr>
          <w:p w:rsidR="007C1F9F" w:rsidRPr="00065687" w:rsidRDefault="007C1F9F" w:rsidP="00186172">
            <w:pPr>
              <w:pStyle w:val="AERtabletext-numbers"/>
            </w:pPr>
            <w:r w:rsidRPr="00065687">
              <w:t>30.0%</w:t>
            </w:r>
          </w:p>
        </w:tc>
        <w:tc>
          <w:tcPr>
            <w:tcW w:w="1422" w:type="dxa"/>
            <w:shd w:val="clear" w:color="auto" w:fill="F8B47C"/>
            <w:noWrap/>
            <w:tcMar>
              <w:top w:w="0" w:type="dxa"/>
              <w:bottom w:w="0" w:type="dxa"/>
            </w:tcMar>
            <w:vAlign w:val="center"/>
          </w:tcPr>
          <w:p w:rsidR="007C1F9F" w:rsidRPr="00065687" w:rsidRDefault="007C1F9F" w:rsidP="00186172">
            <w:pPr>
              <w:pStyle w:val="AERtabletext-numbers"/>
            </w:pPr>
            <w:r w:rsidRPr="00065687">
              <w:t>30.6%</w:t>
            </w:r>
          </w:p>
        </w:tc>
      </w:tr>
      <w:tr w:rsidR="007C1F9F" w:rsidTr="00186172">
        <w:tc>
          <w:tcPr>
            <w:tcW w:w="2093" w:type="dxa"/>
            <w:shd w:val="clear" w:color="auto" w:fill="auto"/>
            <w:noWrap/>
            <w:tcMar>
              <w:top w:w="0" w:type="dxa"/>
              <w:bottom w:w="0" w:type="dxa"/>
            </w:tcMar>
            <w:vAlign w:val="center"/>
          </w:tcPr>
          <w:p w:rsidR="007C1F9F" w:rsidRPr="00065687" w:rsidRDefault="007C1F9F" w:rsidP="00186172">
            <w:pPr>
              <w:pStyle w:val="AERtabletext"/>
            </w:pPr>
            <w:r w:rsidRPr="00065687">
              <w:t>South West Pipeline (to Iona)</w:t>
            </w:r>
          </w:p>
        </w:tc>
        <w:tc>
          <w:tcPr>
            <w:tcW w:w="749" w:type="dxa"/>
            <w:shd w:val="clear" w:color="auto" w:fill="auto"/>
            <w:noWrap/>
            <w:tcMar>
              <w:top w:w="0" w:type="dxa"/>
              <w:bottom w:w="0" w:type="dxa"/>
            </w:tcMar>
            <w:vAlign w:val="center"/>
          </w:tcPr>
          <w:p w:rsidR="007C1F9F" w:rsidRPr="00065687" w:rsidRDefault="007C1F9F" w:rsidP="00186172">
            <w:pPr>
              <w:pStyle w:val="AERtabletext-numbers"/>
            </w:pPr>
            <w:r w:rsidRPr="00065687">
              <w:t>11.6%</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11.6%</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7.9%</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7.9%</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7.9%</w:t>
            </w:r>
          </w:p>
        </w:tc>
      </w:tr>
      <w:tr w:rsidR="007C1F9F" w:rsidTr="00186172">
        <w:tc>
          <w:tcPr>
            <w:tcW w:w="2093" w:type="dxa"/>
            <w:shd w:val="clear" w:color="auto" w:fill="F8B47C"/>
            <w:noWrap/>
            <w:tcMar>
              <w:top w:w="0" w:type="dxa"/>
              <w:bottom w:w="0" w:type="dxa"/>
            </w:tcMar>
            <w:vAlign w:val="center"/>
          </w:tcPr>
          <w:p w:rsidR="007C1F9F" w:rsidRPr="00065687" w:rsidRDefault="007C1F9F" w:rsidP="00186172">
            <w:pPr>
              <w:pStyle w:val="AERtabletext"/>
            </w:pPr>
            <w:r w:rsidRPr="00065687">
              <w:t>Western Transmission System</w:t>
            </w:r>
          </w:p>
        </w:tc>
        <w:tc>
          <w:tcPr>
            <w:tcW w:w="749" w:type="dxa"/>
            <w:shd w:val="clear" w:color="auto" w:fill="F8B47C"/>
            <w:noWrap/>
            <w:tcMar>
              <w:top w:w="0" w:type="dxa"/>
              <w:bottom w:w="0" w:type="dxa"/>
            </w:tcMar>
            <w:vAlign w:val="center"/>
          </w:tcPr>
          <w:p w:rsidR="007C1F9F" w:rsidRPr="00065687" w:rsidRDefault="007C1F9F" w:rsidP="00186172">
            <w:pPr>
              <w:pStyle w:val="AERtabletext-numbers"/>
            </w:pPr>
            <w:r w:rsidRPr="00065687">
              <w:t>46.0%</w:t>
            </w:r>
          </w:p>
        </w:tc>
        <w:tc>
          <w:tcPr>
            <w:tcW w:w="1421" w:type="dxa"/>
            <w:shd w:val="clear" w:color="auto" w:fill="F8B47C"/>
            <w:noWrap/>
            <w:tcMar>
              <w:top w:w="0" w:type="dxa"/>
              <w:bottom w:w="0" w:type="dxa"/>
            </w:tcMar>
            <w:vAlign w:val="center"/>
          </w:tcPr>
          <w:p w:rsidR="007C1F9F" w:rsidRPr="00065687" w:rsidRDefault="007C1F9F" w:rsidP="00186172">
            <w:pPr>
              <w:pStyle w:val="AERtabletext-numbers"/>
            </w:pPr>
            <w:r w:rsidRPr="00065687">
              <w:t>46.0%</w:t>
            </w:r>
          </w:p>
        </w:tc>
        <w:tc>
          <w:tcPr>
            <w:tcW w:w="1421" w:type="dxa"/>
            <w:shd w:val="clear" w:color="auto" w:fill="F8B47C"/>
            <w:noWrap/>
            <w:tcMar>
              <w:top w:w="0" w:type="dxa"/>
              <w:bottom w:w="0" w:type="dxa"/>
            </w:tcMar>
            <w:vAlign w:val="center"/>
          </w:tcPr>
          <w:p w:rsidR="007C1F9F" w:rsidRPr="00065687" w:rsidRDefault="007C1F9F" w:rsidP="00186172">
            <w:pPr>
              <w:pStyle w:val="AERtabletext-numbers"/>
            </w:pPr>
            <w:r w:rsidRPr="00065687">
              <w:t>46.0%</w:t>
            </w:r>
          </w:p>
        </w:tc>
        <w:tc>
          <w:tcPr>
            <w:tcW w:w="1422" w:type="dxa"/>
            <w:shd w:val="clear" w:color="auto" w:fill="F8B47C"/>
            <w:noWrap/>
            <w:tcMar>
              <w:top w:w="0" w:type="dxa"/>
              <w:bottom w:w="0" w:type="dxa"/>
            </w:tcMar>
            <w:vAlign w:val="center"/>
          </w:tcPr>
          <w:p w:rsidR="007C1F9F" w:rsidRPr="00065687" w:rsidRDefault="007C1F9F" w:rsidP="00186172">
            <w:pPr>
              <w:pStyle w:val="AERtabletext-numbers"/>
            </w:pPr>
            <w:r w:rsidRPr="00065687">
              <w:t>46.0%</w:t>
            </w:r>
          </w:p>
        </w:tc>
        <w:tc>
          <w:tcPr>
            <w:tcW w:w="1422" w:type="dxa"/>
            <w:shd w:val="clear" w:color="auto" w:fill="F8B47C"/>
            <w:noWrap/>
            <w:tcMar>
              <w:top w:w="0" w:type="dxa"/>
              <w:bottom w:w="0" w:type="dxa"/>
            </w:tcMar>
            <w:vAlign w:val="center"/>
          </w:tcPr>
          <w:p w:rsidR="007C1F9F" w:rsidRPr="00065687" w:rsidRDefault="007C1F9F" w:rsidP="00186172">
            <w:pPr>
              <w:pStyle w:val="AERtabletext-numbers"/>
            </w:pPr>
            <w:r w:rsidRPr="00065687">
              <w:t>46.0%</w:t>
            </w:r>
          </w:p>
        </w:tc>
      </w:tr>
      <w:tr w:rsidR="007C1F9F" w:rsidTr="00186172">
        <w:tc>
          <w:tcPr>
            <w:tcW w:w="2093" w:type="dxa"/>
            <w:shd w:val="clear" w:color="auto" w:fill="auto"/>
            <w:noWrap/>
            <w:tcMar>
              <w:top w:w="0" w:type="dxa"/>
              <w:bottom w:w="0" w:type="dxa"/>
            </w:tcMar>
            <w:vAlign w:val="center"/>
          </w:tcPr>
          <w:p w:rsidR="007C1F9F" w:rsidRPr="007E3923" w:rsidRDefault="007C1F9F" w:rsidP="00186172">
            <w:pPr>
              <w:pStyle w:val="AERtabletext"/>
            </w:pPr>
            <w:r w:rsidRPr="00065687">
              <w:t>New South Wales Interconnect (to Vic</w:t>
            </w:r>
            <w:r w:rsidRPr="007E3923">
              <w:t>toria)</w:t>
            </w:r>
          </w:p>
        </w:tc>
        <w:tc>
          <w:tcPr>
            <w:tcW w:w="749" w:type="dxa"/>
            <w:shd w:val="clear" w:color="auto" w:fill="auto"/>
            <w:noWrap/>
            <w:tcMar>
              <w:top w:w="0" w:type="dxa"/>
              <w:bottom w:w="0" w:type="dxa"/>
            </w:tcMar>
            <w:vAlign w:val="center"/>
          </w:tcPr>
          <w:p w:rsidR="007C1F9F" w:rsidRPr="00065687" w:rsidRDefault="007C1F9F" w:rsidP="00186172">
            <w:pPr>
              <w:pStyle w:val="AERtabletext-numbers"/>
            </w:pPr>
            <w:r w:rsidRPr="00065687">
              <w:t>3.0%</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3.0%</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2.5%</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2.5%</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2.5%</w:t>
            </w:r>
          </w:p>
        </w:tc>
      </w:tr>
      <w:tr w:rsidR="007C1F9F" w:rsidTr="00186172">
        <w:tc>
          <w:tcPr>
            <w:tcW w:w="2093" w:type="dxa"/>
            <w:shd w:val="clear" w:color="auto" w:fill="F8B47C"/>
            <w:noWrap/>
            <w:tcMar>
              <w:top w:w="0" w:type="dxa"/>
              <w:bottom w:w="0" w:type="dxa"/>
            </w:tcMar>
            <w:vAlign w:val="center"/>
          </w:tcPr>
          <w:p w:rsidR="007C1F9F" w:rsidRPr="007E3923" w:rsidRDefault="007C1F9F" w:rsidP="00186172">
            <w:pPr>
              <w:pStyle w:val="AERtabletext"/>
            </w:pPr>
            <w:r w:rsidRPr="00065687">
              <w:t>New South Wales Interconnect (from Vic</w:t>
            </w:r>
            <w:r w:rsidRPr="007E3923">
              <w:t>toria (Summer))</w:t>
            </w:r>
          </w:p>
        </w:tc>
        <w:tc>
          <w:tcPr>
            <w:tcW w:w="749" w:type="dxa"/>
            <w:shd w:val="clear" w:color="auto" w:fill="F8B47C"/>
            <w:noWrap/>
            <w:tcMar>
              <w:top w:w="0" w:type="dxa"/>
              <w:bottom w:w="0" w:type="dxa"/>
            </w:tcMar>
            <w:vAlign w:val="center"/>
          </w:tcPr>
          <w:p w:rsidR="007C1F9F" w:rsidRPr="00065687" w:rsidRDefault="007C1F9F" w:rsidP="00186172">
            <w:pPr>
              <w:pStyle w:val="AERtabletext-numbers"/>
            </w:pPr>
            <w:r w:rsidRPr="00065687">
              <w:t>26.4%</w:t>
            </w:r>
          </w:p>
        </w:tc>
        <w:tc>
          <w:tcPr>
            <w:tcW w:w="1421" w:type="dxa"/>
            <w:shd w:val="clear" w:color="auto" w:fill="F8B47C"/>
            <w:noWrap/>
            <w:tcMar>
              <w:top w:w="0" w:type="dxa"/>
              <w:bottom w:w="0" w:type="dxa"/>
            </w:tcMar>
            <w:vAlign w:val="center"/>
          </w:tcPr>
          <w:p w:rsidR="007C1F9F" w:rsidRPr="00065687" w:rsidRDefault="007C1F9F" w:rsidP="00186172">
            <w:pPr>
              <w:pStyle w:val="AERtabletext-numbers"/>
            </w:pPr>
            <w:r w:rsidRPr="00065687">
              <w:t>26.4%</w:t>
            </w:r>
          </w:p>
        </w:tc>
        <w:tc>
          <w:tcPr>
            <w:tcW w:w="1421" w:type="dxa"/>
            <w:shd w:val="clear" w:color="auto" w:fill="F8B47C"/>
            <w:noWrap/>
            <w:tcMar>
              <w:top w:w="0" w:type="dxa"/>
              <w:bottom w:w="0" w:type="dxa"/>
            </w:tcMar>
            <w:vAlign w:val="center"/>
          </w:tcPr>
          <w:p w:rsidR="007C1F9F" w:rsidRPr="00065687" w:rsidRDefault="007C1F9F" w:rsidP="00186172">
            <w:pPr>
              <w:pStyle w:val="AERtabletext-numbers"/>
            </w:pPr>
            <w:r w:rsidRPr="00065687">
              <w:t>38.0%</w:t>
            </w:r>
          </w:p>
        </w:tc>
        <w:tc>
          <w:tcPr>
            <w:tcW w:w="1422" w:type="dxa"/>
            <w:shd w:val="clear" w:color="auto" w:fill="F8B47C"/>
            <w:noWrap/>
            <w:tcMar>
              <w:top w:w="0" w:type="dxa"/>
              <w:bottom w:w="0" w:type="dxa"/>
            </w:tcMar>
            <w:vAlign w:val="center"/>
          </w:tcPr>
          <w:p w:rsidR="007C1F9F" w:rsidRPr="00065687" w:rsidRDefault="007C1F9F" w:rsidP="00186172">
            <w:pPr>
              <w:pStyle w:val="AERtabletext-numbers"/>
            </w:pPr>
            <w:r w:rsidRPr="00065687">
              <w:t>38.0%</w:t>
            </w:r>
          </w:p>
        </w:tc>
        <w:tc>
          <w:tcPr>
            <w:tcW w:w="1422" w:type="dxa"/>
            <w:shd w:val="clear" w:color="auto" w:fill="F8B47C"/>
            <w:noWrap/>
            <w:tcMar>
              <w:top w:w="0" w:type="dxa"/>
              <w:bottom w:w="0" w:type="dxa"/>
            </w:tcMar>
            <w:vAlign w:val="center"/>
          </w:tcPr>
          <w:p w:rsidR="007C1F9F" w:rsidRPr="00065687" w:rsidRDefault="007C1F9F" w:rsidP="00186172">
            <w:pPr>
              <w:pStyle w:val="AERtabletext-numbers"/>
            </w:pPr>
            <w:r w:rsidRPr="00065687">
              <w:t>38.0%</w:t>
            </w:r>
          </w:p>
        </w:tc>
      </w:tr>
      <w:tr w:rsidR="007C1F9F" w:rsidTr="00186172">
        <w:tc>
          <w:tcPr>
            <w:tcW w:w="2093" w:type="dxa"/>
            <w:shd w:val="clear" w:color="auto" w:fill="auto"/>
            <w:noWrap/>
            <w:tcMar>
              <w:top w:w="0" w:type="dxa"/>
              <w:bottom w:w="0" w:type="dxa"/>
            </w:tcMar>
            <w:vAlign w:val="center"/>
          </w:tcPr>
          <w:p w:rsidR="007C1F9F" w:rsidRPr="007E3923" w:rsidRDefault="007C1F9F" w:rsidP="00186172">
            <w:pPr>
              <w:pStyle w:val="AERtabletext"/>
            </w:pPr>
            <w:r w:rsidRPr="00065687">
              <w:t>New South Wales Interconnect (from Vic</w:t>
            </w:r>
            <w:r w:rsidRPr="007E3923">
              <w:t>toria (Winter))</w:t>
            </w:r>
          </w:p>
        </w:tc>
        <w:tc>
          <w:tcPr>
            <w:tcW w:w="749" w:type="dxa"/>
            <w:shd w:val="clear" w:color="auto" w:fill="auto"/>
            <w:noWrap/>
            <w:tcMar>
              <w:top w:w="0" w:type="dxa"/>
              <w:bottom w:w="0" w:type="dxa"/>
            </w:tcMar>
            <w:vAlign w:val="center"/>
          </w:tcPr>
          <w:p w:rsidR="007C1F9F" w:rsidRPr="00065687" w:rsidRDefault="007C1F9F" w:rsidP="00186172">
            <w:pPr>
              <w:pStyle w:val="AERtabletext-numbers"/>
            </w:pPr>
            <w:r w:rsidRPr="00065687">
              <w:t>57.7%</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57.7%</w:t>
            </w:r>
          </w:p>
        </w:tc>
        <w:tc>
          <w:tcPr>
            <w:tcW w:w="1421" w:type="dxa"/>
            <w:shd w:val="clear" w:color="auto" w:fill="auto"/>
            <w:noWrap/>
            <w:tcMar>
              <w:top w:w="0" w:type="dxa"/>
              <w:bottom w:w="0" w:type="dxa"/>
            </w:tcMar>
            <w:vAlign w:val="center"/>
          </w:tcPr>
          <w:p w:rsidR="007C1F9F" w:rsidRPr="00065687" w:rsidRDefault="007C1F9F" w:rsidP="00186172">
            <w:pPr>
              <w:pStyle w:val="AERtabletext-numbers"/>
            </w:pPr>
            <w:r w:rsidRPr="00065687">
              <w:t>68.5%</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68.5%</w:t>
            </w:r>
          </w:p>
        </w:tc>
        <w:tc>
          <w:tcPr>
            <w:tcW w:w="1422" w:type="dxa"/>
            <w:shd w:val="clear" w:color="auto" w:fill="auto"/>
            <w:noWrap/>
            <w:tcMar>
              <w:top w:w="0" w:type="dxa"/>
              <w:bottom w:w="0" w:type="dxa"/>
            </w:tcMar>
            <w:vAlign w:val="center"/>
          </w:tcPr>
          <w:p w:rsidR="007C1F9F" w:rsidRPr="00065687" w:rsidRDefault="007C1F9F" w:rsidP="00186172">
            <w:pPr>
              <w:pStyle w:val="AERtabletext-numbers"/>
            </w:pPr>
            <w:r w:rsidRPr="00065687">
              <w:t>68.5%</w:t>
            </w:r>
          </w:p>
        </w:tc>
      </w:tr>
    </w:tbl>
    <w:p w:rsidR="007C1F9F" w:rsidRDefault="007C1F9F" w:rsidP="007C1F9F">
      <w:pPr>
        <w:pStyle w:val="AERbodytext"/>
      </w:pPr>
    </w:p>
    <w:p w:rsidR="007C1F9F" w:rsidRPr="00BD087C" w:rsidRDefault="007C1F9F" w:rsidP="007C1F9F">
      <w:pPr>
        <w:pStyle w:val="AERtabletitle"/>
      </w:pPr>
      <w:bookmarkStart w:id="174" w:name="_Ref333917494"/>
      <w:r>
        <w:t>Forecast of VTS maximum and average demand</w:t>
      </w:r>
      <w:bookmarkEnd w:id="174"/>
    </w:p>
    <w:tbl>
      <w:tblPr>
        <w:tblW w:w="0" w:type="auto"/>
        <w:tblBorders>
          <w:top w:val="single" w:sz="4" w:space="0" w:color="auto"/>
          <w:bottom w:val="single" w:sz="4" w:space="0" w:color="auto"/>
        </w:tblBorders>
        <w:tblLook w:val="0020"/>
      </w:tblPr>
      <w:tblGrid>
        <w:gridCol w:w="1421"/>
        <w:gridCol w:w="1421"/>
        <w:gridCol w:w="1421"/>
        <w:gridCol w:w="1421"/>
        <w:gridCol w:w="1422"/>
        <w:gridCol w:w="1422"/>
      </w:tblGrid>
      <w:tr w:rsidR="007C1F9F" w:rsidTr="00186172">
        <w:tc>
          <w:tcPr>
            <w:tcW w:w="142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Forecast Demand (TJ/day)</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2013</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2014</w:t>
            </w:r>
          </w:p>
        </w:tc>
        <w:tc>
          <w:tcPr>
            <w:tcW w:w="142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2015</w:t>
            </w:r>
          </w:p>
        </w:tc>
        <w:tc>
          <w:tcPr>
            <w:tcW w:w="142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2016</w:t>
            </w:r>
          </w:p>
        </w:tc>
        <w:tc>
          <w:tcPr>
            <w:tcW w:w="142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C1F9F" w:rsidRPr="007E3923" w:rsidRDefault="007C1F9F" w:rsidP="00186172">
            <w:pPr>
              <w:pStyle w:val="AERtabletextheadingright"/>
            </w:pPr>
            <w:r w:rsidRPr="007E3923">
              <w:t>2017</w:t>
            </w:r>
          </w:p>
        </w:tc>
      </w:tr>
      <w:tr w:rsidR="007C1F9F" w:rsidTr="00186172">
        <w:tc>
          <w:tcPr>
            <w:tcW w:w="1421" w:type="dxa"/>
            <w:shd w:val="clear" w:color="auto" w:fill="auto"/>
            <w:noWrap/>
            <w:tcMar>
              <w:top w:w="0" w:type="dxa"/>
              <w:bottom w:w="0" w:type="dxa"/>
            </w:tcMar>
            <w:vAlign w:val="center"/>
          </w:tcPr>
          <w:p w:rsidR="007C1F9F" w:rsidRPr="007E3923" w:rsidRDefault="007C1F9F" w:rsidP="00186172">
            <w:pPr>
              <w:pStyle w:val="AERtabletext"/>
            </w:pPr>
            <w:r>
              <w:t xml:space="preserve">Maximum </w:t>
            </w:r>
            <w:r w:rsidRPr="007E3923">
              <w:t>demand</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1228</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1225</w:t>
            </w:r>
          </w:p>
        </w:tc>
        <w:tc>
          <w:tcPr>
            <w:tcW w:w="1421" w:type="dxa"/>
            <w:shd w:val="clear" w:color="auto" w:fill="auto"/>
            <w:noWrap/>
            <w:tcMar>
              <w:top w:w="0" w:type="dxa"/>
              <w:bottom w:w="0" w:type="dxa"/>
            </w:tcMar>
            <w:vAlign w:val="center"/>
          </w:tcPr>
          <w:p w:rsidR="007C1F9F" w:rsidRPr="007E3923" w:rsidRDefault="007C1F9F" w:rsidP="00186172">
            <w:pPr>
              <w:pStyle w:val="AERtabletext-numbers"/>
            </w:pPr>
            <w:r>
              <w:t>1258</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1265</w:t>
            </w:r>
          </w:p>
        </w:tc>
        <w:tc>
          <w:tcPr>
            <w:tcW w:w="1422" w:type="dxa"/>
            <w:shd w:val="clear" w:color="auto" w:fill="auto"/>
            <w:noWrap/>
            <w:tcMar>
              <w:top w:w="0" w:type="dxa"/>
              <w:bottom w:w="0" w:type="dxa"/>
            </w:tcMar>
            <w:vAlign w:val="center"/>
          </w:tcPr>
          <w:p w:rsidR="007C1F9F" w:rsidRPr="007E3923" w:rsidRDefault="007C1F9F" w:rsidP="00186172">
            <w:pPr>
              <w:pStyle w:val="AERtabletext-numbers"/>
            </w:pPr>
            <w:r>
              <w:t>1272</w:t>
            </w:r>
          </w:p>
        </w:tc>
      </w:tr>
      <w:tr w:rsidR="007C1F9F" w:rsidTr="00186172">
        <w:tc>
          <w:tcPr>
            <w:tcW w:w="1421" w:type="dxa"/>
            <w:shd w:val="clear" w:color="auto" w:fill="F8B47C"/>
            <w:noWrap/>
            <w:tcMar>
              <w:top w:w="0" w:type="dxa"/>
              <w:bottom w:w="0" w:type="dxa"/>
            </w:tcMar>
            <w:vAlign w:val="center"/>
          </w:tcPr>
          <w:p w:rsidR="007C1F9F" w:rsidRPr="007E3923" w:rsidRDefault="007C1F9F" w:rsidP="00186172">
            <w:pPr>
              <w:pStyle w:val="AERtabletext"/>
            </w:pPr>
            <w:r>
              <w:t>Average demand</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591.8</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589.3</w:t>
            </w:r>
          </w:p>
        </w:tc>
        <w:tc>
          <w:tcPr>
            <w:tcW w:w="1421" w:type="dxa"/>
            <w:shd w:val="clear" w:color="auto" w:fill="F8B47C"/>
            <w:noWrap/>
            <w:tcMar>
              <w:top w:w="0" w:type="dxa"/>
              <w:bottom w:w="0" w:type="dxa"/>
            </w:tcMar>
            <w:vAlign w:val="center"/>
          </w:tcPr>
          <w:p w:rsidR="007C1F9F" w:rsidRPr="007E3923" w:rsidRDefault="007C1F9F" w:rsidP="00186172">
            <w:pPr>
              <w:pStyle w:val="AERtabletext-numbers"/>
            </w:pPr>
            <w:r>
              <w:t>608.8</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613.7</w:t>
            </w:r>
          </w:p>
        </w:tc>
        <w:tc>
          <w:tcPr>
            <w:tcW w:w="1422" w:type="dxa"/>
            <w:shd w:val="clear" w:color="auto" w:fill="F8B47C"/>
            <w:noWrap/>
            <w:tcMar>
              <w:top w:w="0" w:type="dxa"/>
              <w:bottom w:w="0" w:type="dxa"/>
            </w:tcMar>
            <w:vAlign w:val="center"/>
          </w:tcPr>
          <w:p w:rsidR="007C1F9F" w:rsidRPr="007E3923" w:rsidRDefault="007C1F9F" w:rsidP="00186172">
            <w:pPr>
              <w:pStyle w:val="AERtabletext-numbers"/>
            </w:pPr>
            <w:r>
              <w:t>617.5</w:t>
            </w:r>
          </w:p>
        </w:tc>
      </w:tr>
    </w:tbl>
    <w:p w:rsidR="007C1F9F" w:rsidRDefault="007C1F9F" w:rsidP="007C1F9F">
      <w:pPr>
        <w:pStyle w:val="AERbodytext"/>
      </w:pPr>
    </w:p>
    <w:p w:rsidR="007C1F9F" w:rsidRDefault="007C1F9F" w:rsidP="007C1F9F">
      <w:pPr>
        <w:pStyle w:val="AERheading1"/>
        <w:numPr>
          <w:ilvl w:val="0"/>
          <w:numId w:val="7"/>
        </w:numPr>
        <w:tabs>
          <w:tab w:val="clear" w:pos="-357"/>
          <w:tab w:val="left" w:pos="0"/>
        </w:tabs>
        <w:ind w:left="-354" w:hanging="360"/>
      </w:pPr>
      <w:bookmarkStart w:id="175" w:name="_Toc334543802"/>
      <w:r>
        <w:t>Tariff setting</w:t>
      </w:r>
      <w:bookmarkEnd w:id="175"/>
    </w:p>
    <w:p w:rsidR="007C1F9F" w:rsidRDefault="007C1F9F" w:rsidP="007C1F9F">
      <w:pPr>
        <w:pStyle w:val="AERbodytext"/>
      </w:pPr>
      <w:r w:rsidRPr="007E3923">
        <w:rPr>
          <w:rFonts w:eastAsia="Calibri"/>
        </w:rPr>
        <w:t>An access arrangement must set out how a service provider intends to charge for reference services. The service provider's access arrangement information must include an explanation of the basis for setting reference tariffs, including the method used to allocate costs and a demonstration of the relationship between costs and tariffs.</w:t>
      </w:r>
      <w:r w:rsidRPr="007E3923">
        <w:rPr>
          <w:rStyle w:val="FootnoteReference"/>
          <w:rFonts w:eastAsia="Calibri"/>
        </w:rPr>
        <w:footnoteReference w:id="604"/>
      </w:r>
      <w:r w:rsidRPr="007E3923">
        <w:rPr>
          <w:rFonts w:eastAsia="Calibri"/>
        </w:rPr>
        <w:t xml:space="preserve"> </w:t>
      </w:r>
      <w:r>
        <w:t>The AER will assess APA GasNet’s proposed reference tariffs against the provisions of the NGR and the NGL, in particular r. 93, r. 95 and r. 96 of the NGR, and the revenue and pricing principles and the NGO from the NGL.</w:t>
      </w:r>
      <w:r w:rsidRPr="00955F13">
        <w:t xml:space="preserve"> </w:t>
      </w:r>
    </w:p>
    <w:p w:rsidR="007C1F9F" w:rsidRPr="003100DF" w:rsidRDefault="007C1F9F" w:rsidP="007C1F9F">
      <w:pPr>
        <w:pStyle w:val="AERbodytext"/>
      </w:pPr>
      <w:r w:rsidRPr="00955F13">
        <w:t xml:space="preserve">This </w:t>
      </w:r>
      <w:r>
        <w:t>attachment</w:t>
      </w:r>
      <w:r w:rsidRPr="00955F13">
        <w:t xml:space="preserve"> </w:t>
      </w:r>
      <w:r>
        <w:t>describes the</w:t>
      </w:r>
      <w:r w:rsidRPr="00955F13">
        <w:t xml:space="preserve"> AER’s </w:t>
      </w:r>
      <w:r>
        <w:t>assessment</w:t>
      </w:r>
      <w:r w:rsidRPr="00955F13">
        <w:t xml:space="preserve"> of </w:t>
      </w:r>
      <w:r>
        <w:t xml:space="preserve">the </w:t>
      </w:r>
      <w:r w:rsidRPr="00955F13">
        <w:t xml:space="preserve">reference tariffs proposed by </w:t>
      </w:r>
      <w:r>
        <w:t>APA GasNet and sets out the revisions required by this decision</w:t>
      </w:r>
      <w:r w:rsidRPr="00955F13">
        <w:t>. The AER</w:t>
      </w:r>
      <w:r>
        <w:t>'s</w:t>
      </w:r>
      <w:r w:rsidRPr="00955F13">
        <w:t xml:space="preserve"> </w:t>
      </w:r>
      <w:r>
        <w:t xml:space="preserve">assessment focuses </w:t>
      </w:r>
      <w:r w:rsidRPr="00955F13">
        <w:t xml:space="preserve">on the </w:t>
      </w:r>
      <w:r>
        <w:t xml:space="preserve">design and </w:t>
      </w:r>
      <w:r w:rsidRPr="00955F13">
        <w:t xml:space="preserve">structure of tariffs and </w:t>
      </w:r>
      <w:r>
        <w:t xml:space="preserve">the </w:t>
      </w:r>
      <w:r w:rsidRPr="00955F13">
        <w:t xml:space="preserve">allocation of </w:t>
      </w:r>
      <w:r>
        <w:t>costs to services.</w:t>
      </w:r>
    </w:p>
    <w:p w:rsidR="007C1F9F" w:rsidRPr="007F12F1" w:rsidRDefault="007C1F9F" w:rsidP="007C1F9F">
      <w:pPr>
        <w:pStyle w:val="AERheading2"/>
        <w:numPr>
          <w:ilvl w:val="1"/>
          <w:numId w:val="7"/>
        </w:numPr>
        <w:tabs>
          <w:tab w:val="clear" w:pos="4317"/>
          <w:tab w:val="num" w:pos="0"/>
        </w:tabs>
        <w:ind w:left="0" w:hanging="720"/>
      </w:pPr>
      <w:bookmarkStart w:id="176" w:name="_Toc334543803"/>
      <w:r w:rsidRPr="007F12F1">
        <w:t>Draft decision</w:t>
      </w:r>
      <w:bookmarkEnd w:id="176"/>
    </w:p>
    <w:p w:rsidR="007C1F9F" w:rsidRDefault="007C1F9F" w:rsidP="007C1F9F">
      <w:pPr>
        <w:pStyle w:val="AERbodytext"/>
      </w:pPr>
      <w:r>
        <w:t>The AER accepts the fundamental features of the proposed reference tariff, including the tariff design, the zonal structure, the basis for charging users, and the general approach to allocating costs.</w:t>
      </w:r>
    </w:p>
    <w:p w:rsidR="007C1F9F" w:rsidRDefault="007C1F9F" w:rsidP="007C1F9F">
      <w:pPr>
        <w:pStyle w:val="AERbodytext"/>
      </w:pPr>
      <w:r>
        <w:t>However, the AER does not approve a number of specific elements of the proposal, principally in relation to cost allocation. This necessarily affects the calculation of the reference tariff. APA GasNet is required to recalculate the reference tariff incorporating the revisions described below and the various other revisions in this draft decision that affect the inputs to the tariff calculation such as the approved capex forecast, opex forecast and WACC.</w:t>
      </w:r>
    </w:p>
    <w:p w:rsidR="007C1F9F" w:rsidRDefault="007C1F9F" w:rsidP="007C1F9F">
      <w:pPr>
        <w:pStyle w:val="AERbodytext"/>
      </w:pPr>
      <w:r>
        <w:t>Specifically, the AER:</w:t>
      </w:r>
    </w:p>
    <w:p w:rsidR="007C1F9F" w:rsidRDefault="007C1F9F" w:rsidP="007C1F9F">
      <w:pPr>
        <w:pStyle w:val="AERbulletlistfirststyle"/>
      </w:pPr>
      <w:r>
        <w:t>requires that the proposed Anglesea, Kalkallo and Warragul laterals be allocated to the correct tariff zones</w:t>
      </w:r>
    </w:p>
    <w:p w:rsidR="007C1F9F" w:rsidRDefault="007C1F9F" w:rsidP="007C1F9F">
      <w:pPr>
        <w:pStyle w:val="AERbulletlistfirststyle"/>
      </w:pPr>
      <w:r>
        <w:t>does not accept the application of the ORC cost allocation procedure for the existing Murray Valley pipeline and the South West pipeline, and requires the allocation to these pipelines be determined on a stand-alone basis</w:t>
      </w:r>
    </w:p>
    <w:p w:rsidR="007C1F9F" w:rsidRDefault="007C1F9F" w:rsidP="007C1F9F">
      <w:pPr>
        <w:pStyle w:val="AERbulletlistfirststyle"/>
      </w:pPr>
      <w:r>
        <w:t>does not accept the ORC allocation procedure for the proposed Gas to Culcairn project, and requires the allocation to this project be determined on a stand-alone basis</w:t>
      </w:r>
    </w:p>
    <w:p w:rsidR="007C1F9F" w:rsidRDefault="007C1F9F" w:rsidP="007C1F9F">
      <w:pPr>
        <w:pStyle w:val="AERbulletlistfirststyle"/>
      </w:pPr>
      <w:r>
        <w:t>requires that the forecast export volumes through Culcairn pay at least the incremental cost of the proposed Wollert to Wodonga expansion</w:t>
      </w:r>
    </w:p>
    <w:p w:rsidR="007C1F9F" w:rsidRDefault="007C1F9F" w:rsidP="007C1F9F">
      <w:pPr>
        <w:pStyle w:val="AERbulletlistfirststyle"/>
      </w:pPr>
      <w:r>
        <w:t>requires that users in the northern tariff zones receive an allocation of indirect costs which minimises the movement in tariffs from the 2008–12 access arrangement.</w:t>
      </w:r>
    </w:p>
    <w:p w:rsidR="007C1F9F" w:rsidRPr="007F12F1" w:rsidRDefault="007C1F9F" w:rsidP="007C1F9F">
      <w:pPr>
        <w:pStyle w:val="AERheading2"/>
        <w:numPr>
          <w:ilvl w:val="1"/>
          <w:numId w:val="7"/>
        </w:numPr>
        <w:tabs>
          <w:tab w:val="clear" w:pos="4317"/>
          <w:tab w:val="num" w:pos="0"/>
        </w:tabs>
        <w:ind w:left="0" w:hanging="720"/>
      </w:pPr>
      <w:bookmarkStart w:id="177" w:name="_Toc334543804"/>
      <w:r w:rsidRPr="007F12F1">
        <w:t>APA GasNet's Proposal</w:t>
      </w:r>
      <w:bookmarkEnd w:id="177"/>
      <w:r w:rsidRPr="007F12F1">
        <w:t xml:space="preserve"> </w:t>
      </w:r>
    </w:p>
    <w:p w:rsidR="007C1F9F" w:rsidRDefault="007C1F9F" w:rsidP="007C1F9F">
      <w:pPr>
        <w:pStyle w:val="AERbodytext"/>
      </w:pPr>
      <w:r>
        <w:t>APA GasNet proposed a highly detailed and complex tariff setting methodology. The main elements of the proposal are described under the following headings.</w:t>
      </w:r>
    </w:p>
    <w:p w:rsidR="007C1F9F" w:rsidRPr="0034631C" w:rsidRDefault="007C1F9F" w:rsidP="007C1F9F">
      <w:pPr>
        <w:pStyle w:val="AERheading5"/>
      </w:pPr>
      <w:r w:rsidRPr="0034631C">
        <w:t xml:space="preserve">Tariff </w:t>
      </w:r>
      <w:r>
        <w:t>d</w:t>
      </w:r>
      <w:r w:rsidRPr="0034631C">
        <w:t>esign</w:t>
      </w:r>
    </w:p>
    <w:p w:rsidR="007C1F9F" w:rsidRPr="0034631C" w:rsidRDefault="007C1F9F" w:rsidP="007C1F9F">
      <w:pPr>
        <w:pStyle w:val="AERbodytext"/>
      </w:pPr>
      <w:r>
        <w:t xml:space="preserve">APA GasNet proposed a tariff design which is substantially the same as that </w:t>
      </w:r>
      <w:r w:rsidRPr="0034631C">
        <w:t xml:space="preserve">applied in the </w:t>
      </w:r>
      <w:r>
        <w:t>2008–12 a</w:t>
      </w:r>
      <w:r w:rsidRPr="0034631C">
        <w:t xml:space="preserve">ccess </w:t>
      </w:r>
      <w:r>
        <w:t>a</w:t>
      </w:r>
      <w:r w:rsidRPr="0034631C">
        <w:t>rrangement.</w:t>
      </w:r>
    </w:p>
    <w:p w:rsidR="007C1F9F" w:rsidRPr="0034631C" w:rsidRDefault="007C1F9F" w:rsidP="007C1F9F">
      <w:pPr>
        <w:pStyle w:val="AERbodytext"/>
      </w:pPr>
      <w:r>
        <w:t>The key features of the</w:t>
      </w:r>
      <w:r w:rsidRPr="0034631C">
        <w:t xml:space="preserve"> design are:</w:t>
      </w:r>
    </w:p>
    <w:p w:rsidR="007C1F9F" w:rsidRDefault="007C1F9F" w:rsidP="007C1F9F">
      <w:pPr>
        <w:pStyle w:val="AERbulletlistfirststyle"/>
      </w:pPr>
      <w:r>
        <w:t>tariffs are levied on actual flows by users rather than on capacity reservations</w:t>
      </w:r>
    </w:p>
    <w:p w:rsidR="007C1F9F" w:rsidRPr="0034631C" w:rsidRDefault="007C1F9F" w:rsidP="007C1F9F">
      <w:pPr>
        <w:pStyle w:val="AERbulletlistfirststyle"/>
      </w:pPr>
      <w:r>
        <w:t>users are charged for injections into the system at multiple injection zones, and for withdrawals from the system at multiple withdrawal zones</w:t>
      </w:r>
    </w:p>
    <w:p w:rsidR="007C1F9F" w:rsidRPr="0034631C" w:rsidRDefault="007C1F9F" w:rsidP="007C1F9F">
      <w:pPr>
        <w:pStyle w:val="AERbulletlistfirststyle"/>
      </w:pPr>
      <w:r>
        <w:t>the injection tariffs recover the direct costs associated with use of the injection pipelines, and the withdrawal tariffs recover the direct costs attributable to the physical path taken by the gas flows through the system</w:t>
      </w:r>
    </w:p>
    <w:p w:rsidR="007C1F9F" w:rsidRPr="0034631C" w:rsidRDefault="007C1F9F" w:rsidP="007C1F9F">
      <w:pPr>
        <w:pStyle w:val="AERbulletlistfirststyle"/>
      </w:pPr>
      <w:r>
        <w:t xml:space="preserve">indirect costs and costs related to assets with system-wide benefits are, with exceptions, allocated </w:t>
      </w:r>
      <w:r w:rsidRPr="0034631C">
        <w:t xml:space="preserve">at a </w:t>
      </w:r>
      <w:r>
        <w:t>fixed</w:t>
      </w:r>
      <w:r w:rsidRPr="0034631C">
        <w:t xml:space="preserve"> </w:t>
      </w:r>
      <w:r>
        <w:t xml:space="preserve">commodity </w:t>
      </w:r>
      <w:r w:rsidRPr="0034631C">
        <w:t>rate on a postage stamp basis</w:t>
      </w:r>
    </w:p>
    <w:p w:rsidR="007C1F9F" w:rsidRPr="0034631C" w:rsidRDefault="007C1F9F" w:rsidP="007C1F9F">
      <w:pPr>
        <w:pStyle w:val="AERbulletlistfirststyle"/>
      </w:pPr>
      <w:r>
        <w:t xml:space="preserve">the physical path is based on a forecast of the predominant flow, but </w:t>
      </w:r>
      <w:r w:rsidRPr="0034631C">
        <w:t>certain exceptions are made to this methodology, specifically:</w:t>
      </w:r>
    </w:p>
    <w:p w:rsidR="007C1F9F" w:rsidRPr="0034631C" w:rsidRDefault="007C1F9F" w:rsidP="007C1F9F">
      <w:pPr>
        <w:pStyle w:val="AERbulletlistsecondstyle"/>
      </w:pPr>
      <w:r>
        <w:t>certain withdrawal tariffs can be matched to an injection zone</w:t>
      </w:r>
    </w:p>
    <w:p w:rsidR="007C1F9F" w:rsidRPr="0034631C" w:rsidRDefault="007C1F9F" w:rsidP="007C1F9F">
      <w:pPr>
        <w:pStyle w:val="AERbulletlistsecondstyle"/>
      </w:pPr>
      <w:r>
        <w:t xml:space="preserve">a cross-system tariff applies where </w:t>
      </w:r>
      <w:r w:rsidRPr="0034631C">
        <w:t>withdrawals from an injection pipeline are matched to injections in a different injection zone</w:t>
      </w:r>
    </w:p>
    <w:p w:rsidR="007C1F9F" w:rsidRDefault="007C1F9F" w:rsidP="007C1F9F">
      <w:pPr>
        <w:pStyle w:val="AERbulletlistsecondstyle"/>
      </w:pPr>
      <w:r>
        <w:t>special tariffs apply to refill of storage facilities in off-peak periods</w:t>
      </w:r>
    </w:p>
    <w:p w:rsidR="007C1F9F" w:rsidRDefault="007C1F9F" w:rsidP="007C1F9F">
      <w:pPr>
        <w:pStyle w:val="AERbulletlistfirststyle"/>
      </w:pPr>
      <w:r>
        <w:t>in general there are no backhaul charges for flows on injection pipelines against the predominant flow.</w:t>
      </w:r>
    </w:p>
    <w:p w:rsidR="007C1F9F" w:rsidRPr="0034631C" w:rsidRDefault="007C1F9F" w:rsidP="007C1F9F">
      <w:pPr>
        <w:pStyle w:val="AERheading5"/>
      </w:pPr>
      <w:r w:rsidRPr="0034631C">
        <w:t>Tariff Classes and Charging Parameters</w:t>
      </w:r>
    </w:p>
    <w:p w:rsidR="007C1F9F" w:rsidRPr="0034631C" w:rsidRDefault="007C1F9F" w:rsidP="007C1F9F">
      <w:pPr>
        <w:pStyle w:val="AERbodytext"/>
      </w:pPr>
      <w:r>
        <w:t>APA GasNet proposed n</w:t>
      </w:r>
      <w:r w:rsidRPr="0034631C">
        <w:t>o change in the definition of the tariff classes:</w:t>
      </w:r>
    </w:p>
    <w:p w:rsidR="007C1F9F" w:rsidRPr="0034631C" w:rsidRDefault="007C1F9F" w:rsidP="007C1F9F">
      <w:pPr>
        <w:pStyle w:val="AERbulletlistsecondstyle"/>
      </w:pPr>
      <w:r>
        <w:t>a</w:t>
      </w:r>
      <w:r w:rsidRPr="0034631C">
        <w:t xml:space="preserve"> differential withdrawal tariff is charged in relation to </w:t>
      </w:r>
      <w:r>
        <w:t>tariff-V</w:t>
      </w:r>
      <w:r w:rsidRPr="0034631C">
        <w:t xml:space="preserve"> and </w:t>
      </w:r>
      <w:r>
        <w:t>tariff-D</w:t>
      </w:r>
      <w:r w:rsidRPr="0034631C">
        <w:t xml:space="preserve"> customers in each withdrawal zone</w:t>
      </w:r>
    </w:p>
    <w:p w:rsidR="007C1F9F" w:rsidRPr="0034631C" w:rsidRDefault="007C1F9F" w:rsidP="007C1F9F">
      <w:pPr>
        <w:pStyle w:val="AERbulletlistsecondstyle"/>
      </w:pPr>
      <w:r>
        <w:t xml:space="preserve">distinct withdrawal tariffs are charged </w:t>
      </w:r>
      <w:r w:rsidRPr="0034631C">
        <w:t>to users at system export and storage refill locations</w:t>
      </w:r>
    </w:p>
    <w:p w:rsidR="007C1F9F" w:rsidRPr="0034631C" w:rsidRDefault="007C1F9F" w:rsidP="007C1F9F">
      <w:pPr>
        <w:pStyle w:val="AERbulletlistsecondstyle"/>
      </w:pPr>
      <w:r>
        <w:t>i</w:t>
      </w:r>
      <w:r w:rsidRPr="0034631C">
        <w:t xml:space="preserve">njection tariffs are charged to registered Market Participants authorised by AEMO to inject gas into the </w:t>
      </w:r>
      <w:r>
        <w:t>system.</w:t>
      </w:r>
    </w:p>
    <w:p w:rsidR="007C1F9F" w:rsidRPr="0034631C" w:rsidRDefault="007C1F9F" w:rsidP="007C1F9F">
      <w:pPr>
        <w:pStyle w:val="AERbodytext"/>
      </w:pPr>
      <w:r>
        <w:t>APA GasNet proposed no changes to the charging parameters applied to users:</w:t>
      </w:r>
    </w:p>
    <w:p w:rsidR="007C1F9F" w:rsidRDefault="007C1F9F" w:rsidP="007C1F9F">
      <w:pPr>
        <w:pStyle w:val="AERbulletlistsecondstyle"/>
      </w:pPr>
      <w:r>
        <w:t>injections are charged on the user’s actual injections on the 10 peak injection days at each injection zone</w:t>
      </w:r>
    </w:p>
    <w:p w:rsidR="007C1F9F" w:rsidRDefault="007C1F9F" w:rsidP="007C1F9F">
      <w:pPr>
        <w:pStyle w:val="AERbulletlistsecondstyle"/>
      </w:pPr>
      <w:r>
        <w:t>withdrawals are charged on the user’s actual annual withdrawals (applicable to both tariff-D and tariff-V, system export, cross-system and refill tariffs).</w:t>
      </w:r>
    </w:p>
    <w:p w:rsidR="007C1F9F" w:rsidRPr="0034631C" w:rsidRDefault="007C1F9F" w:rsidP="007C1F9F">
      <w:pPr>
        <w:pStyle w:val="AERheading5"/>
      </w:pPr>
      <w:r w:rsidRPr="0034631C">
        <w:t>Tariff Zones</w:t>
      </w:r>
    </w:p>
    <w:p w:rsidR="007C1F9F" w:rsidRPr="0034631C" w:rsidRDefault="007C1F9F" w:rsidP="007C1F9F">
      <w:pPr>
        <w:pStyle w:val="AERbodytext"/>
      </w:pPr>
      <w:r>
        <w:t>APA GasNet proposed to retain the existing tariff zones.</w:t>
      </w:r>
    </w:p>
    <w:p w:rsidR="007C1F9F" w:rsidRPr="0034631C" w:rsidRDefault="007C1F9F" w:rsidP="007C1F9F">
      <w:pPr>
        <w:pStyle w:val="AERbodytext"/>
      </w:pPr>
      <w:r>
        <w:t>Th</w:t>
      </w:r>
      <w:r w:rsidRPr="0034631C">
        <w:t>is includes 5 injection zones (with matched withdrawals within 2 of these zones), 25 withdrawal zones, 2 system export zones, 2 storage refill zones and a cross-system tariff.</w:t>
      </w:r>
    </w:p>
    <w:p w:rsidR="007C1F9F" w:rsidRPr="0034631C" w:rsidRDefault="007C1F9F" w:rsidP="007C1F9F">
      <w:pPr>
        <w:pStyle w:val="AERbodytext"/>
      </w:pPr>
      <w:r>
        <w:t xml:space="preserve">APA GasNet </w:t>
      </w:r>
      <w:r w:rsidRPr="0034631C">
        <w:t xml:space="preserve">did not propose new zones for </w:t>
      </w:r>
      <w:r>
        <w:t>any of its proposed extensions capital expenditure projects</w:t>
      </w:r>
      <w:r w:rsidRPr="0034631C">
        <w:t xml:space="preserve">. The WORM is allocated to the Metro zone, the Kalkallo lateral is allocated to South Hume, and the Anglesea lateral is allocated to the </w:t>
      </w:r>
      <w:r>
        <w:t xml:space="preserve">Port Campbell </w:t>
      </w:r>
      <w:r w:rsidRPr="0034631C">
        <w:t>injection tariff.</w:t>
      </w:r>
    </w:p>
    <w:p w:rsidR="007C1F9F" w:rsidRPr="0034631C" w:rsidRDefault="007C1F9F" w:rsidP="007C1F9F">
      <w:pPr>
        <w:pStyle w:val="AERheading5"/>
      </w:pPr>
      <w:r w:rsidRPr="0034631C">
        <w:t xml:space="preserve">Cost </w:t>
      </w:r>
      <w:r>
        <w:t>a</w:t>
      </w:r>
      <w:r w:rsidRPr="0034631C">
        <w:t>llocation</w:t>
      </w:r>
      <w:r>
        <w:t xml:space="preserve"> to the reference services</w:t>
      </w:r>
    </w:p>
    <w:p w:rsidR="007C1F9F" w:rsidRPr="007E3923" w:rsidRDefault="007C1F9F" w:rsidP="007C1F9F">
      <w:pPr>
        <w:pStyle w:val="AERbodytext"/>
        <w:rPr>
          <w:rFonts w:eastAsia="Calibri"/>
        </w:rPr>
      </w:pPr>
      <w:r w:rsidRPr="007E3923">
        <w:rPr>
          <w:rFonts w:eastAsia="Calibri"/>
        </w:rPr>
        <w:t>APA GasNet submitted that the costs set out in its access arrangement information relate only to reference services. The c</w:t>
      </w:r>
      <w:r w:rsidRPr="00E2065A">
        <w:t xml:space="preserve">osts incurred in providing non–reference services are not included in the access arrangement information because they are directly recovered from customers requesting the service. </w:t>
      </w:r>
      <w:r w:rsidRPr="007E3923">
        <w:rPr>
          <w:rFonts w:eastAsia="Calibri"/>
        </w:rPr>
        <w:t>APA GasNet stated that it has a robust process in place for allocating its costs and revenue between regulated and non-regulated activities to ensure that there is no cross subsidisation between regulated and non-regulated activities. This procedure is discussed below.</w:t>
      </w:r>
      <w:r w:rsidRPr="007E3923">
        <w:rPr>
          <w:rStyle w:val="FootnoteReference"/>
          <w:rFonts w:eastAsia="Calibri"/>
        </w:rPr>
        <w:footnoteReference w:id="605"/>
      </w:r>
    </w:p>
    <w:p w:rsidR="007C1F9F" w:rsidRPr="00620514" w:rsidRDefault="007C1F9F" w:rsidP="00620514">
      <w:pPr>
        <w:pStyle w:val="AERbodytext"/>
        <w:rPr>
          <w:rStyle w:val="AERtextitalic"/>
        </w:rPr>
      </w:pPr>
      <w:r w:rsidRPr="00620514">
        <w:rPr>
          <w:rStyle w:val="AERtextitalic"/>
        </w:rPr>
        <w:t>Capital Expenditure</w:t>
      </w:r>
    </w:p>
    <w:p w:rsidR="007C1F9F" w:rsidRPr="00E2065A" w:rsidRDefault="007C1F9F" w:rsidP="007C1F9F">
      <w:pPr>
        <w:pStyle w:val="AERbodytext"/>
      </w:pPr>
      <w:r w:rsidRPr="00E2065A">
        <w:t>All capital expenditure activities are directly coded to job names. Job names are created for regulated and non-regulated activities. Therefore any expenditure incurred for non-regulated activities are not included in capital and operating expenditure allocated to the VTS or reported in the access arrangement revision proposal.</w:t>
      </w:r>
    </w:p>
    <w:p w:rsidR="007C1F9F" w:rsidRPr="00E2065A" w:rsidRDefault="007C1F9F" w:rsidP="00620514">
      <w:pPr>
        <w:pStyle w:val="AERbodytext"/>
        <w:rPr>
          <w:rStyle w:val="AERtextitalic"/>
        </w:rPr>
      </w:pPr>
      <w:r w:rsidRPr="00E2065A">
        <w:rPr>
          <w:rStyle w:val="AERtextitalic"/>
        </w:rPr>
        <w:t>Operating Expenditure</w:t>
      </w:r>
    </w:p>
    <w:p w:rsidR="007C1F9F" w:rsidRPr="00E2065A" w:rsidRDefault="007C1F9F" w:rsidP="007C1F9F">
      <w:pPr>
        <w:pStyle w:val="AERbodytext"/>
      </w:pPr>
      <w:r w:rsidRPr="00E2065A">
        <w:t>Operating activities are either directly coded to job names or if the activity relates to both regulated and non-regulated activities, then a weighting is applied to th</w:t>
      </w:r>
      <w:r>
        <w:t>at</w:t>
      </w:r>
      <w:r w:rsidRPr="00E2065A">
        <w:t xml:space="preserve"> activity. The weighting is based on relative asset base values of regulated and unregulated assets.</w:t>
      </w:r>
    </w:p>
    <w:p w:rsidR="007C1F9F" w:rsidRPr="00E2065A" w:rsidRDefault="007C1F9F" w:rsidP="00620514">
      <w:pPr>
        <w:pStyle w:val="AERbodytext"/>
        <w:rPr>
          <w:rStyle w:val="AERtextitalic"/>
        </w:rPr>
      </w:pPr>
      <w:r w:rsidRPr="00E2065A">
        <w:rPr>
          <w:rStyle w:val="AERtextitalic"/>
        </w:rPr>
        <w:t>Employee times</w:t>
      </w:r>
    </w:p>
    <w:p w:rsidR="007C1F9F" w:rsidRPr="00E2065A" w:rsidRDefault="007C1F9F" w:rsidP="007C1F9F">
      <w:pPr>
        <w:pStyle w:val="AERbodytext"/>
      </w:pPr>
      <w:r w:rsidRPr="00E2065A">
        <w:t>The majority of APA GasNet employees also complete a timesheet for approval on a weekly basis. These timesheets accurately record time spent on either regulated or non-regulated activities and all the times related to the non-regulated activity is not included in recorded expenditure on regulated assets.</w:t>
      </w:r>
    </w:p>
    <w:p w:rsidR="007C1F9F" w:rsidRPr="00E2065A" w:rsidRDefault="007C1F9F" w:rsidP="00620514">
      <w:pPr>
        <w:pStyle w:val="AERbodytext"/>
        <w:rPr>
          <w:rStyle w:val="AERtextitalic"/>
        </w:rPr>
      </w:pPr>
      <w:r w:rsidRPr="00E2065A">
        <w:rPr>
          <w:rStyle w:val="AERtextitalic"/>
        </w:rPr>
        <w:t>Corporate Overheads</w:t>
      </w:r>
    </w:p>
    <w:p w:rsidR="007C1F9F" w:rsidRPr="0034631C" w:rsidRDefault="007C1F9F" w:rsidP="007C1F9F">
      <w:pPr>
        <w:pStyle w:val="AERbodytext"/>
      </w:pPr>
      <w:r w:rsidRPr="00E2065A">
        <w:t>After direct costs have been allocated to the assets that drive those costs, general APA Group Corporate Overheads are allocated to each asset based on the revenues received for each asset.</w:t>
      </w:r>
    </w:p>
    <w:p w:rsidR="007C1F9F" w:rsidRPr="0034631C" w:rsidRDefault="007C1F9F" w:rsidP="007C1F9F">
      <w:pPr>
        <w:pStyle w:val="AERheading5"/>
      </w:pPr>
      <w:r w:rsidRPr="0034631C">
        <w:t>Cost allocation to users of the reference service</w:t>
      </w:r>
    </w:p>
    <w:p w:rsidR="007C1F9F" w:rsidRPr="0034631C" w:rsidRDefault="007C1F9F" w:rsidP="007C1F9F">
      <w:pPr>
        <w:pStyle w:val="AERbodytext"/>
      </w:pPr>
      <w:r>
        <w:t xml:space="preserve">APA GasNet proposed a highly detailed cost allocation procedure which is substantially the same as applied in the 2008–12 access arrangement, but </w:t>
      </w:r>
      <w:r w:rsidRPr="0034631C">
        <w:t xml:space="preserve">with a number of </w:t>
      </w:r>
      <w:r>
        <w:t>modifications</w:t>
      </w:r>
      <w:r w:rsidRPr="0034631C">
        <w:t xml:space="preserve"> in key areas.</w:t>
      </w:r>
    </w:p>
    <w:p w:rsidR="007C1F9F" w:rsidRDefault="007C1F9F" w:rsidP="007C1F9F">
      <w:pPr>
        <w:pStyle w:val="AERbodytext"/>
      </w:pPr>
      <w:r>
        <w:t>The main features of the proposed cost allocation are:</w:t>
      </w:r>
    </w:p>
    <w:p w:rsidR="007C1F9F" w:rsidRDefault="007C1F9F" w:rsidP="007C1F9F">
      <w:pPr>
        <w:pStyle w:val="AERheading6"/>
      </w:pPr>
      <w:r>
        <w:t>Direct costs</w:t>
      </w:r>
    </w:p>
    <w:p w:rsidR="007C1F9F" w:rsidRPr="0034631C" w:rsidRDefault="007C1F9F" w:rsidP="007C1F9F">
      <w:pPr>
        <w:pStyle w:val="AERbulletlistfirststyle"/>
      </w:pPr>
      <w:r>
        <w:t xml:space="preserve">direct costs are the capital and opex </w:t>
      </w:r>
      <w:r w:rsidRPr="0034631C">
        <w:t xml:space="preserve">costs associated with </w:t>
      </w:r>
      <w:r>
        <w:t xml:space="preserve">each of the 29 </w:t>
      </w:r>
      <w:r w:rsidRPr="0034631C">
        <w:t>asset group</w:t>
      </w:r>
      <w:r>
        <w:t>s</w:t>
      </w:r>
      <w:r w:rsidRPr="0034631C">
        <w:t xml:space="preserve"> </w:t>
      </w:r>
      <w:r>
        <w:t xml:space="preserve">in the system </w:t>
      </w:r>
      <w:r w:rsidRPr="0034631C">
        <w:t>(r</w:t>
      </w:r>
      <w:r>
        <w:t xml:space="preserve">eturn of and on capital, locational </w:t>
      </w:r>
      <w:r w:rsidRPr="0034631C">
        <w:t>opex and capital raising costs)</w:t>
      </w:r>
    </w:p>
    <w:p w:rsidR="007C1F9F" w:rsidRPr="0034631C" w:rsidRDefault="007C1F9F" w:rsidP="007C1F9F">
      <w:pPr>
        <w:pStyle w:val="AERbulletlistfirststyle"/>
      </w:pPr>
      <w:r>
        <w:t>the allocation of direct capital</w:t>
      </w:r>
      <w:r w:rsidRPr="0034631C">
        <w:t xml:space="preserve"> costs to each asset group is determined </w:t>
      </w:r>
      <w:r>
        <w:t>on the basis of</w:t>
      </w:r>
      <w:r w:rsidRPr="0034631C">
        <w:t xml:space="preserve"> the ORC</w:t>
      </w:r>
      <w:r>
        <w:t xml:space="preserve"> </w:t>
      </w:r>
      <w:r w:rsidRPr="0034631C">
        <w:t xml:space="preserve"> of </w:t>
      </w:r>
      <w:r>
        <w:t xml:space="preserve">the assets in </w:t>
      </w:r>
      <w:r w:rsidRPr="0034631C">
        <w:t xml:space="preserve">each group (this method is applied to all assets, including </w:t>
      </w:r>
      <w:r>
        <w:t xml:space="preserve">all </w:t>
      </w:r>
      <w:r w:rsidRPr="0034631C">
        <w:t>expansions and extensions proposed in the access arrangement</w:t>
      </w:r>
      <w:r>
        <w:t>)</w:t>
      </w:r>
    </w:p>
    <w:p w:rsidR="007C1F9F" w:rsidRPr="0034631C" w:rsidRDefault="007C1F9F" w:rsidP="007C1F9F">
      <w:pPr>
        <w:pStyle w:val="AERbulletlistfirststyle"/>
      </w:pPr>
      <w:r>
        <w:t>direct costs are allocated to each off-take on the basis of the forecast physical flow of gas through each asset group</w:t>
      </w:r>
    </w:p>
    <w:p w:rsidR="007C1F9F" w:rsidRDefault="007C1F9F" w:rsidP="007C1F9F">
      <w:pPr>
        <w:pStyle w:val="AERbulletlistfirststyle"/>
      </w:pPr>
      <w:r>
        <w:t>direct costs associated with assets which have previously been included in the RAB under the system-wide benefits test are allocated on a postage stamp basis with exceptions</w:t>
      </w:r>
    </w:p>
    <w:p w:rsidR="007C1F9F" w:rsidRDefault="007C1F9F" w:rsidP="007C1F9F">
      <w:pPr>
        <w:pStyle w:val="AERbulletlistfirststyle"/>
      </w:pPr>
      <w:r>
        <w:t xml:space="preserve">direct costs within withdrawal zones are allocated 52.5% to forecast peak day </w:t>
      </w:r>
      <w:r w:rsidRPr="0034631C">
        <w:t xml:space="preserve">flows and 47.5% to </w:t>
      </w:r>
      <w:r>
        <w:t xml:space="preserve">forecast </w:t>
      </w:r>
      <w:r w:rsidRPr="0034631C">
        <w:t xml:space="preserve">annual flows; direct costs of injection pipeline assets are allocated 100% to </w:t>
      </w:r>
      <w:r>
        <w:t xml:space="preserve">forecast </w:t>
      </w:r>
      <w:r w:rsidRPr="0034631C">
        <w:t>peak flows</w:t>
      </w:r>
      <w:r>
        <w:t>.</w:t>
      </w:r>
    </w:p>
    <w:p w:rsidR="007C1F9F" w:rsidRDefault="007C1F9F" w:rsidP="007C1F9F">
      <w:pPr>
        <w:pStyle w:val="AERbodytext"/>
      </w:pPr>
      <w:r>
        <w:t>For pricing purposes, the off-take points are amalgamated into tariff zones.</w:t>
      </w:r>
    </w:p>
    <w:p w:rsidR="007C1F9F" w:rsidRDefault="007C1F9F" w:rsidP="007C1F9F">
      <w:pPr>
        <w:pStyle w:val="AERheading6"/>
      </w:pPr>
      <w:r>
        <w:t>Indirect costs</w:t>
      </w:r>
    </w:p>
    <w:p w:rsidR="007C1F9F" w:rsidRPr="0034631C" w:rsidRDefault="007C1F9F" w:rsidP="007C1F9F">
      <w:pPr>
        <w:pStyle w:val="AERbulletlistfirststyle"/>
      </w:pPr>
      <w:r>
        <w:t xml:space="preserve">indirect costs include corporate overheads, non-system asset-related costs (buildings and land), efficiency </w:t>
      </w:r>
      <w:r w:rsidRPr="0034631C">
        <w:t xml:space="preserve">benefit sharing allowance carryovers, and </w:t>
      </w:r>
      <w:r>
        <w:t xml:space="preserve">corporate </w:t>
      </w:r>
      <w:r w:rsidRPr="0034631C">
        <w:t>tax liabilities</w:t>
      </w:r>
    </w:p>
    <w:p w:rsidR="007C1F9F" w:rsidRPr="0034631C" w:rsidRDefault="007C1F9F" w:rsidP="007C1F9F">
      <w:pPr>
        <w:pStyle w:val="AERbulletlistfirststyle"/>
      </w:pPr>
      <w:r>
        <w:t xml:space="preserve">indirect costs are </w:t>
      </w:r>
      <w:r w:rsidRPr="0034631C">
        <w:t xml:space="preserve">assigned to total </w:t>
      </w:r>
      <w:r>
        <w:t xml:space="preserve">forecast annual </w:t>
      </w:r>
      <w:r w:rsidRPr="0034631C">
        <w:t xml:space="preserve">flows </w:t>
      </w:r>
      <w:r>
        <w:t xml:space="preserve">in all withdrawal zones </w:t>
      </w:r>
      <w:r w:rsidRPr="0034631C">
        <w:t>on a postage stamp basis with certain exceptions</w:t>
      </w:r>
      <w:r>
        <w:t>.</w:t>
      </w:r>
    </w:p>
    <w:p w:rsidR="007C1F9F" w:rsidRDefault="007C1F9F" w:rsidP="007C1F9F">
      <w:pPr>
        <w:pStyle w:val="AERbodytext"/>
      </w:pPr>
      <w:r>
        <w:t>No costs are allocated to cross-system flows, or exports at SEAGas and VicHub.</w:t>
      </w:r>
    </w:p>
    <w:p w:rsidR="007C1F9F" w:rsidRDefault="007C1F9F" w:rsidP="007C1F9F">
      <w:pPr>
        <w:pStyle w:val="AERheading6"/>
      </w:pPr>
      <w:r>
        <w:t>Proposed changes to the cost allocation methodology</w:t>
      </w:r>
    </w:p>
    <w:p w:rsidR="007C1F9F" w:rsidRPr="0034631C" w:rsidRDefault="007C1F9F" w:rsidP="007C1F9F">
      <w:pPr>
        <w:pStyle w:val="AERbodytext"/>
      </w:pPr>
      <w:r>
        <w:t xml:space="preserve">APA GasNet implemented a number of </w:t>
      </w:r>
      <w:r w:rsidRPr="0034631C">
        <w:t>changes to the cost allocation methodol</w:t>
      </w:r>
      <w:r>
        <w:t>ogy from previous practice:</w:t>
      </w:r>
    </w:p>
    <w:p w:rsidR="007C1F9F" w:rsidRPr="0034631C" w:rsidRDefault="007C1F9F" w:rsidP="007C1F9F">
      <w:pPr>
        <w:pStyle w:val="AERbulletlistfirststyle"/>
      </w:pPr>
      <w:r>
        <w:t>the proposal allocates all direct capital costs to assets by</w:t>
      </w:r>
      <w:r w:rsidRPr="0034631C">
        <w:t xml:space="preserve"> the ORC allocation method (including the South West pipeline and the Murray Valley pipeline)</w:t>
      </w:r>
      <w:r>
        <w:t xml:space="preserve">, whereas in earlier access arrangements the costs associated with these pipelines had been </w:t>
      </w:r>
      <w:r w:rsidRPr="0034631C">
        <w:t>determined incrementally an</w:t>
      </w:r>
      <w:r>
        <w:t>d charged on a user pays basis</w:t>
      </w:r>
    </w:p>
    <w:p w:rsidR="007C1F9F" w:rsidRPr="0034631C" w:rsidRDefault="007C1F9F" w:rsidP="007C1F9F">
      <w:pPr>
        <w:pStyle w:val="AERbulletlistfirststyle"/>
      </w:pPr>
      <w:r>
        <w:t xml:space="preserve">the basis on which indirect costs are allocated to </w:t>
      </w:r>
      <w:r w:rsidRPr="0034631C">
        <w:t xml:space="preserve">withdrawal zones has been changed with the aim of minimising excessive changes to </w:t>
      </w:r>
      <w:r>
        <w:t xml:space="preserve">zonal </w:t>
      </w:r>
      <w:r w:rsidRPr="0034631C">
        <w:t xml:space="preserve">tariffs from the </w:t>
      </w:r>
      <w:r>
        <w:t xml:space="preserve"> 2008–12 access arrangement</w:t>
      </w:r>
      <w:r w:rsidRPr="0034631C">
        <w:t xml:space="preserve"> period</w:t>
      </w:r>
    </w:p>
    <w:p w:rsidR="007C1F9F" w:rsidRPr="0034631C" w:rsidRDefault="007C1F9F" w:rsidP="007C1F9F">
      <w:pPr>
        <w:pStyle w:val="AERbulletlistfirststyle"/>
      </w:pPr>
      <w:r>
        <w:t>the allocation of the direct costs of the South West pipeline to the Port Campbell injection tariff has been increased from 50% to 80% on the basis of parity with the Longford tariff</w:t>
      </w:r>
    </w:p>
    <w:p w:rsidR="007C1F9F" w:rsidRPr="0034631C" w:rsidRDefault="007C1F9F" w:rsidP="007C1F9F">
      <w:pPr>
        <w:pStyle w:val="AERbulletlistfirststyle"/>
      </w:pPr>
      <w:r>
        <w:t>the allocation of the direct costs of the Interconnect assets to the Culcairn injection tariff has been increased from 7</w:t>
      </w:r>
      <w:r w:rsidRPr="0034631C">
        <w:t>% to 25% to match increased injection volumes at Culcairn</w:t>
      </w:r>
      <w:r>
        <w:t xml:space="preserve"> </w:t>
      </w:r>
    </w:p>
    <w:p w:rsidR="007C1F9F" w:rsidRPr="0034631C" w:rsidRDefault="007C1F9F" w:rsidP="007C1F9F">
      <w:pPr>
        <w:pStyle w:val="AERbulletlistfirststyle"/>
      </w:pPr>
      <w:r>
        <w:t>APA GasNet proposed</w:t>
      </w:r>
      <w:r w:rsidRPr="0034631C">
        <w:t xml:space="preserve"> a significant increase in the matched </w:t>
      </w:r>
      <w:r>
        <w:t>s</w:t>
      </w:r>
      <w:r w:rsidRPr="0034631C">
        <w:t xml:space="preserve">ystem </w:t>
      </w:r>
      <w:r>
        <w:t>e</w:t>
      </w:r>
      <w:r w:rsidRPr="0034631C">
        <w:t xml:space="preserve">xport </w:t>
      </w:r>
      <w:r>
        <w:t>t</w:t>
      </w:r>
      <w:r w:rsidRPr="0034631C">
        <w:t>ariffs at the SEAGas and VicHub export points</w:t>
      </w:r>
      <w:r>
        <w:t xml:space="preserve">. In response to a question from the AER, APA GasNet indicated that the system export tariffs would not differ from the values in the </w:t>
      </w:r>
      <w:r w:rsidR="00202065">
        <w:t>2008–12</w:t>
      </w:r>
      <w:r>
        <w:t xml:space="preserve"> access arrangement.</w:t>
      </w:r>
      <w:r>
        <w:rPr>
          <w:rStyle w:val="FootnoteReference"/>
        </w:rPr>
        <w:footnoteReference w:id="606"/>
      </w:r>
    </w:p>
    <w:p w:rsidR="007C1F9F" w:rsidRDefault="007C1F9F" w:rsidP="007C1F9F">
      <w:pPr>
        <w:pStyle w:val="AERbulletlistfirststyle"/>
      </w:pPr>
      <w:r>
        <w:t>the allocation of direct costs to forecast peak flows is reduced from 55.6% to 52.5%.</w:t>
      </w:r>
    </w:p>
    <w:p w:rsidR="007C1F9F" w:rsidRPr="0034631C" w:rsidRDefault="007C1F9F" w:rsidP="007C1F9F">
      <w:pPr>
        <w:pStyle w:val="AERheading5"/>
      </w:pPr>
      <w:r w:rsidRPr="0034631C">
        <w:t>Prudent Discounts</w:t>
      </w:r>
    </w:p>
    <w:p w:rsidR="007C1F9F" w:rsidRPr="0034631C" w:rsidRDefault="007C1F9F" w:rsidP="007C1F9F">
      <w:pPr>
        <w:pStyle w:val="AERbodytext"/>
      </w:pPr>
      <w:r>
        <w:t>APA GasNet proposed prudent discounts in the</w:t>
      </w:r>
      <w:r w:rsidRPr="0034631C">
        <w:t xml:space="preserve"> Maryvale zone, Metro South-East zone (matched to Pakenham injection</w:t>
      </w:r>
      <w:r>
        <w:t>s</w:t>
      </w:r>
      <w:r w:rsidRPr="0034631C">
        <w:t>) and the Warrnambool and Koroit zones.</w:t>
      </w:r>
    </w:p>
    <w:p w:rsidR="007C1F9F" w:rsidRPr="007F12F1" w:rsidRDefault="007C1F9F" w:rsidP="007C1F9F">
      <w:pPr>
        <w:pStyle w:val="AERbodytext"/>
      </w:pPr>
      <w:r>
        <w:t>The proposed discounted tariffs are not significantly different from previously approved tariffs.</w:t>
      </w:r>
    </w:p>
    <w:p w:rsidR="007C1F9F" w:rsidRDefault="007C1F9F" w:rsidP="007C1F9F">
      <w:pPr>
        <w:pStyle w:val="AERheading2"/>
        <w:numPr>
          <w:ilvl w:val="1"/>
          <w:numId w:val="7"/>
        </w:numPr>
        <w:tabs>
          <w:tab w:val="clear" w:pos="4317"/>
          <w:tab w:val="num" w:pos="0"/>
        </w:tabs>
        <w:ind w:left="0" w:hanging="720"/>
      </w:pPr>
      <w:bookmarkStart w:id="178" w:name="_Toc334543805"/>
      <w:r w:rsidRPr="007F12F1">
        <w:t>Assessment approach</w:t>
      </w:r>
      <w:bookmarkEnd w:id="178"/>
      <w:r w:rsidRPr="007F12F1">
        <w:t xml:space="preserve"> </w:t>
      </w:r>
    </w:p>
    <w:p w:rsidR="007C1F9F" w:rsidRDefault="007C1F9F" w:rsidP="007C1F9F">
      <w:pPr>
        <w:pStyle w:val="AERbodytext"/>
      </w:pPr>
      <w:r w:rsidRPr="00280AAC">
        <w:t xml:space="preserve">The AER </w:t>
      </w:r>
      <w:r>
        <w:t>must assess the proposed reference tariffs against the provisions of the NGR and the NGL. Where the AER does not approve the proposed reference tariffs, the AER must determine the reference tariff to apply over the next access arrangement period.</w:t>
      </w:r>
    </w:p>
    <w:p w:rsidR="007C1F9F" w:rsidRPr="003D2FE3" w:rsidRDefault="007C1F9F" w:rsidP="007C1F9F">
      <w:pPr>
        <w:pStyle w:val="AERheading5"/>
      </w:pPr>
      <w:r w:rsidRPr="003D2FE3">
        <w:t>Identifying the reference service</w:t>
      </w:r>
    </w:p>
    <w:p w:rsidR="007C1F9F" w:rsidRPr="00100351" w:rsidRDefault="007C1F9F" w:rsidP="007C1F9F">
      <w:pPr>
        <w:pStyle w:val="AERbodytext"/>
      </w:pPr>
      <w:r>
        <w:t>A reference tariff must be set for each reference service.</w:t>
      </w:r>
      <w:r>
        <w:rPr>
          <w:rStyle w:val="FootnoteReference"/>
        </w:rPr>
        <w:footnoteReference w:id="607"/>
      </w:r>
      <w:r>
        <w:t xml:space="preserve"> The AER assesses the reference services proposed by APA GasNet against r. 101 of the NGR. The AER’s draft decision on what constitutes the reference service(s) is set out in </w:t>
      </w:r>
      <w:r>
        <w:rPr>
          <w:rStyle w:val="AERbody"/>
        </w:rPr>
        <w:t>a</w:t>
      </w:r>
      <w:r w:rsidRPr="00100351">
        <w:rPr>
          <w:rStyle w:val="AERbody"/>
        </w:rPr>
        <w:t>ttachment 1</w:t>
      </w:r>
      <w:r w:rsidRPr="00100351">
        <w:t xml:space="preserve"> - Pipeline Services.</w:t>
      </w:r>
    </w:p>
    <w:p w:rsidR="007C1F9F" w:rsidRPr="00A33005" w:rsidRDefault="007C1F9F" w:rsidP="007C1F9F">
      <w:pPr>
        <w:pStyle w:val="AERheading5"/>
      </w:pPr>
      <w:r w:rsidRPr="00A33005">
        <w:t>Assessing the tariff setting methodology for the reference service</w:t>
      </w:r>
    </w:p>
    <w:p w:rsidR="007C1F9F" w:rsidRPr="007E3923" w:rsidRDefault="007C1F9F" w:rsidP="007C1F9F">
      <w:pPr>
        <w:pStyle w:val="AERbodytext"/>
        <w:rPr>
          <w:rFonts w:eastAsia="Calibri"/>
        </w:rPr>
      </w:pPr>
      <w:r w:rsidRPr="007E3923">
        <w:rPr>
          <w:rFonts w:eastAsia="Calibri"/>
        </w:rPr>
        <w:t>Once the reference service(s) is identified, the AER assesses the cost allocation and tariff setting methodologies proposed by APA GasNet against the requirements of the NGR and the NGL. The reference tariffs for a transmission pipeline must satisfy r. 93, r. 95 and r. 96 of the NGR. The AER's discretion under r. 95 is limited.</w:t>
      </w:r>
      <w:r w:rsidRPr="00A33005">
        <w:rPr>
          <w:rStyle w:val="FootnoteReference"/>
        </w:rPr>
        <w:footnoteReference w:id="608"/>
      </w:r>
      <w:r w:rsidRPr="00A33005">
        <w:rPr>
          <w:rStyle w:val="FootnoteReference"/>
        </w:rPr>
        <w:t xml:space="preserve"> </w:t>
      </w:r>
      <w:r w:rsidRPr="007E3923">
        <w:rPr>
          <w:rFonts w:eastAsia="Calibri"/>
        </w:rPr>
        <w:t>This means that any elements of APA GasNet’s proposed reference tariff that comply with applicable requirements of the NGR and NGL and are consistent with the applicable criteria must be approved even if the AER considers an alternative proposal is more desirable.</w:t>
      </w:r>
    </w:p>
    <w:p w:rsidR="007C1F9F" w:rsidRPr="007E3923" w:rsidRDefault="007C1F9F" w:rsidP="007C1F9F">
      <w:pPr>
        <w:pStyle w:val="AERbodytext"/>
        <w:rPr>
          <w:rFonts w:eastAsia="Calibri"/>
        </w:rPr>
      </w:pPr>
      <w:r w:rsidRPr="007E3923">
        <w:rPr>
          <w:rFonts w:eastAsia="Calibri"/>
        </w:rPr>
        <w:t>A service provider must set out how it intends to charge for reference services and explain the basis for setting the reference tariff(s) in its access arrangement proposal.</w:t>
      </w:r>
      <w:r w:rsidRPr="007E3923">
        <w:rPr>
          <w:rStyle w:val="FootnoteReference"/>
          <w:rFonts w:eastAsia="Calibri"/>
        </w:rPr>
        <w:footnoteReference w:id="609"/>
      </w:r>
      <w:r w:rsidRPr="007E3923">
        <w:rPr>
          <w:rFonts w:eastAsia="Calibri"/>
        </w:rPr>
        <w:t xml:space="preserve">  </w:t>
      </w:r>
    </w:p>
    <w:p w:rsidR="007C1F9F" w:rsidRPr="007E3923" w:rsidRDefault="007C1F9F" w:rsidP="007C1F9F">
      <w:pPr>
        <w:pStyle w:val="AERbodytext"/>
        <w:rPr>
          <w:rFonts w:eastAsia="Calibri"/>
        </w:rPr>
      </w:pPr>
      <w:r w:rsidRPr="007E3923">
        <w:rPr>
          <w:rFonts w:eastAsia="Calibri"/>
        </w:rPr>
        <w:t>The NGR requires that the total revenue must be allocated between reference and other services in the same ratio that costs are allocated between those services.</w:t>
      </w:r>
      <w:r w:rsidRPr="007E3923">
        <w:rPr>
          <w:rStyle w:val="FootnoteReference"/>
          <w:rFonts w:eastAsia="Calibri"/>
        </w:rPr>
        <w:footnoteReference w:id="610"/>
      </w:r>
      <w:r w:rsidRPr="007E3923">
        <w:rPr>
          <w:rFonts w:eastAsia="Calibri"/>
        </w:rPr>
        <w:t xml:space="preserve"> The service provider must also explain the basis for setting reference tariffs by defining the tariff classes and allocating the revenue to be raised from each tariff class with the cost of providing service to each class.</w:t>
      </w:r>
      <w:r w:rsidRPr="007E3923">
        <w:rPr>
          <w:rStyle w:val="FootnoteReference"/>
          <w:rFonts w:eastAsia="Calibri"/>
        </w:rPr>
        <w:footnoteReference w:id="611"/>
      </w:r>
    </w:p>
    <w:p w:rsidR="007C1F9F" w:rsidRDefault="007C1F9F" w:rsidP="007C1F9F">
      <w:pPr>
        <w:pStyle w:val="AERbodytext"/>
      </w:pPr>
      <w:r>
        <w:t>The costs allocated to users m</w:t>
      </w:r>
      <w:r w:rsidR="00620514">
        <w:t>ust comply with r.</w:t>
      </w:r>
      <w:r>
        <w:t xml:space="preserve"> 95(3) of the NGR, which states:</w:t>
      </w:r>
    </w:p>
    <w:p w:rsidR="007C1F9F" w:rsidRDefault="007C1F9F" w:rsidP="007C1F9F">
      <w:pPr>
        <w:pStyle w:val="AERquote"/>
      </w:pPr>
      <w:r>
        <w:t>The portion of total revenue referable to providing a reference service to a particular user or class of users is determined as follows:</w:t>
      </w:r>
    </w:p>
    <w:p w:rsidR="007C1F9F" w:rsidRDefault="007C1F9F" w:rsidP="007C1F9F">
      <w:pPr>
        <w:pStyle w:val="AERquote"/>
      </w:pPr>
      <w:r>
        <w:t>(a) costs directly attributable to supplying the user or class of users are to be allocated to the relevant user or class; and</w:t>
      </w:r>
    </w:p>
    <w:p w:rsidR="007C1F9F" w:rsidRDefault="007C1F9F" w:rsidP="007C1F9F">
      <w:pPr>
        <w:pStyle w:val="AERquote"/>
      </w:pPr>
      <w:r>
        <w:t>(b) other costs are to be allocated between the user or class of users and other user or class of users on a basis (which must be consistent with the revenue and pricing principles) determined or approved by the AER.</w:t>
      </w:r>
    </w:p>
    <w:p w:rsidR="007C1F9F" w:rsidRDefault="007C1F9F" w:rsidP="007C1F9F">
      <w:pPr>
        <w:pStyle w:val="AERbodytext"/>
      </w:pPr>
      <w:r>
        <w:t xml:space="preserve">The AER considers that costs which are directly associated with assets that provide haulage services for the benefit of users </w:t>
      </w:r>
      <w:r w:rsidR="00620514">
        <w:t>fall under paragraph (a) of r.</w:t>
      </w:r>
      <w:r>
        <w:t xml:space="preserve"> 95(3). These are referred to as 'direct costs' and include the direct asset costs (return on capital, depreciation, capital raising costs) and the direct locational costs of operating and maintaining these assets.</w:t>
      </w:r>
    </w:p>
    <w:p w:rsidR="007C1F9F" w:rsidRPr="00C75B2F" w:rsidRDefault="007C1F9F" w:rsidP="007C1F9F">
      <w:pPr>
        <w:pStyle w:val="AERbodytext"/>
      </w:pPr>
      <w:r>
        <w:t>Other costs refe</w:t>
      </w:r>
      <w:r w:rsidR="00620514">
        <w:t>rred to in paragraph (b) of r.</w:t>
      </w:r>
      <w:r>
        <w:t xml:space="preserve"> 95(3) includes the capital costs associated with non-system assets (such as office buildings) and general corporate overheads. These are classified as 'indirect costs'.</w:t>
      </w:r>
    </w:p>
    <w:p w:rsidR="007C1F9F" w:rsidRPr="007E3923" w:rsidRDefault="007C1F9F" w:rsidP="007C1F9F">
      <w:pPr>
        <w:pStyle w:val="AERbodytext"/>
        <w:rPr>
          <w:rFonts w:eastAsia="Calibri"/>
        </w:rPr>
      </w:pPr>
      <w:r w:rsidRPr="007E3923">
        <w:rPr>
          <w:rFonts w:eastAsia="Calibri"/>
        </w:rPr>
        <w:t>The AER assesses APA GasNet’s proposals against these requirements taking into account the revenue and pricing principles in s. 24 of the NGL in a manner that will or is likely to contribute to the achievement of the NGO.</w:t>
      </w:r>
      <w:r w:rsidRPr="007E3923">
        <w:rPr>
          <w:rStyle w:val="FootnoteReference"/>
          <w:rFonts w:eastAsia="Calibri"/>
        </w:rPr>
        <w:footnoteReference w:id="612"/>
      </w:r>
    </w:p>
    <w:p w:rsidR="007C1F9F" w:rsidRPr="007E3923" w:rsidRDefault="007C1F9F" w:rsidP="007C1F9F">
      <w:pPr>
        <w:pStyle w:val="AERbodytext"/>
        <w:rPr>
          <w:rFonts w:eastAsia="Calibri"/>
        </w:rPr>
      </w:pPr>
      <w:r w:rsidRPr="007E3923">
        <w:rPr>
          <w:rFonts w:eastAsia="Calibri"/>
        </w:rPr>
        <w:t>In making its decision on APA GasNet’s proposed reference tariff, the AER relies on:</w:t>
      </w:r>
    </w:p>
    <w:p w:rsidR="007C1F9F" w:rsidRPr="007E3923" w:rsidRDefault="007C1F9F" w:rsidP="007C1F9F">
      <w:pPr>
        <w:pStyle w:val="AERbulletlistfirststyle"/>
        <w:rPr>
          <w:rFonts w:eastAsia="Calibri"/>
        </w:rPr>
      </w:pPr>
      <w:r w:rsidRPr="007E3923">
        <w:rPr>
          <w:rFonts w:eastAsia="Calibri"/>
        </w:rPr>
        <w:t>APA GasNet’s access arrangement information and access arrangement proposal – these documents set out APA GasNet’s reference tariffs and reference tariff policy</w:t>
      </w:r>
    </w:p>
    <w:p w:rsidR="007C1F9F" w:rsidRPr="007E3923" w:rsidRDefault="007C1F9F" w:rsidP="007C1F9F">
      <w:pPr>
        <w:pStyle w:val="AERbulletlistfirststyle"/>
        <w:rPr>
          <w:rFonts w:eastAsia="Calibri"/>
        </w:rPr>
      </w:pPr>
      <w:r w:rsidRPr="007E3923">
        <w:rPr>
          <w:rFonts w:eastAsia="Calibri"/>
        </w:rPr>
        <w:t>the APA GasNet tariff model – this model performs the cost allocation procedures and calculates the predominant flow paths and associated zonal injection and withdrawal tariffs</w:t>
      </w:r>
      <w:r w:rsidRPr="00A33005">
        <w:t xml:space="preserve">. </w:t>
      </w:r>
    </w:p>
    <w:p w:rsidR="007C1F9F" w:rsidRPr="007E3923" w:rsidRDefault="007C1F9F" w:rsidP="007C1F9F">
      <w:pPr>
        <w:pStyle w:val="AERbulletlistfirststyle"/>
        <w:rPr>
          <w:rFonts w:eastAsia="Calibri"/>
        </w:rPr>
      </w:pPr>
      <w:r>
        <w:t>t</w:t>
      </w:r>
      <w:r w:rsidRPr="00A33005">
        <w:t xml:space="preserve">he detailed RAB allocation </w:t>
      </w:r>
      <w:r>
        <w:t>m</w:t>
      </w:r>
      <w:r w:rsidRPr="00A33005">
        <w:t xml:space="preserve">odel – this model </w:t>
      </w:r>
      <w:r w:rsidRPr="007E3923">
        <w:rPr>
          <w:rFonts w:eastAsia="Calibri"/>
        </w:rPr>
        <w:t>allocates assets to the asset groups used by the cost allocation procedures in the tariff model</w:t>
      </w:r>
    </w:p>
    <w:p w:rsidR="007C1F9F" w:rsidRPr="007E3923" w:rsidRDefault="007C1F9F" w:rsidP="007C1F9F">
      <w:pPr>
        <w:pStyle w:val="AERbulletlistfirststyle"/>
        <w:rPr>
          <w:rFonts w:eastAsia="Calibri"/>
        </w:rPr>
      </w:pPr>
      <w:r w:rsidRPr="007E3923">
        <w:rPr>
          <w:rFonts w:eastAsia="Calibri"/>
        </w:rPr>
        <w:t>additional information provided by APA GasNet in response to the AER's information requests</w:t>
      </w:r>
    </w:p>
    <w:p w:rsidR="007C1F9F" w:rsidRPr="003100DF" w:rsidRDefault="007C1F9F" w:rsidP="007C1F9F">
      <w:pPr>
        <w:pStyle w:val="AERbulletlistfirststyle"/>
      </w:pPr>
      <w:r w:rsidRPr="00A33005">
        <w:t>submissions</w:t>
      </w:r>
      <w:r>
        <w:t xml:space="preserve"> </w:t>
      </w:r>
      <w:r w:rsidRPr="00A33005">
        <w:t>received in the course of consulting on the access arrangement</w:t>
      </w:r>
      <w:r>
        <w:t xml:space="preserve"> proposal.</w:t>
      </w:r>
    </w:p>
    <w:p w:rsidR="007C1F9F" w:rsidRPr="00B62209" w:rsidRDefault="007C1F9F" w:rsidP="007C1F9F">
      <w:pPr>
        <w:pStyle w:val="AERheading2"/>
        <w:numPr>
          <w:ilvl w:val="1"/>
          <w:numId w:val="7"/>
        </w:numPr>
        <w:tabs>
          <w:tab w:val="clear" w:pos="4317"/>
          <w:tab w:val="num" w:pos="0"/>
        </w:tabs>
        <w:ind w:left="0" w:hanging="720"/>
      </w:pPr>
      <w:bookmarkStart w:id="179" w:name="_Toc334543806"/>
      <w:r w:rsidRPr="00B62209">
        <w:t>Reasons for decision</w:t>
      </w:r>
      <w:bookmarkEnd w:id="179"/>
    </w:p>
    <w:p w:rsidR="007C1F9F" w:rsidRDefault="007C1F9F" w:rsidP="007C1F9F">
      <w:pPr>
        <w:pStyle w:val="AERbodytext"/>
      </w:pPr>
      <w:r>
        <w:t>The AER accepts that the fundamental aspects of the proposed tariff methodology which are carried over from the 2008–12 access arrangement are consistent with the NGR and the NGL. This includes the tariff design, the definition of tariff zones and tariff classes, and the charging parameters.</w:t>
      </w:r>
    </w:p>
    <w:p w:rsidR="007C1F9F" w:rsidRDefault="007C1F9F" w:rsidP="007C1F9F">
      <w:pPr>
        <w:pStyle w:val="AERbodytext"/>
      </w:pPr>
      <w:r>
        <w:t>The AER has reviewed the proposed prudent discounts and accepts the discounted tariffs proposed by APA GasNet. The AER reasons are discussed below.</w:t>
      </w:r>
    </w:p>
    <w:p w:rsidR="007C1F9F" w:rsidRDefault="007C1F9F" w:rsidP="007C1F9F">
      <w:pPr>
        <w:pStyle w:val="AERbodytext"/>
      </w:pPr>
      <w:r>
        <w:t>The AER also accepts key aspects of the cost allocation procedures which are carried over from the 2008–12 access arrangement. However, in a number of specific areas the AER does not accept the proposal from APA GasNet.</w:t>
      </w:r>
    </w:p>
    <w:p w:rsidR="007C1F9F" w:rsidRDefault="007C1F9F" w:rsidP="007C1F9F">
      <w:pPr>
        <w:pStyle w:val="AERbodytext"/>
      </w:pPr>
      <w:r>
        <w:t>As a consequence, the AER does not approve the reference tariff as proposed by APA GasNet. The aspects of the proposal not approved by the AER and the reasons for the AER decision are described below.</w:t>
      </w:r>
    </w:p>
    <w:p w:rsidR="007C1F9F" w:rsidRDefault="007C1F9F" w:rsidP="007C1F9F">
      <w:pPr>
        <w:pStyle w:val="AERheading3"/>
        <w:numPr>
          <w:ilvl w:val="2"/>
          <w:numId w:val="7"/>
        </w:numPr>
        <w:tabs>
          <w:tab w:val="clear" w:pos="-357"/>
          <w:tab w:val="num" w:pos="0"/>
        </w:tabs>
        <w:ind w:left="0" w:hanging="714"/>
      </w:pPr>
      <w:r w:rsidRPr="007C4F27">
        <w:t>Tariff design</w:t>
      </w:r>
    </w:p>
    <w:p w:rsidR="007C1F9F" w:rsidRDefault="007C1F9F" w:rsidP="007C1F9F">
      <w:pPr>
        <w:pStyle w:val="AERbodytext"/>
      </w:pPr>
      <w:r>
        <w:t>The AER has assessed the broad features of the proposed tariff design</w:t>
      </w:r>
      <w:r>
        <w:rPr>
          <w:rStyle w:val="FootnoteReference"/>
        </w:rPr>
        <w:footnoteReference w:id="613"/>
      </w:r>
      <w:r>
        <w:t xml:space="preserve"> and accepts that the tariff design is consistent with the relevant provisions of the NGR and the NGL.</w:t>
      </w:r>
    </w:p>
    <w:p w:rsidR="007C1F9F" w:rsidRDefault="007C1F9F" w:rsidP="007C1F9F">
      <w:pPr>
        <w:pStyle w:val="AERbodytext"/>
      </w:pPr>
      <w:r>
        <w:t>APA GasNet states that the proposed tariff structure and design is a balance between cost reflectivity and efficiency, and administrative simplicity and price stability. The AER considers that the level of complexity in the design and structure of the proposed tariff is an appropriate balance of cost reflectivity and complexity.</w:t>
      </w:r>
    </w:p>
    <w:p w:rsidR="007C1F9F" w:rsidRDefault="007C1F9F" w:rsidP="007C1F9F">
      <w:pPr>
        <w:pStyle w:val="AERbodytext"/>
      </w:pPr>
      <w:r>
        <w:t>APA GasNet's proposed design is adapted to the Market Carriage model operating in Victoria. The tariff design encompasses gas injections into 3 injection pipelines, and withdrawals from 25 withdrawal zones over an extended geographical area, including exports to interconnecting pipelines at 3 locations, and refill of storage facilities at 2 locations.</w:t>
      </w:r>
    </w:p>
    <w:p w:rsidR="007C1F9F" w:rsidRDefault="007C1F9F" w:rsidP="007C1F9F">
      <w:pPr>
        <w:pStyle w:val="AERbodytext"/>
      </w:pPr>
      <w:r>
        <w:t>The specific elements of the design that the AER has considered and approves are:</w:t>
      </w:r>
    </w:p>
    <w:p w:rsidR="007C1F9F" w:rsidRDefault="007C1F9F" w:rsidP="007C1F9F">
      <w:pPr>
        <w:pStyle w:val="AERbulletlistfirststyle"/>
      </w:pPr>
      <w:r>
        <w:t>levy charges on actual flows rather than capacity</w:t>
      </w:r>
    </w:p>
    <w:p w:rsidR="007C1F9F" w:rsidRDefault="007C1F9F" w:rsidP="007C1F9F">
      <w:pPr>
        <w:pStyle w:val="AERbulletlistfirststyle"/>
      </w:pPr>
      <w:r>
        <w:t>define separate tariffs for injections into and withdrawals from the system</w:t>
      </w:r>
    </w:p>
    <w:p w:rsidR="007C1F9F" w:rsidRDefault="007C1F9F" w:rsidP="007C1F9F">
      <w:pPr>
        <w:pStyle w:val="AERbulletlistfirststyle"/>
      </w:pPr>
      <w:r>
        <w:t>define multiple injection and withdrawal zones to reflect costs in delivering gas along the physical path</w:t>
      </w:r>
    </w:p>
    <w:p w:rsidR="007C1F9F" w:rsidRDefault="007C1F9F" w:rsidP="007C1F9F">
      <w:pPr>
        <w:pStyle w:val="AERbulletlistfirststyle"/>
      </w:pPr>
      <w:r>
        <w:t>apply matched injection and withdrawal rebates where this is cost reflective and a material issue.</w:t>
      </w:r>
    </w:p>
    <w:p w:rsidR="007C1F9F" w:rsidRDefault="007C1F9F" w:rsidP="007C1F9F">
      <w:pPr>
        <w:pStyle w:val="AERbodytext"/>
      </w:pPr>
      <w:r>
        <w:t>The AER accepts that the proposed design and structure is appropriate and consistent with r. 95 of the NGR and section 24 of the NGL.</w:t>
      </w:r>
    </w:p>
    <w:p w:rsidR="007C1F9F" w:rsidRDefault="007C1F9F" w:rsidP="007C1F9F">
      <w:pPr>
        <w:pStyle w:val="AERbodytext"/>
      </w:pPr>
      <w:r>
        <w:t>The AER has classified AMDQ CC service as a pipeline service</w:t>
      </w:r>
      <w:r>
        <w:rPr>
          <w:rStyle w:val="FootnoteReference"/>
        </w:rPr>
        <w:footnoteReference w:id="614"/>
      </w:r>
      <w:r>
        <w:t xml:space="preserve"> and requires section 4.2 of the proposed access arrangement, which sets out the components of the reference tariff, to be amended in accordance with revision 10.13.</w:t>
      </w:r>
    </w:p>
    <w:p w:rsidR="007C1F9F" w:rsidRDefault="007C1F9F" w:rsidP="007C1F9F">
      <w:pPr>
        <w:pStyle w:val="AERbodytext"/>
      </w:pPr>
      <w:r>
        <w:t>The AER has not received submissions related to APA GasNet’s proposed tariff design and structure.</w:t>
      </w:r>
    </w:p>
    <w:p w:rsidR="007C1F9F" w:rsidRPr="007C4F27" w:rsidRDefault="007C1F9F" w:rsidP="007C1F9F">
      <w:pPr>
        <w:pStyle w:val="AERheading3"/>
        <w:numPr>
          <w:ilvl w:val="2"/>
          <w:numId w:val="7"/>
        </w:numPr>
        <w:tabs>
          <w:tab w:val="clear" w:pos="-357"/>
          <w:tab w:val="num" w:pos="0"/>
        </w:tabs>
        <w:ind w:left="0" w:hanging="714"/>
      </w:pPr>
      <w:r w:rsidRPr="007C4F27">
        <w:t>Tariff classes and charging parameters</w:t>
      </w:r>
    </w:p>
    <w:p w:rsidR="007C1F9F" w:rsidRDefault="007C1F9F" w:rsidP="007C1F9F">
      <w:pPr>
        <w:pStyle w:val="AERbodytext"/>
      </w:pPr>
      <w:r>
        <w:t>APA GasNet has retained the classification of users into tariff-V (volume-metered) and tariff-D (daily-metered) customers. This classification allows different levels of peak-related and commodity-related costs to be allocated to tariff-V and tariff-D customers, who generally have significantly different peak load factors. The separation of users into two tariff classes permits a more cost reflective allocation of direct costs to users.</w:t>
      </w:r>
    </w:p>
    <w:p w:rsidR="007C1F9F" w:rsidRDefault="007C1F9F" w:rsidP="007C1F9F">
      <w:pPr>
        <w:pStyle w:val="AERbodytext"/>
      </w:pPr>
      <w:r>
        <w:t>APA GasNet has also retained the charging parameters from the 2008–12 access arrangement. All injection charges are levied on the 10 peak days applicable to each injection zone. Withdrawals, including exports, are charged a set amount per GJ withdrawn at any time of the year.</w:t>
      </w:r>
    </w:p>
    <w:p w:rsidR="007C1F9F" w:rsidRDefault="007C1F9F" w:rsidP="007C1F9F">
      <w:pPr>
        <w:pStyle w:val="AERbodytext"/>
      </w:pPr>
      <w:r>
        <w:t>The AER accepts that APA GasNet’s proposed tariff classes and charging parameters are consistent with r. 95(3) of the NGR.</w:t>
      </w:r>
    </w:p>
    <w:p w:rsidR="007C1F9F" w:rsidRDefault="007C1F9F" w:rsidP="007C1F9F">
      <w:pPr>
        <w:pStyle w:val="AERheading3"/>
        <w:numPr>
          <w:ilvl w:val="2"/>
          <w:numId w:val="7"/>
        </w:numPr>
        <w:tabs>
          <w:tab w:val="clear" w:pos="-357"/>
          <w:tab w:val="num" w:pos="0"/>
        </w:tabs>
        <w:ind w:left="0" w:hanging="714"/>
      </w:pPr>
      <w:r>
        <w:t>Storage refill and cross-system tariffs</w:t>
      </w:r>
    </w:p>
    <w:p w:rsidR="007C1F9F" w:rsidRDefault="007C1F9F" w:rsidP="007C1F9F">
      <w:pPr>
        <w:pStyle w:val="AERheading4"/>
      </w:pPr>
      <w:r>
        <w:t>Storage refill tariffs</w:t>
      </w:r>
    </w:p>
    <w:p w:rsidR="007C1F9F" w:rsidRDefault="007C1F9F" w:rsidP="007C1F9F">
      <w:pPr>
        <w:pStyle w:val="AERbodytext"/>
      </w:pPr>
      <w:r>
        <w:t xml:space="preserve">APA GasNet proposed to continue the practice employed in the 2008–12 access arrangement and charge for transportation to the storage refill sites at marginal cost. However, APA GasNet is no longer required to purchase compressor fuel, and as this was the major component of the WUGS transmission refill tariff, APA GasNet proposed to reduce the tariff to a nominal value of $0.05/GJ. </w:t>
      </w:r>
    </w:p>
    <w:p w:rsidR="007C1F9F" w:rsidRDefault="007C1F9F" w:rsidP="007C1F9F">
      <w:pPr>
        <w:pStyle w:val="AERbodytext"/>
      </w:pPr>
      <w:r>
        <w:t>APA GasNet also proposed to exclude the refill tariff volumes and revenues from the price control formula. The AER accepts that this is appropriate given the high level of uncertainty about refill volumes in any given year.</w:t>
      </w:r>
    </w:p>
    <w:p w:rsidR="007C1F9F" w:rsidRDefault="007C1F9F" w:rsidP="007C1F9F">
      <w:pPr>
        <w:pStyle w:val="AERbodytext"/>
      </w:pPr>
      <w:r>
        <w:t>The AER accepts that the revenue generated by the proposed tariff is reasonably reflective of the marginal costs incurred, consistent with r. 95(3) of the NGR. It is also appropriate that indirect costs are not allocated to these zones, since the beneficiaries of the service will pay this cost when the storage volumes are injected back into the system and withdrawn from the withdrawal zones. For these reasons the AER accepts APA GasNet's proposal.</w:t>
      </w:r>
    </w:p>
    <w:p w:rsidR="007C1F9F" w:rsidRDefault="007C1F9F" w:rsidP="007C1F9F">
      <w:pPr>
        <w:pStyle w:val="AERheading4"/>
      </w:pPr>
      <w:r>
        <w:t>Cross-system tariffs</w:t>
      </w:r>
    </w:p>
    <w:p w:rsidR="007C1F9F" w:rsidRDefault="007C1F9F" w:rsidP="007C1F9F">
      <w:pPr>
        <w:pStyle w:val="AERbodytext"/>
      </w:pPr>
      <w:r>
        <w:t>APA GasNet proposed to retain the cross-system tariffs approved in the 2008–12 access arrangement. This tariff is levied for carriage across the Metro zone where an injection is made into the South West pipeline and a withdrawal is taken from the Longford pipeline, and vice versa. These flow paths are against the predominant physical flow path and are allocated no costs for carriage across the Metro zone under the APA GasNet physical path methodology.</w:t>
      </w:r>
    </w:p>
    <w:p w:rsidR="007C1F9F" w:rsidRDefault="007C1F9F" w:rsidP="007C1F9F">
      <w:pPr>
        <w:pStyle w:val="AERbodytext"/>
      </w:pPr>
      <w:r>
        <w:t>The AER accepts that this tariff sends an appropriate price signal for use of the system, consistent with the revenue and pricing principles in the NGL</w:t>
      </w:r>
      <w:r w:rsidR="00620514">
        <w:t>.</w:t>
      </w:r>
      <w:r>
        <w:rPr>
          <w:rStyle w:val="FootnoteReference"/>
        </w:rPr>
        <w:footnoteReference w:id="615"/>
      </w:r>
      <w:r>
        <w:t xml:space="preserve"> The AER approves APA GasNet's proposal to levy a cross-system tariff.</w:t>
      </w:r>
    </w:p>
    <w:p w:rsidR="007C1F9F" w:rsidRPr="00B66DF2" w:rsidRDefault="007C1F9F" w:rsidP="007C1F9F">
      <w:pPr>
        <w:pStyle w:val="AERheading3"/>
        <w:numPr>
          <w:ilvl w:val="2"/>
          <w:numId w:val="7"/>
        </w:numPr>
        <w:tabs>
          <w:tab w:val="clear" w:pos="-357"/>
          <w:tab w:val="num" w:pos="0"/>
        </w:tabs>
        <w:ind w:left="0" w:hanging="714"/>
      </w:pPr>
      <w:r w:rsidRPr="00B66DF2">
        <w:t>Tariff zones</w:t>
      </w:r>
    </w:p>
    <w:p w:rsidR="007C1F9F" w:rsidRDefault="007C1F9F" w:rsidP="007C1F9F">
      <w:pPr>
        <w:pStyle w:val="AERbodytext"/>
      </w:pPr>
      <w:r>
        <w:t>APA GasNet proposed to retain the existing tariff zones from the 2008–12 access arrangement. The AER accepts that there are no new injection points or significant geographical extensions of the system which might warrant a new zone.</w:t>
      </w:r>
    </w:p>
    <w:p w:rsidR="007C1F9F" w:rsidRDefault="007C1F9F" w:rsidP="007C1F9F">
      <w:pPr>
        <w:pStyle w:val="AERbodytext"/>
      </w:pPr>
      <w:r>
        <w:t>The ACCC has previously assessed the need for a large number of withdrawal zones as proposed by APA GasNet, and decided that the increased complexity was justified because of the greater cost reflectivity.</w:t>
      </w:r>
      <w:r>
        <w:rPr>
          <w:rStyle w:val="FootnoteReference"/>
        </w:rPr>
        <w:footnoteReference w:id="616"/>
      </w:r>
      <w:r>
        <w:t xml:space="preserve"> The AER accepts that the zone definitions proposed by APA GasNet are consistent with r. 95(1) of the NGR.</w:t>
      </w:r>
    </w:p>
    <w:p w:rsidR="007C1F9F" w:rsidRDefault="007C1F9F" w:rsidP="007C1F9F">
      <w:pPr>
        <w:pStyle w:val="AERheading4"/>
      </w:pPr>
      <w:r>
        <w:t>Allocation of new assets to zones</w:t>
      </w:r>
    </w:p>
    <w:p w:rsidR="007C1F9F" w:rsidRDefault="007C1F9F" w:rsidP="007C1F9F">
      <w:pPr>
        <w:pStyle w:val="AERbodytext"/>
      </w:pPr>
      <w:r>
        <w:t>APA GasNet proposed a number of new expansions and extensions of the VTS in the access arrangement, and allocated the direct costs associated with these new assets to specific asset groups and the associated tariff zones.</w:t>
      </w:r>
    </w:p>
    <w:p w:rsidR="007C1F9F" w:rsidRDefault="007C1F9F" w:rsidP="007C1F9F">
      <w:pPr>
        <w:pStyle w:val="AERbodytext"/>
      </w:pPr>
      <w:r>
        <w:t>In respect of expansions, APA GasNet allocated the asset-related costs of new facilities to the asset groups which will be augmented by the new capex. The Stonehaven compressor is allocated to the South West injection pipeline, and the Wollert to Wodonga expansion is allocated to the relevant asset groups in the North and South Hume zones</w:t>
      </w:r>
      <w:r>
        <w:rPr>
          <w:rStyle w:val="FootnoteReference"/>
        </w:rPr>
        <w:footnoteReference w:id="617"/>
      </w:r>
      <w:r>
        <w:t>. The AER accepts that these allocations are appropriate and consistent with r. 95(3)(a) of the NGR.</w:t>
      </w:r>
    </w:p>
    <w:p w:rsidR="007C1F9F" w:rsidRDefault="007C1F9F" w:rsidP="007C1F9F">
      <w:pPr>
        <w:pStyle w:val="AERbodytext"/>
      </w:pPr>
      <w:r>
        <w:t>APA GasNet did not indicate to which zone the Warragul expansion should be allocated. The AER requires that to be consistent with r. 95(3)(a) of the NGR, the direct costs of the Warragul expansion should be allocated to the Lurgi tariff zone.</w:t>
      </w:r>
      <w:r w:rsidRPr="00B70577">
        <w:t xml:space="preserve"> </w:t>
      </w:r>
      <w:r>
        <w:t>This is because the Warragul expansion is connected to the Lurgi pipeline and geographically located within the Lurgi tariff zone.</w:t>
      </w:r>
    </w:p>
    <w:p w:rsidR="007C1F9F" w:rsidRDefault="007C1F9F" w:rsidP="007C1F9F">
      <w:pPr>
        <w:pStyle w:val="AERbodytext"/>
      </w:pPr>
      <w:r>
        <w:t>In respect of extensions, APA GasNet allocated the WORM to the Metro zone, the Anglesea lateral to the Port Campbell injection zone, and the Kalkallo lateral to the Metro zone.</w:t>
      </w:r>
    </w:p>
    <w:p w:rsidR="007C1F9F" w:rsidRDefault="007C1F9F" w:rsidP="007C1F9F">
      <w:pPr>
        <w:pStyle w:val="AERbodytext"/>
      </w:pPr>
      <w:r>
        <w:t>The allocation of the WORM to the Metro zone is appropriate, because this asset supports the delivery of gas within and across the Metro zone area, and is therefore attributable to this zone.</w:t>
      </w:r>
    </w:p>
    <w:p w:rsidR="007C1F9F" w:rsidRDefault="007C1F9F" w:rsidP="007C1F9F">
      <w:pPr>
        <w:pStyle w:val="AERbodytext"/>
      </w:pPr>
      <w:r>
        <w:t>However, the AER does not accept the allocation of the direct costs associated with the Anglesea lateral to the Port Campbell injection zone. The Anglesea lateral is required to provide greater security of supply to users in and near the Geelong zone, and is therefore directly attributable to the users in this zone. Most of the gas injected into the South West pipeline is not intended for delivery at Geelong, and hence it is not appropriate to allocate the Anglesea lateral costs to these injections. The allocation proposed by APA GasNet is not consistent with r. 95(3)(a) of the NGR, which requires that costs directly attributable to a class of user should be allocated to that class of users.</w:t>
      </w:r>
    </w:p>
    <w:p w:rsidR="007C1F9F" w:rsidRDefault="007C1F9F" w:rsidP="007C1F9F">
      <w:pPr>
        <w:pStyle w:val="AERbodytext"/>
      </w:pPr>
      <w:r>
        <w:t>The AER requires APA GasNet to allocate the direct costs associated with the Anglesea lateral to the Geelong withdrawal zone, and not to the Port Campbell injection zone.</w:t>
      </w:r>
    </w:p>
    <w:p w:rsidR="007C1F9F" w:rsidRDefault="007C1F9F" w:rsidP="007C1F9F">
      <w:pPr>
        <w:pStyle w:val="AERbodytext"/>
      </w:pPr>
      <w:r>
        <w:t>The AER has also considered the proposed allocation of the direct costs of the Kalkallo lateral. APA GasNet proposed to connect this lateral to the WORM, or alternatively to connect to the Wollert to Euroa pipeline just north of Wollert in the event the WORM project does not proceed</w:t>
      </w:r>
      <w:r>
        <w:rPr>
          <w:rStyle w:val="FootnoteReference"/>
        </w:rPr>
        <w:footnoteReference w:id="618"/>
      </w:r>
      <w:r>
        <w:t xml:space="preserve">.  </w:t>
      </w:r>
    </w:p>
    <w:p w:rsidR="007C1F9F" w:rsidRDefault="007C1F9F" w:rsidP="007C1F9F">
      <w:pPr>
        <w:pStyle w:val="AERbodytext"/>
      </w:pPr>
      <w:r>
        <w:t>The Kalkallo township is part of the larger Metro zone, and the lateral supplying the town is part of the system of pipelines required to distribute gas to users in this zone. It is therefore appropriate to allocate the lateral costs to the Metro zone. In response to a query from the AER, APA GasNet confirmed that the Kalkallo lateral is allocated to the Metro zone.</w:t>
      </w:r>
      <w:r>
        <w:rPr>
          <w:rStyle w:val="FootnoteReference"/>
        </w:rPr>
        <w:footnoteReference w:id="619"/>
      </w:r>
      <w:r>
        <w:t xml:space="preserve"> However, in the event that APA GasNet does not construct the WORM and connects the lateral to the Wollert to Wandong pipeline, the AER considers that it is still appropriate to allocate the costs to the Metro zone. It is not appropriate to allocate the Kalkallo lateral costs to the South Hume zone because the South Hume asset costs are recovered from all users downstream of this zone, and the Kalkallo lateral costs are not directly attributable to these downstream users. Consistent with r. 95 of the NGR, the AER requires APA GasNet to allocate the costs of the Kalkallo extension to the Metro zone irrespective of the lateral connection point. </w:t>
      </w:r>
    </w:p>
    <w:p w:rsidR="007C1F9F" w:rsidRDefault="007C1F9F" w:rsidP="007C1F9F">
      <w:pPr>
        <w:pStyle w:val="AERheading3"/>
        <w:numPr>
          <w:ilvl w:val="2"/>
          <w:numId w:val="7"/>
        </w:numPr>
        <w:tabs>
          <w:tab w:val="clear" w:pos="-357"/>
          <w:tab w:val="num" w:pos="0"/>
        </w:tabs>
        <w:ind w:left="0" w:hanging="714"/>
      </w:pPr>
      <w:r w:rsidRPr="00F607E9">
        <w:t>Cost allo</w:t>
      </w:r>
      <w:r>
        <w:t>cation to the reference and non reference services</w:t>
      </w:r>
    </w:p>
    <w:p w:rsidR="007C1F9F" w:rsidRPr="00F607E9" w:rsidRDefault="007C1F9F" w:rsidP="007C1F9F">
      <w:pPr>
        <w:pStyle w:val="AERbodytext"/>
        <w:rPr>
          <w:rStyle w:val="AERbody"/>
        </w:rPr>
      </w:pPr>
      <w:r w:rsidRPr="00F607E9">
        <w:rPr>
          <w:rStyle w:val="AERbody"/>
        </w:rPr>
        <w:t>The A</w:t>
      </w:r>
      <w:r>
        <w:rPr>
          <w:rStyle w:val="AERbody"/>
        </w:rPr>
        <w:t xml:space="preserve">ER is satisfied that the </w:t>
      </w:r>
      <w:r w:rsidRPr="00F607E9">
        <w:rPr>
          <w:rStyle w:val="AERbody"/>
        </w:rPr>
        <w:t xml:space="preserve">proposed procedure for the allocation of total revenue and costs between reference services and other services is reasonable and </w:t>
      </w:r>
      <w:r>
        <w:rPr>
          <w:rStyle w:val="AERbody"/>
        </w:rPr>
        <w:t>would comply</w:t>
      </w:r>
      <w:r w:rsidRPr="00F607E9">
        <w:rPr>
          <w:rStyle w:val="AERbody"/>
        </w:rPr>
        <w:t xml:space="preserve"> with r</w:t>
      </w:r>
      <w:r>
        <w:rPr>
          <w:rStyle w:val="AERbody"/>
        </w:rPr>
        <w:t>.</w:t>
      </w:r>
      <w:r w:rsidRPr="00F607E9">
        <w:rPr>
          <w:rStyle w:val="AERbody"/>
        </w:rPr>
        <w:t xml:space="preserve"> 93(1)</w:t>
      </w:r>
      <w:r>
        <w:rPr>
          <w:rStyle w:val="AERbody"/>
        </w:rPr>
        <w:t xml:space="preserve"> and r.</w:t>
      </w:r>
      <w:r>
        <w:t> </w:t>
      </w:r>
      <w:r>
        <w:rPr>
          <w:rStyle w:val="AERbody"/>
        </w:rPr>
        <w:t>93</w:t>
      </w:r>
      <w:r w:rsidRPr="00F607E9">
        <w:rPr>
          <w:rStyle w:val="AERbody"/>
        </w:rPr>
        <w:t xml:space="preserve">(2) of the NGR. However, the AER is not satisfied that sufficient evidence </w:t>
      </w:r>
      <w:r>
        <w:rPr>
          <w:rStyle w:val="AERbody"/>
        </w:rPr>
        <w:t xml:space="preserve">has been provided </w:t>
      </w:r>
      <w:r w:rsidRPr="00F607E9">
        <w:rPr>
          <w:rStyle w:val="AERbody"/>
        </w:rPr>
        <w:t>to demonstrate that these procedures have been adhere</w:t>
      </w:r>
      <w:r>
        <w:rPr>
          <w:rStyle w:val="AERbody"/>
        </w:rPr>
        <w:t>d</w:t>
      </w:r>
      <w:r w:rsidRPr="00F607E9">
        <w:rPr>
          <w:rStyle w:val="AERbody"/>
        </w:rPr>
        <w:t xml:space="preserve"> to and correctly applied in the 2008–12 access arrangement period. This is important to </w:t>
      </w:r>
      <w:r>
        <w:rPr>
          <w:rStyle w:val="AERbody"/>
        </w:rPr>
        <w:t xml:space="preserve">the </w:t>
      </w:r>
      <w:r w:rsidRPr="00F607E9">
        <w:rPr>
          <w:rStyle w:val="AERbody"/>
        </w:rPr>
        <w:t>establish</w:t>
      </w:r>
      <w:r>
        <w:rPr>
          <w:rStyle w:val="AERbody"/>
        </w:rPr>
        <w:t>ment of</w:t>
      </w:r>
      <w:r w:rsidRPr="00F607E9">
        <w:rPr>
          <w:rStyle w:val="AERbody"/>
        </w:rPr>
        <w:t xml:space="preserve"> the RAB and </w:t>
      </w:r>
      <w:r>
        <w:rPr>
          <w:rStyle w:val="AERbody"/>
        </w:rPr>
        <w:t xml:space="preserve">the review of expenditures </w:t>
      </w:r>
      <w:r w:rsidRPr="00F607E9">
        <w:rPr>
          <w:rStyle w:val="AERbody"/>
        </w:rPr>
        <w:t>associated with regulated activities</w:t>
      </w:r>
      <w:r>
        <w:rPr>
          <w:rStyle w:val="AERbody"/>
        </w:rPr>
        <w:t xml:space="preserve"> in the 2013–17 access arrangement period</w:t>
      </w:r>
      <w:r w:rsidRPr="00F607E9">
        <w:rPr>
          <w:rStyle w:val="AERbody"/>
        </w:rPr>
        <w:t xml:space="preserve">. </w:t>
      </w:r>
    </w:p>
    <w:p w:rsidR="007C1F9F" w:rsidRPr="00F607E9" w:rsidRDefault="007C1F9F" w:rsidP="007C1F9F">
      <w:pPr>
        <w:pStyle w:val="AERbodytext"/>
        <w:rPr>
          <w:rStyle w:val="AERbody"/>
        </w:rPr>
      </w:pPr>
      <w:r w:rsidRPr="00F607E9">
        <w:rPr>
          <w:rStyle w:val="AERbody"/>
        </w:rPr>
        <w:t xml:space="preserve">The AER </w:t>
      </w:r>
      <w:r>
        <w:rPr>
          <w:rStyle w:val="AERbody"/>
        </w:rPr>
        <w:t>considers that APA GasNet should include supporting</w:t>
      </w:r>
      <w:r w:rsidRPr="00F607E9">
        <w:rPr>
          <w:rStyle w:val="AERbody"/>
        </w:rPr>
        <w:t xml:space="preserve"> information such as timesheets,</w:t>
      </w:r>
      <w:r>
        <w:rPr>
          <w:rStyle w:val="AERbody"/>
        </w:rPr>
        <w:t xml:space="preserve"> job classification codes </w:t>
      </w:r>
      <w:r w:rsidRPr="00F607E9">
        <w:rPr>
          <w:rStyle w:val="AERbody"/>
        </w:rPr>
        <w:t xml:space="preserve">in </w:t>
      </w:r>
      <w:r>
        <w:rPr>
          <w:rStyle w:val="AERbody"/>
        </w:rPr>
        <w:t xml:space="preserve">its </w:t>
      </w:r>
      <w:r w:rsidRPr="00F607E9">
        <w:rPr>
          <w:rStyle w:val="AERbody"/>
        </w:rPr>
        <w:t xml:space="preserve">revised proposal to demonstrate the </w:t>
      </w:r>
      <w:r>
        <w:rPr>
          <w:rStyle w:val="AERbody"/>
        </w:rPr>
        <w:t xml:space="preserve">proposed allocation </w:t>
      </w:r>
      <w:r w:rsidRPr="00F607E9">
        <w:rPr>
          <w:rStyle w:val="AERbody"/>
        </w:rPr>
        <w:t xml:space="preserve">procedure </w:t>
      </w:r>
      <w:r>
        <w:rPr>
          <w:rStyle w:val="AERbody"/>
        </w:rPr>
        <w:t xml:space="preserve">for </w:t>
      </w:r>
      <w:r w:rsidRPr="00F607E9">
        <w:rPr>
          <w:rStyle w:val="AERbody"/>
        </w:rPr>
        <w:t xml:space="preserve">total revenue and costs between reference </w:t>
      </w:r>
      <w:r>
        <w:rPr>
          <w:rStyle w:val="AERbody"/>
        </w:rPr>
        <w:t>services and other services has</w:t>
      </w:r>
      <w:r w:rsidRPr="00F607E9">
        <w:rPr>
          <w:rStyle w:val="AERbody"/>
        </w:rPr>
        <w:t xml:space="preserve"> been correctly </w:t>
      </w:r>
      <w:r>
        <w:rPr>
          <w:rStyle w:val="AERbody"/>
        </w:rPr>
        <w:t xml:space="preserve">applied </w:t>
      </w:r>
      <w:r w:rsidRPr="00F607E9">
        <w:rPr>
          <w:rStyle w:val="AERbody"/>
        </w:rPr>
        <w:t>in the 2008</w:t>
      </w:r>
      <w:r>
        <w:rPr>
          <w:rStyle w:val="AERbody"/>
        </w:rPr>
        <w:t>–</w:t>
      </w:r>
      <w:r w:rsidRPr="00F607E9">
        <w:rPr>
          <w:rStyle w:val="AERbody"/>
        </w:rPr>
        <w:t xml:space="preserve">12 access arrangement period. </w:t>
      </w:r>
      <w:r>
        <w:rPr>
          <w:rStyle w:val="AERbody"/>
        </w:rPr>
        <w:t xml:space="preserve">Alternatively, </w:t>
      </w:r>
      <w:r w:rsidRPr="00F607E9">
        <w:rPr>
          <w:rStyle w:val="AERbody"/>
        </w:rPr>
        <w:t xml:space="preserve">APA GasNet </w:t>
      </w:r>
      <w:r>
        <w:rPr>
          <w:rStyle w:val="AERbody"/>
        </w:rPr>
        <w:t xml:space="preserve">may </w:t>
      </w:r>
      <w:r w:rsidRPr="00F607E9">
        <w:rPr>
          <w:rStyle w:val="AERbody"/>
        </w:rPr>
        <w:t xml:space="preserve">provide a report by an independent auditor </w:t>
      </w:r>
      <w:r>
        <w:rPr>
          <w:rStyle w:val="AERbody"/>
        </w:rPr>
        <w:t xml:space="preserve">to </w:t>
      </w:r>
      <w:r w:rsidRPr="00F607E9">
        <w:rPr>
          <w:rStyle w:val="AERbody"/>
        </w:rPr>
        <w:t xml:space="preserve">confirm the </w:t>
      </w:r>
      <w:r>
        <w:rPr>
          <w:rStyle w:val="AERbody"/>
        </w:rPr>
        <w:t xml:space="preserve">correct application of the proposed cost </w:t>
      </w:r>
      <w:r w:rsidRPr="00F607E9">
        <w:rPr>
          <w:rStyle w:val="AERbody"/>
        </w:rPr>
        <w:t xml:space="preserve">allocation procedure, and </w:t>
      </w:r>
      <w:r>
        <w:rPr>
          <w:rStyle w:val="AERbody"/>
        </w:rPr>
        <w:t xml:space="preserve">the </w:t>
      </w:r>
      <w:r w:rsidRPr="00F607E9">
        <w:rPr>
          <w:rStyle w:val="AERbody"/>
        </w:rPr>
        <w:t>verification of the allocated revenue and costs between regulated and unregulated activities.</w:t>
      </w:r>
    </w:p>
    <w:p w:rsidR="007C1F9F" w:rsidRPr="00B66DF2" w:rsidRDefault="007C1F9F" w:rsidP="007C1F9F">
      <w:pPr>
        <w:pStyle w:val="AERheading3"/>
        <w:numPr>
          <w:ilvl w:val="2"/>
          <w:numId w:val="7"/>
        </w:numPr>
        <w:tabs>
          <w:tab w:val="clear" w:pos="-357"/>
          <w:tab w:val="num" w:pos="0"/>
        </w:tabs>
        <w:ind w:left="0" w:hanging="714"/>
      </w:pPr>
      <w:r w:rsidRPr="00B66DF2">
        <w:t>Cost allocation</w:t>
      </w:r>
    </w:p>
    <w:p w:rsidR="007C1F9F" w:rsidRDefault="007C1F9F" w:rsidP="007C1F9F">
      <w:pPr>
        <w:pStyle w:val="AERbodytext"/>
        <w:rPr>
          <w:rStyle w:val="AERbody"/>
        </w:rPr>
      </w:pPr>
      <w:r>
        <w:rPr>
          <w:rStyle w:val="AERbody"/>
        </w:rPr>
        <w:t>APA GasNet proposed to vary the cost allocation procedures approved in the 2008–12 access arrangement in a number of specific areas. The AER's assessment of these proposals is discussed in the following sections.</w:t>
      </w:r>
    </w:p>
    <w:p w:rsidR="007C1F9F" w:rsidRPr="007E3923" w:rsidRDefault="007C1F9F" w:rsidP="007C1F9F">
      <w:pPr>
        <w:pStyle w:val="AERheading4"/>
        <w:rPr>
          <w:rStyle w:val="AERbody"/>
        </w:rPr>
      </w:pPr>
      <w:r w:rsidRPr="007E3923">
        <w:rPr>
          <w:rStyle w:val="AERbody"/>
        </w:rPr>
        <w:t xml:space="preserve">Direct costs </w:t>
      </w:r>
    </w:p>
    <w:p w:rsidR="007C1F9F" w:rsidRDefault="007C1F9F" w:rsidP="007C1F9F">
      <w:pPr>
        <w:pStyle w:val="AERbodytext"/>
      </w:pPr>
      <w:r>
        <w:t>APA GasNet proposed to allocate all direct capital costs to each of the 29 system asset groups</w:t>
      </w:r>
      <w:r>
        <w:rPr>
          <w:rStyle w:val="FootnoteReference"/>
        </w:rPr>
        <w:footnoteReference w:id="620"/>
      </w:r>
      <w:r>
        <w:t xml:space="preserve"> on the basis of the ORC of the compressor, regulator and pipeline assets in each group. The direct opex costs are allocated to each asset group on the basis of the pipeline length within that asset group. These asset group costs are then allocated to users according to the utilisation of each asset group by each user.</w:t>
      </w:r>
    </w:p>
    <w:p w:rsidR="007C1F9F" w:rsidRDefault="007C1F9F" w:rsidP="007C1F9F">
      <w:pPr>
        <w:pStyle w:val="AERbodytext"/>
      </w:pPr>
      <w:r>
        <w:t>This asset-related cost allocation procedure is the same as approved in the 2008–12 access arrangement in respect of assets which comprised the original opening RAB, and of assets subsequently included in the RAB under the capital integrity test in the Code.</w:t>
      </w:r>
      <w:r>
        <w:rPr>
          <w:rStyle w:val="FootnoteReference"/>
        </w:rPr>
        <w:footnoteReference w:id="621"/>
      </w:r>
      <w:r>
        <w:t xml:space="preserve"> However, APA GasNet proposes to apply this procedure to all assets including certain assets treated on a stand-alone basis in the past, and to all forecast capex in the access arrangement proposal.</w:t>
      </w:r>
    </w:p>
    <w:p w:rsidR="007C1F9F" w:rsidRDefault="007C1F9F" w:rsidP="007C1F9F">
      <w:pPr>
        <w:pStyle w:val="AERbodytext"/>
        <w:rPr>
          <w:rStyle w:val="AERbody"/>
        </w:rPr>
      </w:pPr>
      <w:r>
        <w:rPr>
          <w:rStyle w:val="AERbody"/>
        </w:rPr>
        <w:t>The AER accepts APA GasNet's allocation methodology for pre-existing assets and assets rolled-in under the capital integrity test (principally upgrades and refurbishments). The AER also accepts APA GasNet's procedure for augmentations and extensions which do not have a significant impact on the allocation of costs to users, and for assets which provide wide-spread benefits to users where it is difficult to identify specific beneficiaries and the risk of cross-subsidy is small.</w:t>
      </w:r>
    </w:p>
    <w:p w:rsidR="007C1F9F" w:rsidRDefault="007C1F9F" w:rsidP="007C1F9F">
      <w:pPr>
        <w:pStyle w:val="AERbodytext"/>
        <w:rPr>
          <w:rStyle w:val="AERbody"/>
        </w:rPr>
      </w:pPr>
      <w:r>
        <w:rPr>
          <w:rStyle w:val="AERbody"/>
        </w:rPr>
        <w:t>However, the AER considers that in respect of significant expansions and extensions of the system, costs should be allocated to the users who cause the cost to be incurred, to the extent that this is feasible within the constraints of the tariff design.</w:t>
      </w:r>
      <w:r>
        <w:rPr>
          <w:rStyle w:val="FootnoteReference"/>
        </w:rPr>
        <w:footnoteReference w:id="622"/>
      </w:r>
      <w:r>
        <w:rPr>
          <w:rStyle w:val="AERbody"/>
        </w:rPr>
        <w:t xml:space="preserve"> That is, the users who cause a cost to be incurred should pay at least that cost through the tariffs applicable to that user. </w:t>
      </w:r>
    </w:p>
    <w:p w:rsidR="007C1F9F" w:rsidRDefault="007C1F9F" w:rsidP="007C1F9F">
      <w:pPr>
        <w:pStyle w:val="AERbodytext"/>
        <w:rPr>
          <w:rStyle w:val="AERbody"/>
        </w:rPr>
      </w:pPr>
      <w:r>
        <w:rPr>
          <w:rStyle w:val="AERbody"/>
        </w:rPr>
        <w:t>In a number of instances the cost allocation proposed by APA GasNet for certain augmentations and extensions is not consistent with this principle, and therefore not consistent with r. 95(3)(a) of the NGR. The AER's assessment of these cases is discussed below.</w:t>
      </w:r>
    </w:p>
    <w:p w:rsidR="007C1F9F" w:rsidRDefault="007C1F9F" w:rsidP="007C1F9F">
      <w:pPr>
        <w:pStyle w:val="AERheading6"/>
      </w:pPr>
      <w:r>
        <w:t>Establishing the direct costs and tariffs of the South West pipeline and Murray Valley pipeline</w:t>
      </w:r>
    </w:p>
    <w:p w:rsidR="007C1F9F" w:rsidRDefault="007C1F9F" w:rsidP="007C1F9F">
      <w:pPr>
        <w:pStyle w:val="AERbodytext"/>
      </w:pPr>
      <w:r>
        <w:t>In earlier approved access arrangements, assets which were rolled-in to the RAB under the economic feasibility test in the Code</w:t>
      </w:r>
      <w:r>
        <w:rPr>
          <w:rStyle w:val="FootnoteReference"/>
        </w:rPr>
        <w:footnoteReference w:id="623"/>
      </w:r>
      <w:r>
        <w:t xml:space="preserve"> were effectively treated as stand-alone costs for the purposes of cost allocation and tariff setting. This applied in particular to the South West pipeline and the</w:t>
      </w:r>
      <w:r w:rsidRPr="007E3923">
        <w:rPr>
          <w:rFonts w:eastAsia="Calibri"/>
        </w:rPr>
        <w:t xml:space="preserve"> Murray Valley pipeline. This was done so that the actual incremental costs incurred as a result of each investment would be borne only by the users of the new assets:</w:t>
      </w:r>
    </w:p>
    <w:p w:rsidR="007C1F9F" w:rsidRPr="007E3923" w:rsidRDefault="007C1F9F" w:rsidP="007C1F9F">
      <w:pPr>
        <w:pStyle w:val="AERquote"/>
        <w:rPr>
          <w:rFonts w:eastAsia="Calibri"/>
        </w:rPr>
      </w:pPr>
      <w:r w:rsidRPr="007E3923">
        <w:rPr>
          <w:rFonts w:eastAsia="Calibri"/>
        </w:rPr>
        <w:t>After careful consideration, the Commission has accepted arguments that it should isolate costs associated with inclusions to the capital base (under the economic feasibility test) so that they are not borne by parties who do not use the facility. Thus the Murray Valley pipeline and the portion of the Southwest Pipeline which passed the economic feasibility test will be isolated from the standard cost allocation model and the tariffs will be constructed on a cost recovery basis for each of those assets.</w:t>
      </w:r>
      <w:r w:rsidRPr="007E3923">
        <w:rPr>
          <w:rStyle w:val="FootnoteReference"/>
          <w:rFonts w:eastAsia="Calibri"/>
        </w:rPr>
        <w:footnoteReference w:id="624"/>
      </w:r>
      <w:r w:rsidRPr="007E3923">
        <w:rPr>
          <w:rFonts w:eastAsia="Calibri"/>
        </w:rPr>
        <w:t xml:space="preserve"> </w:t>
      </w:r>
    </w:p>
    <w:p w:rsidR="007C1F9F" w:rsidRDefault="007C1F9F" w:rsidP="007C1F9F">
      <w:pPr>
        <w:pStyle w:val="AERbodytext"/>
      </w:pPr>
      <w:r>
        <w:t>This cost allocation procedure was maintained and incorporated in the tariff model for the 2008–12 access arrangement.</w:t>
      </w:r>
    </w:p>
    <w:p w:rsidR="007C1F9F" w:rsidRDefault="007C1F9F" w:rsidP="007C1F9F">
      <w:pPr>
        <w:pStyle w:val="AERbodytext"/>
      </w:pPr>
      <w:r>
        <w:t>The procedure is intended to ensure that only the beneficiaries of the new assets pay the incremental costs associated with the asset. It gives substance to the test under which the assets were included in the RAB, which required that incremental costs should be recovered from incremental users over the life of the asset.</w:t>
      </w:r>
    </w:p>
    <w:p w:rsidR="007C1F9F" w:rsidRDefault="007C1F9F" w:rsidP="007C1F9F">
      <w:pPr>
        <w:pStyle w:val="AERbodytext"/>
      </w:pPr>
      <w:r>
        <w:t>The NGR require that costs directly attributable to a user should be allocated to the relevant user.</w:t>
      </w:r>
      <w:r>
        <w:rPr>
          <w:rStyle w:val="FootnoteReference"/>
        </w:rPr>
        <w:footnoteReference w:id="625"/>
      </w:r>
      <w:r>
        <w:t xml:space="preserve"> In the case of the Murray Valley pipeline and the South West pipeline, it is straightforward to identify the relevant costs and the relevant users who benefit from the asset as these are both simple pipeline extensions. </w:t>
      </w:r>
    </w:p>
    <w:p w:rsidR="007C1F9F" w:rsidRDefault="007C1F9F" w:rsidP="007C1F9F">
      <w:pPr>
        <w:pStyle w:val="AERbodytext"/>
      </w:pPr>
      <w:r>
        <w:t>The AER considers that the ORC allocation method proposed by APA GasNet does not allocate the actual costs incurred in constructing expansions or extensions to the users of the investments over the life of the assets.</w:t>
      </w:r>
      <w:r w:rsidRPr="0081475D">
        <w:t xml:space="preserve"> </w:t>
      </w:r>
      <w:r w:rsidR="009D7515">
        <w:t>This conflicts with</w:t>
      </w:r>
      <w:r>
        <w:t xml:space="preserve"> r. 95(3) of the NGR. It also raises the possibility that other unrelated users will pay higher costs, and may lead to under-or over-utilisation of services contrary to the revenue and pricing principles.</w:t>
      </w:r>
      <w:r>
        <w:rPr>
          <w:rStyle w:val="FootnoteReference"/>
        </w:rPr>
        <w:footnoteReference w:id="626"/>
      </w:r>
    </w:p>
    <w:p w:rsidR="007C1F9F" w:rsidRDefault="007C1F9F" w:rsidP="007C1F9F">
      <w:pPr>
        <w:pStyle w:val="AERbodytext"/>
      </w:pPr>
      <w:r>
        <w:t>The AER sought clarification on this issue from APA GasNet. In response, APA GasNet stated that its intent is to treat all assets consistently and to calculate tariffs on the same basis, particularly in light of the significant changes in demand on the pipelines. APA GasNet stated that the exceptions to the ORC allocation procedure such as the Murray Valley pipeline and the South West pipeline allocation procedures were determined under the Code.</w:t>
      </w:r>
      <w:r>
        <w:rPr>
          <w:rStyle w:val="FootnoteReference"/>
        </w:rPr>
        <w:footnoteReference w:id="627"/>
      </w:r>
    </w:p>
    <w:p w:rsidR="007C1F9F" w:rsidRDefault="007C1F9F" w:rsidP="007C1F9F">
      <w:pPr>
        <w:pStyle w:val="AERbodytext"/>
      </w:pPr>
      <w:r>
        <w:t>The AER accepts that the proposal from APA GasNet leads to greater simplicity in the cost allocation procedure. However, the AER must give due consideration to the incremental pricing principle as applied to the two assets in question, which was applied under the Code, and remains relevant under the NGR.</w:t>
      </w:r>
    </w:p>
    <w:p w:rsidR="007C1F9F" w:rsidRDefault="007C1F9F" w:rsidP="007C1F9F">
      <w:pPr>
        <w:pStyle w:val="AERbodytext"/>
      </w:pPr>
      <w:r>
        <w:t>The AER does not approve the cost allocation procedure proposed by APA GasNet, and requires that APA GasNet allocate costs on an incremental basis in line with the earlier access arrangements.</w:t>
      </w:r>
    </w:p>
    <w:p w:rsidR="007C1F9F" w:rsidRDefault="007C1F9F" w:rsidP="007C1F9F">
      <w:pPr>
        <w:pStyle w:val="AERheading6"/>
      </w:pPr>
      <w:r>
        <w:t>Allocation of physical path costs to the Murray Valley pipeline</w:t>
      </w:r>
    </w:p>
    <w:p w:rsidR="007C1F9F" w:rsidRDefault="007C1F9F" w:rsidP="007C1F9F">
      <w:pPr>
        <w:pStyle w:val="AERbodytext"/>
      </w:pPr>
      <w:r>
        <w:t>In the 2008–12 access arrangement the ACCC approved a discount to the Murray Valley tariff.</w:t>
      </w:r>
      <w:r>
        <w:rPr>
          <w:rStyle w:val="FootnoteReference"/>
        </w:rPr>
        <w:footnoteReference w:id="628"/>
      </w:r>
      <w:r>
        <w:t xml:space="preserve"> The tariff for users on the Murray Valley pipeline recovers only the costs of the pipeline plus a contribution to indirect costs. There is no allocation of costs to transport gas from the injection pipelines to Chiltern Valley at the entrance to the Murray Valley pipeline. The ACCC accepted that the discount was appropriate to enable APA GasNet to develop and keep the market on the pipeline. The ACCC indicated that this decision would be re-considered in future access arrangements.</w:t>
      </w:r>
    </w:p>
    <w:p w:rsidR="007C1F9F" w:rsidRDefault="007C1F9F" w:rsidP="007C1F9F">
      <w:pPr>
        <w:pStyle w:val="AERbodytext"/>
      </w:pPr>
      <w:r>
        <w:t>The AER has reviewed the discount and the state of the market on the pipeline. Based on the annual sales volumes reported each year by APA GasNet there appears to have been reasonable growth in both tariff-D and tariff-V markets which has exceeded the previous forecast.</w:t>
      </w:r>
    </w:p>
    <w:p w:rsidR="007C1F9F" w:rsidRDefault="007C1F9F" w:rsidP="007C1F9F">
      <w:pPr>
        <w:pStyle w:val="AERbodytext"/>
      </w:pPr>
      <w:r>
        <w:t>The AER considers that the continued application of the discount is appropriate.</w:t>
      </w:r>
    </w:p>
    <w:p w:rsidR="007C1F9F" w:rsidRDefault="007C1F9F" w:rsidP="007C1F9F">
      <w:pPr>
        <w:pStyle w:val="AERheading6"/>
      </w:pPr>
      <w:r>
        <w:t>Establishing the direct costs of the Gas to Culcairn project - Wollert to Wodonga expansion</w:t>
      </w:r>
    </w:p>
    <w:p w:rsidR="007C1F9F" w:rsidRDefault="007C1F9F" w:rsidP="007C1F9F">
      <w:pPr>
        <w:pStyle w:val="AERbodytext"/>
      </w:pPr>
      <w:r>
        <w:t>APA GasNet proposed to allocate the direct capital costs of the Wollert to Wodonga expansion amongst all asset groups using the ORC allocation procedure.</w:t>
      </w:r>
    </w:p>
    <w:p w:rsidR="007C1F9F" w:rsidRDefault="007C1F9F" w:rsidP="007C1F9F">
      <w:pPr>
        <w:pStyle w:val="AERbodytext"/>
      </w:pPr>
      <w:r>
        <w:t>However, as discussed above with respect to existing assets, the AER considers that the ORC allocation method proposed by APA GasNet may not allocate the actual costs incurred in constructing this expansion to the users of the Wollert to Wodonga pipeline over the life of the assets.</w:t>
      </w:r>
      <w:r w:rsidRPr="0081475D">
        <w:t xml:space="preserve"> </w:t>
      </w:r>
      <w:r>
        <w:t xml:space="preserve">Specifically, the ORC allocation method might not allocate the actual costs of the expansion solely to the users of the asset groups which comprise the Wollert to Wodonga pipeline. </w:t>
      </w:r>
      <w:r w:rsidR="00620514">
        <w:t>This is not consistent with r.</w:t>
      </w:r>
      <w:r>
        <w:t xml:space="preserve"> 95(3)(a) of the NGR.</w:t>
      </w:r>
    </w:p>
    <w:p w:rsidR="007C1F9F" w:rsidRDefault="007C1F9F" w:rsidP="007C1F9F">
      <w:pPr>
        <w:pStyle w:val="AERbodytext"/>
      </w:pPr>
      <w:r>
        <w:t>Therefore the AER requires that the direct costs of the project should be allocated to the relevant asset groups comprising the Wollert to Wodonga pipeline on a stand-alone basis in the same way as was done in the previous access arrangements with respect to the Murray Valley pipeline and the South West pipeline.</w:t>
      </w:r>
    </w:p>
    <w:p w:rsidR="007C1F9F" w:rsidRDefault="007C1F9F" w:rsidP="007C1F9F">
      <w:pPr>
        <w:pStyle w:val="AERheading6"/>
      </w:pPr>
      <w:r>
        <w:t>Allocating the incremental costs of the Gas to Culcairn project - Wollert to Wodonga</w:t>
      </w:r>
    </w:p>
    <w:p w:rsidR="007C1F9F" w:rsidRDefault="007C1F9F" w:rsidP="007C1F9F">
      <w:pPr>
        <w:pStyle w:val="AERbodytext"/>
      </w:pPr>
      <w:r>
        <w:t>APA GasNet proposed to allocate the costs of each asset group comprising the Wollert to Wodonga pipeline to users according to each user's utilisation of these assets. This is the standard allocation method employed by APA GasNet for assets which are shared by multiple users.</w:t>
      </w:r>
      <w:r w:rsidRPr="00C8126E">
        <w:t xml:space="preserve"> </w:t>
      </w:r>
      <w:r>
        <w:t>This cost allocation procedure affects the tariffs in the South Hume, North Hume, Echuca, Calder, Wodonga and Culcairn export zones.</w:t>
      </w:r>
    </w:p>
    <w:p w:rsidR="007C1F9F" w:rsidRDefault="007C1F9F" w:rsidP="007C1F9F">
      <w:pPr>
        <w:pStyle w:val="AERbodytext"/>
      </w:pPr>
      <w:r>
        <w:t>However, the AER considers that in certain circumstances, this cost allocation methodology may not allocate the costs of the expansion solely to the users who cause these costs to be incurred. In this case the costs of the Wollert to Wodonga pipeline expansion are directly attributable to the need to increase pipeline capacity for additional exports through the Culcairn export p</w:t>
      </w:r>
      <w:r w:rsidR="00620514">
        <w:t>oint. To be consistent with r.</w:t>
      </w:r>
      <w:r>
        <w:t xml:space="preserve"> 95(3)(a) these additional exports should pay at least the incremental costs incurred in providing the required increase in capacity.</w:t>
      </w:r>
    </w:p>
    <w:p w:rsidR="007C1F9F" w:rsidRDefault="007C1F9F" w:rsidP="007C1F9F">
      <w:pPr>
        <w:pStyle w:val="AERbodytext"/>
      </w:pPr>
      <w:r>
        <w:t>Therefore the AER considers that APA GasNet should allocate the direct costs on the Wollert to Wodonga pipeline using the standard physical path cost allocation procedure, but only provided that the costs allocated to the Culcairn export tariff exceed the incremental (conforming) direct costs of the Wollert to Wodonga expansion. To the extent that this is not achieved, the additional incremental costs should be allocated to the Culcairn export tariff.</w:t>
      </w:r>
    </w:p>
    <w:p w:rsidR="007C1F9F" w:rsidRDefault="007C1F9F" w:rsidP="007C1F9F">
      <w:pPr>
        <w:pStyle w:val="AERbodytext"/>
      </w:pPr>
      <w:r>
        <w:t xml:space="preserve">Based on the amended costs and volumes for the Gas to Culcairn project discussed in this draft decision, the AER estimates that the cost sharing procedure in the APA GasNet tariff model is likely to recover at least the incremental costs. In the event that this is not the case the AER requires that the sharing formula be amended so that the incremental export volumes recover at least the incremental costs.  </w:t>
      </w:r>
    </w:p>
    <w:p w:rsidR="007C1F9F" w:rsidRDefault="007C1F9F" w:rsidP="007C1F9F">
      <w:pPr>
        <w:pStyle w:val="AERbodytext"/>
      </w:pPr>
      <w:r>
        <w:t>AGL submitted that the users in the metro area will not benefit from the Northern expansion, and only partially from the Stonehaven compressor, and that the costs should be charged on a 'user pays' basis</w:t>
      </w:r>
      <w:r>
        <w:rPr>
          <w:rStyle w:val="FootnoteReference"/>
        </w:rPr>
        <w:footnoteReference w:id="629"/>
      </w:r>
      <w:r>
        <w:t>. The AER agrees with AGL and the revisions described above should address this issue.</w:t>
      </w:r>
    </w:p>
    <w:p w:rsidR="007C1F9F" w:rsidRDefault="007C1F9F" w:rsidP="007C1F9F">
      <w:pPr>
        <w:pStyle w:val="AERheading6"/>
      </w:pPr>
      <w:r>
        <w:t>Establishing the direct costs and tariffs of the Gas to Culcairn project - South West pipeline expansion</w:t>
      </w:r>
    </w:p>
    <w:p w:rsidR="007C1F9F" w:rsidRDefault="007C1F9F" w:rsidP="007C1F9F">
      <w:pPr>
        <w:pStyle w:val="AERbodytext"/>
      </w:pPr>
      <w:r>
        <w:t xml:space="preserve">APA GasNet proposed the construction of the Stonehaven compressor in order to support increased injections into the South West pipeline, principally for carriage through the system to the Culcairn export zone.     </w:t>
      </w:r>
    </w:p>
    <w:p w:rsidR="007C1F9F" w:rsidRDefault="007C1F9F" w:rsidP="007C1F9F">
      <w:pPr>
        <w:pStyle w:val="AERbodytext"/>
      </w:pPr>
      <w:r>
        <w:t>As with the Wollert to Wodonga pipeline, APA GasNet proposed to allocate the direct capital costs of the Stonehaven compressor to all asset groups on the basis of the ORC allocation procedure.</w:t>
      </w:r>
    </w:p>
    <w:p w:rsidR="007C1F9F" w:rsidRDefault="007C1F9F" w:rsidP="007C1F9F">
      <w:pPr>
        <w:pStyle w:val="AERbodytext"/>
      </w:pPr>
      <w:r>
        <w:t>For the same reasons given in the previous sections, the AER requires that the direct capital costs of the project (depreciation, rate of return, capital raising costs and tax liabilities) must be calculated on a stand-alone basis, and allocated solely to the South West pipeline asset group.</w:t>
      </w:r>
    </w:p>
    <w:p w:rsidR="007C1F9F" w:rsidRDefault="007C1F9F" w:rsidP="007C1F9F">
      <w:pPr>
        <w:pStyle w:val="AERbodytext"/>
      </w:pPr>
      <w:r>
        <w:t xml:space="preserve">The AER considers that </w:t>
      </w:r>
      <w:r w:rsidR="00620514">
        <w:t>it would be consistent with r.</w:t>
      </w:r>
      <w:r>
        <w:t xml:space="preserve"> 95(3)(a) to allocate the incremental costs of the Stonehaven compressor to the incremental injections. However, there is no practical way to distinguish existing injections and incremental injections at Port Campbell for charging purposes. Therefore it is necessary to calculate an average injection tariff on the basis proposed by APA GasNet. The AER accepts the charging methodology proposed by APA GasNet at the Port Campbell injection zone.</w:t>
      </w:r>
    </w:p>
    <w:p w:rsidR="007C1F9F" w:rsidRDefault="007C1F9F" w:rsidP="007C1F9F">
      <w:pPr>
        <w:pStyle w:val="AERheading6"/>
      </w:pPr>
      <w:r>
        <w:t>Allocation of direct costs to peak and annual flows</w:t>
      </w:r>
    </w:p>
    <w:p w:rsidR="007C1F9F" w:rsidRDefault="007C1F9F" w:rsidP="007C1F9F">
      <w:pPr>
        <w:pStyle w:val="AERbodytext"/>
      </w:pPr>
      <w:r>
        <w:t>APA GasNet proposed that the allocation of direct costs to peak day flows on the withdrawal pipelines (as opposed to annual flows) should be reduced from 55.6% to 52.5%. APA GasNet argued that withdrawal pipelines are in general unconstrained and that this supports a reduction in the peak pricing signal. APA GasNet proposed to retain the allocation of 100% of the injection pipeline costs to the peak flows on the injection pipelines.</w:t>
      </w:r>
    </w:p>
    <w:p w:rsidR="007C1F9F" w:rsidRDefault="007C1F9F" w:rsidP="007C1F9F">
      <w:pPr>
        <w:pStyle w:val="AERbodytext"/>
      </w:pPr>
      <w:r>
        <w:t>There are a number of withdrawal pipelines which have recently required augmentation or where supply on the peak day is a concern, including the Wollert-Wodonga pipeline, the Geelong zone, the Lurgi zone, the Sunbury lateral and the Ballarat pipeline. However, the AER understands that the majority of the demand which is in the Metro zone is not likely to be constrained provided there are adequate injections. On this basis the AER accepts APA GasNet's proposed allocation of 52.5% of direct costs to peak flows on withdrawal pipelines.</w:t>
      </w:r>
    </w:p>
    <w:p w:rsidR="007C1F9F" w:rsidRPr="00D65FF4" w:rsidRDefault="007C1F9F" w:rsidP="007C1F9F">
      <w:pPr>
        <w:pStyle w:val="AERbodytext"/>
        <w:rPr>
          <w:rStyle w:val="AERtextitalic"/>
        </w:rPr>
      </w:pPr>
      <w:r w:rsidRPr="00D65FF4">
        <w:rPr>
          <w:rStyle w:val="AERtextitalic"/>
        </w:rPr>
        <w:t>Allocation of costs</w:t>
      </w:r>
      <w:r>
        <w:rPr>
          <w:rStyle w:val="AERtextitalic"/>
        </w:rPr>
        <w:t xml:space="preserve"> - miscellaneous issues</w:t>
      </w:r>
    </w:p>
    <w:p w:rsidR="007C1F9F" w:rsidRDefault="007C1F9F" w:rsidP="007C1F9F">
      <w:pPr>
        <w:pStyle w:val="AERbodytext"/>
      </w:pPr>
      <w:r>
        <w:t>The AER has identified the following miscellaneous errors in the cost allocation procedures:</w:t>
      </w:r>
    </w:p>
    <w:p w:rsidR="007C1F9F" w:rsidRDefault="007C1F9F" w:rsidP="007C1F9F">
      <w:pPr>
        <w:pStyle w:val="AERbulletlistfirststyle"/>
      </w:pPr>
      <w:r>
        <w:t>an error in the allocation of path-based costs to the customers in the Western zone which biases the allocation of costs to the zone</w:t>
      </w:r>
    </w:p>
    <w:p w:rsidR="007C1F9F" w:rsidRDefault="007C1F9F" w:rsidP="007C1F9F">
      <w:pPr>
        <w:pStyle w:val="AERbulletlistfirststyle"/>
      </w:pPr>
      <w:r>
        <w:t>errors in the volume forecasts for the Interconnect zone and the Western zone which affect the calculation of zonal tariffs</w:t>
      </w:r>
    </w:p>
    <w:p w:rsidR="007C1F9F" w:rsidRDefault="007C1F9F" w:rsidP="007C1F9F">
      <w:pPr>
        <w:pStyle w:val="AERbulletlistfirststyle"/>
      </w:pPr>
      <w:r>
        <w:t>an error in the re-allocation of Murray Valley pipeline costs arising from the discount on path-based costs from Pakenham to Chiltern Valley</w:t>
      </w:r>
    </w:p>
    <w:p w:rsidR="007C1F9F" w:rsidRDefault="007C1F9F" w:rsidP="007C1F9F">
      <w:pPr>
        <w:pStyle w:val="AERbulletlistfirststyle"/>
      </w:pPr>
      <w:r>
        <w:t xml:space="preserve">the direct cost allocations to pipeline, compressor and other assets are not consistent with the AER's approved total opex. </w:t>
      </w:r>
    </w:p>
    <w:p w:rsidR="007C1F9F" w:rsidRDefault="007C1F9F" w:rsidP="007C1F9F">
      <w:pPr>
        <w:pStyle w:val="AERbodytext"/>
      </w:pPr>
      <w:r>
        <w:t>APA GasNet must correct the errors and re-calculate the tariffs consistent with the approved tariff methodology.</w:t>
      </w:r>
    </w:p>
    <w:p w:rsidR="007C1F9F" w:rsidRDefault="007C1F9F" w:rsidP="007C1F9F">
      <w:pPr>
        <w:pStyle w:val="AERbodytext"/>
      </w:pPr>
      <w:r>
        <w:t>In addition:</w:t>
      </w:r>
    </w:p>
    <w:p w:rsidR="007C1F9F" w:rsidRDefault="007C1F9F" w:rsidP="007C1F9F">
      <w:pPr>
        <w:pStyle w:val="AERbulletlistfirststyle"/>
      </w:pPr>
      <w:r>
        <w:t>APA GasNet forecast a load factor of 95% for the existing Culcairn exports, and a peak flow which is inconsistent with the installed capacity of the pipeline. APA GasNet must review the load factor assumption applied to the Culcairn export volumes and recalculate the cost allocations to this zone.</w:t>
      </w:r>
    </w:p>
    <w:p w:rsidR="007C1F9F" w:rsidRDefault="007C1F9F" w:rsidP="007C1F9F">
      <w:pPr>
        <w:pStyle w:val="AERbulletlistfirststyle"/>
      </w:pPr>
      <w:r>
        <w:t>APA GasNet also forecast that all exports through VicHub are sourced from Longford. However historically most VicHub exports are sourced from other injection points, and will bear a higher tariff. APA GasNet must calculate the appropriate costs to be recovered from these exports and include these in the total revenue recovery.</w:t>
      </w:r>
    </w:p>
    <w:p w:rsidR="007C1F9F" w:rsidRPr="004C3CAC" w:rsidRDefault="007C1F9F" w:rsidP="007C1F9F">
      <w:pPr>
        <w:pStyle w:val="AERheading4"/>
      </w:pPr>
      <w:r w:rsidRPr="004C3CAC">
        <w:t>Indirect costs</w:t>
      </w:r>
    </w:p>
    <w:p w:rsidR="007C1F9F" w:rsidRDefault="00620514" w:rsidP="007C1F9F">
      <w:pPr>
        <w:pStyle w:val="AERbodytext"/>
      </w:pPr>
      <w:r>
        <w:t>For the purposes of r.</w:t>
      </w:r>
      <w:r w:rsidR="007C1F9F">
        <w:t xml:space="preserve"> 95(3)(b), other costs are all costs of a general business nature which cannot be directly attributed to users. In this attachment these costs are referred to as 'indirect costs'. They include general administrative overheads and capital costs associated with non-system assets. For the purposes of APA GasNet's cost allocation procedure, they also include efficiency benefit carry-overs, reset costs and return on inventories. APA GasNet has also included tax liabilities in this category, which is discussed below.</w:t>
      </w:r>
    </w:p>
    <w:p w:rsidR="007C1F9F" w:rsidRDefault="007C1F9F" w:rsidP="007C1F9F">
      <w:pPr>
        <w:pStyle w:val="AERbodytext"/>
      </w:pPr>
      <w:r>
        <w:t>APA Gas</w:t>
      </w:r>
      <w:r w:rsidR="00620514">
        <w:t>Net also defined a category of '</w:t>
      </w:r>
      <w:r>
        <w:t>rolled-out</w:t>
      </w:r>
      <w:r w:rsidR="00620514">
        <w:t>'</w:t>
      </w:r>
      <w:r>
        <w:t xml:space="preserve"> costs</w:t>
      </w:r>
      <w:r>
        <w:rPr>
          <w:rStyle w:val="FootnoteReference"/>
        </w:rPr>
        <w:footnoteReference w:id="630"/>
      </w:r>
      <w:r>
        <w:t xml:space="preserve"> associated with the South West pipeline, the Interconnect assets and the Brooklyn Lara pipeline, and treats these costs in the same way as indirect costs. The AER considers that these costs are direct costs re</w:t>
      </w:r>
      <w:r w:rsidR="00620514">
        <w:t>ferable to paragraph (a) of r.</w:t>
      </w:r>
      <w:r>
        <w:t xml:space="preserve"> 95(3), but as discussed later may be allocated to users as other (indirect) costs are allocated.</w:t>
      </w:r>
    </w:p>
    <w:p w:rsidR="007C1F9F" w:rsidRDefault="007C1F9F" w:rsidP="007C1F9F">
      <w:pPr>
        <w:pStyle w:val="AERbodytext"/>
      </w:pPr>
      <w:r>
        <w:t>These costs are a significant proportion of total costs.  Based on APA GasNet's proposal, indirect costs amount to 38% of total costs. Excluding tax liabilities, indirect costs are 29% of total revenue.</w:t>
      </w:r>
    </w:p>
    <w:p w:rsidR="007C1F9F" w:rsidRDefault="007C1F9F" w:rsidP="007C1F9F">
      <w:pPr>
        <w:pStyle w:val="AERbodytext"/>
      </w:pPr>
      <w:r>
        <w:t>In line with previous practice APA GasNet proposed to allocate these costs to annual flows through all withdrawal zones on a postage-stamp basis. Rule 95(3)(b) of the NGR requires that this class of costs must be allocated to users on a basis determined or approved by the AER, subject to the revenue and pricing principles.</w:t>
      </w:r>
      <w:r>
        <w:rPr>
          <w:rStyle w:val="FootnoteReference"/>
        </w:rPr>
        <w:footnoteReference w:id="631"/>
      </w:r>
      <w:r>
        <w:t xml:space="preserve"> The AER has previously approved this procedure as a general principle, and sees no reason to change this approach. However, APA GasNet has proposed a number of exceptions to this procedure, which are considered below.</w:t>
      </w:r>
    </w:p>
    <w:p w:rsidR="007C1F9F" w:rsidRPr="00A11FA7" w:rsidRDefault="007C1F9F" w:rsidP="007C1F9F">
      <w:pPr>
        <w:pStyle w:val="AERheading5"/>
      </w:pPr>
      <w:r w:rsidRPr="00A11FA7">
        <w:t>Allocation of tax liabilities</w:t>
      </w:r>
    </w:p>
    <w:p w:rsidR="007C1F9F" w:rsidRPr="00595A97" w:rsidRDefault="007C1F9F" w:rsidP="007C1F9F">
      <w:pPr>
        <w:pStyle w:val="AERbodytext"/>
        <w:rPr>
          <w:rStyle w:val="AERbody"/>
        </w:rPr>
      </w:pPr>
      <w:r w:rsidRPr="00595A97">
        <w:rPr>
          <w:rStyle w:val="AERbody"/>
        </w:rPr>
        <w:t>APA GasNet proposed to include tax liabilities within the indirect cost category, and allocate this cost to users on a postage stamp basis.</w:t>
      </w:r>
      <w:r>
        <w:rPr>
          <w:rStyle w:val="AERbody"/>
        </w:rPr>
        <w:t xml:space="preserve"> The AER sought clarification on this issue. In response, APA GasNet stated that tax liabilities are corporate costs of a general nature with no specific driver.</w:t>
      </w:r>
      <w:r>
        <w:rPr>
          <w:rStyle w:val="FootnoteReference"/>
        </w:rPr>
        <w:footnoteReference w:id="632"/>
      </w:r>
    </w:p>
    <w:p w:rsidR="007C1F9F" w:rsidRPr="00595A97" w:rsidRDefault="007C1F9F" w:rsidP="007C1F9F">
      <w:pPr>
        <w:pStyle w:val="AERbodytext"/>
        <w:rPr>
          <w:rStyle w:val="AERbody"/>
        </w:rPr>
      </w:pPr>
      <w:r w:rsidRPr="00595A97">
        <w:rPr>
          <w:rStyle w:val="AERbody"/>
        </w:rPr>
        <w:t xml:space="preserve">Tax liabilities are calculated within the </w:t>
      </w:r>
      <w:r w:rsidR="00620514">
        <w:rPr>
          <w:rStyle w:val="AERbody"/>
        </w:rPr>
        <w:t>PTRM</w:t>
      </w:r>
      <w:r w:rsidRPr="00595A97">
        <w:rPr>
          <w:rStyle w:val="AERbody"/>
        </w:rPr>
        <w:t xml:space="preserve"> for the business as a whole.  </w:t>
      </w:r>
      <w:r>
        <w:rPr>
          <w:rStyle w:val="AERbody"/>
        </w:rPr>
        <w:t>However, t</w:t>
      </w:r>
      <w:r w:rsidRPr="00595A97">
        <w:rPr>
          <w:rStyle w:val="AERbody"/>
        </w:rPr>
        <w:t xml:space="preserve">he tax liability is directly related to the asset value. Expansions or extensions to the system which cause an increase in the RAB will cause an associated increase in tax liabilities. Therefore to the extent that direct capital investments are attributable to users, the associated tax liabilities are also attributable to the same users. On this basis, the AER considers that tax liabilities </w:t>
      </w:r>
      <w:r>
        <w:rPr>
          <w:rStyle w:val="AERbody"/>
        </w:rPr>
        <w:t xml:space="preserve">are not business costs of a general nature and </w:t>
      </w:r>
      <w:r w:rsidRPr="00595A97">
        <w:rPr>
          <w:rStyle w:val="AERbody"/>
        </w:rPr>
        <w:t>should be classified as direct costs within the APA GasNet allocation model and allocated to users in the same way as other direct costs.</w:t>
      </w:r>
    </w:p>
    <w:p w:rsidR="007C1F9F" w:rsidRPr="00595A97" w:rsidRDefault="007C1F9F" w:rsidP="007C1F9F">
      <w:pPr>
        <w:pStyle w:val="AERbodytext"/>
        <w:rPr>
          <w:rStyle w:val="AERbody"/>
        </w:rPr>
      </w:pPr>
      <w:r w:rsidRPr="00595A97">
        <w:rPr>
          <w:rStyle w:val="AERbody"/>
        </w:rPr>
        <w:t>The AER requires that tax liabilities must be classified as direct costs and allocated by the physical path method</w:t>
      </w:r>
      <w:r>
        <w:rPr>
          <w:rStyle w:val="AERbody"/>
        </w:rPr>
        <w:t xml:space="preserve"> in the same way that the return on and of capital is allocated</w:t>
      </w:r>
      <w:r w:rsidRPr="00595A97">
        <w:rPr>
          <w:rStyle w:val="AERbody"/>
        </w:rPr>
        <w:t>.</w:t>
      </w:r>
      <w:r>
        <w:rPr>
          <w:rStyle w:val="AERbody"/>
        </w:rPr>
        <w:t xml:space="preserve"> This is consistent with r. 95(3)(a) of the NGR, which requires that costs directly attributable to users should be allocated to those users.</w:t>
      </w:r>
    </w:p>
    <w:p w:rsidR="007C1F9F" w:rsidRPr="00595A97" w:rsidRDefault="007C1F9F" w:rsidP="007C1F9F">
      <w:pPr>
        <w:pStyle w:val="AERheading5"/>
      </w:pPr>
      <w:r w:rsidRPr="00595A97">
        <w:t>Allocation of indirect costs</w:t>
      </w:r>
      <w:r>
        <w:t xml:space="preserve"> to zones</w:t>
      </w:r>
    </w:p>
    <w:p w:rsidR="007C1F9F" w:rsidRDefault="00620514" w:rsidP="007C1F9F">
      <w:pPr>
        <w:pStyle w:val="AERheading6"/>
      </w:pPr>
      <w:r>
        <w:t>'</w:t>
      </w:r>
      <w:r w:rsidR="007C1F9F">
        <w:t>Rolled-out</w:t>
      </w:r>
      <w:r>
        <w:t>'</w:t>
      </w:r>
      <w:r w:rsidR="007C1F9F">
        <w:t xml:space="preserve"> costs</w:t>
      </w:r>
    </w:p>
    <w:p w:rsidR="007C1F9F" w:rsidRDefault="007C1F9F" w:rsidP="007C1F9F">
      <w:pPr>
        <w:pStyle w:val="AERbodytext"/>
      </w:pPr>
      <w:r>
        <w:t xml:space="preserve">APA GasNet proposed to allocate </w:t>
      </w:r>
      <w:r w:rsidR="00620514">
        <w:t>'</w:t>
      </w:r>
      <w:r>
        <w:t>rolled-out</w:t>
      </w:r>
      <w:r w:rsidR="00620514">
        <w:t>'</w:t>
      </w:r>
      <w:r>
        <w:t xml:space="preserve"> costs to all users on a postage stamp basis. These are the direct capital costs associated with assets which provide wide-spread benefits to users, and consist of the Interconnect assets, up to 50% of the South West pipeline and the Brooklyn Lara pipeline. The AER accepts that these costs are attributable to all users, and can be charged on a postage-stamp basis consistent with r. 95(3)(a) of the NGR.</w:t>
      </w:r>
    </w:p>
    <w:p w:rsidR="007C1F9F" w:rsidRDefault="007C1F9F" w:rsidP="007C1F9F">
      <w:pPr>
        <w:pStyle w:val="AERbodytext"/>
      </w:pPr>
      <w:r>
        <w:t>APA GasNet proposed that the Western zone should not receive an allocation of rolled-out costs, in line with earlier access arrangements which accepted that this zone does not benefit from these assets. However, APA GasNet applied the discount to tariff-V users but not to tariff-D users. The AER accepts that the cost of these assets is not attributable to the users in the Western zone, including both tariff-V and tariff-D users, and therefore consistent with r. 95(3)(a) of the NGR, the AER requires that the discount be applied equally to both tariff classes.</w:t>
      </w:r>
    </w:p>
    <w:p w:rsidR="007C1F9F" w:rsidRDefault="007C1F9F" w:rsidP="007C1F9F">
      <w:pPr>
        <w:pStyle w:val="AERbodytext"/>
      </w:pPr>
      <w:r>
        <w:t>The AER sought clarification on this issue from APA GasNet.</w:t>
      </w:r>
      <w:r>
        <w:rPr>
          <w:rStyle w:val="FootnoteReference"/>
        </w:rPr>
        <w:footnoteReference w:id="633"/>
      </w:r>
      <w:r>
        <w:t xml:space="preserve"> In response, APA GasNet stated that it was their intention to apply the discount equally to both tariff-V and tariff-D users in the Western zone.</w:t>
      </w:r>
    </w:p>
    <w:p w:rsidR="007C1F9F" w:rsidRDefault="007C1F9F" w:rsidP="007C1F9F">
      <w:pPr>
        <w:pStyle w:val="AERheading6"/>
      </w:pPr>
      <w:r>
        <w:t>Prudent discounts</w:t>
      </w:r>
    </w:p>
    <w:p w:rsidR="007C1F9F" w:rsidRDefault="007C1F9F" w:rsidP="007C1F9F">
      <w:pPr>
        <w:pStyle w:val="AERbodytext"/>
      </w:pPr>
      <w:r>
        <w:t xml:space="preserve">APA GasNet also proposed that zones for which a prudent discount is approved will receive a reduced share of indirect costs consistent with the calculated prudent discount. The AER has reviewed these discounts (see </w:t>
      </w:r>
      <w:r w:rsidRPr="002F75F5">
        <w:rPr>
          <w:rStyle w:val="AERbody"/>
        </w:rPr>
        <w:t>section 10.4.6</w:t>
      </w:r>
      <w:r>
        <w:t xml:space="preserve"> below) and approves the proposal from APA GasNet.</w:t>
      </w:r>
      <w:r w:rsidRPr="004F648F">
        <w:t xml:space="preserve"> </w:t>
      </w:r>
      <w:r>
        <w:t>This is consistent with r. 96 of the NGR.</w:t>
      </w:r>
    </w:p>
    <w:p w:rsidR="007C1F9F" w:rsidRDefault="007C1F9F" w:rsidP="007C1F9F">
      <w:pPr>
        <w:pStyle w:val="AERheading6"/>
      </w:pPr>
      <w:r>
        <w:t>Northern zones and exports</w:t>
      </w:r>
    </w:p>
    <w:p w:rsidR="007C1F9F" w:rsidRDefault="007C1F9F" w:rsidP="007C1F9F">
      <w:pPr>
        <w:pStyle w:val="AERbodytext"/>
      </w:pPr>
      <w:r>
        <w:t>APA GasNet proposed a number of other exceptions where withdrawal zone tariffs are determined with a reduced allocation of indirect costs. APA GasNet made these adjustments where changed system gas flows would otherwise lead to excessive tariff changes from the 2008–12 access arrangement period. The adjustments to indirect costs are designed to dampen these effects. APA GasNet provided no principles or guidelines to explain the procedure or the meaning of 'excessive tariff changes'.</w:t>
      </w:r>
    </w:p>
    <w:p w:rsidR="007C1F9F" w:rsidRDefault="007C1F9F" w:rsidP="007C1F9F">
      <w:pPr>
        <w:pStyle w:val="AERbodytext"/>
      </w:pPr>
      <w:r>
        <w:t>The AER sought clarification on this issue. In response APA GasNet stated that the variable allocation of indirect costs to different zones was approved in previous access arrangements as a means to limit 'tariff shock'.</w:t>
      </w:r>
      <w:r>
        <w:rPr>
          <w:rStyle w:val="FootnoteReference"/>
        </w:rPr>
        <w:footnoteReference w:id="634"/>
      </w:r>
      <w:r>
        <w:t xml:space="preserve"> In a further response, APA GasNet stated that it is necessary to tailor the indirect allocations to avoid tariff shock to achieve a level of tariff change which APA GasNet deems acceptable.</w:t>
      </w:r>
      <w:r>
        <w:rPr>
          <w:rStyle w:val="FootnoteReference"/>
        </w:rPr>
        <w:footnoteReference w:id="635"/>
      </w:r>
    </w:p>
    <w:p w:rsidR="007C1F9F" w:rsidRDefault="007C1F9F" w:rsidP="007C1F9F">
      <w:pPr>
        <w:pStyle w:val="AERbodytext"/>
      </w:pPr>
      <w:r>
        <w:t>In the 2008–12 access arrangement the Northern zones were not allocated any indirect costs (for supply from the south). The ACCC approved this approach because the Northern zonal tariffs were otherwise forecast to increase significantly as a result of the approved Northern augmentation project.</w:t>
      </w:r>
      <w:r>
        <w:rPr>
          <w:rStyle w:val="FootnoteReference"/>
        </w:rPr>
        <w:footnoteReference w:id="636"/>
      </w:r>
      <w:r>
        <w:t xml:space="preserve"> Under the current proposal there is further potential for tariffs to increase arising from the proposed cost allocation of the Gas to Culcairn project.</w:t>
      </w:r>
    </w:p>
    <w:p w:rsidR="007C1F9F" w:rsidRDefault="007C1F9F" w:rsidP="007C1F9F">
      <w:pPr>
        <w:pStyle w:val="AERbodytext"/>
      </w:pPr>
      <w:r>
        <w:t>The AER accepts that the discount applied to the Northern zones should be carried over to the 2013–17 access arrangement. The AER also accepts that the indirect allocations can be adjusted to minimise tariff shock to the extent this is feasible. However, the AER considers that the mechanism by which tariff shock is minimised should be explained and quantified so that users can understand how the discount is determined for each tariff zone.</w:t>
      </w:r>
    </w:p>
    <w:p w:rsidR="007C1F9F" w:rsidRDefault="007C1F9F" w:rsidP="007C1F9F">
      <w:pPr>
        <w:pStyle w:val="AERbodytext"/>
      </w:pPr>
      <w:r>
        <w:t>The AER considers that the level of the discount should be limited to minimise the higher burden of indirect costs which must consequentially be applied to other zones. APA GasNet is required to impose an appropriate level of indirect costs in each of the Northern zones (only for supply from the south) so that the proportionate increase in approved tariffs from the 2008–12 access arrangement period is, to the extent possible, commensurate with the forecast change in average revenue across the system.</w:t>
      </w:r>
    </w:p>
    <w:p w:rsidR="007C1F9F" w:rsidRDefault="007C1F9F" w:rsidP="007C1F9F">
      <w:pPr>
        <w:pStyle w:val="AERbodytext"/>
      </w:pPr>
      <w:r>
        <w:t>APA GasNet has also proposed to remove indirect costs from the Culcairn export tariff and allocate them to other zones. In response to an information request from the AER, APA GasNet stated that this approach was approved for the 2008–12 access arrangement, and is required to limit 'tariff shock'</w:t>
      </w:r>
      <w:r>
        <w:rPr>
          <w:rStyle w:val="FootnoteReference"/>
        </w:rPr>
        <w:footnoteReference w:id="637"/>
      </w:r>
      <w:r>
        <w:t>.</w:t>
      </w:r>
    </w:p>
    <w:p w:rsidR="007C1F9F" w:rsidRPr="006B7E0F" w:rsidRDefault="007C1F9F" w:rsidP="007C1F9F">
      <w:pPr>
        <w:pStyle w:val="AERbodytext"/>
      </w:pPr>
      <w:r>
        <w:t>The AER considers that the level of the discount should be limited to minimise the higher burden of indirect costs which must consequentially be applied to other zones. Based on the available information, the AER can see no reason to treat the Culcairn export zone any differently from the other Northern withdrawal zones in respect of the indirect cost discount. APA GasNet is required to apply an appropriate level of indirect costs so that the proportionate increase in approved tariffs from the 2008–12 access arrangement period is, to the extent possible, commensurate with the forecast change in average revenue across the system.</w:t>
      </w:r>
    </w:p>
    <w:p w:rsidR="007C1F9F" w:rsidRDefault="007C1F9F" w:rsidP="007C1F9F">
      <w:pPr>
        <w:pStyle w:val="AERheading4"/>
      </w:pPr>
      <w:r>
        <w:t>Allocation of costs to users - the South West pipeline and the Interconnect assets</w:t>
      </w:r>
    </w:p>
    <w:p w:rsidR="007C1F9F" w:rsidRDefault="007C1F9F" w:rsidP="007C1F9F">
      <w:pPr>
        <w:pStyle w:val="AERbodytext"/>
      </w:pPr>
      <w:r>
        <w:t>In earlier access arrangements the ACCC determined that some or all of the costs of the South West pipeline and the Interconnect assets could be attributed to all users on the system rather than solely to the specific users that utilise the pipelines.</w:t>
      </w:r>
      <w:r>
        <w:rPr>
          <w:rStyle w:val="FootnoteReference"/>
        </w:rPr>
        <w:footnoteReference w:id="638"/>
      </w:r>
      <w:r>
        <w:t xml:space="preserve"> The outcome was that 7% of the costs of the Interconnect assets and 50% of the costs of the South West pipeline were allocated to the relevant injection zones, and the remainder of the costs were recovered from all users on a postage stamp basis.</w:t>
      </w:r>
    </w:p>
    <w:p w:rsidR="007C1F9F" w:rsidRDefault="007C1F9F" w:rsidP="007C1F9F">
      <w:pPr>
        <w:pStyle w:val="AERbodytext"/>
      </w:pPr>
      <w:r>
        <w:t>The South West pipeline capital cost was originally approved and rolled-into the RAB on the basis of 50% under the economic feasibility test</w:t>
      </w:r>
      <w:r>
        <w:rPr>
          <w:rStyle w:val="FootnoteReference"/>
        </w:rPr>
        <w:footnoteReference w:id="639"/>
      </w:r>
      <w:r>
        <w:t xml:space="preserve"> and 50% under the system-wide benefits test</w:t>
      </w:r>
      <w:r>
        <w:rPr>
          <w:rStyle w:val="FootnoteReference"/>
        </w:rPr>
        <w:footnoteReference w:id="640"/>
      </w:r>
      <w:r>
        <w:t xml:space="preserve"> in the Code. The ACCC found that the system-wide benefits were sufficiently widespread to allow all users to receive an allocation of 50% of the incremental costs.</w:t>
      </w:r>
      <w:r w:rsidRPr="00202EA9">
        <w:rPr>
          <w:rStyle w:val="FootnoteReference"/>
        </w:rPr>
        <w:t xml:space="preserve"> </w:t>
      </w:r>
      <w:r>
        <w:rPr>
          <w:rStyle w:val="FootnoteReference"/>
        </w:rPr>
        <w:footnoteReference w:id="641"/>
      </w:r>
    </w:p>
    <w:p w:rsidR="007C1F9F" w:rsidRDefault="007C1F9F" w:rsidP="007C1F9F">
      <w:pPr>
        <w:pStyle w:val="AERbodytext"/>
      </w:pPr>
      <w:r>
        <w:t>The capital cost of the Interconnect assets was originally approved entirely under the system-wide benefits test in the Code. The ACCC accepted GasNet's proposal to allocate a share of costs to the injection tariff on the basis that this gave a tariff commensurate with the tariff on a similar length of the MSP.</w:t>
      </w:r>
      <w:r>
        <w:rPr>
          <w:rStyle w:val="FootnoteReference"/>
        </w:rPr>
        <w:footnoteReference w:id="642"/>
      </w:r>
      <w:r>
        <w:t xml:space="preserve"> The remaining costs were allocated to all users on a postage stamp basis.</w:t>
      </w:r>
    </w:p>
    <w:p w:rsidR="007C1F9F" w:rsidRDefault="007C1F9F" w:rsidP="007C1F9F">
      <w:pPr>
        <w:pStyle w:val="AERbodytext"/>
      </w:pPr>
      <w:r>
        <w:t>In both cases the new assets were initiated in response to the Longford outage, and the ACCC determined that they both supplied security and competition benefits to all users of the system.</w:t>
      </w:r>
      <w:r>
        <w:rPr>
          <w:rStyle w:val="FootnoteReference"/>
        </w:rPr>
        <w:footnoteReference w:id="643"/>
      </w:r>
    </w:p>
    <w:p w:rsidR="007C1F9F" w:rsidRDefault="007C1F9F" w:rsidP="007C1F9F">
      <w:pPr>
        <w:pStyle w:val="AERbodytext"/>
      </w:pPr>
      <w:r>
        <w:t>With respect to the South West pipeline, APA GasNet has now proposed to increase the allocation of costs to the injection charge from 50% to 80%, on the basis that higher flows on the pipeline can support a greater proportion of the cost recovery from the injection tariff, and in order to maintain the relativity between the Longford and Port Campbell injection tariffs. APA GasNet stated that in the original roll-in decision in 2002 the ACCC required tariff parity in order to promote basin-on-basin competition.</w:t>
      </w:r>
      <w:r>
        <w:rPr>
          <w:rStyle w:val="FootnoteReference"/>
        </w:rPr>
        <w:footnoteReference w:id="644"/>
      </w:r>
    </w:p>
    <w:p w:rsidR="007C1F9F" w:rsidRDefault="007C1F9F" w:rsidP="007C1F9F">
      <w:pPr>
        <w:pStyle w:val="AERbodytext"/>
      </w:pPr>
      <w:r>
        <w:t xml:space="preserve">However, a reading of the decision made in 2002 does not support this interpretation. Rather, the ACCC considered the tariff proposed on the South West pipeline and the volumes forecast to flow on the pipeline and decided, based on the limited information available, that the forecast flows would not occur unless the tariff was no more than 10% higher than the Longford tariff. </w:t>
      </w:r>
      <w:r w:rsidRPr="007F1EE3">
        <w:t xml:space="preserve">This was based on a view of the </w:t>
      </w:r>
      <w:r>
        <w:t>limited ability of the South</w:t>
      </w:r>
      <w:r w:rsidRPr="007F1EE3">
        <w:t xml:space="preserve"> West pipeline </w:t>
      </w:r>
      <w:r>
        <w:t xml:space="preserve">to compete </w:t>
      </w:r>
      <w:r w:rsidRPr="007F1EE3">
        <w:t xml:space="preserve">against the Longford pipeline, not a view about what was the right </w:t>
      </w:r>
      <w:r>
        <w:t xml:space="preserve">or preferred </w:t>
      </w:r>
      <w:r w:rsidRPr="007F1EE3">
        <w:t>tariff</w:t>
      </w:r>
      <w:r>
        <w:t xml:space="preserve"> or what tariff promoted inter-basin competition. Based on these volumes and tariff, the ACCC calculated that only 50% of the asset value passed the economic feasibility test.</w:t>
      </w:r>
    </w:p>
    <w:p w:rsidR="007C1F9F" w:rsidRDefault="007C1F9F" w:rsidP="007C1F9F">
      <w:pPr>
        <w:pStyle w:val="AERbodytext"/>
      </w:pPr>
      <w:r>
        <w:t>The AER does not accept that a goal of setting tariffs is to promote gas-on-gas competition. The NGR and the NGL require that tariffs should be cost-reflective and economically efficient.</w:t>
      </w:r>
    </w:p>
    <w:p w:rsidR="007C1F9F" w:rsidRDefault="007C1F9F" w:rsidP="007C1F9F">
      <w:pPr>
        <w:pStyle w:val="AERbodytext"/>
      </w:pPr>
      <w:r>
        <w:t>With respect to the Interconnect assets APA GasNet has now proposed to allocate 25% of costs to the injection tariff. APA GasNet cites a higher volume forecast which can support a higher cost allocation.</w:t>
      </w:r>
      <w:r>
        <w:rPr>
          <w:rStyle w:val="FootnoteReference"/>
        </w:rPr>
        <w:footnoteReference w:id="645"/>
      </w:r>
    </w:p>
    <w:p w:rsidR="007C1F9F" w:rsidRDefault="007C1F9F" w:rsidP="007C1F9F">
      <w:pPr>
        <w:pStyle w:val="AERbodytext"/>
      </w:pPr>
      <w:r>
        <w:t>Under the proposed price control model APA GasNet does not benefit from higher or lower flows through any injection point.</w:t>
      </w:r>
    </w:p>
    <w:p w:rsidR="007C1F9F" w:rsidRDefault="007C1F9F" w:rsidP="007C1F9F">
      <w:pPr>
        <w:pStyle w:val="AERbodytext"/>
      </w:pPr>
      <w:r>
        <w:t>The AER must determine whether the proposals made by APA GasNet are consistent with the NGR. The AER considers that 50% of the South West pipeline costs and 100% of the Interconnect assets costs can be attributed directly to all users of the system, consistent with previous decisions, since the construction of these assets was caused by and is attributable to the need for system security for all users. This means that even if no gas flowed on these pipelines, these costs would still be recoverable from all users because these costs were incurred in the interests of all users.</w:t>
      </w:r>
    </w:p>
    <w:p w:rsidR="007C1F9F" w:rsidRDefault="007C1F9F" w:rsidP="007C1F9F">
      <w:pPr>
        <w:pStyle w:val="AERbodytext"/>
      </w:pPr>
      <w:r>
        <w:t>However, both pipelines also support significant gas flows, and APA GasNet submitted that these volumes are increasing. The full cost of the pipelines can therefore be attributed to these flows just as applies on all other pipelines. This means that the principle of direct cost attribution in r. 95(3)(a) has a range of possible outcomes.</w:t>
      </w:r>
    </w:p>
    <w:p w:rsidR="007C1F9F" w:rsidRDefault="007C1F9F" w:rsidP="007C1F9F">
      <w:pPr>
        <w:pStyle w:val="AERbodytext"/>
      </w:pPr>
      <w:r>
        <w:t>APA GasNet proposed to alter the cost allocations with a goal of maintaining the same injection tariffs as applied in the past at Port Campbell and Culcairn, which were commensurate with the Longford tariff.</w:t>
      </w:r>
    </w:p>
    <w:p w:rsidR="007C1F9F" w:rsidRDefault="007C1F9F" w:rsidP="007C1F9F">
      <w:pPr>
        <w:pStyle w:val="AERbodytext"/>
      </w:pPr>
      <w:r>
        <w:t>The AER does not accept that the reasoning put forward by APA GasNet is consistent with the arguments used in earlier decisions. However, the AER must consider the proposal on its own merits in the light of the requirements of the NGR and NGL.</w:t>
      </w:r>
    </w:p>
    <w:p w:rsidR="007C1F9F" w:rsidRDefault="007C1F9F" w:rsidP="007C1F9F">
      <w:pPr>
        <w:pStyle w:val="AERbodytext"/>
      </w:pPr>
      <w:r>
        <w:t>The AER considers that it is necessary to send the appropriate price signal on a pipeline to ensure that there is no uneconomic under- or over-utilisation of the pipelines, consistent with the revenue and pricing principles.</w:t>
      </w:r>
      <w:r>
        <w:rPr>
          <w:rStyle w:val="FootnoteReference"/>
        </w:rPr>
        <w:footnoteReference w:id="646"/>
      </w:r>
      <w:r>
        <w:t xml:space="preserve"> The proposal from APA GasNet would ensure that prices remain stable and that arrangements entered into by market participants in the past are not unduly disrupted.  On this basis, the AER accepts the proposal from APA GasNet that the:</w:t>
      </w:r>
    </w:p>
    <w:p w:rsidR="007C1F9F" w:rsidRDefault="007C1F9F" w:rsidP="007C1F9F">
      <w:pPr>
        <w:pStyle w:val="AERbulletlistfirststyle"/>
      </w:pPr>
      <w:r>
        <w:t xml:space="preserve">injection tariffs applicable to the South West pipeline should be set at the level of the Longford tariff, provided the </w:t>
      </w:r>
      <w:r w:rsidR="00620514">
        <w:t>'</w:t>
      </w:r>
      <w:r>
        <w:t>rolled-out</w:t>
      </w:r>
      <w:r w:rsidR="00620514">
        <w:t>'</w:t>
      </w:r>
      <w:r>
        <w:t xml:space="preserve"> cost does not exceed 50% of the total cost</w:t>
      </w:r>
    </w:p>
    <w:p w:rsidR="007C1F9F" w:rsidRDefault="007C1F9F" w:rsidP="007C1F9F">
      <w:pPr>
        <w:pStyle w:val="AERbulletlistfirststyle"/>
      </w:pPr>
      <w:r>
        <w:t>Culcairn injection tariff should be set consistent with previous prevailing tariffs (but not to exceed the Longford tariff)</w:t>
      </w:r>
    </w:p>
    <w:p w:rsidR="007C1F9F" w:rsidRDefault="007C1F9F" w:rsidP="007C1F9F">
      <w:pPr>
        <w:pStyle w:val="AERbulletlistfirststyle"/>
      </w:pPr>
      <w:r>
        <w:t>the cost allocations between the injection charge and all users should be calculated to obtain these outcomes.</w:t>
      </w:r>
    </w:p>
    <w:p w:rsidR="007C1F9F" w:rsidRDefault="007C1F9F" w:rsidP="007C1F9F">
      <w:pPr>
        <w:pStyle w:val="AERbodytext"/>
      </w:pPr>
      <w:r>
        <w:t>The AER notes that the South West pipeline injection tariff will include a recovery of the direct costs from APA GasNet's proposed Stonehaven compressor. The AER has approved an alternative compressor site to Stonehaven but accepts that additional compression on the South West pipeline provides both specific benefits to certain users and more wide-spread benefits to all users from enhanced system security (attachment 3 - capital expenditure). On this basis, the AER accepts that the direct costs of the asset can be rolled-up into the South West pipeline asset base and the combined tariff set as described above.</w:t>
      </w:r>
    </w:p>
    <w:p w:rsidR="007C1F9F" w:rsidRDefault="007C1F9F" w:rsidP="007C1F9F">
      <w:pPr>
        <w:pStyle w:val="AERheading3"/>
        <w:numPr>
          <w:ilvl w:val="2"/>
          <w:numId w:val="7"/>
        </w:numPr>
        <w:tabs>
          <w:tab w:val="clear" w:pos="-357"/>
          <w:tab w:val="num" w:pos="0"/>
        </w:tabs>
        <w:ind w:left="0" w:hanging="714"/>
      </w:pPr>
      <w:r>
        <w:t>Prudent discounts</w:t>
      </w:r>
    </w:p>
    <w:p w:rsidR="007C1F9F" w:rsidRPr="007E3923" w:rsidRDefault="007C1F9F" w:rsidP="007C1F9F">
      <w:pPr>
        <w:pStyle w:val="AERbodytext"/>
        <w:rPr>
          <w:rFonts w:eastAsia="Calibri"/>
        </w:rPr>
      </w:pPr>
      <w:r>
        <w:t xml:space="preserve">The AER may approve a discount to a reference tariff if the discount is necessary to respond to competition or to maintain efficient use of the pipeline, but only if </w:t>
      </w:r>
      <w:r w:rsidRPr="007E3923">
        <w:rPr>
          <w:rFonts w:eastAsia="Calibri"/>
        </w:rPr>
        <w:t>the provision of the discount is likely to lead to reference tariffs for other users which are lower than they would otherwise have been.</w:t>
      </w:r>
      <w:r w:rsidRPr="007E3923">
        <w:rPr>
          <w:rStyle w:val="FootnoteReference"/>
          <w:rFonts w:eastAsia="Calibri"/>
        </w:rPr>
        <w:footnoteReference w:id="647"/>
      </w:r>
    </w:p>
    <w:p w:rsidR="007C1F9F" w:rsidRDefault="007C1F9F" w:rsidP="007C1F9F">
      <w:pPr>
        <w:pStyle w:val="AERbodytext"/>
      </w:pPr>
      <w:r>
        <w:t>In the 2008–12 access arrangement the ACCC approved prudent discounts in the Maryvale, Warrnambool and Koroit withdrawal zones and the Pakenham injection zone (matched to withdrawals in the Metro south east withdrawal zone). APA GasNet has proposed to maintain prudent discounts in these zones.</w:t>
      </w:r>
    </w:p>
    <w:p w:rsidR="007C1F9F" w:rsidRDefault="007C1F9F" w:rsidP="007C1F9F">
      <w:pPr>
        <w:pStyle w:val="AERbodytext"/>
      </w:pPr>
      <w:r>
        <w:t>For the reasons discussed below, the AER accepts APA GasNet's proposed prudent discounts under r. 96 of the NGR. These discounts will expire at the end of the 2013-17 access arrangement period.</w:t>
      </w:r>
    </w:p>
    <w:p w:rsidR="007C1F9F" w:rsidRDefault="007C1F9F" w:rsidP="007C1F9F">
      <w:pPr>
        <w:pStyle w:val="AERheading6"/>
      </w:pPr>
      <w:r>
        <w:t>Maryvale zone</w:t>
      </w:r>
    </w:p>
    <w:p w:rsidR="007C1F9F" w:rsidRDefault="007C1F9F" w:rsidP="007C1F9F">
      <w:pPr>
        <w:pStyle w:val="AERbodytext"/>
      </w:pPr>
      <w:r>
        <w:t xml:space="preserve">The prudent discount approved for the Maryvale zone in the 2008–12 access arrangement was not based on the risk of pipeline bypass, as stated by APA GasNet, but on the risk of a change in production processes at the Maryvale plant, leading to a reduction in gas demand.  </w:t>
      </w:r>
    </w:p>
    <w:p w:rsidR="007C1F9F" w:rsidRDefault="007C1F9F" w:rsidP="007C1F9F">
      <w:pPr>
        <w:pStyle w:val="AERbodytext"/>
      </w:pPr>
      <w:r>
        <w:t xml:space="preserve">The AER is not aware of any evidence that the circumstances have changed at the Maryvale plant to alter the ACCC's previous decision. The proposed Maryvale tariff recovers more than the direct allocated costs and therefore a reduction in demand will lead to higher tariffs for other users. The AER approves the proposal under r. 96 of the NGR. </w:t>
      </w:r>
    </w:p>
    <w:p w:rsidR="007C1F9F" w:rsidRDefault="007C1F9F" w:rsidP="007C1F9F">
      <w:pPr>
        <w:pStyle w:val="AERheading6"/>
      </w:pPr>
      <w:r>
        <w:t>Warrnambool and Koroit zones</w:t>
      </w:r>
    </w:p>
    <w:p w:rsidR="007C1F9F" w:rsidRDefault="007C1F9F" w:rsidP="007C1F9F">
      <w:pPr>
        <w:pStyle w:val="AERbodytext"/>
      </w:pPr>
      <w:r>
        <w:t>The prudent discounts to these zones were approved in the 2008–12 access arrangement on the basis of the risk of bypass from the SEAGas pipeline. APA GasNet proposed to maintain these discounts given that the possibility of bypass is a continuing risk. APA GasNet supported their proposal with a detailed model.</w:t>
      </w:r>
      <w:r>
        <w:rPr>
          <w:rStyle w:val="FootnoteReference"/>
        </w:rPr>
        <w:footnoteReference w:id="648"/>
      </w:r>
    </w:p>
    <w:p w:rsidR="007C1F9F" w:rsidRDefault="007C1F9F" w:rsidP="007C1F9F">
      <w:pPr>
        <w:pStyle w:val="AERbodytext"/>
      </w:pPr>
      <w:r>
        <w:t>The AER accepts that there is an on-going risk of bypass. The AER has reviewed the detailed calculations provided by APA GasNet and accepts that the proposal is consistent with r. 96 of the NGR.</w:t>
      </w:r>
    </w:p>
    <w:p w:rsidR="007C1F9F" w:rsidRDefault="007C1F9F" w:rsidP="007C1F9F">
      <w:pPr>
        <w:pStyle w:val="AERheading6"/>
      </w:pPr>
      <w:r>
        <w:t>Dandenong bypass tariff (Pakenham to Dandenong)</w:t>
      </w:r>
    </w:p>
    <w:p w:rsidR="007C1F9F" w:rsidRPr="007E3923" w:rsidRDefault="007C1F9F" w:rsidP="007C1F9F">
      <w:pPr>
        <w:pStyle w:val="AERbodytext"/>
        <w:rPr>
          <w:rFonts w:eastAsia="Calibri"/>
        </w:rPr>
      </w:pPr>
      <w:r>
        <w:t xml:space="preserve">In the 2008–12 access arrangement the ACCC approved a prudent discount associated with injections at the BassGas injection point at Pakenham. </w:t>
      </w:r>
      <w:r w:rsidRPr="007E3923">
        <w:rPr>
          <w:rFonts w:eastAsia="Calibri"/>
        </w:rPr>
        <w:t>The bypass tariff is implemented as an injection tariff at Pakenham and a discounted matched withdrawal tariff in the Metro south east zone. APA GasNet proposed to maintain this discount and provided a detailed model to support the proposal.</w:t>
      </w:r>
      <w:r w:rsidRPr="007E3923">
        <w:rPr>
          <w:rStyle w:val="FootnoteReference"/>
          <w:rFonts w:eastAsia="Calibri"/>
        </w:rPr>
        <w:footnoteReference w:id="649"/>
      </w:r>
    </w:p>
    <w:p w:rsidR="007C1F9F" w:rsidRDefault="007C1F9F" w:rsidP="007C1F9F">
      <w:pPr>
        <w:pStyle w:val="AERbodytext"/>
      </w:pPr>
      <w:r>
        <w:t>The AER accepts that there is an on-going risk of bypass.  The AER has reviewed the detailed calculations provided by APA GasNet and approves the proposal under r. 96 of the NGR.</w:t>
      </w:r>
    </w:p>
    <w:p w:rsidR="007C1F9F" w:rsidRPr="00B62209" w:rsidRDefault="007C1F9F" w:rsidP="007C1F9F">
      <w:pPr>
        <w:pStyle w:val="AERheading2"/>
        <w:numPr>
          <w:ilvl w:val="1"/>
          <w:numId w:val="7"/>
        </w:numPr>
        <w:tabs>
          <w:tab w:val="clear" w:pos="4317"/>
          <w:tab w:val="num" w:pos="0"/>
        </w:tabs>
        <w:ind w:left="0" w:hanging="720"/>
      </w:pPr>
      <w:bookmarkStart w:id="180" w:name="_Toc334543807"/>
      <w:r>
        <w:t>Revisions</w:t>
      </w:r>
      <w:bookmarkEnd w:id="180"/>
    </w:p>
    <w:p w:rsidR="007C1F9F" w:rsidRPr="00E727B9" w:rsidRDefault="007C1F9F" w:rsidP="007C1F9F">
      <w:pPr>
        <w:pStyle w:val="AERbodytext"/>
      </w:pPr>
      <w:r w:rsidRPr="00E727B9">
        <w:t>The AER requires the following revisions to make the access arrangement proposal acceptable:</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10.1  </w:t>
      </w:r>
    </w:p>
    <w:p w:rsidR="007C1F9F" w:rsidRDefault="007C1F9F" w:rsidP="007C1F9F">
      <w:pPr>
        <w:pStyle w:val="AERrevisionbox"/>
      </w:pPr>
      <w:r>
        <w:t>Allocate the direct (conforming) costs of the Warragul lateral to the Lurgi asset group and the Lurgi tariff zone.</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10.2</w:t>
      </w:r>
    </w:p>
    <w:p w:rsidR="007C1F9F" w:rsidRDefault="007C1F9F" w:rsidP="007C1F9F">
      <w:pPr>
        <w:pStyle w:val="AERrevisionbox"/>
      </w:pPr>
      <w:r>
        <w:t>Allocate the direct (conforming) costs of the Anglesea pipeline extension to the Geelong tariff zone.</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10.3</w:t>
      </w:r>
    </w:p>
    <w:p w:rsidR="007C1F9F" w:rsidRDefault="007C1F9F" w:rsidP="007C1F9F">
      <w:pPr>
        <w:pStyle w:val="AERrevisionbox"/>
      </w:pPr>
      <w:r>
        <w:t>Allocate the direct (conforming) costs of the Kalkallo lateral to the Metro tariff zone irrespective of the connection point of the lateral.</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10.4</w:t>
      </w:r>
    </w:p>
    <w:p w:rsidR="007C1F9F" w:rsidRDefault="007C1F9F" w:rsidP="007C1F9F">
      <w:pPr>
        <w:pStyle w:val="AERrevisionbox"/>
      </w:pPr>
      <w:r>
        <w:t>Provide the direct costs of the existing South West pipeline and Murray Valley assets on a stand-alone basis consistent</w:t>
      </w:r>
      <w:r w:rsidR="00620514">
        <w:t xml:space="preserve"> with the treatment in the 2008–</w:t>
      </w:r>
      <w:r>
        <w:t>2012 access arrangement.</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10.5</w:t>
      </w:r>
    </w:p>
    <w:p w:rsidR="007C1F9F" w:rsidRPr="00160FE9" w:rsidRDefault="007C1F9F" w:rsidP="007C1F9F">
      <w:pPr>
        <w:pStyle w:val="AERrevisionbox"/>
        <w:rPr>
          <w:rStyle w:val="AERtextbold"/>
        </w:rPr>
      </w:pPr>
      <w:r>
        <w:t>Provide the (conforming) costs of the Wollert to Wodonga expansion and the Stonehaven compressor on a stand-alone basis consistent with the treatment of the South West pipeline and the Mur</w:t>
      </w:r>
      <w:r w:rsidR="00620514">
        <w:t>ray Valley pipeline in the 2008–</w:t>
      </w:r>
      <w:r>
        <w:t>2012 access arrangement.</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10.6</w:t>
      </w:r>
    </w:p>
    <w:p w:rsidR="007C1F9F" w:rsidRDefault="007C1F9F" w:rsidP="007C1F9F">
      <w:pPr>
        <w:pStyle w:val="AERrevisionbox"/>
      </w:pPr>
      <w:r>
        <w:t>Allocate the direct costs on the Wollert to Wodonga pipeline using the standard physical path cost allocation procedure provided that the costs allocated to the Culcairn export tariff exceed the incremental (conforming) direct costs of the Wollert to Wodonga expansion. To the extent this is not achieved, allocate the additional incremental costs to the Culcairn export tariff.</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10.7</w:t>
      </w:r>
    </w:p>
    <w:p w:rsidR="007C1F9F" w:rsidRDefault="007C1F9F" w:rsidP="007C1F9F">
      <w:pPr>
        <w:pStyle w:val="AERrevisionbox"/>
      </w:pPr>
      <w:r>
        <w:t>Allocate the approved tax liabilities to asset group costs in the same way that the return on assets is allocated to asset group costs.</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10.8</w:t>
      </w:r>
    </w:p>
    <w:p w:rsidR="007C1F9F" w:rsidRDefault="007C1F9F" w:rsidP="007C1F9F">
      <w:pPr>
        <w:pStyle w:val="AERrevisionbox"/>
      </w:pPr>
      <w:r>
        <w:t xml:space="preserve">Remove the </w:t>
      </w:r>
      <w:r w:rsidR="00620514">
        <w:t>'</w:t>
      </w:r>
      <w:r>
        <w:t>rolled-out</w:t>
      </w:r>
      <w:r w:rsidR="00620514">
        <w:t>'</w:t>
      </w:r>
      <w:r>
        <w:t xml:space="preserve"> costs associated with the Interconnect assets, the South West pipeline and the Brooklyn Lara pipeline from the indirect costs allocated to tariff-V and tariff-D users in the Western zone.</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10.9</w:t>
      </w:r>
    </w:p>
    <w:p w:rsidR="007C1F9F" w:rsidRDefault="007C1F9F" w:rsidP="007C1F9F">
      <w:pPr>
        <w:pStyle w:val="AERrevisionbox"/>
      </w:pPr>
      <w:r>
        <w:t xml:space="preserve">Allocate indirect costs (including </w:t>
      </w:r>
      <w:r w:rsidR="00620514">
        <w:t>'</w:t>
      </w:r>
      <w:r>
        <w:t>rolled-out</w:t>
      </w:r>
      <w:r w:rsidR="00620514">
        <w:t>'</w:t>
      </w:r>
      <w:r>
        <w:t xml:space="preserve"> costs) to each of the Northern zones and the Culcairn export point on a variable basis between 0% and 100% to make the real tariff deviations from the 2008–12 access arrangement period, to the extent possible, commensurate with the forecast change in average revenue across the system.</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10.10</w:t>
      </w:r>
    </w:p>
    <w:p w:rsidR="007C1F9F" w:rsidRDefault="007C1F9F" w:rsidP="007C1F9F">
      <w:pPr>
        <w:pStyle w:val="AERrevisionbox"/>
      </w:pPr>
      <w:r>
        <w:t>Calculate the shares of the direct costs of the South West pipeline (including the Stonehaven comp</w:t>
      </w:r>
      <w:r w:rsidR="00620514">
        <w:t>ressor) which are allocated as '</w:t>
      </w:r>
      <w:r>
        <w:t>rolled-out</w:t>
      </w:r>
      <w:r w:rsidR="00620514">
        <w:t>'</w:t>
      </w:r>
      <w:r>
        <w:t xml:space="preserve"> costs in such a way that the Port Campbell tariff is equal to the Longford injection tariff. However, the </w:t>
      </w:r>
      <w:r w:rsidR="005527C5">
        <w:t>'</w:t>
      </w:r>
      <w:r>
        <w:t>rolled-out</w:t>
      </w:r>
      <w:r w:rsidR="005527C5">
        <w:t>'</w:t>
      </w:r>
      <w:r>
        <w:t xml:space="preserve"> costs of the South West pipeline cannot be allowed to exceed 50% of the total direct costs of the pipeline.</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10.11</w:t>
      </w:r>
    </w:p>
    <w:p w:rsidR="007C1F9F" w:rsidRDefault="007C1F9F" w:rsidP="007C1F9F">
      <w:pPr>
        <w:pStyle w:val="AERrevisionbox"/>
      </w:pPr>
      <w:r>
        <w:t xml:space="preserve">Calculate the shares of the direct costs of the Interconnect assets which are allocated as </w:t>
      </w:r>
      <w:r w:rsidR="005527C5">
        <w:t>'</w:t>
      </w:r>
      <w:r>
        <w:t>rolled-out</w:t>
      </w:r>
      <w:r w:rsidR="005527C5">
        <w:t>'</w:t>
      </w:r>
      <w:r>
        <w:t xml:space="preserve"> costs in such a way that the initial 2013 Culcairn injection tariff is equal to the real approved 2012 tariff from the 2008–12 access arrangement, adjusted for the average revenue change from 2012 to 2013, but no greater than the Longford injection tariff.</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10.12</w:t>
      </w:r>
    </w:p>
    <w:p w:rsidR="007C1F9F" w:rsidRDefault="007C1F9F" w:rsidP="007C1F9F">
      <w:pPr>
        <w:pStyle w:val="AERrevisionbox"/>
      </w:pPr>
      <w:r>
        <w:t>Amend the tariff model to correct miscellaneous numerical, forecasting and coding errors which are noted in this draft decision.</w:t>
      </w:r>
    </w:p>
    <w:p w:rsidR="007C1F9F" w:rsidRPr="002E54A4" w:rsidRDefault="007C1F9F" w:rsidP="007C1F9F">
      <w:pPr>
        <w:pStyle w:val="AERrevisionbox"/>
        <w:rPr>
          <w:rStyle w:val="AERtextbold"/>
        </w:rPr>
      </w:pPr>
      <w:r>
        <w:rPr>
          <w:rStyle w:val="AERtextbold"/>
        </w:rPr>
        <w:t>Revision</w:t>
      </w:r>
      <w:r w:rsidRPr="002E54A4">
        <w:rPr>
          <w:rStyle w:val="AERtextbold"/>
        </w:rPr>
        <w:t xml:space="preserve"> 10.13</w:t>
      </w:r>
    </w:p>
    <w:p w:rsidR="007C1F9F" w:rsidRDefault="007C1F9F" w:rsidP="007C1F9F">
      <w:pPr>
        <w:pStyle w:val="AERrevisionbox"/>
      </w:pPr>
      <w:r>
        <w:t>Insert the following paragraph to section 4.2 of the proposed access arrangement:</w:t>
      </w:r>
    </w:p>
    <w:p w:rsidR="007C1F9F" w:rsidRDefault="007C1F9F" w:rsidP="007C1F9F">
      <w:pPr>
        <w:pStyle w:val="AERrevisionbox"/>
      </w:pPr>
      <w:r>
        <w:t xml:space="preserve">(c) the AMDQ CC Tariff, being the tariffs for AMDQ CC services </w:t>
      </w:r>
    </w:p>
    <w:p w:rsidR="007C1F9F" w:rsidRPr="00E727B9" w:rsidRDefault="007C1F9F" w:rsidP="007C1F9F">
      <w:pPr>
        <w:pStyle w:val="AERrevisionbox"/>
      </w:pPr>
    </w:p>
    <w:p w:rsidR="007C1F9F" w:rsidRPr="007E3923" w:rsidRDefault="007C1F9F" w:rsidP="007C1F9F">
      <w:pPr>
        <w:pStyle w:val="AERheading1"/>
        <w:numPr>
          <w:ilvl w:val="0"/>
          <w:numId w:val="7"/>
        </w:numPr>
        <w:tabs>
          <w:tab w:val="clear" w:pos="-357"/>
          <w:tab w:val="left" w:pos="0"/>
        </w:tabs>
        <w:ind w:left="-354" w:hanging="360"/>
      </w:pPr>
      <w:bookmarkStart w:id="181" w:name="_Toc334543808"/>
      <w:r>
        <w:t>Tariff variation mechanism</w:t>
      </w:r>
      <w:bookmarkEnd w:id="181"/>
    </w:p>
    <w:p w:rsidR="007C1F9F" w:rsidRPr="003100DF" w:rsidRDefault="007C1F9F" w:rsidP="007C1F9F">
      <w:pPr>
        <w:pStyle w:val="AERbodytext"/>
      </w:pPr>
      <w:r>
        <w:t xml:space="preserve">This attachment sets out the AER's consideration of APA GasNet's proposed reference tariff variation mechanism. The </w:t>
      </w:r>
      <w:r w:rsidRPr="003100DF">
        <w:t xml:space="preserve">tariff </w:t>
      </w:r>
      <w:r>
        <w:t xml:space="preserve">variation </w:t>
      </w:r>
      <w:r w:rsidRPr="003100DF">
        <w:t>adjustment mechanism:</w:t>
      </w:r>
    </w:p>
    <w:p w:rsidR="007C1F9F" w:rsidRPr="003100DF" w:rsidRDefault="007C1F9F" w:rsidP="007C1F9F">
      <w:pPr>
        <w:pStyle w:val="AERbulletlistfirststyle"/>
      </w:pPr>
      <w:r w:rsidRPr="003100DF">
        <w:t>permits building block revenues to be recovered smoothly over the access arrangement period</w:t>
      </w:r>
    </w:p>
    <w:p w:rsidR="007C1F9F" w:rsidRPr="003100DF" w:rsidRDefault="007C1F9F" w:rsidP="007C1F9F">
      <w:pPr>
        <w:pStyle w:val="AERbulletlistfirststyle"/>
      </w:pPr>
      <w:r w:rsidRPr="003100DF">
        <w:t xml:space="preserve">allows adjustments for the differences between forecast and actual inflation, and the differences between </w:t>
      </w:r>
      <w:r>
        <w:t>actual and allowed</w:t>
      </w:r>
      <w:r w:rsidRPr="003100DF">
        <w:t xml:space="preserve"> revenue</w:t>
      </w:r>
      <w:r>
        <w:t>s for reference services</w:t>
      </w:r>
      <w:r w:rsidRPr="003100DF">
        <w:t xml:space="preserve"> </w:t>
      </w:r>
    </w:p>
    <w:p w:rsidR="007C1F9F" w:rsidRPr="003100DF" w:rsidRDefault="007C1F9F" w:rsidP="007C1F9F">
      <w:pPr>
        <w:pStyle w:val="AERbulletlistfirststyle"/>
      </w:pPr>
      <w:r>
        <w:t>adjusts</w:t>
      </w:r>
      <w:r w:rsidRPr="003100DF">
        <w:t xml:space="preserve"> for </w:t>
      </w:r>
      <w:r>
        <w:t xml:space="preserve">volume risk due to uncontrollable </w:t>
      </w:r>
      <w:r w:rsidRPr="003100DF">
        <w:t xml:space="preserve">weather factors </w:t>
      </w:r>
    </w:p>
    <w:p w:rsidR="007C1F9F" w:rsidRPr="003100DF" w:rsidRDefault="007C1F9F" w:rsidP="007C1F9F">
      <w:pPr>
        <w:pStyle w:val="AERbulletlistfirststyle"/>
      </w:pPr>
      <w:r w:rsidRPr="003100DF">
        <w:t>accommodates other tariff adjustments that may be required, such as for an approved cost pass through event; and</w:t>
      </w:r>
    </w:p>
    <w:p w:rsidR="007C1F9F" w:rsidRPr="003100DF" w:rsidRDefault="007C1F9F" w:rsidP="007C1F9F">
      <w:pPr>
        <w:pStyle w:val="AERbulletlistfirststyle"/>
      </w:pPr>
      <w:r w:rsidRPr="003100DF">
        <w:t>sets administrative procedures for the approval of any proposed changes to tariffs.</w:t>
      </w:r>
    </w:p>
    <w:p w:rsidR="007C1F9F" w:rsidRPr="009D7515" w:rsidRDefault="009D7515" w:rsidP="009D7515">
      <w:pPr>
        <w:pStyle w:val="AERheading2"/>
      </w:pPr>
      <w:r>
        <w:t>Draft decision</w:t>
      </w:r>
    </w:p>
    <w:p w:rsidR="007C1F9F" w:rsidRPr="007E3923" w:rsidRDefault="007C1F9F" w:rsidP="007C1F9F">
      <w:pPr>
        <w:pStyle w:val="AERbodytext"/>
        <w:rPr>
          <w:rFonts w:eastAsia="Calibri"/>
        </w:rPr>
      </w:pPr>
      <w:r w:rsidRPr="007F12F1">
        <w:t xml:space="preserve">The AER </w:t>
      </w:r>
      <w:r>
        <w:t>does not accept</w:t>
      </w:r>
      <w:r w:rsidRPr="007F12F1">
        <w:t xml:space="preserve"> that </w:t>
      </w:r>
      <w:r>
        <w:t>the</w:t>
      </w:r>
      <w:r w:rsidRPr="007F12F1">
        <w:t xml:space="preserve"> </w:t>
      </w:r>
      <w:r w:rsidRPr="00752F2C">
        <w:t xml:space="preserve">reference tariff variation </w:t>
      </w:r>
      <w:r>
        <w:t xml:space="preserve">mechanism proposed by APA GasNet </w:t>
      </w:r>
      <w:r w:rsidRPr="007E3923">
        <w:rPr>
          <w:rFonts w:eastAsia="Calibri"/>
        </w:rPr>
        <w:t>meets the requirements of r. 97 of the NGR. The AER requires the following revisions to APA GasNet's access arrangement proposal:</w:t>
      </w:r>
    </w:p>
    <w:p w:rsidR="007C1F9F" w:rsidRPr="00DE3269" w:rsidRDefault="005527C5" w:rsidP="007C1F9F">
      <w:pPr>
        <w:pStyle w:val="AERbulletlistfirststyle"/>
      </w:pPr>
      <w:r>
        <w:t>price control formula – correction of</w:t>
      </w:r>
      <w:r w:rsidR="007C1F9F" w:rsidRPr="00DE3269">
        <w:t xml:space="preserve"> minor typographical error</w:t>
      </w:r>
      <w:r>
        <w:t>s</w:t>
      </w:r>
      <w:r w:rsidR="007C1F9F" w:rsidRPr="00DE3269">
        <w:t xml:space="preserve"> in relation to the definition of the Actual EDD factor where the reference to VENCorp should be to AEMO</w:t>
      </w:r>
      <w:r>
        <w:t xml:space="preserve"> and the definition of the </w:t>
      </w:r>
      <w:r w:rsidR="00C60DDE">
        <w:t>VW factor where the reference to PTS should instead be VTS</w:t>
      </w:r>
    </w:p>
    <w:p w:rsidR="007C1F9F" w:rsidRPr="00DE3269" w:rsidRDefault="007C1F9F" w:rsidP="007C1F9F">
      <w:pPr>
        <w:pStyle w:val="AERbulletlistfirststyle"/>
      </w:pPr>
      <w:r w:rsidRPr="00DE3269">
        <w:rPr>
          <w:rStyle w:val="AERbody"/>
        </w:rPr>
        <w:t>a</w:t>
      </w:r>
      <w:r w:rsidR="005527C5">
        <w:rPr>
          <w:rStyle w:val="AERbody"/>
        </w:rPr>
        <w:t>nnual tariff variation process –</w:t>
      </w:r>
      <w:r w:rsidRPr="00DE3269">
        <w:rPr>
          <w:rStyle w:val="AERbody"/>
        </w:rPr>
        <w:t xml:space="preserve"> in the event that the AER does not approve an annual tariff variation before the variation comes into effect, the existing reference tariff should apply until such time that the AER makes a decision to either approve the proposed tariff variation, or specify a tariff variation that is consistent with the access arrangement</w:t>
      </w:r>
    </w:p>
    <w:p w:rsidR="007C1F9F" w:rsidRPr="00DE3269" w:rsidRDefault="005527C5" w:rsidP="007C1F9F">
      <w:pPr>
        <w:pStyle w:val="AERbulletlistfirststyle"/>
      </w:pPr>
      <w:r>
        <w:t>schedule of initial tariffs –</w:t>
      </w:r>
      <w:r w:rsidR="007C1F9F" w:rsidRPr="00DE3269">
        <w:t xml:space="preserve"> the inclusion of a new schedule of tariffs as a result of the AER's draft decision on such matters as WACC, capex, opex and capacity utilisation forecasts.  </w:t>
      </w:r>
    </w:p>
    <w:p w:rsidR="007C1F9F" w:rsidRPr="007F12F1" w:rsidRDefault="007C1F9F" w:rsidP="007C1F9F">
      <w:pPr>
        <w:pStyle w:val="AERbodytext"/>
      </w:pPr>
      <w:r w:rsidRPr="007E3923">
        <w:rPr>
          <w:rFonts w:eastAsia="Calibri"/>
        </w:rPr>
        <w:t>The AER accepts each of APA GasNet's proposed cost pass through events, subject to amendments to the definition of an insurance cap event and carbon cost event, and the addition of an extra factor for the AER to consider when assessing a cost pass through application.</w:t>
      </w:r>
    </w:p>
    <w:p w:rsidR="007C1F9F" w:rsidRPr="00705A21" w:rsidRDefault="007C1F9F" w:rsidP="007C1F9F">
      <w:pPr>
        <w:pStyle w:val="AERheading2"/>
        <w:numPr>
          <w:ilvl w:val="1"/>
          <w:numId w:val="7"/>
        </w:numPr>
        <w:tabs>
          <w:tab w:val="clear" w:pos="4317"/>
          <w:tab w:val="num" w:pos="0"/>
        </w:tabs>
        <w:ind w:left="0" w:hanging="720"/>
      </w:pPr>
      <w:bookmarkStart w:id="182" w:name="_Toc334543810"/>
      <w:r>
        <w:t>APA GasNet's p</w:t>
      </w:r>
      <w:r w:rsidRPr="00705A21">
        <w:t>roposal</w:t>
      </w:r>
      <w:bookmarkEnd w:id="182"/>
      <w:r w:rsidRPr="00705A21">
        <w:t xml:space="preserve"> </w:t>
      </w:r>
    </w:p>
    <w:p w:rsidR="007C1F9F" w:rsidRPr="00A4381E" w:rsidRDefault="007C1F9F" w:rsidP="007C1F9F">
      <w:pPr>
        <w:pStyle w:val="AERbodytext"/>
        <w:rPr>
          <w:rStyle w:val="AERtextbold"/>
        </w:rPr>
      </w:pPr>
      <w:r>
        <w:rPr>
          <w:rStyle w:val="AERtextbold"/>
        </w:rPr>
        <w:t>P</w:t>
      </w:r>
      <w:r w:rsidRPr="00AA107E">
        <w:rPr>
          <w:rStyle w:val="AERtextbold"/>
        </w:rPr>
        <w:t>rice control formula</w:t>
      </w:r>
      <w:r>
        <w:rPr>
          <w:rStyle w:val="AERtextbold"/>
        </w:rPr>
        <w:t xml:space="preserve"> and the a</w:t>
      </w:r>
      <w:r w:rsidRPr="00AA107E">
        <w:rPr>
          <w:rStyle w:val="AERtextbold"/>
        </w:rPr>
        <w:t>nnual tariff variation process</w:t>
      </w:r>
    </w:p>
    <w:p w:rsidR="007C1F9F" w:rsidRPr="007F12F1" w:rsidRDefault="007C1F9F" w:rsidP="007C1F9F">
      <w:pPr>
        <w:pStyle w:val="AERbodytext"/>
      </w:pPr>
      <w:r w:rsidRPr="007F12F1">
        <w:t>APA GasNet proposed to apply a combination of a price control formula and trigger event approach to vary its reference tariffs.</w:t>
      </w:r>
      <w:r>
        <w:rPr>
          <w:rStyle w:val="FootnoteReference"/>
        </w:rPr>
        <w:footnoteReference w:id="650"/>
      </w:r>
      <w:r w:rsidRPr="007F12F1">
        <w:t xml:space="preserve"> Under this approach, APA GasNet’s initial set of reference tariffs will be determined in the </w:t>
      </w:r>
      <w:r>
        <w:t xml:space="preserve">AER's </w:t>
      </w:r>
      <w:r w:rsidRPr="007F12F1">
        <w:t xml:space="preserve">final decision </w:t>
      </w:r>
      <w:r>
        <w:t>and will</w:t>
      </w:r>
      <w:r w:rsidRPr="007F12F1">
        <w:t xml:space="preserve"> vary on an annual basis over </w:t>
      </w:r>
      <w:r>
        <w:t>the a</w:t>
      </w:r>
      <w:r w:rsidRPr="007F12F1">
        <w:t xml:space="preserve">ccess </w:t>
      </w:r>
      <w:r>
        <w:t>a</w:t>
      </w:r>
      <w:r w:rsidRPr="007F12F1">
        <w:t>rrangement period in accordance with the reference tariff adjustment mechanism</w:t>
      </w:r>
      <w:r>
        <w:t>. The adjustment mechanism is</w:t>
      </w:r>
      <w:r w:rsidRPr="007F12F1">
        <w:t xml:space="preserve"> set out in </w:t>
      </w:r>
      <w:r>
        <w:t>section D</w:t>
      </w:r>
      <w:r w:rsidRPr="007F12F1">
        <w:t xml:space="preserve"> of the access arrangement</w:t>
      </w:r>
      <w:r>
        <w:t>. The main elements of the mechanism are summarised below</w:t>
      </w:r>
      <w:r w:rsidRPr="007F12F1">
        <w:t xml:space="preserve">. </w:t>
      </w:r>
    </w:p>
    <w:p w:rsidR="007C1F9F" w:rsidRPr="007F12F1" w:rsidRDefault="007C1F9F" w:rsidP="007C1F9F">
      <w:pPr>
        <w:pStyle w:val="AERbodytext"/>
      </w:pPr>
      <w:r w:rsidRPr="007F12F1">
        <w:t>The adjustment process includes two parts</w:t>
      </w:r>
      <w:r>
        <w:rPr>
          <w:rStyle w:val="FootnoteReference"/>
        </w:rPr>
        <w:footnoteReference w:id="651"/>
      </w:r>
      <w:r>
        <w:t>:</w:t>
      </w:r>
    </w:p>
    <w:p w:rsidR="007C1F9F" w:rsidRPr="007F12F1" w:rsidRDefault="007C1F9F" w:rsidP="007C1F9F">
      <w:pPr>
        <w:pStyle w:val="AERbulletlistfirststyle"/>
      </w:pPr>
      <w:r>
        <w:t>the p</w:t>
      </w:r>
      <w:r w:rsidRPr="007F12F1">
        <w:t xml:space="preserve">rice </w:t>
      </w:r>
      <w:r>
        <w:t>c</w:t>
      </w:r>
      <w:r w:rsidRPr="007F12F1">
        <w:t xml:space="preserve">ontrol </w:t>
      </w:r>
      <w:r>
        <w:t>f</w:t>
      </w:r>
      <w:r w:rsidRPr="007F12F1">
        <w:t>ormula</w:t>
      </w:r>
      <w:r>
        <w:t>,</w:t>
      </w:r>
      <w:r w:rsidRPr="007F12F1">
        <w:t xml:space="preserve"> wh</w:t>
      </w:r>
      <w:r>
        <w:t>ich applies in respect of each year during the a</w:t>
      </w:r>
      <w:r w:rsidRPr="007F12F1">
        <w:t xml:space="preserve">ccess </w:t>
      </w:r>
      <w:r>
        <w:t>a</w:t>
      </w:r>
      <w:r w:rsidRPr="007F12F1">
        <w:t xml:space="preserve">rrangement </w:t>
      </w:r>
      <w:r>
        <w:t>p</w:t>
      </w:r>
      <w:r w:rsidRPr="007F12F1">
        <w:t>eriod; and</w:t>
      </w:r>
    </w:p>
    <w:p w:rsidR="007C1F9F" w:rsidRDefault="007C1F9F" w:rsidP="007C1F9F">
      <w:pPr>
        <w:pStyle w:val="AERbulletlistfirststyle"/>
      </w:pPr>
      <w:r>
        <w:t>a c</w:t>
      </w:r>
      <w:r w:rsidRPr="007F12F1">
        <w:t xml:space="preserve">ost </w:t>
      </w:r>
      <w:r>
        <w:t>p</w:t>
      </w:r>
      <w:r w:rsidRPr="007F12F1">
        <w:t xml:space="preserve">ass-through </w:t>
      </w:r>
      <w:r>
        <w:t>r</w:t>
      </w:r>
      <w:r w:rsidRPr="007F12F1">
        <w:t xml:space="preserve">eference </w:t>
      </w:r>
      <w:r>
        <w:t>t</w:t>
      </w:r>
      <w:r w:rsidRPr="007F12F1">
        <w:t xml:space="preserve">ariff </w:t>
      </w:r>
      <w:r>
        <w:t>a</w:t>
      </w:r>
      <w:r w:rsidRPr="007F12F1">
        <w:t xml:space="preserve">djustment </w:t>
      </w:r>
      <w:r>
        <w:t>m</w:t>
      </w:r>
      <w:r w:rsidRPr="007F12F1">
        <w:t>echanism under which APA GasNet may s</w:t>
      </w:r>
      <w:r>
        <w:t>eek to vary one or more of the r</w:t>
      </w:r>
      <w:r w:rsidRPr="007F12F1">
        <w:t xml:space="preserve">eference </w:t>
      </w:r>
      <w:r>
        <w:t>tariffs as a result of a c</w:t>
      </w:r>
      <w:r w:rsidRPr="007F12F1">
        <w:t xml:space="preserve">ost </w:t>
      </w:r>
      <w:r>
        <w:t>p</w:t>
      </w:r>
      <w:r w:rsidRPr="007F12F1">
        <w:t xml:space="preserve">ass-through </w:t>
      </w:r>
      <w:r>
        <w:t>e</w:t>
      </w:r>
      <w:r w:rsidRPr="007F12F1">
        <w:t>vent.</w:t>
      </w:r>
    </w:p>
    <w:p w:rsidR="007C1F9F" w:rsidRPr="00705A21" w:rsidRDefault="007C1F9F" w:rsidP="007C1F9F">
      <w:pPr>
        <w:pStyle w:val="AERbulletlistfirststyle"/>
      </w:pPr>
      <w:r>
        <w:t>The price control formula includes the following equations</w:t>
      </w:r>
      <w:r w:rsidRPr="00705A21">
        <w:rPr>
          <w:rStyle w:val="FootnoteReference"/>
        </w:rPr>
        <w:footnoteReference w:id="652"/>
      </w:r>
      <w:r w:rsidRPr="00705A21">
        <w:t xml:space="preserve">: </w:t>
      </w:r>
    </w:p>
    <w:p w:rsidR="007C1F9F" w:rsidRPr="007E3923" w:rsidRDefault="007C1F9F" w:rsidP="007C1F9F">
      <w:pPr>
        <w:pStyle w:val="AERquoteindent1"/>
        <w:rPr>
          <w:rFonts w:eastAsia="Calibri"/>
        </w:rPr>
      </w:pPr>
      <w:r w:rsidRPr="007E3923">
        <w:rPr>
          <w:rFonts w:eastAsia="Calibri"/>
        </w:rPr>
        <w:t>ATR = VATR + PTA + CFA</w:t>
      </w:r>
    </w:p>
    <w:p w:rsidR="007C1F9F" w:rsidRPr="007E3923" w:rsidRDefault="007C1F9F" w:rsidP="007C1F9F">
      <w:pPr>
        <w:pStyle w:val="AERquoteindent1"/>
        <w:rPr>
          <w:rFonts w:eastAsia="Calibri"/>
        </w:rPr>
      </w:pPr>
      <w:r w:rsidRPr="007E3923">
        <w:rPr>
          <w:rFonts w:eastAsia="Calibri"/>
        </w:rPr>
        <w:t>Where:</w:t>
      </w:r>
    </w:p>
    <w:p w:rsidR="007C1F9F" w:rsidRPr="007E3923" w:rsidRDefault="007C1F9F" w:rsidP="007C1F9F">
      <w:pPr>
        <w:pStyle w:val="AERquoteindent1"/>
        <w:rPr>
          <w:rFonts w:eastAsia="Calibri"/>
        </w:rPr>
      </w:pPr>
      <w:r w:rsidRPr="007E3923">
        <w:rPr>
          <w:rFonts w:eastAsia="Calibri"/>
        </w:rPr>
        <w:t xml:space="preserve">VATR is volume adjusted target revenue calculated in accordance with clause D.4 of the proposed access arrangement; </w:t>
      </w:r>
    </w:p>
    <w:p w:rsidR="007C1F9F" w:rsidRPr="007E3923" w:rsidRDefault="007C1F9F" w:rsidP="007C1F9F">
      <w:pPr>
        <w:pStyle w:val="AERquoteindent1"/>
        <w:rPr>
          <w:rFonts w:eastAsia="Calibri"/>
        </w:rPr>
      </w:pPr>
      <w:r w:rsidRPr="007E3923">
        <w:rPr>
          <w:rFonts w:eastAsia="Calibri"/>
        </w:rPr>
        <w:t>PTA is the Pass Through Adjustment; and</w:t>
      </w:r>
    </w:p>
    <w:p w:rsidR="007C1F9F" w:rsidRPr="007E3923" w:rsidRDefault="007C1F9F" w:rsidP="007C1F9F">
      <w:pPr>
        <w:pStyle w:val="AERquoteindent1"/>
        <w:rPr>
          <w:rFonts w:eastAsia="Calibri"/>
        </w:rPr>
      </w:pPr>
      <w:r w:rsidRPr="007E3923">
        <w:rPr>
          <w:rFonts w:eastAsia="Calibri"/>
        </w:rPr>
        <w:t>CFA is, for the Regulatory Year 2014 only, the amount target revenue NPV shortfall or over recovery calculated for 2012 in accordance with schedule 4 of the Third Access Arrangement.</w:t>
      </w:r>
    </w:p>
    <w:p w:rsidR="007C1F9F" w:rsidRPr="007E3923" w:rsidRDefault="007C1F9F" w:rsidP="007C1F9F">
      <w:pPr>
        <w:pStyle w:val="AERquoteindent1"/>
        <w:rPr>
          <w:rFonts w:eastAsia="Calibri"/>
        </w:rPr>
      </w:pPr>
      <w:r w:rsidRPr="007E3923">
        <w:rPr>
          <w:rFonts w:eastAsia="Calibri"/>
        </w:rPr>
        <w:t>VATR = TV/TR x WAAV</w:t>
      </w:r>
    </w:p>
    <w:p w:rsidR="007C1F9F" w:rsidRPr="007E3923" w:rsidRDefault="007C1F9F" w:rsidP="007C1F9F">
      <w:pPr>
        <w:pStyle w:val="AERquoteindent1"/>
        <w:rPr>
          <w:rFonts w:eastAsia="Calibri"/>
        </w:rPr>
      </w:pPr>
      <w:r w:rsidRPr="007E3923">
        <w:rPr>
          <w:rFonts w:eastAsia="Calibri"/>
        </w:rPr>
        <w:t>Where:</w:t>
      </w:r>
    </w:p>
    <w:p w:rsidR="007C1F9F" w:rsidRPr="007E3923" w:rsidRDefault="007C1F9F" w:rsidP="007C1F9F">
      <w:pPr>
        <w:pStyle w:val="AERquoteindent1"/>
        <w:rPr>
          <w:rFonts w:eastAsia="Calibri"/>
        </w:rPr>
      </w:pPr>
      <w:r w:rsidRPr="007E3923">
        <w:rPr>
          <w:rFonts w:eastAsia="Calibri"/>
        </w:rPr>
        <w:t>TR is the target revenue as set out in 12.1 of the Access Arrangement Information, excluding NRRV;</w:t>
      </w:r>
    </w:p>
    <w:p w:rsidR="007C1F9F" w:rsidRPr="007E3923" w:rsidRDefault="007C1F9F" w:rsidP="007C1F9F">
      <w:pPr>
        <w:pStyle w:val="AERquoteindent1"/>
        <w:rPr>
          <w:rFonts w:eastAsia="Calibri"/>
        </w:rPr>
      </w:pPr>
      <w:r w:rsidRPr="007E3923">
        <w:rPr>
          <w:rFonts w:eastAsia="Calibri"/>
        </w:rPr>
        <w:t>TV is the total volume withdrawn from the VTS as set out in section 4 of the Access Arrangement Information, excluding NRRV;</w:t>
      </w:r>
    </w:p>
    <w:p w:rsidR="007C1F9F" w:rsidRPr="007E3923" w:rsidRDefault="007C1F9F" w:rsidP="007C1F9F">
      <w:pPr>
        <w:pStyle w:val="AERquoteindent1"/>
        <w:rPr>
          <w:rFonts w:eastAsia="Calibri"/>
        </w:rPr>
      </w:pPr>
      <w:r w:rsidRPr="007E3923">
        <w:rPr>
          <w:rFonts w:eastAsia="Calibri"/>
        </w:rPr>
        <w:t>WAAV is the weather adjusted actual volume, calculated in accordance with clause D.5; and</w:t>
      </w:r>
    </w:p>
    <w:p w:rsidR="007C1F9F" w:rsidRPr="007E3923" w:rsidRDefault="007C1F9F" w:rsidP="007C1F9F">
      <w:pPr>
        <w:pStyle w:val="AERquoteindent1"/>
        <w:rPr>
          <w:rFonts w:eastAsia="Calibri"/>
        </w:rPr>
      </w:pPr>
      <w:r w:rsidRPr="007E3923">
        <w:rPr>
          <w:rFonts w:eastAsia="Calibri"/>
        </w:rPr>
        <w:t>NRRV is, for the purposes of TR, the target revenue and for the purposes of TV, the volume, associated with:</w:t>
      </w:r>
    </w:p>
    <w:p w:rsidR="007C1F9F" w:rsidRPr="007E3923" w:rsidRDefault="004E405B" w:rsidP="007C1F9F">
      <w:pPr>
        <w:pStyle w:val="AERquoteindent1"/>
        <w:rPr>
          <w:rFonts w:eastAsia="Calibri"/>
        </w:rPr>
      </w:pPr>
      <w:r>
        <w:rPr>
          <w:rFonts w:eastAsia="Calibri"/>
        </w:rPr>
        <w:t xml:space="preserve">(i) </w:t>
      </w:r>
      <w:r w:rsidR="007C1F9F" w:rsidRPr="007E3923">
        <w:rPr>
          <w:rFonts w:eastAsia="Calibri"/>
        </w:rPr>
        <w:t>any transmission refills at WUGS or the LNG Storage Facility; and</w:t>
      </w:r>
    </w:p>
    <w:p w:rsidR="007C1F9F" w:rsidRPr="007E3923" w:rsidRDefault="004E405B" w:rsidP="007C1F9F">
      <w:pPr>
        <w:pStyle w:val="AERquoteindent1"/>
        <w:rPr>
          <w:rFonts w:eastAsia="Calibri"/>
        </w:rPr>
      </w:pPr>
      <w:r>
        <w:rPr>
          <w:rFonts w:eastAsia="Calibri"/>
        </w:rPr>
        <w:t xml:space="preserve">(ii) </w:t>
      </w:r>
      <w:r w:rsidR="007C1F9F" w:rsidRPr="007E3923">
        <w:rPr>
          <w:rFonts w:eastAsia="Calibri"/>
        </w:rPr>
        <w:t>the incremental Murray Valley tariff.</w:t>
      </w:r>
    </w:p>
    <w:p w:rsidR="007C1F9F" w:rsidRPr="007E3923" w:rsidRDefault="007C1F9F" w:rsidP="007C1F9F">
      <w:pPr>
        <w:pStyle w:val="AERquoteindent1"/>
        <w:rPr>
          <w:rFonts w:eastAsia="Calibri"/>
        </w:rPr>
      </w:pPr>
      <w:r w:rsidRPr="007E3923">
        <w:rPr>
          <w:rFonts w:eastAsia="Calibri"/>
        </w:rPr>
        <w:t>WAAV = (VW + TS × (Target EDD − Actual EDD))</w:t>
      </w:r>
    </w:p>
    <w:p w:rsidR="007C1F9F" w:rsidRPr="007E3923" w:rsidRDefault="007C1F9F" w:rsidP="007C1F9F">
      <w:pPr>
        <w:pStyle w:val="AERquoteindent1"/>
        <w:rPr>
          <w:rFonts w:eastAsia="Calibri"/>
        </w:rPr>
      </w:pPr>
      <w:r w:rsidRPr="007E3923">
        <w:rPr>
          <w:rFonts w:eastAsia="Calibri"/>
        </w:rPr>
        <w:t>Where:</w:t>
      </w:r>
    </w:p>
    <w:p w:rsidR="007C1F9F" w:rsidRPr="007E3923" w:rsidRDefault="007C1F9F" w:rsidP="007C1F9F">
      <w:pPr>
        <w:pStyle w:val="AERquoteindent1"/>
        <w:rPr>
          <w:rFonts w:eastAsia="Calibri"/>
        </w:rPr>
      </w:pPr>
      <w:r w:rsidRPr="007E3923">
        <w:rPr>
          <w:rFonts w:eastAsia="Calibri"/>
        </w:rPr>
        <w:t xml:space="preserve">VW is the actual volume withdrawn from the </w:t>
      </w:r>
      <w:r w:rsidR="005527C5">
        <w:rPr>
          <w:rFonts w:eastAsia="Calibri"/>
        </w:rPr>
        <w:t>P</w:t>
      </w:r>
      <w:r w:rsidRPr="007E3923">
        <w:rPr>
          <w:rFonts w:eastAsia="Calibri"/>
        </w:rPr>
        <w:t>TS excluding;</w:t>
      </w:r>
    </w:p>
    <w:p w:rsidR="007C1F9F" w:rsidRPr="007E3923" w:rsidRDefault="004E405B" w:rsidP="007C1F9F">
      <w:pPr>
        <w:pStyle w:val="AERquoteindent1"/>
        <w:rPr>
          <w:rFonts w:eastAsia="Calibri"/>
        </w:rPr>
      </w:pPr>
      <w:r>
        <w:rPr>
          <w:rFonts w:eastAsia="Calibri"/>
        </w:rPr>
        <w:t xml:space="preserve">(i) </w:t>
      </w:r>
      <w:r w:rsidR="007C1F9F" w:rsidRPr="007E3923">
        <w:rPr>
          <w:rFonts w:eastAsia="Calibri"/>
        </w:rPr>
        <w:t>any transmission refills at WUGS or the LNG Storage Facility; and</w:t>
      </w:r>
    </w:p>
    <w:p w:rsidR="007C1F9F" w:rsidRPr="007E3923" w:rsidRDefault="004E405B" w:rsidP="007C1F9F">
      <w:pPr>
        <w:pStyle w:val="AERquoteindent1"/>
        <w:rPr>
          <w:rFonts w:eastAsia="Calibri"/>
        </w:rPr>
      </w:pPr>
      <w:r>
        <w:rPr>
          <w:rFonts w:eastAsia="Calibri"/>
        </w:rPr>
        <w:t xml:space="preserve">(ii) </w:t>
      </w:r>
      <w:r w:rsidR="007C1F9F" w:rsidRPr="007E3923">
        <w:rPr>
          <w:rFonts w:eastAsia="Calibri"/>
        </w:rPr>
        <w:t>forecast volumes for the incremental Murray Valley tariff;</w:t>
      </w:r>
    </w:p>
    <w:p w:rsidR="007C1F9F" w:rsidRPr="007E3923" w:rsidRDefault="007C1F9F" w:rsidP="007C1F9F">
      <w:pPr>
        <w:pStyle w:val="AERquoteindent1"/>
        <w:rPr>
          <w:rFonts w:eastAsia="Calibri"/>
        </w:rPr>
      </w:pPr>
      <w:r w:rsidRPr="007E3923">
        <w:rPr>
          <w:rFonts w:eastAsia="Calibri"/>
        </w:rPr>
        <w:t>TS is the target temperature sensitivity, being the increase in annual gas volumes for an increase of one in the annual EDD, as set out in Table 4.4 of the Access Arrangement Information;</w:t>
      </w:r>
    </w:p>
    <w:p w:rsidR="007C1F9F" w:rsidRPr="007E3923" w:rsidRDefault="007C1F9F" w:rsidP="007C1F9F">
      <w:pPr>
        <w:pStyle w:val="AERquoteindent1"/>
        <w:rPr>
          <w:rFonts w:eastAsia="Calibri"/>
        </w:rPr>
      </w:pPr>
      <w:r w:rsidRPr="007E3923">
        <w:rPr>
          <w:rFonts w:eastAsia="Calibri"/>
        </w:rPr>
        <w:t>Target EDD is the measure of annual EDD as expected in a standard year as set out in Table 4.4 of the proposed Access Arrangement Information; and</w:t>
      </w:r>
    </w:p>
    <w:p w:rsidR="007C1F9F" w:rsidRPr="007E3923" w:rsidRDefault="007C1F9F" w:rsidP="007C1F9F">
      <w:pPr>
        <w:pStyle w:val="AERquoteindent1"/>
        <w:rPr>
          <w:rFonts w:eastAsia="Calibri"/>
        </w:rPr>
      </w:pPr>
      <w:r w:rsidRPr="007E3923">
        <w:rPr>
          <w:rFonts w:eastAsia="Calibri"/>
        </w:rPr>
        <w:t>Actual EDD is the actual measured EDDs for a Regulatory Year, as reported in the VENCorp APR or otherwise made available by VENCorp.</w:t>
      </w:r>
    </w:p>
    <w:p w:rsidR="007C1F9F" w:rsidRPr="007E3923" w:rsidRDefault="007C1F9F" w:rsidP="007C1F9F">
      <w:pPr>
        <w:rPr>
          <w:rFonts w:eastAsia="Calibri"/>
        </w:rPr>
      </w:pPr>
    </w:p>
    <w:p w:rsidR="007C1F9F" w:rsidRPr="007E3923" w:rsidRDefault="007C1F9F" w:rsidP="007C1F9F">
      <w:pPr>
        <w:pStyle w:val="AERbodytext"/>
        <w:rPr>
          <w:rFonts w:eastAsia="Calibri"/>
        </w:rPr>
      </w:pPr>
      <w:r w:rsidRPr="007E3923">
        <w:rPr>
          <w:rFonts w:eastAsia="Calibri"/>
        </w:rPr>
        <w:t xml:space="preserve">APA GasNet proposed to calculate the CFA factor based on two carry forward amounts consistent with the </w:t>
      </w:r>
      <w:r w:rsidR="00202065">
        <w:rPr>
          <w:rFonts w:eastAsia="Calibri"/>
        </w:rPr>
        <w:t>2008–12</w:t>
      </w:r>
      <w:r w:rsidRPr="007E3923">
        <w:rPr>
          <w:rFonts w:eastAsia="Calibri"/>
        </w:rPr>
        <w:t xml:space="preserve"> access arrangement.</w:t>
      </w:r>
      <w:r w:rsidRPr="007E3923">
        <w:rPr>
          <w:rStyle w:val="FootnoteReference"/>
          <w:rFonts w:eastAsia="Calibri"/>
        </w:rPr>
        <w:footnoteReference w:id="653"/>
      </w:r>
      <w:r w:rsidRPr="007E3923">
        <w:rPr>
          <w:rFonts w:eastAsia="Calibri"/>
        </w:rPr>
        <w:t xml:space="preserve"> </w:t>
      </w:r>
    </w:p>
    <w:p w:rsidR="007C1F9F" w:rsidRPr="007E3923" w:rsidRDefault="007C1F9F" w:rsidP="007C1F9F">
      <w:pPr>
        <w:pStyle w:val="AERbodytext"/>
        <w:rPr>
          <w:rFonts w:eastAsia="Calibri"/>
        </w:rPr>
      </w:pPr>
      <w:r>
        <w:rPr>
          <w:rStyle w:val="AERbody"/>
        </w:rPr>
        <w:t xml:space="preserve">The </w:t>
      </w:r>
      <w:r w:rsidRPr="007E3923">
        <w:rPr>
          <w:rFonts w:eastAsia="Calibri"/>
        </w:rPr>
        <w:t>first carry forward amount (FCA) will be calculated in the last year of the 2008–12 access arrangement period. It will be included as a building block component in the first year of the 2013–17 access arrangement period. The FCA will be determined according to the following formula:</w:t>
      </w:r>
      <w:r w:rsidRPr="007E3923">
        <w:rPr>
          <w:rStyle w:val="FootnoteReference"/>
          <w:rFonts w:eastAsia="Calibri"/>
        </w:rPr>
        <w:footnoteReference w:id="654"/>
      </w:r>
    </w:p>
    <w:p w:rsidR="007C1F9F" w:rsidRPr="007E3923" w:rsidRDefault="007C1F9F" w:rsidP="007C1F9F">
      <w:pPr>
        <w:pStyle w:val="AERquote"/>
        <w:rPr>
          <w:rFonts w:eastAsia="Calibri"/>
        </w:rPr>
      </w:pPr>
      <w:r w:rsidRPr="007E3923">
        <w:rPr>
          <w:rFonts w:eastAsia="Calibri"/>
        </w:rPr>
        <w:t>FCA = ATR - AR</w:t>
      </w:r>
    </w:p>
    <w:p w:rsidR="007C1F9F" w:rsidRPr="007E3923" w:rsidRDefault="007C1F9F" w:rsidP="007C1F9F">
      <w:pPr>
        <w:pStyle w:val="AERquote"/>
        <w:rPr>
          <w:rFonts w:eastAsia="Calibri"/>
        </w:rPr>
      </w:pPr>
      <w:r w:rsidRPr="007E3923">
        <w:rPr>
          <w:rFonts w:eastAsia="Calibri"/>
        </w:rPr>
        <w:t>Where AR and ATR are to be calculated using the best estimates and available data at the time of the determination of FCA</w:t>
      </w:r>
    </w:p>
    <w:p w:rsidR="007C1F9F" w:rsidRPr="007E3923" w:rsidRDefault="007C1F9F" w:rsidP="007C1F9F">
      <w:pPr>
        <w:pStyle w:val="AERquote"/>
        <w:rPr>
          <w:rFonts w:eastAsia="Calibri"/>
        </w:rPr>
      </w:pPr>
      <w:r w:rsidRPr="007E3923">
        <w:rPr>
          <w:rFonts w:eastAsia="Calibri"/>
        </w:rPr>
        <w:t>For inclusion in the building block calculation for 2018, the FCA will be escalated for inflation from December 2012 to December 2018.</w:t>
      </w:r>
    </w:p>
    <w:p w:rsidR="007C1F9F" w:rsidRPr="007E3923" w:rsidRDefault="007C1F9F" w:rsidP="007C1F9F">
      <w:pPr>
        <w:pStyle w:val="AERbodytext"/>
        <w:rPr>
          <w:rFonts w:eastAsia="Calibri"/>
        </w:rPr>
      </w:pPr>
      <w:r w:rsidRPr="007E3923">
        <w:rPr>
          <w:rFonts w:eastAsia="Calibri"/>
        </w:rPr>
        <w:t>The second carry forward amount (SCA) will be calculated in the first year of the 2013–17 access arrangement period as a correction to the determination of the FCA, using the correct actual values of all factors required in the determination of FCA. It will be included as a CFA factor in the determination of tariffs for 2019. The SCA will be determined according to the following formula:</w:t>
      </w:r>
      <w:r w:rsidRPr="007E3923">
        <w:rPr>
          <w:rStyle w:val="FootnoteReference"/>
          <w:rFonts w:eastAsia="Calibri"/>
        </w:rPr>
        <w:footnoteReference w:id="655"/>
      </w:r>
    </w:p>
    <w:p w:rsidR="007C1F9F" w:rsidRPr="007E3923" w:rsidRDefault="007C1F9F" w:rsidP="007C1F9F">
      <w:pPr>
        <w:pStyle w:val="AERquote"/>
        <w:rPr>
          <w:rFonts w:eastAsia="Calibri"/>
        </w:rPr>
      </w:pPr>
      <w:r w:rsidRPr="007E3923">
        <w:rPr>
          <w:rFonts w:eastAsia="Calibri"/>
        </w:rPr>
        <w:t>SCA = Recalculated FCA - FCA</w:t>
      </w:r>
    </w:p>
    <w:p w:rsidR="007C1F9F" w:rsidRPr="007E3923" w:rsidRDefault="007C1F9F" w:rsidP="007C1F9F">
      <w:pPr>
        <w:pStyle w:val="AERquote"/>
        <w:rPr>
          <w:rFonts w:eastAsia="Calibri"/>
        </w:rPr>
      </w:pPr>
      <w:r w:rsidRPr="007E3923">
        <w:rPr>
          <w:rFonts w:eastAsia="Calibri"/>
        </w:rPr>
        <w:t>Where Recalculated FCA is the same calculation as for FCA, except that it is to use the actual values for AR, ATR, AV, EDD, CPI and PTA</w:t>
      </w:r>
    </w:p>
    <w:p w:rsidR="007C1F9F" w:rsidRPr="007E3923" w:rsidRDefault="007C1F9F" w:rsidP="007C1F9F">
      <w:pPr>
        <w:pStyle w:val="AERquote"/>
        <w:rPr>
          <w:rStyle w:val="AERbody"/>
          <w:rFonts w:eastAsia="Calibri"/>
        </w:rPr>
      </w:pPr>
      <w:r w:rsidRPr="007E3923">
        <w:rPr>
          <w:rFonts w:eastAsia="Calibri"/>
        </w:rPr>
        <w:t>For inclusion in the building block calculation for 20</w:t>
      </w:r>
      <w:r w:rsidR="004E405B">
        <w:rPr>
          <w:rFonts w:eastAsia="Calibri"/>
        </w:rPr>
        <w:t>1</w:t>
      </w:r>
      <w:r w:rsidRPr="007E3923">
        <w:rPr>
          <w:rFonts w:eastAsia="Calibri"/>
        </w:rPr>
        <w:t>9, the SCA will be escalated for inflation from December 2012 to December 2019.</w:t>
      </w:r>
    </w:p>
    <w:p w:rsidR="007C1F9F" w:rsidRDefault="007C1F9F" w:rsidP="007C1F9F">
      <w:pPr>
        <w:pStyle w:val="AERbodytext"/>
      </w:pPr>
      <w:r>
        <w:rPr>
          <w:rStyle w:val="AERbody"/>
        </w:rPr>
        <w:t>APA GasNet proposed to retain all elements of the price control formula except for the r</w:t>
      </w:r>
      <w:r w:rsidRPr="00A07602">
        <w:rPr>
          <w:rStyle w:val="AERbody"/>
        </w:rPr>
        <w:t xml:space="preserve">emoval of </w:t>
      </w:r>
      <w:r>
        <w:rPr>
          <w:rStyle w:val="AERbody"/>
        </w:rPr>
        <w:t xml:space="preserve">the </w:t>
      </w:r>
      <w:r w:rsidRPr="00A07602">
        <w:rPr>
          <w:rStyle w:val="AERbody"/>
        </w:rPr>
        <w:t>limit on revenue variation</w:t>
      </w:r>
      <w:r>
        <w:rPr>
          <w:rStyle w:val="AERbody"/>
        </w:rPr>
        <w:t xml:space="preserve">s. The limit is defined as the VRF factor in the </w:t>
      </w:r>
      <w:r w:rsidR="00202065">
        <w:rPr>
          <w:rStyle w:val="AERbody"/>
        </w:rPr>
        <w:t>2008–12</w:t>
      </w:r>
      <w:r>
        <w:rPr>
          <w:rStyle w:val="AERbody"/>
        </w:rPr>
        <w:t xml:space="preserve"> access arrangement.</w:t>
      </w:r>
      <w:r>
        <w:rPr>
          <w:rStyle w:val="FootnoteReference"/>
        </w:rPr>
        <w:footnoteReference w:id="656"/>
      </w:r>
      <w:r>
        <w:rPr>
          <w:rStyle w:val="AERbody"/>
        </w:rPr>
        <w:t xml:space="preserve"> </w:t>
      </w:r>
      <w:r>
        <w:t xml:space="preserve">This factor </w:t>
      </w:r>
      <w:r w:rsidRPr="00A0102B">
        <w:t>limit</w:t>
      </w:r>
      <w:r>
        <w:t xml:space="preserve">s APA GasNet's exposure to the volume </w:t>
      </w:r>
      <w:r w:rsidRPr="00A0102B">
        <w:t>risk</w:t>
      </w:r>
      <w:r>
        <w:t>s arising from economic and other uncontrollable factors to 5.5 per cent of the allowed revenue.</w:t>
      </w:r>
      <w:r>
        <w:rPr>
          <w:rStyle w:val="FootnoteReference"/>
        </w:rPr>
        <w:footnoteReference w:id="657"/>
      </w:r>
      <w:r>
        <w:t xml:space="preserve"> </w:t>
      </w:r>
    </w:p>
    <w:p w:rsidR="007C1F9F" w:rsidRPr="00A4193D" w:rsidRDefault="007C1F9F" w:rsidP="007C1F9F">
      <w:pPr>
        <w:pStyle w:val="AERbodytext"/>
        <w:rPr>
          <w:rStyle w:val="AERbody"/>
        </w:rPr>
      </w:pPr>
      <w:r w:rsidRPr="00A4193D">
        <w:rPr>
          <w:rStyle w:val="AERbody"/>
        </w:rPr>
        <w:t xml:space="preserve">APA GasNet proposed to notify the AER at least 30 business days before the date of implementation of any variation to the </w:t>
      </w:r>
      <w:r>
        <w:rPr>
          <w:rStyle w:val="AERbody"/>
        </w:rPr>
        <w:t>r</w:t>
      </w:r>
      <w:r w:rsidRPr="00A4193D">
        <w:rPr>
          <w:rStyle w:val="AERbody"/>
        </w:rPr>
        <w:t xml:space="preserve">eference </w:t>
      </w:r>
      <w:r>
        <w:rPr>
          <w:rStyle w:val="AERbody"/>
        </w:rPr>
        <w:t>t</w:t>
      </w:r>
      <w:r w:rsidRPr="00A4193D">
        <w:rPr>
          <w:rStyle w:val="AERbody"/>
        </w:rPr>
        <w:t>ariff</w:t>
      </w:r>
      <w:r>
        <w:rPr>
          <w:rStyle w:val="AERbody"/>
        </w:rPr>
        <w:t>s</w:t>
      </w:r>
      <w:r w:rsidRPr="00A4193D">
        <w:rPr>
          <w:rStyle w:val="AERbody"/>
        </w:rPr>
        <w:t>.</w:t>
      </w:r>
      <w:r>
        <w:rPr>
          <w:rStyle w:val="FootnoteReference"/>
        </w:rPr>
        <w:footnoteReference w:id="658"/>
      </w:r>
      <w:r w:rsidRPr="00A4193D">
        <w:rPr>
          <w:rStyle w:val="AERbody"/>
        </w:rPr>
        <w:t xml:space="preserve"> </w:t>
      </w:r>
      <w:r>
        <w:rPr>
          <w:rStyle w:val="AERbody"/>
        </w:rPr>
        <w:t>It is proposed that t</w:t>
      </w:r>
      <w:r w:rsidRPr="00A4193D">
        <w:rPr>
          <w:rStyle w:val="AERbody"/>
        </w:rPr>
        <w:t>he notice will include:</w:t>
      </w:r>
    </w:p>
    <w:p w:rsidR="007C1F9F" w:rsidRPr="00161A40" w:rsidRDefault="007C1F9F" w:rsidP="007C1F9F">
      <w:pPr>
        <w:pStyle w:val="AERbulletlistfirststyle"/>
      </w:pPr>
      <w:r w:rsidRPr="00161A40">
        <w:t>t</w:t>
      </w:r>
      <w:r>
        <w:t>he proposed adjustments to the r</w:t>
      </w:r>
      <w:r w:rsidRPr="00161A40">
        <w:t xml:space="preserve">eference </w:t>
      </w:r>
      <w:r>
        <w:t>t</w:t>
      </w:r>
      <w:r w:rsidRPr="00161A40">
        <w:t>ariffs; and</w:t>
      </w:r>
    </w:p>
    <w:p w:rsidR="007C1F9F" w:rsidRPr="00161A40" w:rsidRDefault="007C1F9F" w:rsidP="007C1F9F">
      <w:pPr>
        <w:pStyle w:val="AERbulletlistfirststyle"/>
      </w:pPr>
      <w:r w:rsidRPr="00161A40">
        <w:t>an explanation and details of how the proposed adjustments have been calculated.</w:t>
      </w:r>
    </w:p>
    <w:p w:rsidR="007C1F9F" w:rsidRPr="00161A40" w:rsidRDefault="007C1F9F" w:rsidP="007C1F9F">
      <w:pPr>
        <w:pStyle w:val="AERbodytext"/>
      </w:pPr>
      <w:r>
        <w:t>Any proposed</w:t>
      </w:r>
      <w:r w:rsidRPr="00161A40">
        <w:t xml:space="preserve"> adjustments to the </w:t>
      </w:r>
      <w:r>
        <w:t>r</w:t>
      </w:r>
      <w:r w:rsidRPr="00161A40">
        <w:t xml:space="preserve">eference </w:t>
      </w:r>
      <w:r>
        <w:t>t</w:t>
      </w:r>
      <w:r w:rsidRPr="00161A40">
        <w:t>ariff</w:t>
      </w:r>
      <w:r>
        <w:t>s (other than as a result of a c</w:t>
      </w:r>
      <w:r w:rsidRPr="00161A40">
        <w:t xml:space="preserve">ost </w:t>
      </w:r>
      <w:r>
        <w:t>pass-through e</w:t>
      </w:r>
      <w:r w:rsidRPr="00161A40">
        <w:t xml:space="preserve">vent) </w:t>
      </w:r>
      <w:r>
        <w:t xml:space="preserve">which have </w:t>
      </w:r>
      <w:r w:rsidRPr="00161A40">
        <w:t xml:space="preserve">not been approved by the </w:t>
      </w:r>
      <w:r>
        <w:t>AER by the start of an access arrangement period (</w:t>
      </w:r>
      <w:r w:rsidRPr="00161A40">
        <w:t>1 January</w:t>
      </w:r>
      <w:r>
        <w:t xml:space="preserve"> of each year), </w:t>
      </w:r>
      <w:r w:rsidRPr="00161A40">
        <w:t xml:space="preserve">will </w:t>
      </w:r>
      <w:r>
        <w:t xml:space="preserve">take </w:t>
      </w:r>
      <w:r w:rsidRPr="00161A40">
        <w:t xml:space="preserve">effect </w:t>
      </w:r>
      <w:r>
        <w:t>in the</w:t>
      </w:r>
      <w:r w:rsidRPr="00161A40">
        <w:t xml:space="preserve"> following </w:t>
      </w:r>
      <w:r>
        <w:t>access arrangement year</w:t>
      </w:r>
      <w:r w:rsidRPr="00161A40">
        <w:t xml:space="preserve">, until such time as adjustments to </w:t>
      </w:r>
      <w:r>
        <w:t>r</w:t>
      </w:r>
      <w:r w:rsidRPr="00161A40">
        <w:t xml:space="preserve">eference </w:t>
      </w:r>
      <w:r>
        <w:t>t</w:t>
      </w:r>
      <w:r w:rsidRPr="00161A40">
        <w:t>ariffs are approved by the AER.</w:t>
      </w:r>
      <w:r>
        <w:rPr>
          <w:rStyle w:val="FootnoteReference"/>
        </w:rPr>
        <w:footnoteReference w:id="659"/>
      </w:r>
    </w:p>
    <w:p w:rsidR="007C1F9F" w:rsidRPr="00035DB6" w:rsidRDefault="007C1F9F" w:rsidP="007C1F9F">
      <w:pPr>
        <w:pStyle w:val="AERbodytext"/>
      </w:pPr>
      <w:r>
        <w:t>APA GasNet submitted that i</w:t>
      </w:r>
      <w:r w:rsidRPr="00161A40">
        <w:t>f a past annual tariff adjustment contains a material error or deficiency because of a</w:t>
      </w:r>
      <w:r>
        <w:t xml:space="preserve"> </w:t>
      </w:r>
      <w:r w:rsidRPr="00161A40">
        <w:t>clerical mistake, accidental slip or omission, mis</w:t>
      </w:r>
      <w:r>
        <w:t xml:space="preserve">calculation or mis-description; it should be allowed to make a submission on the matter to </w:t>
      </w:r>
      <w:r w:rsidRPr="00035DB6">
        <w:t xml:space="preserve">the </w:t>
      </w:r>
      <w:r>
        <w:t xml:space="preserve">AER for review. Subject to the AER's approval, </w:t>
      </w:r>
      <w:r w:rsidRPr="00035DB6">
        <w:t>change</w:t>
      </w:r>
      <w:r>
        <w:t>s</w:t>
      </w:r>
      <w:r w:rsidRPr="00035DB6">
        <w:t xml:space="preserve"> </w:t>
      </w:r>
      <w:r>
        <w:t xml:space="preserve">may be made to </w:t>
      </w:r>
      <w:r w:rsidRPr="00035DB6">
        <w:t>subsequent tariffs to account for</w:t>
      </w:r>
      <w:r>
        <w:t xml:space="preserve"> errors</w:t>
      </w:r>
      <w:r w:rsidRPr="00035DB6">
        <w:t>.</w:t>
      </w:r>
      <w:r>
        <w:rPr>
          <w:rStyle w:val="FootnoteReference"/>
        </w:rPr>
        <w:footnoteReference w:id="660"/>
      </w:r>
    </w:p>
    <w:p w:rsidR="007C1F9F" w:rsidRDefault="007C1F9F" w:rsidP="007C1F9F">
      <w:pPr>
        <w:pStyle w:val="AERbodytext"/>
      </w:pPr>
      <w:r>
        <w:t xml:space="preserve">APA GasNet proposed that </w:t>
      </w:r>
      <w:r w:rsidRPr="00161A40">
        <w:t>the</w:t>
      </w:r>
      <w:r>
        <w:t xml:space="preserve"> </w:t>
      </w:r>
      <w:r w:rsidRPr="00161A40">
        <w:t xml:space="preserve">AER </w:t>
      </w:r>
      <w:r>
        <w:t>should</w:t>
      </w:r>
      <w:r w:rsidRPr="00161A40">
        <w:t xml:space="preserve"> inform </w:t>
      </w:r>
      <w:r>
        <w:t xml:space="preserve">APA GasNet </w:t>
      </w:r>
      <w:r w:rsidRPr="00161A40">
        <w:t>in writing of whether or not it has verified the</w:t>
      </w:r>
      <w:r>
        <w:t xml:space="preserve"> </w:t>
      </w:r>
      <w:r w:rsidRPr="00161A40">
        <w:t xml:space="preserve">proposed </w:t>
      </w:r>
      <w:r>
        <w:t>r</w:t>
      </w:r>
      <w:r w:rsidRPr="00161A40">
        <w:t xml:space="preserve">eference </w:t>
      </w:r>
      <w:r>
        <w:t>t</w:t>
      </w:r>
      <w:r w:rsidRPr="00161A40">
        <w:t>ariffs</w:t>
      </w:r>
      <w:r>
        <w:t xml:space="preserve"> w</w:t>
      </w:r>
      <w:r w:rsidRPr="00161A40">
        <w:t xml:space="preserve">ithin 20 business days of receiving </w:t>
      </w:r>
      <w:r>
        <w:t>the tariff adjustment notice</w:t>
      </w:r>
      <w:r w:rsidRPr="00161A40">
        <w:t>.</w:t>
      </w:r>
      <w:r>
        <w:t xml:space="preserve"> The </w:t>
      </w:r>
      <w:r w:rsidRPr="00161A40">
        <w:t>20 business day period may be extended for time taken by the AER to obtain</w:t>
      </w:r>
      <w:r>
        <w:t xml:space="preserve"> </w:t>
      </w:r>
      <w:r w:rsidRPr="00161A40">
        <w:t xml:space="preserve">information from </w:t>
      </w:r>
      <w:r>
        <w:t>APA GasNet</w:t>
      </w:r>
      <w:r w:rsidRPr="00161A40">
        <w:t>, obtain expert advice or consult about the</w:t>
      </w:r>
      <w:r>
        <w:t xml:space="preserve"> </w:t>
      </w:r>
      <w:r w:rsidRPr="00161A40">
        <w:t>notification. However, the AER must assess a cost pass-through application within 90</w:t>
      </w:r>
      <w:r>
        <w:t xml:space="preserve"> </w:t>
      </w:r>
      <w:r w:rsidRPr="00161A40">
        <w:t>business days, including any extension of the decision making time.</w:t>
      </w:r>
      <w:r>
        <w:rPr>
          <w:rStyle w:val="FootnoteReference"/>
        </w:rPr>
        <w:footnoteReference w:id="661"/>
      </w:r>
    </w:p>
    <w:p w:rsidR="007C1F9F" w:rsidRPr="00A00974" w:rsidRDefault="007C1F9F" w:rsidP="007C1F9F">
      <w:pPr>
        <w:pStyle w:val="AERbodytext"/>
        <w:rPr>
          <w:rStyle w:val="AERtextbold"/>
        </w:rPr>
      </w:pPr>
      <w:r w:rsidRPr="00AA107E">
        <w:rPr>
          <w:rStyle w:val="AERtextbold"/>
        </w:rPr>
        <w:t>Cost pass through</w:t>
      </w:r>
    </w:p>
    <w:p w:rsidR="007C1F9F" w:rsidRDefault="007C1F9F" w:rsidP="007C1F9F">
      <w:pPr>
        <w:pStyle w:val="AERbodytext"/>
        <w:rPr>
          <w:rStyle w:val="AERbody"/>
        </w:rPr>
      </w:pPr>
      <w:r w:rsidRPr="00C030DB">
        <w:rPr>
          <w:rStyle w:val="AERbody"/>
        </w:rPr>
        <w:t>APA GasNet</w:t>
      </w:r>
      <w:r>
        <w:rPr>
          <w:rStyle w:val="AERbody"/>
        </w:rPr>
        <w:t xml:space="preserve"> proposed the following cost pass through events:</w:t>
      </w:r>
    </w:p>
    <w:p w:rsidR="007C1F9F" w:rsidRPr="00101591" w:rsidRDefault="007C1F9F" w:rsidP="007C1F9F">
      <w:pPr>
        <w:pStyle w:val="AERbulletlistfirststyle"/>
      </w:pPr>
      <w:r w:rsidRPr="00101591">
        <w:t>a carbon cost event</w:t>
      </w:r>
    </w:p>
    <w:p w:rsidR="007C1F9F" w:rsidRPr="00101591" w:rsidRDefault="007C1F9F" w:rsidP="007C1F9F">
      <w:pPr>
        <w:pStyle w:val="AERbulletlistfirststyle"/>
      </w:pPr>
      <w:r w:rsidRPr="00101591">
        <w:t>an insurance cap event</w:t>
      </w:r>
    </w:p>
    <w:p w:rsidR="007C1F9F" w:rsidRPr="00101591" w:rsidRDefault="007C1F9F" w:rsidP="007C1F9F">
      <w:pPr>
        <w:pStyle w:val="AERbulletlistfirststyle"/>
      </w:pPr>
      <w:r w:rsidRPr="00101591">
        <w:t>an insurer credit risk event</w:t>
      </w:r>
    </w:p>
    <w:p w:rsidR="007C1F9F" w:rsidRPr="00101591" w:rsidRDefault="007C1F9F" w:rsidP="007C1F9F">
      <w:pPr>
        <w:pStyle w:val="AERbulletlistfirststyle"/>
      </w:pPr>
      <w:r w:rsidRPr="00101591">
        <w:t>a natural disaster event</w:t>
      </w:r>
    </w:p>
    <w:p w:rsidR="007C1F9F" w:rsidRPr="00101591" w:rsidRDefault="007C1F9F" w:rsidP="007C1F9F">
      <w:pPr>
        <w:pStyle w:val="AERbulletlistfirststyle"/>
      </w:pPr>
      <w:r w:rsidRPr="00101591">
        <w:t>a regulatory change event</w:t>
      </w:r>
    </w:p>
    <w:p w:rsidR="007C1F9F" w:rsidRPr="00101591" w:rsidRDefault="007C1F9F" w:rsidP="007C1F9F">
      <w:pPr>
        <w:pStyle w:val="AERbulletlistfirststyle"/>
      </w:pPr>
      <w:r w:rsidRPr="00101591">
        <w:t>a service standard event</w:t>
      </w:r>
    </w:p>
    <w:p w:rsidR="007C1F9F" w:rsidRPr="00101591" w:rsidRDefault="007C1F9F" w:rsidP="007C1F9F">
      <w:pPr>
        <w:pStyle w:val="AERbulletlistfirststyle"/>
      </w:pPr>
      <w:r w:rsidRPr="00101591">
        <w:t>a tax change event</w:t>
      </w:r>
    </w:p>
    <w:p w:rsidR="007C1F9F" w:rsidRDefault="007C1F9F" w:rsidP="007C1F9F">
      <w:pPr>
        <w:pStyle w:val="AERbulletlistfirststyle"/>
        <w:rPr>
          <w:rStyle w:val="AERbody"/>
        </w:rPr>
      </w:pPr>
      <w:r w:rsidRPr="00101591">
        <w:t>a terrorism event.</w:t>
      </w:r>
      <w:r>
        <w:rPr>
          <w:rStyle w:val="FootnoteReference"/>
        </w:rPr>
        <w:footnoteReference w:id="662"/>
      </w:r>
    </w:p>
    <w:p w:rsidR="007C1F9F" w:rsidRPr="00705A21" w:rsidRDefault="007C1F9F" w:rsidP="004E405B">
      <w:pPr>
        <w:pStyle w:val="AERbodytext"/>
        <w:rPr>
          <w:rStyle w:val="AERbody"/>
        </w:rPr>
      </w:pPr>
      <w:r w:rsidRPr="00101591">
        <w:t>APA GasNet submitted that it revised and updated its cost pass through event definitions to align them more closely with recent regulatory decisions.</w:t>
      </w:r>
      <w:r w:rsidRPr="00705A21">
        <w:rPr>
          <w:rStyle w:val="FootnoteReference"/>
        </w:rPr>
        <w:footnoteReference w:id="663"/>
      </w:r>
    </w:p>
    <w:p w:rsidR="007C1F9F" w:rsidRPr="00705A21" w:rsidRDefault="007C1F9F" w:rsidP="007C1F9F">
      <w:pPr>
        <w:pStyle w:val="AERheading2"/>
        <w:numPr>
          <w:ilvl w:val="1"/>
          <w:numId w:val="7"/>
        </w:numPr>
        <w:tabs>
          <w:tab w:val="clear" w:pos="4317"/>
          <w:tab w:val="num" w:pos="0"/>
        </w:tabs>
        <w:ind w:left="0" w:hanging="720"/>
      </w:pPr>
      <w:bookmarkStart w:id="183" w:name="_Toc334543811"/>
      <w:r w:rsidRPr="007F12F1">
        <w:t>Assessment approach</w:t>
      </w:r>
      <w:bookmarkEnd w:id="183"/>
      <w:r w:rsidRPr="007F12F1">
        <w:t xml:space="preserve"> </w:t>
      </w:r>
    </w:p>
    <w:p w:rsidR="007C1F9F" w:rsidRPr="007E3923" w:rsidRDefault="007C1F9F" w:rsidP="007C1F9F">
      <w:pPr>
        <w:pStyle w:val="AERbodytext"/>
        <w:rPr>
          <w:rFonts w:eastAsia="Calibri"/>
        </w:rPr>
      </w:pPr>
      <w:r w:rsidRPr="007F12F1">
        <w:t>The AER assessed APA GasNet's reference tariff adjustment mechanism proposal against the requir</w:t>
      </w:r>
      <w:r>
        <w:t xml:space="preserve">ements of r. 92 and r. 97 of the NGR. </w:t>
      </w:r>
      <w:r w:rsidRPr="007E3923">
        <w:rPr>
          <w:rFonts w:eastAsia="Calibri"/>
        </w:rPr>
        <w:t xml:space="preserve">The AER has full discretion under r. 92 and r. 97. This means that the AER can amend the </w:t>
      </w:r>
      <w:r w:rsidRPr="00752F2C">
        <w:t>tariff variation mechanism</w:t>
      </w:r>
      <w:r>
        <w:t xml:space="preserve"> proposed by </w:t>
      </w:r>
      <w:r w:rsidRPr="007E3923">
        <w:rPr>
          <w:rFonts w:eastAsia="Calibri"/>
        </w:rPr>
        <w:t xml:space="preserve">APA GasNet if it deems that an alternative approach is more desirable and better meets the requirements of the NGR and NGL. </w:t>
      </w:r>
    </w:p>
    <w:p w:rsidR="007C1F9F" w:rsidRPr="00B62209" w:rsidRDefault="007C1F9F" w:rsidP="007C1F9F">
      <w:pPr>
        <w:pStyle w:val="AERheading2"/>
        <w:numPr>
          <w:ilvl w:val="1"/>
          <w:numId w:val="7"/>
        </w:numPr>
        <w:tabs>
          <w:tab w:val="clear" w:pos="4317"/>
          <w:tab w:val="num" w:pos="0"/>
        </w:tabs>
        <w:ind w:left="0" w:hanging="720"/>
      </w:pPr>
      <w:bookmarkStart w:id="184" w:name="_Toc334543812"/>
      <w:r w:rsidRPr="00B62209">
        <w:t>Reasons for decision</w:t>
      </w:r>
      <w:bookmarkEnd w:id="184"/>
    </w:p>
    <w:p w:rsidR="007C1F9F" w:rsidRPr="006078B3" w:rsidRDefault="007C1F9F" w:rsidP="007C1F9F">
      <w:pPr>
        <w:pStyle w:val="AERbodytext"/>
        <w:rPr>
          <w:rStyle w:val="AERbody"/>
        </w:rPr>
      </w:pPr>
      <w:r w:rsidRPr="006078B3">
        <w:rPr>
          <w:rStyle w:val="AERbody"/>
        </w:rPr>
        <w:t xml:space="preserve">The AER </w:t>
      </w:r>
      <w:r>
        <w:rPr>
          <w:rStyle w:val="AERbody"/>
        </w:rPr>
        <w:t xml:space="preserve">does not accept the proposed </w:t>
      </w:r>
      <w:r w:rsidRPr="006078B3">
        <w:rPr>
          <w:rStyle w:val="AERbody"/>
        </w:rPr>
        <w:t>reference tariff adjustment mechanism.</w:t>
      </w:r>
      <w:r>
        <w:rPr>
          <w:rStyle w:val="AERbody"/>
        </w:rPr>
        <w:t xml:space="preserve"> The AER's reasons for accepting or rejecting each element of the adjustment mechanism are set out below.   </w:t>
      </w:r>
      <w:r w:rsidRPr="006078B3">
        <w:rPr>
          <w:rStyle w:val="AERbody"/>
        </w:rPr>
        <w:t xml:space="preserve"> </w:t>
      </w:r>
    </w:p>
    <w:p w:rsidR="007C1F9F" w:rsidRPr="004E405B" w:rsidRDefault="007C1F9F" w:rsidP="004E405B">
      <w:pPr>
        <w:pStyle w:val="AERheading3"/>
      </w:pPr>
      <w:r w:rsidRPr="004E405B">
        <w:t>Annual tariff variation process</w:t>
      </w:r>
    </w:p>
    <w:p w:rsidR="007C1F9F" w:rsidRDefault="007C1F9F" w:rsidP="007C1F9F">
      <w:pPr>
        <w:pStyle w:val="AERbodytext"/>
      </w:pPr>
      <w:r w:rsidRPr="00B235F9">
        <w:rPr>
          <w:rStyle w:val="AERbody"/>
        </w:rPr>
        <w:t xml:space="preserve">The AER considers APA GasNet's </w:t>
      </w:r>
      <w:r>
        <w:rPr>
          <w:rStyle w:val="AERbody"/>
        </w:rPr>
        <w:t xml:space="preserve">reference </w:t>
      </w:r>
      <w:r w:rsidRPr="00B235F9">
        <w:rPr>
          <w:rStyle w:val="AERbody"/>
        </w:rPr>
        <w:t>tariff adjustm</w:t>
      </w:r>
      <w:r>
        <w:rPr>
          <w:rStyle w:val="AERbody"/>
        </w:rPr>
        <w:t>ent process is consistent with r.</w:t>
      </w:r>
      <w:r>
        <w:t> </w:t>
      </w:r>
      <w:r w:rsidRPr="00B235F9">
        <w:rPr>
          <w:rStyle w:val="AERbody"/>
        </w:rPr>
        <w:t>9</w:t>
      </w:r>
      <w:r>
        <w:rPr>
          <w:rStyle w:val="AERbody"/>
        </w:rPr>
        <w:t>7</w:t>
      </w:r>
      <w:r w:rsidRPr="00B235F9">
        <w:rPr>
          <w:rStyle w:val="AERbody"/>
        </w:rPr>
        <w:t>(1)</w:t>
      </w:r>
      <w:r>
        <w:rPr>
          <w:rStyle w:val="AERbody"/>
        </w:rPr>
        <w:t>(b)</w:t>
      </w:r>
      <w:r w:rsidRPr="00B235F9">
        <w:rPr>
          <w:rStyle w:val="AERbody"/>
        </w:rPr>
        <w:t xml:space="preserve"> </w:t>
      </w:r>
      <w:r>
        <w:rPr>
          <w:rStyle w:val="AERbody"/>
        </w:rPr>
        <w:t xml:space="preserve">of the NGR which </w:t>
      </w:r>
      <w:r w:rsidRPr="00B235F9">
        <w:rPr>
          <w:rStyle w:val="AERbody"/>
        </w:rPr>
        <w:t>allows</w:t>
      </w:r>
      <w:r>
        <w:rPr>
          <w:rStyle w:val="AERbody"/>
        </w:rPr>
        <w:t xml:space="preserve"> the </w:t>
      </w:r>
      <w:r>
        <w:t xml:space="preserve">reference tariffs to vary in accordance with a price control formula set out in the access arrangement. </w:t>
      </w:r>
    </w:p>
    <w:p w:rsidR="007C1F9F" w:rsidRDefault="007C1F9F" w:rsidP="007C1F9F">
      <w:pPr>
        <w:pStyle w:val="AERbodytext"/>
        <w:rPr>
          <w:rStyle w:val="AERbody"/>
        </w:rPr>
      </w:pPr>
      <w:r w:rsidRPr="003F15F0">
        <w:rPr>
          <w:rStyle w:val="AERbody"/>
        </w:rPr>
        <w:t xml:space="preserve">The AER considers that the proposed timeframe </w:t>
      </w:r>
      <w:r>
        <w:rPr>
          <w:rStyle w:val="AERbody"/>
        </w:rPr>
        <w:t>of 30 business days before the implementation date for submitting a reference tariff adjustment notification is reasonable and consistent with the 2008</w:t>
      </w:r>
      <w:r>
        <w:t>–</w:t>
      </w:r>
      <w:r>
        <w:rPr>
          <w:rStyle w:val="AERbody"/>
        </w:rPr>
        <w:t>12 access arrangement.</w:t>
      </w:r>
      <w:r>
        <w:rPr>
          <w:rStyle w:val="FootnoteReference"/>
        </w:rPr>
        <w:footnoteReference w:id="664"/>
      </w:r>
      <w:r>
        <w:rPr>
          <w:rStyle w:val="AERbody"/>
        </w:rPr>
        <w:t xml:space="preserve"> </w:t>
      </w:r>
    </w:p>
    <w:p w:rsidR="007C1F9F" w:rsidRDefault="007C1F9F" w:rsidP="007C1F9F">
      <w:pPr>
        <w:pStyle w:val="AERbodytext"/>
        <w:rPr>
          <w:rStyle w:val="AERbody"/>
        </w:rPr>
      </w:pPr>
      <w:r>
        <w:rPr>
          <w:rStyle w:val="AERbody"/>
        </w:rPr>
        <w:t xml:space="preserve">The AER accepts the proposed timeframe for reviewing </w:t>
      </w:r>
      <w:r w:rsidRPr="00DE024E">
        <w:rPr>
          <w:rStyle w:val="AERbody"/>
        </w:rPr>
        <w:t xml:space="preserve">an annual </w:t>
      </w:r>
      <w:r>
        <w:rPr>
          <w:rStyle w:val="AERbody"/>
        </w:rPr>
        <w:t xml:space="preserve">reference </w:t>
      </w:r>
      <w:r w:rsidRPr="00DE024E">
        <w:rPr>
          <w:rStyle w:val="AERbody"/>
        </w:rPr>
        <w:t>tariff variation is reasonable. This is because th</w:t>
      </w:r>
      <w:r>
        <w:rPr>
          <w:rStyle w:val="AERbody"/>
        </w:rPr>
        <w:t xml:space="preserve">e proposed process provides </w:t>
      </w:r>
      <w:r w:rsidRPr="00DE024E">
        <w:rPr>
          <w:rStyle w:val="AERbody"/>
        </w:rPr>
        <w:t>flexibility for the AER to extend the standard 20 business days review period</w:t>
      </w:r>
      <w:r>
        <w:rPr>
          <w:rStyle w:val="AERbody"/>
        </w:rPr>
        <w:t>. Such extensions may be necessary</w:t>
      </w:r>
      <w:r w:rsidRPr="00DE024E">
        <w:rPr>
          <w:rStyle w:val="AERbody"/>
        </w:rPr>
        <w:t xml:space="preserve"> to obtain information from APA GasNet, acquire expert advice or consult about the notification. </w:t>
      </w:r>
    </w:p>
    <w:p w:rsidR="007C1F9F" w:rsidRPr="00B37E3A" w:rsidRDefault="007C1F9F" w:rsidP="007C1F9F">
      <w:pPr>
        <w:pStyle w:val="AERbodytext"/>
        <w:rPr>
          <w:rStyle w:val="AERbody"/>
        </w:rPr>
      </w:pPr>
      <w:r>
        <w:rPr>
          <w:rStyle w:val="AERbody"/>
        </w:rPr>
        <w:t xml:space="preserve">The AER does not accept APA GasNet's </w:t>
      </w:r>
      <w:r w:rsidRPr="00B37E3A">
        <w:rPr>
          <w:rStyle w:val="AERbody"/>
        </w:rPr>
        <w:t>propos</w:t>
      </w:r>
      <w:r>
        <w:rPr>
          <w:rStyle w:val="AERbody"/>
        </w:rPr>
        <w:t>al</w:t>
      </w:r>
      <w:r w:rsidRPr="00B37E3A">
        <w:rPr>
          <w:rStyle w:val="AERbody"/>
        </w:rPr>
        <w:t xml:space="preserve"> </w:t>
      </w:r>
      <w:r>
        <w:rPr>
          <w:rStyle w:val="AERbody"/>
        </w:rPr>
        <w:t xml:space="preserve">on how tariff variations may come into effect. It proposed </w:t>
      </w:r>
      <w:r w:rsidRPr="00B37E3A">
        <w:rPr>
          <w:rStyle w:val="AERbody"/>
        </w:rPr>
        <w:t>that</w:t>
      </w:r>
      <w:r w:rsidRPr="00417DE8">
        <w:rPr>
          <w:rStyle w:val="AERbody"/>
        </w:rPr>
        <w:t xml:space="preserve"> </w:t>
      </w:r>
      <w:r>
        <w:rPr>
          <w:rStyle w:val="AERbody"/>
        </w:rPr>
        <w:t>a</w:t>
      </w:r>
      <w:r w:rsidRPr="00B37E3A">
        <w:rPr>
          <w:rStyle w:val="AERbody"/>
        </w:rPr>
        <w:t xml:space="preserve"> tariff variation</w:t>
      </w:r>
      <w:r>
        <w:rPr>
          <w:rStyle w:val="AERbody"/>
        </w:rPr>
        <w:t xml:space="preserve"> would take effect automatically;</w:t>
      </w:r>
      <w:r w:rsidRPr="00B37E3A">
        <w:rPr>
          <w:rStyle w:val="AERbody"/>
        </w:rPr>
        <w:t xml:space="preserve"> </w:t>
      </w:r>
      <w:r>
        <w:rPr>
          <w:rStyle w:val="AERbody"/>
        </w:rPr>
        <w:t xml:space="preserve">if </w:t>
      </w:r>
      <w:r w:rsidRPr="00B37E3A">
        <w:rPr>
          <w:rStyle w:val="AERbody"/>
        </w:rPr>
        <w:t>the AER does not approve an ann</w:t>
      </w:r>
      <w:r>
        <w:rPr>
          <w:rStyle w:val="AERbody"/>
        </w:rPr>
        <w:t xml:space="preserve">ual tariff variation before the variation is due to come into effect (by </w:t>
      </w:r>
      <w:r w:rsidRPr="00B37E3A">
        <w:rPr>
          <w:rStyle w:val="AERbody"/>
        </w:rPr>
        <w:t xml:space="preserve">1 </w:t>
      </w:r>
      <w:r>
        <w:rPr>
          <w:rStyle w:val="AERbody"/>
        </w:rPr>
        <w:t xml:space="preserve">January of the next year). </w:t>
      </w:r>
      <w:r w:rsidRPr="00B37E3A">
        <w:rPr>
          <w:rStyle w:val="AERbody"/>
        </w:rPr>
        <w:t xml:space="preserve">The AER considers that the proposal is inconsistent </w:t>
      </w:r>
      <w:r>
        <w:rPr>
          <w:rStyle w:val="AERbody"/>
        </w:rPr>
        <w:t>with r</w:t>
      </w:r>
      <w:r w:rsidRPr="00B37E3A">
        <w:rPr>
          <w:rStyle w:val="AERbody"/>
        </w:rPr>
        <w:t>. 97</w:t>
      </w:r>
      <w:r>
        <w:rPr>
          <w:rStyle w:val="AERbody"/>
        </w:rPr>
        <w:t xml:space="preserve">(3) of the NGR. Specifically, a tariff variation taking effect automatically raises concerns about </w:t>
      </w:r>
      <w:r w:rsidRPr="00B37E3A">
        <w:rPr>
          <w:rStyle w:val="AERbody"/>
        </w:rPr>
        <w:t>efficient</w:t>
      </w:r>
      <w:r>
        <w:rPr>
          <w:rStyle w:val="AERbody"/>
        </w:rPr>
        <w:t xml:space="preserve"> tariff structures and administrative costs. Under the proposal</w:t>
      </w:r>
      <w:r w:rsidRPr="00B37E3A">
        <w:rPr>
          <w:rStyle w:val="AERbody"/>
        </w:rPr>
        <w:t>, the AER may ultimately reject the p</w:t>
      </w:r>
      <w:r>
        <w:rPr>
          <w:rStyle w:val="AERbody"/>
        </w:rPr>
        <w:t xml:space="preserve">roposed annual reference tariff </w:t>
      </w:r>
      <w:r w:rsidRPr="00B37E3A">
        <w:rPr>
          <w:rStyle w:val="AERbody"/>
        </w:rPr>
        <w:t xml:space="preserve">variation </w:t>
      </w:r>
      <w:r>
        <w:rPr>
          <w:rStyle w:val="AERbody"/>
        </w:rPr>
        <w:t>and</w:t>
      </w:r>
      <w:r w:rsidRPr="00B37E3A">
        <w:rPr>
          <w:rStyle w:val="AERbody"/>
        </w:rPr>
        <w:t xml:space="preserve"> approve different </w:t>
      </w:r>
      <w:r>
        <w:rPr>
          <w:rStyle w:val="AERbody"/>
        </w:rPr>
        <w:t xml:space="preserve">tariffs even though </w:t>
      </w:r>
      <w:r w:rsidR="004E405B">
        <w:rPr>
          <w:rStyle w:val="AERbody"/>
        </w:rPr>
        <w:t>'</w:t>
      </w:r>
      <w:r>
        <w:rPr>
          <w:rStyle w:val="AERbody"/>
        </w:rPr>
        <w:t>automatic</w:t>
      </w:r>
      <w:r w:rsidR="004E405B">
        <w:rPr>
          <w:rStyle w:val="AERbody"/>
        </w:rPr>
        <w:t>'</w:t>
      </w:r>
      <w:r>
        <w:rPr>
          <w:rStyle w:val="AERbody"/>
        </w:rPr>
        <w:t xml:space="preserve"> tariffs have already taken effect. However, for the period that these "automatic" tariffs are in effect, the AER will not have oversighted them and the relevant structures may be inefficient. Also, in those circumstances, an additional round of tariffs changes </w:t>
      </w:r>
      <w:r w:rsidRPr="00B37E3A">
        <w:rPr>
          <w:rStyle w:val="AERbody"/>
        </w:rPr>
        <w:t>would be requi</w:t>
      </w:r>
      <w:r>
        <w:rPr>
          <w:rStyle w:val="AERbody"/>
        </w:rPr>
        <w:t>red and may lead to additional administrative costs for</w:t>
      </w:r>
      <w:r w:rsidRPr="00B37E3A">
        <w:rPr>
          <w:rStyle w:val="AERbody"/>
        </w:rPr>
        <w:t xml:space="preserve"> users</w:t>
      </w:r>
      <w:r>
        <w:rPr>
          <w:rStyle w:val="AERbody"/>
        </w:rPr>
        <w:t>. This view is shared by Australian Power and Gas.</w:t>
      </w:r>
      <w:r>
        <w:rPr>
          <w:rStyle w:val="FootnoteReference"/>
        </w:rPr>
        <w:footnoteReference w:id="665"/>
      </w:r>
      <w:r>
        <w:rPr>
          <w:rStyle w:val="AERbody"/>
        </w:rPr>
        <w:t xml:space="preserve"> All of these points are relevant to the AER's consideration under r. 97(3).</w:t>
      </w:r>
    </w:p>
    <w:p w:rsidR="007C1F9F" w:rsidRPr="00B37E3A" w:rsidRDefault="007C1F9F" w:rsidP="007C1F9F">
      <w:pPr>
        <w:pStyle w:val="AERbodytext"/>
        <w:rPr>
          <w:rStyle w:val="AERbody"/>
        </w:rPr>
      </w:pPr>
      <w:r>
        <w:rPr>
          <w:rStyle w:val="AERbody"/>
        </w:rPr>
        <w:t>For these reasons</w:t>
      </w:r>
      <w:r w:rsidRPr="00B37E3A">
        <w:rPr>
          <w:rStyle w:val="AERbody"/>
        </w:rPr>
        <w:t xml:space="preserve">, the AER does not approve </w:t>
      </w:r>
      <w:r>
        <w:rPr>
          <w:rStyle w:val="AERbody"/>
        </w:rPr>
        <w:t>APA GasNet's</w:t>
      </w:r>
      <w:r w:rsidRPr="00B37E3A">
        <w:rPr>
          <w:rStyle w:val="AERbody"/>
        </w:rPr>
        <w:t xml:space="preserve"> proposed procedures for </w:t>
      </w:r>
      <w:r>
        <w:rPr>
          <w:rStyle w:val="AERbody"/>
        </w:rPr>
        <w:t xml:space="preserve">the </w:t>
      </w:r>
      <w:r w:rsidRPr="00B37E3A">
        <w:rPr>
          <w:rStyle w:val="AERbody"/>
        </w:rPr>
        <w:t>approval of annual tariff variations.</w:t>
      </w:r>
      <w:r>
        <w:rPr>
          <w:rStyle w:val="AERbody"/>
        </w:rPr>
        <w:t xml:space="preserve"> </w:t>
      </w:r>
      <w:r w:rsidRPr="00614F74">
        <w:rPr>
          <w:rStyle w:val="AERbody"/>
        </w:rPr>
        <w:t xml:space="preserve">The AER considers that </w:t>
      </w:r>
      <w:r>
        <w:rPr>
          <w:rStyle w:val="AERbody"/>
        </w:rPr>
        <w:t xml:space="preserve">in the event that the AER </w:t>
      </w:r>
      <w:r w:rsidRPr="00614F74">
        <w:rPr>
          <w:rStyle w:val="AERbody"/>
        </w:rPr>
        <w:t>does not approve an annual tariff variation before the variation come</w:t>
      </w:r>
      <w:r>
        <w:rPr>
          <w:rStyle w:val="AERbody"/>
        </w:rPr>
        <w:t>s</w:t>
      </w:r>
      <w:r w:rsidRPr="00614F74">
        <w:rPr>
          <w:rStyle w:val="AERbody"/>
        </w:rPr>
        <w:t xml:space="preserve"> into effect</w:t>
      </w:r>
      <w:r>
        <w:rPr>
          <w:rStyle w:val="AERbody"/>
        </w:rPr>
        <w:t xml:space="preserve">, the </w:t>
      </w:r>
      <w:r w:rsidRPr="00614F74">
        <w:rPr>
          <w:rStyle w:val="AERbody"/>
        </w:rPr>
        <w:t>existing reference tariff</w:t>
      </w:r>
      <w:r>
        <w:rPr>
          <w:rStyle w:val="AERbody"/>
        </w:rPr>
        <w:t xml:space="preserve"> should apply until such time that the AER makes a decision to either approve the proposed tariff variation, or specify a tariff variation that is consistent with the access arrangement. This approach is consistent with the 2008–12 access arrangement.</w:t>
      </w:r>
      <w:r>
        <w:rPr>
          <w:rStyle w:val="FootnoteReference"/>
        </w:rPr>
        <w:footnoteReference w:id="666"/>
      </w:r>
      <w:r>
        <w:rPr>
          <w:rStyle w:val="AERbody"/>
        </w:rPr>
        <w:t xml:space="preserve"> </w:t>
      </w:r>
    </w:p>
    <w:p w:rsidR="007C1F9F" w:rsidRDefault="007C1F9F" w:rsidP="007C1F9F">
      <w:pPr>
        <w:pStyle w:val="AERbodytext"/>
        <w:rPr>
          <w:rStyle w:val="AERbody"/>
        </w:rPr>
      </w:pPr>
      <w:r>
        <w:rPr>
          <w:rStyle w:val="AERbody"/>
        </w:rPr>
        <w:t xml:space="preserve">In the event that </w:t>
      </w:r>
      <w:r w:rsidRPr="00B37E3A">
        <w:rPr>
          <w:rStyle w:val="AERbody"/>
        </w:rPr>
        <w:t xml:space="preserve">the AER </w:t>
      </w:r>
      <w:r>
        <w:rPr>
          <w:rStyle w:val="AERbody"/>
        </w:rPr>
        <w:t xml:space="preserve">does </w:t>
      </w:r>
      <w:r w:rsidRPr="00B37E3A">
        <w:rPr>
          <w:rStyle w:val="AERbody"/>
        </w:rPr>
        <w:t>not approve a t</w:t>
      </w:r>
      <w:r>
        <w:rPr>
          <w:rStyle w:val="AERbody"/>
        </w:rPr>
        <w:t xml:space="preserve">ariff variation consistent with </w:t>
      </w:r>
      <w:r w:rsidRPr="00B37E3A">
        <w:rPr>
          <w:rStyle w:val="AERbody"/>
        </w:rPr>
        <w:t xml:space="preserve">the normal timing, </w:t>
      </w:r>
      <w:r>
        <w:rPr>
          <w:rStyle w:val="AERbody"/>
        </w:rPr>
        <w:t>this should not create a</w:t>
      </w:r>
      <w:r w:rsidRPr="00B37E3A">
        <w:rPr>
          <w:rStyle w:val="AERbody"/>
        </w:rPr>
        <w:t xml:space="preserve"> com</w:t>
      </w:r>
      <w:r>
        <w:rPr>
          <w:rStyle w:val="AERbody"/>
        </w:rPr>
        <w:t xml:space="preserve">mercial risk to APA GasNet. In this </w:t>
      </w:r>
      <w:r w:rsidRPr="00B37E3A">
        <w:rPr>
          <w:rStyle w:val="AERbody"/>
        </w:rPr>
        <w:t>circumstance, the AER would approve a tariff variatio</w:t>
      </w:r>
      <w:r>
        <w:rPr>
          <w:rStyle w:val="AERbody"/>
        </w:rPr>
        <w:t>n consistent with the reference tariff a</w:t>
      </w:r>
      <w:r w:rsidRPr="00143959">
        <w:rPr>
          <w:rStyle w:val="AERbody"/>
        </w:rPr>
        <w:t xml:space="preserve">djustment </w:t>
      </w:r>
      <w:r>
        <w:rPr>
          <w:rStyle w:val="AERbody"/>
        </w:rPr>
        <w:t>m</w:t>
      </w:r>
      <w:r w:rsidRPr="00143959">
        <w:rPr>
          <w:rStyle w:val="AERbody"/>
        </w:rPr>
        <w:t>echanism</w:t>
      </w:r>
      <w:r>
        <w:rPr>
          <w:rStyle w:val="AERbody"/>
        </w:rPr>
        <w:t xml:space="preserve"> set out in the access arrangement. Under that mechanism, APA GasNet would recover the time value of money caused by the delay in the implementation of the tariff variation.</w:t>
      </w:r>
      <w:r>
        <w:rPr>
          <w:rStyle w:val="FootnoteReference"/>
        </w:rPr>
        <w:footnoteReference w:id="667"/>
      </w:r>
      <w:r>
        <w:rPr>
          <w:rStyle w:val="AERbody"/>
        </w:rPr>
        <w:t xml:space="preserve">  </w:t>
      </w:r>
    </w:p>
    <w:p w:rsidR="007C1F9F" w:rsidRDefault="007C1F9F" w:rsidP="007C1F9F">
      <w:pPr>
        <w:pStyle w:val="AERbodytext"/>
      </w:pPr>
      <w:r>
        <w:t>The AER accepts that any</w:t>
      </w:r>
      <w:r w:rsidRPr="00035DB6">
        <w:t xml:space="preserve"> material error or deficiency </w:t>
      </w:r>
      <w:r>
        <w:t>in</w:t>
      </w:r>
      <w:r w:rsidRPr="00035DB6">
        <w:t xml:space="preserve"> a</w:t>
      </w:r>
      <w:r>
        <w:t xml:space="preserve"> past annual tariff adjustment should be corrected, potentially by c</w:t>
      </w:r>
      <w:r w:rsidRPr="00035DB6">
        <w:t>hange</w:t>
      </w:r>
      <w:r>
        <w:t>s</w:t>
      </w:r>
      <w:r w:rsidRPr="00035DB6">
        <w:t xml:space="preserve"> </w:t>
      </w:r>
      <w:r>
        <w:t xml:space="preserve">to </w:t>
      </w:r>
      <w:r w:rsidRPr="00035DB6">
        <w:t>subsequent tariffs</w:t>
      </w:r>
      <w:r>
        <w:t xml:space="preserve"> in the next annual tariff variation, provided that the proposed changes are consistent with relevant requirements in the access arrangement. This will ensure the error does not result in any under or over recovery of the allowed revenue. </w:t>
      </w:r>
    </w:p>
    <w:p w:rsidR="007C1F9F" w:rsidRDefault="007C1F9F" w:rsidP="007C1F9F">
      <w:pPr>
        <w:pStyle w:val="AERbodytext"/>
        <w:rPr>
          <w:rStyle w:val="AERbody"/>
        </w:rPr>
      </w:pPr>
      <w:r>
        <w:rPr>
          <w:rStyle w:val="AERbody"/>
        </w:rPr>
        <w:t xml:space="preserve">The AER has </w:t>
      </w:r>
      <w:r w:rsidRPr="00F26AB0">
        <w:rPr>
          <w:rStyle w:val="AERbody"/>
        </w:rPr>
        <w:t>classif</w:t>
      </w:r>
      <w:r>
        <w:rPr>
          <w:rStyle w:val="AERbody"/>
        </w:rPr>
        <w:t>ied</w:t>
      </w:r>
      <w:r w:rsidRPr="00F26AB0">
        <w:rPr>
          <w:rStyle w:val="AERbody"/>
        </w:rPr>
        <w:t xml:space="preserve"> AMDQ CC as a pipeline service</w:t>
      </w:r>
      <w:r>
        <w:rPr>
          <w:rStyle w:val="AERbody"/>
        </w:rPr>
        <w:t>.</w:t>
      </w:r>
      <w:r>
        <w:rPr>
          <w:rStyle w:val="FootnoteReference"/>
        </w:rPr>
        <w:footnoteReference w:id="668"/>
      </w:r>
      <w:r w:rsidRPr="007F0EBF">
        <w:rPr>
          <w:rStyle w:val="AERbody"/>
        </w:rPr>
        <w:t xml:space="preserve"> </w:t>
      </w:r>
      <w:r>
        <w:rPr>
          <w:rStyle w:val="AERbody"/>
        </w:rPr>
        <w:t xml:space="preserve">The initial reference tariff for AMDQ CC is subject to a separate tariff variation mechanism to the haulage service under the price control model, and is varied annually based on the CPI. </w:t>
      </w:r>
      <w:r w:rsidRPr="007F0EBF">
        <w:rPr>
          <w:rStyle w:val="AERbody"/>
        </w:rPr>
        <w:t xml:space="preserve">APA GasNet </w:t>
      </w:r>
      <w:r>
        <w:rPr>
          <w:rStyle w:val="AERbody"/>
        </w:rPr>
        <w:t>must</w:t>
      </w:r>
      <w:r w:rsidRPr="007F0EBF">
        <w:rPr>
          <w:rStyle w:val="AERbody"/>
        </w:rPr>
        <w:t xml:space="preserve"> report contracted volumes </w:t>
      </w:r>
      <w:r>
        <w:rPr>
          <w:rStyle w:val="AERbody"/>
        </w:rPr>
        <w:t xml:space="preserve">under the </w:t>
      </w:r>
      <w:r w:rsidRPr="007F0EBF">
        <w:rPr>
          <w:rStyle w:val="AERbody"/>
        </w:rPr>
        <w:t>price control model</w:t>
      </w:r>
      <w:r>
        <w:rPr>
          <w:rStyle w:val="AERbody"/>
        </w:rPr>
        <w:t xml:space="preserve"> for the AMDQ CC service.</w:t>
      </w:r>
    </w:p>
    <w:p w:rsidR="007C1F9F" w:rsidRPr="004E405B" w:rsidRDefault="007C1F9F" w:rsidP="004E405B">
      <w:pPr>
        <w:pStyle w:val="AERheading3"/>
      </w:pPr>
      <w:r w:rsidRPr="004E405B">
        <w:t>Application of the initial reference tariff in 2013</w:t>
      </w:r>
    </w:p>
    <w:p w:rsidR="007C1F9F" w:rsidRPr="003F2CAD" w:rsidRDefault="007C1F9F" w:rsidP="007C1F9F">
      <w:pPr>
        <w:pStyle w:val="AERbodytext"/>
      </w:pPr>
      <w:r>
        <w:t xml:space="preserve">The </w:t>
      </w:r>
      <w:r w:rsidRPr="003F2CAD">
        <w:t>A</w:t>
      </w:r>
      <w:r>
        <w:t>ER’s final decision on the 2013–</w:t>
      </w:r>
      <w:r w:rsidRPr="003F2CAD">
        <w:t>17 access arrangements for the Victorian gas service providers is due to be made in March 2013. This is after the 1 January 2013 revision commence</w:t>
      </w:r>
      <w:r>
        <w:t>ment date specified in the 2008–</w:t>
      </w:r>
      <w:r w:rsidRPr="003F2CAD">
        <w:t>12 access arrangements for these service providers.</w:t>
      </w:r>
    </w:p>
    <w:p w:rsidR="007C1F9F" w:rsidRPr="003F2CAD" w:rsidRDefault="007C1F9F" w:rsidP="007C1F9F">
      <w:pPr>
        <w:pStyle w:val="AERbodytext"/>
      </w:pPr>
      <w:r>
        <w:t>R</w:t>
      </w:r>
      <w:r w:rsidRPr="003F2CAD">
        <w:t>ule 92(3) of the NGR prescribes that in the event of an interval between a revision commencement date stated in a full access arrangement and the date on which revisions to the access arrangement actually commence:</w:t>
      </w:r>
    </w:p>
    <w:p w:rsidR="007C1F9F" w:rsidRPr="003F2CAD" w:rsidRDefault="007C1F9F" w:rsidP="007C1F9F">
      <w:pPr>
        <w:pStyle w:val="AERbulletlistfirststyle"/>
      </w:pPr>
      <w:r>
        <w:t>the reference tariff in force at the end of the previous access arrangement period, continue without variation for the interval of delay; but</w:t>
      </w:r>
    </w:p>
    <w:p w:rsidR="007C1F9F" w:rsidRPr="003F2CAD" w:rsidRDefault="007C1F9F" w:rsidP="007C1F9F">
      <w:pPr>
        <w:pStyle w:val="AERbulletlistfirststyle"/>
      </w:pPr>
      <w:r>
        <w:t>the operation of this subrule may be taken into account in fixing reference tariffs for the new access arrangement period.</w:t>
      </w:r>
    </w:p>
    <w:p w:rsidR="007C1F9F" w:rsidRPr="003F2CAD" w:rsidRDefault="007C1F9F" w:rsidP="007C1F9F">
      <w:pPr>
        <w:pStyle w:val="AERbodytext"/>
      </w:pPr>
      <w:r>
        <w:t>T</w:t>
      </w:r>
      <w:r w:rsidRPr="003F2CAD">
        <w:t>here will be a delay in the making of the final decision. The AER has therefore taken into account the operation of r. 92(3) in fixing reference tariffs for the 2013–17 access arrangement period. The AER considers that the 2013 r</w:t>
      </w:r>
      <w:r>
        <w:t>eference tariffs under the 2013–</w:t>
      </w:r>
      <w:r w:rsidRPr="003F2CAD">
        <w:t>17 access arrangements should take effect from 1 July 2013 until 31 December 2013.</w:t>
      </w:r>
    </w:p>
    <w:p w:rsidR="007C1F9F" w:rsidRDefault="007C1F9F" w:rsidP="007C1F9F">
      <w:pPr>
        <w:pStyle w:val="AERbodytext"/>
      </w:pPr>
      <w:r>
        <w:t xml:space="preserve">The AER considers that the interval of delay </w:t>
      </w:r>
      <w:r w:rsidRPr="003F2CAD">
        <w:t xml:space="preserve">should not result in service providers incurring a windfall gain or loss, compared with what </w:t>
      </w:r>
      <w:r>
        <w:t>would have occurred if the 2013–</w:t>
      </w:r>
      <w:r w:rsidRPr="003F2CAD">
        <w:t>17 access arrangements had taken effect from 1 January 2013. This approach is consistent with the efficiency objectives under the NGO and long term interest of gas consumers. This approach will also provide service providers with a reasonable opportunity to recover at least the efficient costs of providing reference services as approved in the access arrangements, consistent with the RP</w:t>
      </w:r>
      <w:r>
        <w:t xml:space="preserve">P. </w:t>
      </w:r>
    </w:p>
    <w:p w:rsidR="007C1F9F" w:rsidRPr="003F2CAD" w:rsidRDefault="007C1F9F" w:rsidP="007C1F9F">
      <w:pPr>
        <w:pStyle w:val="AERbodytext"/>
      </w:pPr>
      <w:r>
        <w:t xml:space="preserve">APA GasNet is revenue neutral despite the delay in the application of the 2013 reference tariff. This is because the </w:t>
      </w:r>
      <w:r w:rsidRPr="00495BC8">
        <w:t>operation of the price control formula will ensure APA GasNet is allowed to recover the target revenue in net present value terms ove</w:t>
      </w:r>
      <w:r>
        <w:t xml:space="preserve">r the access arrangement period. </w:t>
      </w:r>
      <w:r w:rsidRPr="00495BC8">
        <w:t xml:space="preserve">This will compensate APA GasNet for </w:t>
      </w:r>
      <w:r>
        <w:t>any</w:t>
      </w:r>
      <w:r w:rsidRPr="00495BC8">
        <w:t xml:space="preserve"> time value of money </w:t>
      </w:r>
      <w:r>
        <w:t xml:space="preserve">resulted from the delay </w:t>
      </w:r>
      <w:r w:rsidRPr="00495BC8">
        <w:t>because the real WACC is used as the discount rate for the net present value calculation.</w:t>
      </w:r>
    </w:p>
    <w:p w:rsidR="007C1F9F" w:rsidRPr="004E405B" w:rsidRDefault="007C1F9F" w:rsidP="004E405B">
      <w:pPr>
        <w:pStyle w:val="AERheading3"/>
      </w:pPr>
      <w:r w:rsidRPr="004E405B">
        <w:t xml:space="preserve">The price control formula </w:t>
      </w:r>
    </w:p>
    <w:p w:rsidR="007C1F9F" w:rsidRPr="004E405B" w:rsidRDefault="007C1F9F" w:rsidP="004E405B">
      <w:pPr>
        <w:pStyle w:val="AERbodytext"/>
        <w:rPr>
          <w:rStyle w:val="AERtextbold"/>
        </w:rPr>
      </w:pPr>
      <w:r w:rsidRPr="004E405B">
        <w:rPr>
          <w:rStyle w:val="AERtextbold"/>
        </w:rPr>
        <w:t>Form of control</w:t>
      </w:r>
    </w:p>
    <w:p w:rsidR="007C1F9F" w:rsidRPr="00675EB7" w:rsidRDefault="007C1F9F" w:rsidP="007C1F9F">
      <w:pPr>
        <w:pStyle w:val="AERbodytext"/>
        <w:rPr>
          <w:rStyle w:val="AERbody"/>
        </w:rPr>
      </w:pPr>
      <w:r>
        <w:rPr>
          <w:rStyle w:val="AERbody"/>
        </w:rPr>
        <w:t xml:space="preserve">The proposed </w:t>
      </w:r>
      <w:r w:rsidRPr="00B07299">
        <w:rPr>
          <w:rStyle w:val="AERbody"/>
        </w:rPr>
        <w:t xml:space="preserve">price control formula </w:t>
      </w:r>
      <w:r>
        <w:rPr>
          <w:rStyle w:val="AERbody"/>
        </w:rPr>
        <w:t>for the variation of</w:t>
      </w:r>
      <w:r w:rsidRPr="00B07299">
        <w:rPr>
          <w:rStyle w:val="AERbody"/>
        </w:rPr>
        <w:t xml:space="preserve"> reference tariff</w:t>
      </w:r>
      <w:r>
        <w:rPr>
          <w:rStyle w:val="AERbody"/>
        </w:rPr>
        <w:t>s</w:t>
      </w:r>
      <w:r w:rsidRPr="00B07299">
        <w:rPr>
          <w:rStyle w:val="AERbody"/>
        </w:rPr>
        <w:t xml:space="preserve"> </w:t>
      </w:r>
      <w:r>
        <w:rPr>
          <w:rStyle w:val="AERbody"/>
        </w:rPr>
        <w:t>is an average revenue yield. The AER considers this is consistent with r.</w:t>
      </w:r>
      <w:r w:rsidRPr="00675EB7">
        <w:rPr>
          <w:rStyle w:val="AERbody"/>
        </w:rPr>
        <w:t xml:space="preserve"> 97(2)</w:t>
      </w:r>
      <w:r>
        <w:rPr>
          <w:rStyle w:val="AERbody"/>
        </w:rPr>
        <w:t xml:space="preserve"> of the NGR.</w:t>
      </w:r>
      <w:r w:rsidRPr="00675EB7">
        <w:rPr>
          <w:rStyle w:val="AERbody"/>
        </w:rPr>
        <w:t xml:space="preserve"> </w:t>
      </w:r>
    </w:p>
    <w:p w:rsidR="007C1F9F" w:rsidRPr="004E405B" w:rsidRDefault="007C1F9F" w:rsidP="004E405B">
      <w:pPr>
        <w:pStyle w:val="AERbodytext"/>
        <w:rPr>
          <w:rStyle w:val="AERtextbold"/>
        </w:rPr>
      </w:pPr>
      <w:r w:rsidRPr="004E405B">
        <w:rPr>
          <w:rStyle w:val="AERtextbold"/>
        </w:rPr>
        <w:t>Limit on revenue variation</w:t>
      </w:r>
    </w:p>
    <w:p w:rsidR="007C1F9F" w:rsidRDefault="007C1F9F" w:rsidP="007C1F9F">
      <w:pPr>
        <w:pStyle w:val="AERbodytext"/>
      </w:pPr>
      <w:r>
        <w:t xml:space="preserve">The </w:t>
      </w:r>
      <w:r w:rsidRPr="000D0124">
        <w:t xml:space="preserve">limit </w:t>
      </w:r>
      <w:r>
        <w:t xml:space="preserve">on revenue variation </w:t>
      </w:r>
      <w:r w:rsidRPr="000D0124">
        <w:t>was introduced in the 2008</w:t>
      </w:r>
      <w:r>
        <w:t>–12 access arrangement period</w:t>
      </w:r>
      <w:r w:rsidRPr="000D0124">
        <w:t xml:space="preserve"> and has been triggered twice in </w:t>
      </w:r>
      <w:r>
        <w:t xml:space="preserve">this </w:t>
      </w:r>
      <w:r w:rsidRPr="000D0124">
        <w:t xml:space="preserve">period. The combined revenue impact is less than 0.5 per cent of APA GasNet's total allowed revenue. </w:t>
      </w:r>
      <w:r>
        <w:t xml:space="preserve"> </w:t>
      </w:r>
    </w:p>
    <w:p w:rsidR="007C1F9F" w:rsidRDefault="007C1F9F" w:rsidP="007C1F9F">
      <w:pPr>
        <w:pStyle w:val="AERbodytext"/>
      </w:pPr>
      <w:r w:rsidRPr="000D0124">
        <w:rPr>
          <w:rStyle w:val="AERbody"/>
        </w:rPr>
        <w:t>The AER received no submissions regarding the proposed removal of the limit on revenue from the control formula.</w:t>
      </w:r>
    </w:p>
    <w:p w:rsidR="007C1F9F" w:rsidRDefault="007C1F9F" w:rsidP="007C1F9F">
      <w:pPr>
        <w:pStyle w:val="AERbodytext"/>
        <w:rPr>
          <w:rStyle w:val="AERbody"/>
        </w:rPr>
      </w:pPr>
      <w:r>
        <w:t>Based on information currently available, t</w:t>
      </w:r>
      <w:r w:rsidRPr="005F0F47">
        <w:t xml:space="preserve">he AER </w:t>
      </w:r>
      <w:r>
        <w:t xml:space="preserve">found no reason to reject APA GasNet's proposal to remove the 5.5 per cent limit on revenue variation due to volume changes. The AER considers that </w:t>
      </w:r>
      <w:r>
        <w:rPr>
          <w:rStyle w:val="AERbody"/>
        </w:rPr>
        <w:t xml:space="preserve">a service </w:t>
      </w:r>
      <w:r w:rsidRPr="002D32C5">
        <w:rPr>
          <w:rStyle w:val="AERbody"/>
        </w:rPr>
        <w:t xml:space="preserve">provider </w:t>
      </w:r>
      <w:r>
        <w:rPr>
          <w:rStyle w:val="AERbody"/>
        </w:rPr>
        <w:t xml:space="preserve">should be allowed </w:t>
      </w:r>
      <w:r w:rsidRPr="002D32C5">
        <w:rPr>
          <w:rStyle w:val="AERbody"/>
        </w:rPr>
        <w:t xml:space="preserve">to bear </w:t>
      </w:r>
      <w:r>
        <w:rPr>
          <w:rStyle w:val="AERbody"/>
        </w:rPr>
        <w:t xml:space="preserve">the </w:t>
      </w:r>
      <w:r w:rsidRPr="002D32C5">
        <w:rPr>
          <w:rStyle w:val="AERbody"/>
        </w:rPr>
        <w:t xml:space="preserve">risk </w:t>
      </w:r>
      <w:r>
        <w:rPr>
          <w:rStyle w:val="AERbody"/>
        </w:rPr>
        <w:t xml:space="preserve">for an </w:t>
      </w:r>
      <w:r w:rsidRPr="002D32C5">
        <w:rPr>
          <w:rStyle w:val="AERbody"/>
        </w:rPr>
        <w:t>un</w:t>
      </w:r>
      <w:r>
        <w:rPr>
          <w:rStyle w:val="AERbody"/>
        </w:rPr>
        <w:t>controllable</w:t>
      </w:r>
      <w:r w:rsidRPr="002D32C5">
        <w:rPr>
          <w:rStyle w:val="AERbody"/>
        </w:rPr>
        <w:t xml:space="preserve"> </w:t>
      </w:r>
      <w:r>
        <w:rPr>
          <w:rStyle w:val="AERbody"/>
        </w:rPr>
        <w:t xml:space="preserve">event if it chooses to do so. This will </w:t>
      </w:r>
      <w:r w:rsidRPr="002D32C5">
        <w:rPr>
          <w:rStyle w:val="AERbody"/>
        </w:rPr>
        <w:t>encourage the serv</w:t>
      </w:r>
      <w:r>
        <w:rPr>
          <w:rStyle w:val="AERbody"/>
        </w:rPr>
        <w:t xml:space="preserve">ice </w:t>
      </w:r>
      <w:r w:rsidRPr="002D32C5">
        <w:rPr>
          <w:rStyle w:val="AERbody"/>
        </w:rPr>
        <w:t xml:space="preserve">provider to </w:t>
      </w:r>
      <w:r>
        <w:rPr>
          <w:rStyle w:val="AERbody"/>
        </w:rPr>
        <w:t xml:space="preserve">better </w:t>
      </w:r>
      <w:r w:rsidRPr="002D32C5">
        <w:rPr>
          <w:rStyle w:val="AERbody"/>
        </w:rPr>
        <w:t>manage or mitigate the c</w:t>
      </w:r>
      <w:r>
        <w:rPr>
          <w:rStyle w:val="AERbody"/>
        </w:rPr>
        <w:t>osts associated with such events</w:t>
      </w:r>
      <w:r w:rsidRPr="002D32C5">
        <w:rPr>
          <w:rStyle w:val="AERbody"/>
        </w:rPr>
        <w:t>.</w:t>
      </w:r>
      <w:r>
        <w:rPr>
          <w:rStyle w:val="AERbody"/>
        </w:rPr>
        <w:t xml:space="preserve"> </w:t>
      </w:r>
    </w:p>
    <w:p w:rsidR="004E405B" w:rsidRDefault="007C1F9F" w:rsidP="004E405B">
      <w:pPr>
        <w:rPr>
          <w:rStyle w:val="AERtextbold"/>
        </w:rPr>
      </w:pPr>
      <w:r w:rsidRPr="004E405B">
        <w:rPr>
          <w:rStyle w:val="AERtextbold"/>
        </w:rPr>
        <w:t>Side constraints</w:t>
      </w:r>
    </w:p>
    <w:p w:rsidR="007C1F9F" w:rsidRPr="004E405B" w:rsidRDefault="007C1F9F" w:rsidP="004E405B">
      <w:pPr>
        <w:rPr>
          <w:rStyle w:val="AERtextbold"/>
        </w:rPr>
      </w:pPr>
      <w:r w:rsidRPr="004E405B">
        <w:rPr>
          <w:rStyle w:val="AERtextbold"/>
        </w:rPr>
        <w:t xml:space="preserve"> </w:t>
      </w:r>
    </w:p>
    <w:p w:rsidR="007C1F9F" w:rsidRDefault="007C1F9F" w:rsidP="007C1F9F">
      <w:pPr>
        <w:pStyle w:val="AERbodytext"/>
      </w:pPr>
      <w:r>
        <w:t xml:space="preserve">The AER accepts that the side constraints applied in the 2008–12 access arrangement should be retained. </w:t>
      </w:r>
      <w:r w:rsidRPr="00753B60">
        <w:t xml:space="preserve">The AER considers that </w:t>
      </w:r>
      <w:r>
        <w:t>the proposed side constraint, which limits the increase for an individual tariff to no more than 2 per cent above the overall rate of increase for all tariffs, is appropriate. The constraint provides a reasonable balance between the need for APA GasNet to rebalance tariffs over the</w:t>
      </w:r>
      <w:r w:rsidRPr="00753B60">
        <w:t xml:space="preserve"> access arrange</w:t>
      </w:r>
      <w:r>
        <w:t xml:space="preserve">ment period to enable increased efficiency and pipeline utilisation, and the user's need to have a reasonable degree of </w:t>
      </w:r>
      <w:r w:rsidRPr="00753B60">
        <w:t xml:space="preserve">certainty to facilitate </w:t>
      </w:r>
      <w:r>
        <w:t xml:space="preserve">their </w:t>
      </w:r>
      <w:r w:rsidRPr="00753B60">
        <w:t xml:space="preserve">investments. </w:t>
      </w:r>
    </w:p>
    <w:p w:rsidR="007C1F9F" w:rsidRDefault="007C1F9F" w:rsidP="007C1F9F">
      <w:pPr>
        <w:pStyle w:val="AERbodytext"/>
      </w:pPr>
      <w:r>
        <w:t xml:space="preserve">The side constraint </w:t>
      </w:r>
      <w:r w:rsidRPr="00753B60">
        <w:t>does not apply for the first year of the access arrang</w:t>
      </w:r>
      <w:r>
        <w:t xml:space="preserve">ement period. The AER encourages APA GasNet to </w:t>
      </w:r>
      <w:r w:rsidRPr="00753B60">
        <w:t xml:space="preserve">consult with </w:t>
      </w:r>
      <w:r>
        <w:t>users</w:t>
      </w:r>
      <w:r w:rsidRPr="00753B60">
        <w:t xml:space="preserve"> on tarif</w:t>
      </w:r>
      <w:r>
        <w:t xml:space="preserve">f rebalancing in the first year </w:t>
      </w:r>
      <w:r w:rsidRPr="00753B60">
        <w:t>of the access arrangement following the release of</w:t>
      </w:r>
      <w:r>
        <w:t xml:space="preserve"> the AER’s draft decision. This </w:t>
      </w:r>
      <w:r w:rsidRPr="00753B60">
        <w:t xml:space="preserve">would ensure </w:t>
      </w:r>
      <w:r>
        <w:t xml:space="preserve">that any </w:t>
      </w:r>
      <w:r w:rsidRPr="00753B60">
        <w:t>one</w:t>
      </w:r>
      <w:r>
        <w:t>-</w:t>
      </w:r>
      <w:r w:rsidRPr="00753B60">
        <w:t xml:space="preserve">off </w:t>
      </w:r>
      <w:r>
        <w:t xml:space="preserve">tariff changes </w:t>
      </w:r>
      <w:r w:rsidRPr="00753B60">
        <w:t>in 20</w:t>
      </w:r>
      <w:r>
        <w:t xml:space="preserve">13 would not surprise </w:t>
      </w:r>
      <w:r w:rsidRPr="00753B60">
        <w:t>customers</w:t>
      </w:r>
      <w:r>
        <w:t>. C</w:t>
      </w:r>
      <w:r w:rsidRPr="00753B60">
        <w:t>hanges in tariffs in the following years o</w:t>
      </w:r>
      <w:r>
        <w:t xml:space="preserve">f the access arrangement period </w:t>
      </w:r>
      <w:r w:rsidRPr="00753B60">
        <w:t>are limited by side constraints.</w:t>
      </w:r>
    </w:p>
    <w:p w:rsidR="004E405B" w:rsidRDefault="007C1F9F" w:rsidP="004E405B">
      <w:pPr>
        <w:rPr>
          <w:rStyle w:val="AERtextbold"/>
        </w:rPr>
      </w:pPr>
      <w:r w:rsidRPr="004E405B">
        <w:rPr>
          <w:rStyle w:val="AERtextbold"/>
        </w:rPr>
        <w:t>First and second carryover factors for the calculation of CFA factor</w:t>
      </w:r>
    </w:p>
    <w:p w:rsidR="007C1F9F" w:rsidRPr="004E405B" w:rsidRDefault="007C1F9F" w:rsidP="004E405B">
      <w:pPr>
        <w:rPr>
          <w:rStyle w:val="AERtextbold"/>
        </w:rPr>
      </w:pPr>
      <w:r w:rsidRPr="004E405B">
        <w:rPr>
          <w:rStyle w:val="AERtextbold"/>
        </w:rPr>
        <w:t xml:space="preserve"> </w:t>
      </w:r>
    </w:p>
    <w:p w:rsidR="007C1F9F" w:rsidRPr="00D62DF3" w:rsidRDefault="007C1F9F" w:rsidP="00D62DF3">
      <w:pPr>
        <w:pStyle w:val="AERbodytext"/>
        <w:rPr>
          <w:rStyle w:val="AERtextitalic"/>
          <w:i w:val="0"/>
        </w:rPr>
      </w:pPr>
      <w:r w:rsidRPr="00D62DF3">
        <w:rPr>
          <w:rStyle w:val="AERtextitalic"/>
          <w:i w:val="0"/>
        </w:rPr>
        <w:t>The AER accepts the definition of the first and second carryover factors. It considers that definition necessary to derive the CFA factor and consistent with the 2008</w:t>
      </w:r>
      <w:r w:rsidRPr="00D62DF3">
        <w:rPr>
          <w:rStyle w:val="AERtextitalic"/>
          <w:rFonts w:hint="eastAsia"/>
          <w:i w:val="0"/>
        </w:rPr>
        <w:t>–</w:t>
      </w:r>
      <w:r w:rsidRPr="00D62DF3">
        <w:rPr>
          <w:rStyle w:val="AERtextitalic"/>
          <w:i w:val="0"/>
        </w:rPr>
        <w:t>12 access arrangement.</w:t>
      </w:r>
    </w:p>
    <w:p w:rsidR="004E405B" w:rsidRDefault="007C1F9F" w:rsidP="004E405B">
      <w:pPr>
        <w:rPr>
          <w:rStyle w:val="AERtextbold"/>
        </w:rPr>
      </w:pPr>
      <w:r w:rsidRPr="004E405B">
        <w:rPr>
          <w:rStyle w:val="AERtextbold"/>
        </w:rPr>
        <w:t>Weather correction and the CFA factor</w:t>
      </w:r>
    </w:p>
    <w:p w:rsidR="007C1F9F" w:rsidRPr="004E405B" w:rsidRDefault="007C1F9F" w:rsidP="004E405B">
      <w:pPr>
        <w:rPr>
          <w:rStyle w:val="AERtextbold"/>
        </w:rPr>
      </w:pPr>
      <w:r w:rsidRPr="004E405B">
        <w:rPr>
          <w:rStyle w:val="AERtextbold"/>
        </w:rPr>
        <w:t xml:space="preserve"> </w:t>
      </w:r>
    </w:p>
    <w:p w:rsidR="007C1F9F" w:rsidRDefault="007C1F9F" w:rsidP="007C1F9F">
      <w:pPr>
        <w:pStyle w:val="AERbodytext"/>
        <w:rPr>
          <w:rStyle w:val="AERbody"/>
        </w:rPr>
      </w:pPr>
      <w:r w:rsidRPr="00675EB7">
        <w:rPr>
          <w:rStyle w:val="AERbody"/>
        </w:rPr>
        <w:t xml:space="preserve">The retention of the weather correction factor within the </w:t>
      </w:r>
      <w:r>
        <w:rPr>
          <w:rStyle w:val="AERbody"/>
        </w:rPr>
        <w:t xml:space="preserve">current </w:t>
      </w:r>
      <w:r w:rsidRPr="00675EB7">
        <w:rPr>
          <w:rStyle w:val="AERbody"/>
        </w:rPr>
        <w:t xml:space="preserve">price control formula </w:t>
      </w:r>
      <w:r>
        <w:rPr>
          <w:rStyle w:val="AERbody"/>
        </w:rPr>
        <w:t>is consistent with r. 97(3)(a) of the NGR which requires an</w:t>
      </w:r>
      <w:r w:rsidRPr="00675EB7">
        <w:rPr>
          <w:rStyle w:val="AERbody"/>
        </w:rPr>
        <w:t xml:space="preserve"> efficient</w:t>
      </w:r>
      <w:r>
        <w:rPr>
          <w:rStyle w:val="AERbody"/>
        </w:rPr>
        <w:t xml:space="preserve"> tariff structure. T</w:t>
      </w:r>
      <w:r w:rsidRPr="00391DED">
        <w:rPr>
          <w:rStyle w:val="AERbody"/>
        </w:rPr>
        <w:t xml:space="preserve">he tariff structure in theory should not </w:t>
      </w:r>
      <w:r>
        <w:rPr>
          <w:rStyle w:val="AERbody"/>
        </w:rPr>
        <w:t xml:space="preserve">impose penalties or </w:t>
      </w:r>
      <w:r w:rsidRPr="006A47BF">
        <w:rPr>
          <w:rStyle w:val="AERbody"/>
        </w:rPr>
        <w:t xml:space="preserve">rewards </w:t>
      </w:r>
      <w:r>
        <w:rPr>
          <w:rStyle w:val="AERbody"/>
        </w:rPr>
        <w:t xml:space="preserve">on the </w:t>
      </w:r>
      <w:r w:rsidRPr="00391DED">
        <w:rPr>
          <w:rStyle w:val="AERbody"/>
        </w:rPr>
        <w:t xml:space="preserve">service </w:t>
      </w:r>
      <w:r>
        <w:rPr>
          <w:rStyle w:val="AERbody"/>
        </w:rPr>
        <w:t xml:space="preserve">provider for uncontrollable events, in this case the volume risk due to </w:t>
      </w:r>
      <w:r w:rsidRPr="00391DED">
        <w:rPr>
          <w:rStyle w:val="AERbody"/>
        </w:rPr>
        <w:t xml:space="preserve">weather </w:t>
      </w:r>
      <w:r>
        <w:rPr>
          <w:rStyle w:val="AERbody"/>
        </w:rPr>
        <w:t>conditions,</w:t>
      </w:r>
      <w:r w:rsidRPr="00391DED">
        <w:rPr>
          <w:rStyle w:val="AERbody"/>
        </w:rPr>
        <w:t xml:space="preserve"> which </w:t>
      </w:r>
      <w:r>
        <w:rPr>
          <w:rStyle w:val="AERbody"/>
        </w:rPr>
        <w:t>are</w:t>
      </w:r>
      <w:r w:rsidRPr="00391DED">
        <w:rPr>
          <w:rStyle w:val="AERbody"/>
        </w:rPr>
        <w:t xml:space="preserve"> outside of the service provider's control.</w:t>
      </w:r>
      <w:r>
        <w:rPr>
          <w:rStyle w:val="AERbody"/>
        </w:rPr>
        <w:t xml:space="preserve"> The weather factor will decrease (increase) the actual achieved volumes that determine the maximum allowed revenue under the average revenue yield, when the actual weather outcome is cooler (warmer) than expected. </w:t>
      </w:r>
    </w:p>
    <w:p w:rsidR="007C1F9F" w:rsidRDefault="007C1F9F" w:rsidP="007C1F9F">
      <w:pPr>
        <w:pStyle w:val="AERbodytext"/>
        <w:rPr>
          <w:rStyle w:val="AERbody"/>
        </w:rPr>
      </w:pPr>
      <w:r w:rsidRPr="006071D6">
        <w:rPr>
          <w:rStyle w:val="AERbody"/>
        </w:rPr>
        <w:t>Sim</w:t>
      </w:r>
      <w:r>
        <w:rPr>
          <w:rStyle w:val="AERbody"/>
        </w:rPr>
        <w:t>ilarly, the retention of the CFA</w:t>
      </w:r>
      <w:r w:rsidRPr="006071D6">
        <w:rPr>
          <w:rStyle w:val="AERbody"/>
        </w:rPr>
        <w:t xml:space="preserve"> factor in the price contro</w:t>
      </w:r>
      <w:r>
        <w:rPr>
          <w:rStyle w:val="AERbody"/>
        </w:rPr>
        <w:t>l formula is consistent with r. </w:t>
      </w:r>
      <w:r w:rsidRPr="006071D6">
        <w:rPr>
          <w:rStyle w:val="AERbody"/>
        </w:rPr>
        <w:t>97(3)(a) of the NGR. These adjustment factors will ensure that any over and under recovery against the eff</w:t>
      </w:r>
      <w:r>
        <w:rPr>
          <w:rStyle w:val="AERbody"/>
        </w:rPr>
        <w:t>icient level of revenue in the 2008</w:t>
      </w:r>
      <w:r>
        <w:t>–</w:t>
      </w:r>
      <w:r>
        <w:rPr>
          <w:rStyle w:val="AERbody"/>
        </w:rPr>
        <w:t>12 access arrangement period is</w:t>
      </w:r>
      <w:r w:rsidRPr="006071D6">
        <w:rPr>
          <w:rStyle w:val="AERbody"/>
        </w:rPr>
        <w:t xml:space="preserve"> correctly accounted for in the determination of the</w:t>
      </w:r>
      <w:r>
        <w:rPr>
          <w:rStyle w:val="AERbody"/>
        </w:rPr>
        <w:t xml:space="preserve"> reference tariff in the 201</w:t>
      </w:r>
      <w:r w:rsidR="00972C6E">
        <w:rPr>
          <w:rStyle w:val="AERbody"/>
        </w:rPr>
        <w:t>3</w:t>
      </w:r>
      <w:r>
        <w:t>–</w:t>
      </w:r>
      <w:r w:rsidRPr="006071D6">
        <w:rPr>
          <w:rStyle w:val="AERbody"/>
        </w:rPr>
        <w:t>17 access arrangement period.</w:t>
      </w:r>
    </w:p>
    <w:p w:rsidR="007C1F9F" w:rsidRPr="004E405B" w:rsidRDefault="007C1F9F" w:rsidP="004E405B">
      <w:pPr>
        <w:pStyle w:val="AERbodytext"/>
        <w:rPr>
          <w:rStyle w:val="AERtextbold"/>
        </w:rPr>
      </w:pPr>
      <w:r w:rsidRPr="004E405B">
        <w:rPr>
          <w:rStyle w:val="AERtextbold"/>
        </w:rPr>
        <w:t>Terms used in the price control formula</w:t>
      </w:r>
    </w:p>
    <w:p w:rsidR="007C1F9F" w:rsidRDefault="007C1F9F" w:rsidP="007C1F9F">
      <w:pPr>
        <w:pStyle w:val="AERbodytext"/>
      </w:pPr>
      <w:r w:rsidRPr="00AA107E">
        <w:rPr>
          <w:rStyle w:val="AERbody"/>
        </w:rPr>
        <w:t>The operation of the formula is la</w:t>
      </w:r>
      <w:r>
        <w:rPr>
          <w:rStyle w:val="AERbody"/>
        </w:rPr>
        <w:t xml:space="preserve">rgely the same as the </w:t>
      </w:r>
      <w:r w:rsidR="00202065">
        <w:rPr>
          <w:rStyle w:val="AERbody"/>
        </w:rPr>
        <w:t>2008–12</w:t>
      </w:r>
      <w:r w:rsidRPr="00AA107E">
        <w:rPr>
          <w:rStyle w:val="AERbody"/>
        </w:rPr>
        <w:t xml:space="preserve"> access arrangement</w:t>
      </w:r>
      <w:r w:rsidR="00052D90">
        <w:rPr>
          <w:rStyle w:val="AERbody"/>
        </w:rPr>
        <w:t>. There are</w:t>
      </w:r>
      <w:r>
        <w:rPr>
          <w:rStyle w:val="AERbody"/>
        </w:rPr>
        <w:t xml:space="preserve"> </w:t>
      </w:r>
      <w:r w:rsidRPr="003F7FD8">
        <w:t>minor typographical error</w:t>
      </w:r>
      <w:r w:rsidR="00052D90">
        <w:t>s</w:t>
      </w:r>
      <w:r>
        <w:t xml:space="preserve"> in relation to the definition of the Actual EDD factor where the references to VENCorp should be corrected to AEMO</w:t>
      </w:r>
      <w:r w:rsidR="00052D90">
        <w:t xml:space="preserve">, </w:t>
      </w:r>
      <w:r w:rsidR="00052D90" w:rsidRPr="00052D90">
        <w:t>and the definition of the VW factor where the reference to PTS should instead be VTS</w:t>
      </w:r>
      <w:r w:rsidR="00052D90">
        <w:t>,</w:t>
      </w:r>
      <w:r>
        <w:t xml:space="preserve"> as set out in </w:t>
      </w:r>
      <w:r>
        <w:rPr>
          <w:rStyle w:val="AERbody"/>
        </w:rPr>
        <w:t>revision 11</w:t>
      </w:r>
      <w:r w:rsidRPr="002D3923">
        <w:rPr>
          <w:rStyle w:val="AERbody"/>
        </w:rPr>
        <w:t>.</w:t>
      </w:r>
      <w:r>
        <w:rPr>
          <w:rStyle w:val="AERbody"/>
        </w:rPr>
        <w:t>1</w:t>
      </w:r>
      <w:r>
        <w:t xml:space="preserve">. Otherwise, the </w:t>
      </w:r>
      <w:r w:rsidRPr="00753B60">
        <w:t xml:space="preserve">AER accepts </w:t>
      </w:r>
      <w:r>
        <w:t xml:space="preserve">the definition of all other terms used in the price control formula as set out in section D3 to D7 of the proposed access arrangement and reproduced in </w:t>
      </w:r>
      <w:r w:rsidRPr="006D3812">
        <w:rPr>
          <w:rStyle w:val="AERbody"/>
        </w:rPr>
        <w:t>section 11.2</w:t>
      </w:r>
      <w:r>
        <w:t xml:space="preserve"> above. The definitions are consistent with the 2008–12 access arrangement and the AER sees no reason to amend them. Having regard to r. 97(3)(c) of the NGR, the AER considers it appropriate to accept these terms. </w:t>
      </w:r>
    </w:p>
    <w:p w:rsidR="004E405B" w:rsidRPr="004E405B" w:rsidRDefault="007C1F9F" w:rsidP="004E405B">
      <w:pPr>
        <w:rPr>
          <w:rStyle w:val="AERtextbold"/>
        </w:rPr>
      </w:pPr>
      <w:r w:rsidRPr="004E405B">
        <w:rPr>
          <w:rStyle w:val="AERtextbold"/>
        </w:rPr>
        <w:t>Revenue equalisation</w:t>
      </w:r>
    </w:p>
    <w:p w:rsidR="004E405B" w:rsidRPr="004E405B" w:rsidRDefault="004E405B" w:rsidP="004E405B"/>
    <w:p w:rsidR="007C1F9F" w:rsidRDefault="007C1F9F" w:rsidP="007C1F9F">
      <w:pPr>
        <w:pStyle w:val="AERbodytext"/>
        <w:rPr>
          <w:rStyle w:val="AERbody"/>
        </w:rPr>
      </w:pPr>
      <w:r w:rsidRPr="00C443AA">
        <w:rPr>
          <w:rStyle w:val="AERbody"/>
        </w:rPr>
        <w:t>The AER considers that</w:t>
      </w:r>
      <w:r>
        <w:rPr>
          <w:rStyle w:val="AERbody"/>
        </w:rPr>
        <w:t xml:space="preserve"> the reference</w:t>
      </w:r>
      <w:r w:rsidRPr="00F51BDF">
        <w:rPr>
          <w:rStyle w:val="AERbody"/>
        </w:rPr>
        <w:t xml:space="preserve"> tariff variation mechan</w:t>
      </w:r>
      <w:r>
        <w:rPr>
          <w:rStyle w:val="AERbody"/>
        </w:rPr>
        <w:t xml:space="preserve">ism proposed by APA GasNet in principle </w:t>
      </w:r>
      <w:r w:rsidRPr="00C443AA">
        <w:rPr>
          <w:rStyle w:val="AERbody"/>
        </w:rPr>
        <w:t xml:space="preserve">complies with r. 92(2) of the NGR. </w:t>
      </w:r>
      <w:r>
        <w:rPr>
          <w:rStyle w:val="AERbody"/>
        </w:rPr>
        <w:t>That is, after reviewing the relevant models, the operation of the reference</w:t>
      </w:r>
      <w:r w:rsidRPr="00F51BDF">
        <w:rPr>
          <w:rStyle w:val="AERbody"/>
        </w:rPr>
        <w:t xml:space="preserve"> tariff variation mechan</w:t>
      </w:r>
      <w:r>
        <w:rPr>
          <w:rStyle w:val="AERbody"/>
        </w:rPr>
        <w:t>ism over the 2013</w:t>
      </w:r>
      <w:r>
        <w:t>–</w:t>
      </w:r>
      <w:r>
        <w:rPr>
          <w:rStyle w:val="AERbody"/>
        </w:rPr>
        <w:t>17 access arrangement period</w:t>
      </w:r>
      <w:r w:rsidRPr="00F51BDF">
        <w:rPr>
          <w:rStyle w:val="AERbody"/>
        </w:rPr>
        <w:t xml:space="preserve"> </w:t>
      </w:r>
      <w:r>
        <w:rPr>
          <w:rStyle w:val="AERbody"/>
        </w:rPr>
        <w:t>equalises</w:t>
      </w:r>
      <w:r w:rsidRPr="00F51BDF">
        <w:rPr>
          <w:rStyle w:val="AERbody"/>
        </w:rPr>
        <w:t xml:space="preserve"> in present</w:t>
      </w:r>
      <w:r>
        <w:rPr>
          <w:rStyle w:val="AERbody"/>
        </w:rPr>
        <w:t xml:space="preserve"> value terms: </w:t>
      </w:r>
    </w:p>
    <w:p w:rsidR="007C1F9F" w:rsidRPr="00C628C7" w:rsidRDefault="007C1F9F" w:rsidP="007C1F9F">
      <w:pPr>
        <w:pStyle w:val="AERbulletlistfirststyle"/>
      </w:pPr>
      <w:r w:rsidRPr="00C628C7">
        <w:t xml:space="preserve">the building block costs associated with reference services; and </w:t>
      </w:r>
    </w:p>
    <w:p w:rsidR="007C1F9F" w:rsidRPr="00C628C7" w:rsidRDefault="007C1F9F" w:rsidP="007C1F9F">
      <w:pPr>
        <w:pStyle w:val="AERbulletlistfirststyle"/>
      </w:pPr>
      <w:r w:rsidRPr="00C628C7">
        <w:t xml:space="preserve">the portion of total revenue allocated to reference services.  </w:t>
      </w:r>
    </w:p>
    <w:p w:rsidR="007C1F9F" w:rsidRDefault="007C1F9F" w:rsidP="007C1F9F">
      <w:pPr>
        <w:pStyle w:val="AERbodytext"/>
        <w:rPr>
          <w:rStyle w:val="AERbody"/>
        </w:rPr>
      </w:pPr>
      <w:r w:rsidRPr="00C443AA">
        <w:rPr>
          <w:rStyle w:val="AERbody"/>
        </w:rPr>
        <w:t>However, the</w:t>
      </w:r>
      <w:r>
        <w:rPr>
          <w:rStyle w:val="AERbody"/>
        </w:rPr>
        <w:t xml:space="preserve"> AER considers that the initial </w:t>
      </w:r>
      <w:r w:rsidRPr="00C443AA">
        <w:rPr>
          <w:rStyle w:val="AERbody"/>
        </w:rPr>
        <w:t xml:space="preserve">reference tariffs must be amended </w:t>
      </w:r>
      <w:r>
        <w:rPr>
          <w:rStyle w:val="AERbody"/>
        </w:rPr>
        <w:t>as set out in revision 11.9.</w:t>
      </w:r>
      <w:r>
        <w:rPr>
          <w:rStyle w:val="FootnoteReference"/>
        </w:rPr>
        <w:footnoteReference w:id="669"/>
      </w:r>
      <w:r>
        <w:rPr>
          <w:rStyle w:val="AERbody"/>
        </w:rPr>
        <w:t xml:space="preserve"> This is to </w:t>
      </w:r>
      <w:r w:rsidRPr="00C443AA">
        <w:rPr>
          <w:rStyle w:val="AERbody"/>
        </w:rPr>
        <w:t>reflect the changes to forecast total revenue and foreca</w:t>
      </w:r>
      <w:r>
        <w:rPr>
          <w:rStyle w:val="AERbody"/>
        </w:rPr>
        <w:t xml:space="preserve">st demand. The changes in total </w:t>
      </w:r>
      <w:r w:rsidRPr="00C443AA">
        <w:rPr>
          <w:rStyle w:val="AERbody"/>
        </w:rPr>
        <w:t>revenue are outline</w:t>
      </w:r>
      <w:r>
        <w:rPr>
          <w:rStyle w:val="AERbody"/>
        </w:rPr>
        <w:t xml:space="preserve">d in the total revenue </w:t>
      </w:r>
      <w:r w:rsidRPr="007F0EBF">
        <w:t xml:space="preserve">section 2 of the overview </w:t>
      </w:r>
      <w:r w:rsidRPr="00C443AA">
        <w:rPr>
          <w:rStyle w:val="AERbody"/>
        </w:rPr>
        <w:t>and</w:t>
      </w:r>
      <w:r>
        <w:rPr>
          <w:rStyle w:val="AERbody"/>
        </w:rPr>
        <w:t xml:space="preserve"> changes to forecast demand are </w:t>
      </w:r>
      <w:r w:rsidRPr="00C443AA">
        <w:rPr>
          <w:rStyle w:val="AERbody"/>
        </w:rPr>
        <w:t>o</w:t>
      </w:r>
      <w:r>
        <w:rPr>
          <w:rStyle w:val="AERbody"/>
        </w:rPr>
        <w:t xml:space="preserve">utlined in </w:t>
      </w:r>
      <w:r w:rsidRPr="006D3812">
        <w:rPr>
          <w:rStyle w:val="AERbody"/>
        </w:rPr>
        <w:t>attachment</w:t>
      </w:r>
      <w:r>
        <w:rPr>
          <w:rStyle w:val="AERbody"/>
        </w:rPr>
        <w:t xml:space="preserve"> 9</w:t>
      </w:r>
      <w:r w:rsidRPr="00C443AA">
        <w:rPr>
          <w:rStyle w:val="AERbody"/>
        </w:rPr>
        <w:t xml:space="preserve"> of this draft decision.</w:t>
      </w:r>
    </w:p>
    <w:p w:rsidR="007C1F9F" w:rsidRPr="00705A21" w:rsidRDefault="007C1F9F" w:rsidP="007C1F9F">
      <w:pPr>
        <w:pStyle w:val="AERheading3"/>
        <w:numPr>
          <w:ilvl w:val="2"/>
          <w:numId w:val="7"/>
        </w:numPr>
        <w:tabs>
          <w:tab w:val="clear" w:pos="-357"/>
          <w:tab w:val="num" w:pos="0"/>
        </w:tabs>
        <w:ind w:left="0" w:hanging="714"/>
      </w:pPr>
      <w:r w:rsidRPr="007F0EBF">
        <w:t>Cost pass through</w:t>
      </w:r>
    </w:p>
    <w:p w:rsidR="007C1F9F" w:rsidRPr="007E3923" w:rsidRDefault="007C1F9F" w:rsidP="007C1F9F">
      <w:pPr>
        <w:pStyle w:val="AERbodytext"/>
        <w:rPr>
          <w:rStyle w:val="AERbody"/>
          <w:rFonts w:eastAsia="Calibri"/>
        </w:rPr>
      </w:pPr>
      <w:r w:rsidRPr="007E3923">
        <w:rPr>
          <w:rFonts w:eastAsia="Calibri"/>
        </w:rPr>
        <w:t>Rule 97(1)(c) of the NGR provides that a reference tariff variation mechanism may provide for variation of a reference tariff as a result of a cost pass through for a defined event. The AER has full discretion to withhold its approval to an element of a reference tariff variation mechanism if it believes that a preferable alternative exists.</w:t>
      </w:r>
      <w:r w:rsidRPr="007E3923">
        <w:rPr>
          <w:rStyle w:val="FootnoteReference"/>
          <w:rFonts w:eastAsia="Calibri"/>
        </w:rPr>
        <w:footnoteReference w:id="670"/>
      </w:r>
      <w:r w:rsidRPr="007E3923">
        <w:rPr>
          <w:rStyle w:val="AERbody"/>
          <w:rFonts w:eastAsia="Calibri"/>
        </w:rPr>
        <w:t xml:space="preserve"> </w:t>
      </w:r>
    </w:p>
    <w:p w:rsidR="007C1F9F" w:rsidRPr="007E3923" w:rsidRDefault="007C1F9F" w:rsidP="007C1F9F">
      <w:pPr>
        <w:pStyle w:val="AERbodytext"/>
        <w:rPr>
          <w:rFonts w:eastAsia="Calibri"/>
        </w:rPr>
      </w:pPr>
      <w:r w:rsidRPr="007E3923">
        <w:rPr>
          <w:rStyle w:val="AERbody"/>
          <w:rFonts w:eastAsia="Calibri"/>
        </w:rPr>
        <w:t>The AER needs to assess a service provider's proposal</w:t>
      </w:r>
      <w:r w:rsidRPr="007E3923">
        <w:rPr>
          <w:rFonts w:eastAsia="Calibri"/>
        </w:rPr>
        <w:t xml:space="preserve"> to make a decision on a proposed </w:t>
      </w:r>
      <w:r w:rsidRPr="007E3923">
        <w:rPr>
          <w:rStyle w:val="AERbody"/>
          <w:rFonts w:eastAsia="Calibri"/>
        </w:rPr>
        <w:t xml:space="preserve">reference tariff variation mechanism. </w:t>
      </w:r>
      <w:r w:rsidRPr="007E3923">
        <w:rPr>
          <w:rFonts w:eastAsia="Calibri"/>
        </w:rPr>
        <w:t xml:space="preserve">When deciding whether a </w:t>
      </w:r>
      <w:r w:rsidRPr="007E3923">
        <w:rPr>
          <w:rStyle w:val="AERbody"/>
          <w:rFonts w:eastAsia="Calibri"/>
        </w:rPr>
        <w:t>reference tariff variation mechanism</w:t>
      </w:r>
      <w:r w:rsidRPr="007E3923">
        <w:rPr>
          <w:rFonts w:eastAsia="Calibri"/>
        </w:rPr>
        <w:t xml:space="preserve"> is appropriate to an access arrangement the AER must have regard to the factors in r. 97(3) of the NGR. The cost pass through provisions of an access arrangement must be consistent with these rules and the NGO.</w:t>
      </w:r>
      <w:r w:rsidRPr="007E3923">
        <w:rPr>
          <w:rStyle w:val="FootnoteReference"/>
          <w:rFonts w:eastAsia="Calibri"/>
        </w:rPr>
        <w:footnoteReference w:id="671"/>
      </w:r>
      <w:r w:rsidRPr="007E3923">
        <w:rPr>
          <w:rFonts w:eastAsia="Calibri"/>
        </w:rPr>
        <w:t xml:space="preserve"> </w:t>
      </w:r>
    </w:p>
    <w:p w:rsidR="007C1F9F" w:rsidRPr="007E3923" w:rsidRDefault="007C1F9F" w:rsidP="007C1F9F">
      <w:pPr>
        <w:pStyle w:val="AERbodytext"/>
        <w:rPr>
          <w:rFonts w:eastAsia="Calibri"/>
        </w:rPr>
      </w:pPr>
      <w:r w:rsidRPr="007E3923">
        <w:rPr>
          <w:rFonts w:eastAsia="Calibri"/>
        </w:rPr>
        <w:t xml:space="preserve">The AER considers the requirements of a cost pass through mechanism should be designed to achieve the NGO through the support of an appropriate level of administrative costs. The AER considers a cost pass through mechanism should appropriately balance the risk of material, unexpected and uncontrollable events that impact on a service provider with the long-term interests of consumers. </w:t>
      </w:r>
    </w:p>
    <w:p w:rsidR="007C1F9F" w:rsidRPr="007E3923" w:rsidRDefault="007C1F9F" w:rsidP="007C1F9F">
      <w:pPr>
        <w:pStyle w:val="AERbodytext"/>
        <w:rPr>
          <w:rFonts w:eastAsia="Calibri"/>
        </w:rPr>
      </w:pPr>
      <w:r w:rsidRPr="007E3923">
        <w:rPr>
          <w:rFonts w:eastAsia="Calibri"/>
        </w:rPr>
        <w:t xml:space="preserve">In particular, the AER considers there should be incentives for a service provider to bear some risk of unexpected events, as this will encourage the service providers to manage or mitigate the costs associated with such events. The AER also considers that any pass through mechanism should be symmetric, such that users will benefit from unexpected or uncontrollable events that materially reduce the costs faced by a service provider. The AER considers that a pass through mechanism should seek to minimise any administrative costs. </w:t>
      </w:r>
    </w:p>
    <w:p w:rsidR="007C1F9F" w:rsidRPr="007E3923" w:rsidRDefault="007C1F9F" w:rsidP="007C1F9F">
      <w:pPr>
        <w:pStyle w:val="AERbodytext"/>
        <w:rPr>
          <w:rFonts w:eastAsia="Calibri"/>
        </w:rPr>
      </w:pPr>
      <w:r w:rsidRPr="007E3923">
        <w:rPr>
          <w:rFonts w:eastAsia="Calibri"/>
        </w:rPr>
        <w:t xml:space="preserve">Cost pass through events should provide service providers and other stakeholders with sufficient protection against unexpected and uncontrollable risks. However, the AER considers that cost pass through events should not remove incentives from service providers to engage in efficient business practices. </w:t>
      </w:r>
    </w:p>
    <w:p w:rsidR="007C1F9F" w:rsidRPr="007E3923" w:rsidRDefault="007C1F9F" w:rsidP="007C1F9F">
      <w:pPr>
        <w:pStyle w:val="AERbodytext"/>
        <w:rPr>
          <w:rFonts w:eastAsia="Calibri"/>
        </w:rPr>
      </w:pPr>
      <w:r w:rsidRPr="007E3923">
        <w:rPr>
          <w:rFonts w:eastAsia="Calibri"/>
        </w:rPr>
        <w:t xml:space="preserve">All businesses are subject to the risk of unexpected and uncontrollable events and like unregulated businesses, regulated businesses should be required to bear some of these costs as part of the normal course of doing business. The AER considers that cost pass through events should be designed to encourage service providers to engage in prudent and efficient business practices. </w:t>
      </w:r>
    </w:p>
    <w:p w:rsidR="007C1F9F" w:rsidRPr="007E3923" w:rsidRDefault="007C1F9F" w:rsidP="007C1F9F">
      <w:pPr>
        <w:pStyle w:val="AERheading5"/>
        <w:rPr>
          <w:rFonts w:eastAsia="Calibri"/>
        </w:rPr>
      </w:pPr>
      <w:r w:rsidRPr="007E3923">
        <w:rPr>
          <w:rFonts w:eastAsia="Calibri"/>
        </w:rPr>
        <w:t>Assessment criteria</w:t>
      </w:r>
    </w:p>
    <w:p w:rsidR="007C1F9F" w:rsidRPr="007E3923" w:rsidRDefault="007C1F9F" w:rsidP="007C1F9F">
      <w:pPr>
        <w:pStyle w:val="AERbodytext"/>
        <w:rPr>
          <w:rFonts w:eastAsia="Calibri"/>
        </w:rPr>
      </w:pPr>
      <w:r>
        <w:t>In deciding on the appropriateness of a proposed cost pass through event the AER must consider the factors in r. 97(3) and assess its consistency with the NGO. The AER, in its Victorian Electricity Distribution Network Service Provider's Draft Decision, set out a detailed consideration of its conceptual approach to assessing cost pass through events.</w:t>
      </w:r>
      <w:r>
        <w:rPr>
          <w:rStyle w:val="FootnoteReference"/>
        </w:rPr>
        <w:footnoteReference w:id="672"/>
      </w:r>
      <w:r>
        <w:t xml:space="preserve"> The AER developed a number of criteria to assist it in assessing proposed cost pass through events against the N</w:t>
      </w:r>
      <w:r w:rsidR="004E405B">
        <w:t xml:space="preserve">ational Electricity </w:t>
      </w:r>
      <w:r>
        <w:t>O</w:t>
      </w:r>
      <w:r w:rsidR="004E405B">
        <w:t>bjective (NEO)</w:t>
      </w:r>
      <w:r>
        <w:t xml:space="preserve">. The AER considers that the NEO is sufficiently similar to the NGO for the same criteria to be applicable. However, the National Electricity Rules do not contain a rule analogous to r. 97(3). Nonetheless, the AER considers that these criteria can act as general principles to assist it in assessing whether a proposed cost pass through event for a gas network is consistent with the NGO: </w:t>
      </w:r>
    </w:p>
    <w:p w:rsidR="007C1F9F" w:rsidRPr="007E3923" w:rsidRDefault="007C1F9F" w:rsidP="007C1F9F">
      <w:pPr>
        <w:pStyle w:val="AERbulletlistfirststyle"/>
        <w:rPr>
          <w:rFonts w:eastAsia="Calibri"/>
        </w:rPr>
      </w:pPr>
      <w:r w:rsidRPr="007E3923">
        <w:rPr>
          <w:rFonts w:eastAsia="Calibri"/>
        </w:rPr>
        <w:t>the event is not already provided for:</w:t>
      </w:r>
    </w:p>
    <w:p w:rsidR="007C1F9F" w:rsidRPr="007E3923" w:rsidRDefault="007C1F9F" w:rsidP="007C1F9F">
      <w:pPr>
        <w:pStyle w:val="AERbulletlistsecondstyle"/>
        <w:rPr>
          <w:rFonts w:eastAsia="Calibri"/>
        </w:rPr>
      </w:pPr>
      <w:r w:rsidRPr="007E3923">
        <w:rPr>
          <w:rFonts w:eastAsia="Calibri"/>
        </w:rPr>
        <w:t>through the opex allowance (e.g. the insurance or self insurance components)</w:t>
      </w:r>
    </w:p>
    <w:p w:rsidR="007C1F9F" w:rsidRPr="007E3923" w:rsidRDefault="007C1F9F" w:rsidP="007C1F9F">
      <w:pPr>
        <w:pStyle w:val="AERbulletlistsecondstyle"/>
        <w:rPr>
          <w:rFonts w:eastAsia="Calibri"/>
        </w:rPr>
      </w:pPr>
      <w:r w:rsidRPr="007E3923">
        <w:rPr>
          <w:rFonts w:eastAsia="Calibri"/>
        </w:rPr>
        <w:t>through the WACC (events which affect the market generally and not just the provider are systematic risk and already compensated through the WACC), or</w:t>
      </w:r>
    </w:p>
    <w:p w:rsidR="007C1F9F" w:rsidRPr="007E3923" w:rsidRDefault="007C1F9F" w:rsidP="007C1F9F">
      <w:pPr>
        <w:pStyle w:val="AERbulletlistsecondstyle"/>
        <w:rPr>
          <w:rFonts w:eastAsia="Calibri"/>
        </w:rPr>
      </w:pPr>
      <w:r w:rsidRPr="007E3923">
        <w:rPr>
          <w:rFonts w:eastAsia="Calibri"/>
        </w:rPr>
        <w:t>through any other mechanism or allowance</w:t>
      </w:r>
    </w:p>
    <w:p w:rsidR="007C1F9F" w:rsidRPr="007E3923" w:rsidRDefault="007C1F9F" w:rsidP="007C1F9F">
      <w:pPr>
        <w:pStyle w:val="AERbulletlistfirststyle"/>
        <w:rPr>
          <w:rFonts w:eastAsia="Calibri"/>
        </w:rPr>
      </w:pPr>
      <w:r w:rsidRPr="007E3923">
        <w:rPr>
          <w:rFonts w:eastAsia="Calibri"/>
        </w:rPr>
        <w:t>the event is foreseeable—in that the nature or type of event can be clearly identified</w:t>
      </w:r>
    </w:p>
    <w:p w:rsidR="007C1F9F" w:rsidRPr="007E3923" w:rsidRDefault="007C1F9F" w:rsidP="007C1F9F">
      <w:pPr>
        <w:pStyle w:val="AERbulletlistfirststyle"/>
        <w:rPr>
          <w:rFonts w:eastAsia="Calibri"/>
        </w:rPr>
      </w:pPr>
      <w:r w:rsidRPr="007E3923">
        <w:rPr>
          <w:rFonts w:eastAsia="Calibri"/>
        </w:rPr>
        <w:t>the event is uncontrollable—in that a prudent service provider through its actions could not have reasonably prevented the event from occurring or substantially mitigated the cost impact of the event</w:t>
      </w:r>
    </w:p>
    <w:p w:rsidR="007C1F9F" w:rsidRPr="007E3923" w:rsidRDefault="007C1F9F" w:rsidP="007C1F9F">
      <w:pPr>
        <w:pStyle w:val="AERbulletlistfirststyle"/>
        <w:rPr>
          <w:rFonts w:eastAsia="Calibri"/>
        </w:rPr>
      </w:pPr>
      <w:r w:rsidRPr="007E3923">
        <w:rPr>
          <w:rFonts w:eastAsia="Calibri"/>
        </w:rPr>
        <w:t>the event cannot be self-insured because a self insurance premium cannot be calculated or the potential loss to the business is catastrophic</w:t>
      </w:r>
    </w:p>
    <w:p w:rsidR="007C1F9F" w:rsidRPr="007E3923" w:rsidRDefault="007C1F9F" w:rsidP="007C1F9F">
      <w:pPr>
        <w:pStyle w:val="AERbulletlistfirststyle"/>
        <w:rPr>
          <w:rFonts w:eastAsia="Calibri"/>
        </w:rPr>
      </w:pPr>
      <w:r w:rsidRPr="007E3923">
        <w:rPr>
          <w:rFonts w:eastAsia="Calibri"/>
        </w:rPr>
        <w:t>the party who is in the best position to manage the risk is bearing the risk</w:t>
      </w:r>
    </w:p>
    <w:p w:rsidR="007C1F9F" w:rsidRPr="007E3923" w:rsidRDefault="007C1F9F" w:rsidP="007C1F9F">
      <w:pPr>
        <w:pStyle w:val="AERbulletlistfirststyle"/>
        <w:rPr>
          <w:rFonts w:eastAsia="Calibri"/>
        </w:rPr>
      </w:pPr>
      <w:r w:rsidRPr="007E3923">
        <w:rPr>
          <w:rFonts w:eastAsia="Calibri"/>
        </w:rPr>
        <w:t>the passing through of the costs associated with the event would not undermine the incentive arrangements within the regulatory regime.</w:t>
      </w:r>
      <w:r w:rsidRPr="007E3923">
        <w:rPr>
          <w:rStyle w:val="FootnoteReference"/>
          <w:rFonts w:eastAsia="Calibri"/>
        </w:rPr>
        <w:footnoteReference w:id="673"/>
      </w:r>
    </w:p>
    <w:p w:rsidR="007C1F9F" w:rsidRPr="007E3923" w:rsidRDefault="007C1F9F" w:rsidP="007C1F9F">
      <w:pPr>
        <w:pStyle w:val="AERbodytext"/>
        <w:rPr>
          <w:rFonts w:eastAsia="Calibri"/>
        </w:rPr>
      </w:pPr>
      <w:r>
        <w:t>The AER has had regard to these criteria in assessing APA GasNet's proposed cost pass through events against the NGO. However, the AER has not applied the criteria strictly and has departed from them where it considers it necessary to better promote the NGO.</w:t>
      </w:r>
    </w:p>
    <w:p w:rsidR="007C1F9F" w:rsidRPr="007E3923" w:rsidRDefault="007C1F9F" w:rsidP="007C1F9F">
      <w:pPr>
        <w:pStyle w:val="AERbodytext"/>
        <w:rPr>
          <w:rFonts w:eastAsia="Calibri"/>
        </w:rPr>
      </w:pPr>
      <w:r w:rsidRPr="007E3923">
        <w:rPr>
          <w:rFonts w:eastAsia="Calibri"/>
        </w:rPr>
        <w:t>APA GasNet has included a number of new cost pass through events in its access arrangement proposal. These events are largely consistent with recent AER decisions.</w:t>
      </w:r>
      <w:r w:rsidRPr="007E3923">
        <w:rPr>
          <w:rStyle w:val="FootnoteReference"/>
          <w:rFonts w:eastAsia="Calibri"/>
        </w:rPr>
        <w:footnoteReference w:id="674"/>
      </w:r>
      <w:r w:rsidRPr="007E3923">
        <w:rPr>
          <w:rFonts w:eastAsia="Calibri"/>
        </w:rPr>
        <w:t xml:space="preserve"> </w:t>
      </w:r>
    </w:p>
    <w:p w:rsidR="007C1F9F" w:rsidRPr="007E3923" w:rsidRDefault="007C1F9F" w:rsidP="007C1F9F">
      <w:pPr>
        <w:pStyle w:val="AERbodytext"/>
        <w:rPr>
          <w:rFonts w:eastAsia="Calibri"/>
        </w:rPr>
      </w:pPr>
      <w:r w:rsidRPr="007E3923">
        <w:rPr>
          <w:rFonts w:eastAsia="Calibri"/>
        </w:rPr>
        <w:t xml:space="preserve">The AER considers that most of APA GasNet's proposed cost pass through events meet the criteria outlined above and are needed to provide APA GasNet with sufficient cover when acting prudently and efficiently. The AER requires the definition of three of APA GasNet's proposed cost pass through events to be amended. </w:t>
      </w:r>
    </w:p>
    <w:p w:rsidR="007C1F9F" w:rsidRPr="007E3923" w:rsidRDefault="007C1F9F" w:rsidP="007C1F9F">
      <w:pPr>
        <w:pStyle w:val="AERbodytext"/>
        <w:rPr>
          <w:rStyle w:val="AERbody"/>
          <w:rFonts w:eastAsia="Calibri"/>
        </w:rPr>
      </w:pPr>
      <w:r w:rsidRPr="007E3923">
        <w:rPr>
          <w:rFonts w:eastAsia="Calibri"/>
        </w:rPr>
        <w:t>Except for the event discussed below, the AER accepts APA GasNet's proposed cost pass through events and definitions. The following discussion only covers the proposed cost pass through event definition that the AER does not accept on the basis that it does not comply with the requirements of the NGL or the NGR or that a preferable alternative exists that better satisfies the requirements under the NGL and the NGR, as well as the NGO and revenue and pricing principles.</w:t>
      </w:r>
      <w:r w:rsidRPr="007E3923">
        <w:rPr>
          <w:rStyle w:val="FootnoteReference"/>
          <w:rFonts w:eastAsia="Calibri"/>
        </w:rPr>
        <w:footnoteReference w:id="675"/>
      </w:r>
      <w:r w:rsidRPr="007E3923">
        <w:rPr>
          <w:rFonts w:eastAsia="Calibri"/>
        </w:rPr>
        <w:t xml:space="preserve">  </w:t>
      </w:r>
    </w:p>
    <w:p w:rsidR="007C1F9F" w:rsidRPr="007E3923" w:rsidRDefault="007C1F9F" w:rsidP="007C1F9F">
      <w:pPr>
        <w:pStyle w:val="AERbodytext"/>
        <w:rPr>
          <w:rFonts w:eastAsia="Calibri"/>
        </w:rPr>
      </w:pPr>
      <w:r w:rsidRPr="007E3923">
        <w:rPr>
          <w:rFonts w:eastAsia="Calibri"/>
        </w:rPr>
        <w:t>Where the AER requires the definition of a cost pass through event to be revised, the revised definition is set out in section 11.5 below.</w:t>
      </w:r>
    </w:p>
    <w:p w:rsidR="007C1F9F" w:rsidRDefault="007C1F9F" w:rsidP="007C1F9F">
      <w:pPr>
        <w:pStyle w:val="AERheading5"/>
      </w:pPr>
      <w:r>
        <w:t>Carbon Cost Event</w:t>
      </w:r>
    </w:p>
    <w:p w:rsidR="007C1F9F" w:rsidRDefault="007C1F9F" w:rsidP="007C1F9F">
      <w:pPr>
        <w:pStyle w:val="AERbodytext"/>
      </w:pPr>
      <w:r>
        <w:t>APA GasNet proposed the following definition for this event:</w:t>
      </w:r>
    </w:p>
    <w:p w:rsidR="007C1F9F" w:rsidRDefault="007C1F9F" w:rsidP="007C1F9F">
      <w:pPr>
        <w:pStyle w:val="AERquote"/>
      </w:pPr>
      <w:r w:rsidRPr="009D6E56">
        <w:t xml:space="preserve">An event that occurs if, at the end of a Regulatory Year of the Access Arrangement Period, the total carbon cost incurred (part of which may be an estimate) by Service Provider in complying with the carbon pricing mechanism established under the Clean Energy Act 2011 (Cth) and associated legislation relating to the management of greenhouse gas for that Regulatory Year is higher or lower than the forecast amount for that Regulatory Year set out in Table 10.3 of Service Provider’s Access Arrangement Information. </w:t>
      </w:r>
    </w:p>
    <w:p w:rsidR="007C1F9F" w:rsidRPr="009D6E56" w:rsidRDefault="007C1F9F" w:rsidP="007C1F9F">
      <w:pPr>
        <w:pStyle w:val="AERquote"/>
      </w:pPr>
      <w:r w:rsidRPr="009D6E56">
        <w:t>A portion of the “total carbon cost” incurred by Service Provider in a Regulatory Year may be an estimate, and the difference between the actual amount and the estimate for that portion of the total carbon cost that has been estimated will be the subject of an adjus</w:t>
      </w:r>
      <w:r>
        <w:t>tment pursuant to clause</w:t>
      </w:r>
      <w:r w:rsidRPr="009D6E56">
        <w:t>.</w:t>
      </w:r>
    </w:p>
    <w:p w:rsidR="007C1F9F" w:rsidRDefault="007C1F9F" w:rsidP="007C1F9F">
      <w:pPr>
        <w:pStyle w:val="AERquote"/>
      </w:pPr>
    </w:p>
    <w:p w:rsidR="007C1F9F" w:rsidRDefault="007C1F9F" w:rsidP="007C1F9F">
      <w:pPr>
        <w:pStyle w:val="AERbodytext"/>
      </w:pPr>
      <w:r>
        <w:t>The AER does not accept APA GasNet's proposed definition of a Carbon Cost Event in its access arrangement proposal. The AER requires APA GasNet to amend clause 4.7.2 in accordance with Revision 11.4.</w:t>
      </w:r>
    </w:p>
    <w:p w:rsidR="007C1F9F" w:rsidRPr="007E3923" w:rsidRDefault="007C1F9F" w:rsidP="007C1F9F">
      <w:pPr>
        <w:pStyle w:val="AERbodytext"/>
        <w:rPr>
          <w:rFonts w:eastAsia="Calibri"/>
        </w:rPr>
      </w:pPr>
      <w:r>
        <w:t>This is a new pass through event. APA GasNet has submitted that a carbon cost event is required in respect of the carbon costs that may be incurred in connection with the consumption of fuel gas and fugitive emissions.</w:t>
      </w:r>
      <w:r>
        <w:rPr>
          <w:rStyle w:val="FootnoteReference"/>
        </w:rPr>
        <w:footnoteReference w:id="676"/>
      </w:r>
      <w:r>
        <w:t xml:space="preserve"> APA GasNet also stated that the costs for fuel gas will be incurred by AEMO, as the operator of the pipeline. However, there is a significant degree of uncertainty as to whether APA GasNet will incur a carbon liability associated with fuel gas consumption. APA GasNet states that it has, in conjunction with AEMO, sought a declaration from the Greenhouse Energy Data Officer </w:t>
      </w:r>
      <w:r w:rsidRPr="007E3923">
        <w:rPr>
          <w:rFonts w:eastAsia="Calibri"/>
        </w:rPr>
        <w:t>as to which entity has operational control over APA GasNet's Victorian transmission network and therefore liability under the carbon pricing scheme.</w:t>
      </w:r>
      <w:r w:rsidRPr="007E3923">
        <w:rPr>
          <w:rStyle w:val="FootnoteReference"/>
          <w:rFonts w:eastAsia="Calibri"/>
        </w:rPr>
        <w:footnoteReference w:id="677"/>
      </w:r>
    </w:p>
    <w:p w:rsidR="007C1F9F" w:rsidRDefault="007C1F9F" w:rsidP="007C1F9F">
      <w:pPr>
        <w:pStyle w:val="AERbodytext"/>
      </w:pPr>
      <w:r>
        <w:t>In its access arrangement proposal APA GasNet included an opex allowance for carbon costs.</w:t>
      </w:r>
      <w:r>
        <w:rPr>
          <w:rStyle w:val="FootnoteReference"/>
        </w:rPr>
        <w:footnoteReference w:id="678"/>
      </w:r>
      <w:r>
        <w:t xml:space="preserve"> Linked to its proposed opex allowance was a ‘true–up’ mechanism to adjust reference tariffs for actual costs compared to forecast costs. As part of its true–up mechanism, APA GasNet included a ‘Carbon cost event’ as one of its cost pass through events.</w:t>
      </w:r>
      <w:r>
        <w:rPr>
          <w:rStyle w:val="FootnoteReference"/>
        </w:rPr>
        <w:footnoteReference w:id="679"/>
      </w:r>
      <w:r>
        <w:t xml:space="preserve"> This pass-through event would allow APA GasNet to pass through higher or lower carbon costs for each year of the access arrangement. </w:t>
      </w:r>
    </w:p>
    <w:p w:rsidR="007C1F9F" w:rsidRDefault="007C1F9F" w:rsidP="007C1F9F">
      <w:pPr>
        <w:pStyle w:val="AERbodytext"/>
      </w:pPr>
      <w:r>
        <w:t>If the Greenhouse Energy Data Officer finds APA GasNet to be liable for carbon costs, the AER considers that APA GasNet's proposed carbon pass through event true-up would work as follows:</w:t>
      </w:r>
    </w:p>
    <w:p w:rsidR="007C1F9F" w:rsidRPr="00081EEF" w:rsidRDefault="007C1F9F" w:rsidP="007C1F9F">
      <w:pPr>
        <w:pStyle w:val="AERbulletlistfirststyle"/>
      </w:pPr>
      <w:r w:rsidRPr="00081EEF">
        <w:t xml:space="preserve">Under APA GasNet's proposed carbon cost pass through event, any over or under recovery of carbon costs </w:t>
      </w:r>
      <w:r>
        <w:t>would</w:t>
      </w:r>
      <w:r w:rsidRPr="00081EEF">
        <w:t xml:space="preserve"> be adjusted for in terms of changes to reference tariffs. In the event that </w:t>
      </w:r>
      <w:r>
        <w:t>APA GasNet</w:t>
      </w:r>
      <w:r>
        <w:rPr>
          <w:rFonts w:hint="eastAsia"/>
        </w:rPr>
        <w:t>’</w:t>
      </w:r>
      <w:r>
        <w:t xml:space="preserve">s annual actual carbon costs are higher than the forecast carbon costs for a particular year, APA GasNet would be able to pass through the additional cost. </w:t>
      </w:r>
    </w:p>
    <w:p w:rsidR="007C1F9F" w:rsidRDefault="007C1F9F" w:rsidP="007C1F9F">
      <w:pPr>
        <w:pStyle w:val="AERbulletlistfirststyle"/>
      </w:pPr>
      <w:r>
        <w:t>In the event that APA GasNet’s actual carbon costs were lower than the forecast carbon costs, the AER considers it appropriate to make it mandatory for APA GasNet to submit a cost pass through event application. The AER requires the access arrangement to be revised to indicate that the Service Provider must seek a negative cost pass through should actual carbon costs be lower than the forecast carbon costs for a given year.</w:t>
      </w:r>
    </w:p>
    <w:p w:rsidR="007C1F9F" w:rsidRPr="007E3923" w:rsidRDefault="007C1F9F" w:rsidP="007C1F9F">
      <w:pPr>
        <w:pStyle w:val="AERbulletlistfirststyle"/>
        <w:rPr>
          <w:rFonts w:eastAsia="Calibri"/>
        </w:rPr>
      </w:pPr>
      <w:r w:rsidRPr="007E3923">
        <w:rPr>
          <w:rFonts w:eastAsia="Calibri"/>
        </w:rPr>
        <w:t>APA GasNet submits that as some component of the difference between the forecast carbon costs and the actual carbon costs will be an estimate, there would be a further adjustment or ‘true up’ in the following year when the actual cost for the full regulatory year is known.</w:t>
      </w:r>
      <w:r w:rsidRPr="007E3923">
        <w:rPr>
          <w:rStyle w:val="FootnoteReference"/>
          <w:rFonts w:eastAsia="Calibri"/>
        </w:rPr>
        <w:footnoteReference w:id="680"/>
      </w:r>
      <w:r w:rsidRPr="007E3923">
        <w:rPr>
          <w:rFonts w:eastAsia="Calibri"/>
        </w:rPr>
        <w:t xml:space="preserve"> </w:t>
      </w:r>
    </w:p>
    <w:p w:rsidR="007C1F9F" w:rsidRPr="007E3923" w:rsidRDefault="007C1F9F" w:rsidP="007C1F9F">
      <w:pPr>
        <w:pStyle w:val="AERbodytext"/>
        <w:rPr>
          <w:rFonts w:eastAsia="Calibri"/>
        </w:rPr>
      </w:pPr>
      <w:r w:rsidRPr="007E3923">
        <w:rPr>
          <w:rFonts w:eastAsia="Calibri"/>
        </w:rPr>
        <w:t>If APA GasNet is found to be liable for carbon costs, the AER will consider amending its proposed carbon cost event definition.</w:t>
      </w:r>
    </w:p>
    <w:p w:rsidR="007C1F9F" w:rsidRPr="007E3923" w:rsidRDefault="007C1F9F" w:rsidP="007C1F9F">
      <w:pPr>
        <w:pStyle w:val="AERbodytext"/>
        <w:rPr>
          <w:rFonts w:eastAsia="Calibri"/>
        </w:rPr>
      </w:pPr>
      <w:r w:rsidRPr="007E3923">
        <w:rPr>
          <w:rFonts w:eastAsia="Calibri"/>
        </w:rPr>
        <w:t>The AER has not approved APA GasNet's proposed opex allowance for carbon costs,</w:t>
      </w:r>
      <w:r w:rsidRPr="007E3923">
        <w:rPr>
          <w:rStyle w:val="FootnoteReference"/>
          <w:rFonts w:eastAsia="Calibri"/>
        </w:rPr>
        <w:footnoteReference w:id="681"/>
      </w:r>
      <w:r w:rsidRPr="007E3923">
        <w:rPr>
          <w:rFonts w:eastAsia="Calibri"/>
        </w:rPr>
        <w:t xml:space="preserve"> because until there is a </w:t>
      </w:r>
      <w:r>
        <w:t xml:space="preserve">declaration by the Greenhouse Energy Officer, </w:t>
      </w:r>
      <w:r w:rsidRPr="007E3923">
        <w:rPr>
          <w:rFonts w:eastAsia="Calibri"/>
        </w:rPr>
        <w:t>it will not be known whether APA GasNet will be liable for those costs. APA GasNet's proposed carbon cost event presupposes the approval of its forecast carbon costs. As the AER has not approved APA GasNet's opex allowance for carbon costs, the proposed true-up mechanism would no longer operate as APA GasNet intended given that it specifically refers to these forecast carbon costs as approved forecasts.</w:t>
      </w:r>
    </w:p>
    <w:p w:rsidR="007C1F9F" w:rsidRPr="007E3923" w:rsidRDefault="007C1F9F" w:rsidP="007C1F9F">
      <w:pPr>
        <w:pStyle w:val="AERbodytext"/>
        <w:rPr>
          <w:rFonts w:eastAsia="Calibri"/>
        </w:rPr>
      </w:pPr>
      <w:r w:rsidRPr="007E3923">
        <w:rPr>
          <w:rFonts w:eastAsia="Calibri"/>
        </w:rPr>
        <w:t>The AER considers that in view of the uncertainty surrounding APA GasNet's liability for carbon costs, it is appropriate to approve an event that enables any carbon costs to be passed through, in the event that any are incurred. The AER requires APA GasNet's proposed carbon cost event to be amended to remove the reference to forecast costs and to apply as a pass through of any carbon costs that are incurred.</w:t>
      </w:r>
    </w:p>
    <w:p w:rsidR="007C1F9F" w:rsidRPr="00B01651" w:rsidRDefault="007C1F9F" w:rsidP="007C1F9F">
      <w:pPr>
        <w:pStyle w:val="AERbodytext"/>
      </w:pPr>
      <w:r>
        <w:t>The AER also requires that the carbon cost event definition be revised to specify that a carbon cost event will occur only when actual carbon cost data can be used, precluding the use of estimates. In this regard, the AER’s proposed revision is that a single carbon cost true-up take place in the second year after the year carbon costs are incurred.</w:t>
      </w:r>
    </w:p>
    <w:p w:rsidR="007C1F9F" w:rsidRDefault="007C1F9F" w:rsidP="007C1F9F">
      <w:pPr>
        <w:pStyle w:val="AERbodytext"/>
      </w:pPr>
      <w:r>
        <w:t xml:space="preserve">The AER notes that APA GasNet's proposed carbon cost pass through event will operate without a materiality threshold. The AER considers that this brings the regulatory approach closer to a ‘cost of service’ model, whereby service providers incur costs and seek to pass those costs through to customers. </w:t>
      </w:r>
    </w:p>
    <w:p w:rsidR="007C1F9F" w:rsidRDefault="007C1F9F" w:rsidP="007C1F9F">
      <w:pPr>
        <w:pStyle w:val="AERbodytext"/>
      </w:pPr>
      <w:r>
        <w:t xml:space="preserve">The AER is of the view that this model does little to promote efficiency in service provision. The AER prefers to see the efficient costs of service provision estimated and incorporated into allowed revenues over the access arrangement period. This approach in turn creates incentives for service providers to achieve greater efficiencies. </w:t>
      </w:r>
    </w:p>
    <w:p w:rsidR="007C1F9F" w:rsidRDefault="007C1F9F" w:rsidP="007C1F9F">
      <w:pPr>
        <w:pStyle w:val="AERbodytext"/>
      </w:pPr>
      <w:r>
        <w:t xml:space="preserve">In light of the above considerations, the AER is generally not in favour of cost pass through events with zero materiality thresholds. The AER prefers to see cost pass through events established with a materiality threshold of one per cent of annual approved revenue. The AER considers that changes in costs which amount to less than one per cent of annual revenue should be managed by service providers as a normal aspect of providing services. </w:t>
      </w:r>
    </w:p>
    <w:p w:rsidR="007C1F9F" w:rsidRDefault="007C1F9F" w:rsidP="007C1F9F">
      <w:pPr>
        <w:pStyle w:val="AERbodytext"/>
      </w:pPr>
      <w:r>
        <w:t>In regard to carbon costs, however, the AER considers that the particular circumstances around carbon pricing going forward justifies waiving the 1 per cent materiality threshold. The AER considers this an exception to its preferred approach.</w:t>
      </w:r>
    </w:p>
    <w:p w:rsidR="007C1F9F" w:rsidRDefault="007C1F9F" w:rsidP="007C1F9F">
      <w:pPr>
        <w:pStyle w:val="AERbodytext"/>
      </w:pPr>
      <w:r>
        <w:t>The AER notes that this approach to the materiality threshold is the same as adopted by the AER in its decision on the Roma to Brisbane pipeline.</w:t>
      </w:r>
    </w:p>
    <w:p w:rsidR="007C1F9F" w:rsidRDefault="007C1F9F" w:rsidP="007C1F9F">
      <w:pPr>
        <w:pStyle w:val="AERheading5"/>
      </w:pPr>
      <w:r>
        <w:t>Insurance Cap event</w:t>
      </w:r>
    </w:p>
    <w:p w:rsidR="007C1F9F" w:rsidRDefault="007C1F9F" w:rsidP="007C1F9F">
      <w:pPr>
        <w:pStyle w:val="AERbodytext"/>
      </w:pPr>
      <w:r>
        <w:t>APA GasNet proposed the following definition for this event:</w:t>
      </w:r>
    </w:p>
    <w:p w:rsidR="007C1F9F" w:rsidRDefault="007C1F9F" w:rsidP="007C1F9F">
      <w:pPr>
        <w:pStyle w:val="AERquote"/>
      </w:pPr>
      <w:r w:rsidRPr="00EB2B39">
        <w:t>Insurance Cap</w:t>
      </w:r>
      <w:r>
        <w:t xml:space="preserve"> Event</w:t>
      </w:r>
      <w:r w:rsidRPr="00EB2B39">
        <w:t xml:space="preserve"> means</w:t>
      </w:r>
      <w:r>
        <w:t xml:space="preserve"> a</w:t>
      </w:r>
      <w:r w:rsidRPr="00EB2B39">
        <w:t xml:space="preserve">n event that would be covered by an insurance policy but for the amount that materially exceeds the policy limit, and as a result </w:t>
      </w:r>
      <w:r>
        <w:t>Service Provider</w:t>
      </w:r>
      <w:r w:rsidRPr="00EB2B39">
        <w:t xml:space="preserve"> must bear </w:t>
      </w:r>
      <w:r>
        <w:t xml:space="preserve">the amount of that excess loss and bearing that loss would materially increase the costs to Service Provider of providing the Reference Service. </w:t>
      </w:r>
      <w:r w:rsidRPr="00EB2B39">
        <w:t xml:space="preserve">For the purposes of this Cost Pass Through Event, the relevant policy limit is the greater of the actual limit from time to time and the limit under </w:t>
      </w:r>
      <w:r>
        <w:t>Service Provider's</w:t>
      </w:r>
      <w:r w:rsidRPr="00EB2B39">
        <w:t xml:space="preserve"> insurance cover at </w:t>
      </w:r>
      <w:r>
        <w:t>the time of making this Access A</w:t>
      </w:r>
      <w:r w:rsidRPr="00EB2B39">
        <w:t xml:space="preserve">rrangement. This event excludes all costs incurred beyond an insurance cap that are due to </w:t>
      </w:r>
      <w:r>
        <w:t>Service Provider's</w:t>
      </w:r>
      <w:r w:rsidRPr="00EB2B39">
        <w:t xml:space="preserve"> </w:t>
      </w:r>
      <w:r>
        <w:t>Gross N</w:t>
      </w:r>
      <w:r w:rsidRPr="00EB2B39">
        <w:t>egligence</w:t>
      </w:r>
      <w:r>
        <w:t>/Wilful Misconduct</w:t>
      </w:r>
      <w:r w:rsidRPr="00EB2B39">
        <w:t xml:space="preserve">. This also excludes all liability arising from the </w:t>
      </w:r>
      <w:r>
        <w:t>Service Provider's</w:t>
      </w:r>
      <w:r w:rsidRPr="00EB2B39">
        <w:t xml:space="preserve"> unlawful conduct, and excludes all liability arising from </w:t>
      </w:r>
      <w:r>
        <w:t>the Service Provider's unlawful conduct</w:t>
      </w:r>
      <w:r w:rsidRPr="00EB2B39">
        <w:t>.</w:t>
      </w:r>
    </w:p>
    <w:p w:rsidR="007C1F9F" w:rsidRDefault="007C1F9F" w:rsidP="007C1F9F">
      <w:pPr>
        <w:pStyle w:val="AERbodytext"/>
      </w:pPr>
      <w:r>
        <w:t>The AER does not accept APA GasNet's proposed definition of an Insurance Cap Event in its access arrangement proposal. The AER requires APA GasNet to amend clause 4.7.2 in accordance with Revisions 11.5 and 11.6.</w:t>
      </w:r>
    </w:p>
    <w:p w:rsidR="007C1F9F" w:rsidRDefault="007C1F9F" w:rsidP="007C1F9F">
      <w:pPr>
        <w:pStyle w:val="AERbodytext"/>
      </w:pPr>
      <w:r>
        <w:t xml:space="preserve">An insurance cap event allows a service provider to pass through costs that exceed the maximum payout that the service provider receives from its insurer when an insured risk eventuates. </w:t>
      </w:r>
    </w:p>
    <w:p w:rsidR="007C1F9F" w:rsidRDefault="007C1F9F" w:rsidP="007C1F9F">
      <w:pPr>
        <w:pStyle w:val="AERbodytext"/>
      </w:pPr>
      <w:r>
        <w:t xml:space="preserve">APA GasNet's proposed insurance cap event is based on the insurance cap event approved by the AER in its recent gas decisions. However, the proposed event refers to Gross Negligence/Wilful Misconduct rather than negligence. </w:t>
      </w:r>
    </w:p>
    <w:p w:rsidR="00EB07D5" w:rsidRPr="002D434A" w:rsidRDefault="00EB07D5" w:rsidP="00EB07D5">
      <w:pPr>
        <w:pStyle w:val="AERbodytext"/>
      </w:pPr>
      <w:r w:rsidRPr="002D434A">
        <w:t xml:space="preserve">The AER requires the definition of an Insurance </w:t>
      </w:r>
      <w:r w:rsidR="00AB5B88">
        <w:t>Cap E</w:t>
      </w:r>
      <w:r w:rsidRPr="002D434A">
        <w:t xml:space="preserve">vent to be amended so that the policy limit referred to in the definition is defined as the greater of the actual policy limit at the time of the event that gives rise to the claim and the policy limit at the time the AER makes its final decision on </w:t>
      </w:r>
      <w:r>
        <w:rPr>
          <w:rFonts w:eastAsia="Calibri"/>
        </w:rPr>
        <w:t>APA GasNet</w:t>
      </w:r>
      <w:r w:rsidRPr="002D434A">
        <w:t>’s access a</w:t>
      </w:r>
      <w:r>
        <w:t>rrangement proposal for the 2013</w:t>
      </w:r>
      <w:r w:rsidR="00B15732">
        <w:t>–</w:t>
      </w:r>
      <w:r w:rsidRPr="002D434A">
        <w:t>17 access arrangement period. Further, the AER requires the policy limit to be defined with reference to the forecast operating ex</w:t>
      </w:r>
      <w:r>
        <w:t>penditure allowance for the 2013</w:t>
      </w:r>
      <w:r w:rsidR="00B15732">
        <w:t>–</w:t>
      </w:r>
      <w:r w:rsidRPr="002D434A">
        <w:t xml:space="preserve">17 access arrangement period, approved by the AER in its Final Decision.  </w:t>
      </w:r>
    </w:p>
    <w:p w:rsidR="00EB07D5" w:rsidRPr="002D434A" w:rsidRDefault="00EB07D5" w:rsidP="00EB07D5">
      <w:pPr>
        <w:pStyle w:val="AERbodytext"/>
      </w:pPr>
      <w:r w:rsidRPr="002D434A">
        <w:t xml:space="preserve">A network business, acting efficiently and prudently in managing its risks, is expected to take out an insurance policy that provides an efficient level of insurance coverage. </w:t>
      </w:r>
      <w:r>
        <w:t>I</w:t>
      </w:r>
      <w:r w:rsidRPr="002D434A">
        <w:t>t is appropriate to include provision in the cost pass through mechanism to allow the AER to determine whether any excess costs that are not covered under such a policy can be recovered from customers. This may occur in circumstances where a prudent network business has obtained an efficient level of insurance coverage, consistent with the standard expected and approved in its forecast operating expenditure allowance, but due to circumstances beyond its control, the policy coverage does not cover the costs incurred once a claim is made on that policy.</w:t>
      </w:r>
    </w:p>
    <w:p w:rsidR="00EB07D5" w:rsidRPr="002D434A" w:rsidRDefault="00EB07D5" w:rsidP="00EB07D5">
      <w:pPr>
        <w:pStyle w:val="AERbodytext"/>
      </w:pPr>
      <w:r w:rsidRPr="002D434A">
        <w:t>The kinds of circumstances that may lead to such an excess cannot be self-insured nor could the network business have taken actions to reasonably prevent these circumstances from occurring, or to substantially mitigate the relevant cost impact. Where this is the case, the AER does not consider that the network business should bear the costs in excess of their insurance policy coverage. A network business is not in a position to manage the risk of such circumstances occurring as they are beyond its control. It is therefore a legitimate cost that the network business incurs in the provision of reference services, that should be recovered from customers by way of a cost pass through. In these circumstances, the pas</w:t>
      </w:r>
      <w:r>
        <w:t>s</w:t>
      </w:r>
      <w:r w:rsidRPr="002D434A">
        <w:t xml:space="preserve"> through of these costs will not undermine the incentives for the network business to efficiently and prudently manage the risks that are within its control.</w:t>
      </w:r>
    </w:p>
    <w:p w:rsidR="00EB07D5" w:rsidRPr="002D434A" w:rsidRDefault="00EB07D5" w:rsidP="00EB07D5">
      <w:pPr>
        <w:pStyle w:val="AERbodytext"/>
      </w:pPr>
      <w:r w:rsidRPr="00EB07D5">
        <w:rPr>
          <w:rFonts w:eastAsia="Calibri"/>
        </w:rPr>
        <w:t>APA GasNet</w:t>
      </w:r>
      <w:r w:rsidRPr="002D434A">
        <w:t xml:space="preserve">'s base </w:t>
      </w:r>
      <w:r>
        <w:t>forecast operating expenditure</w:t>
      </w:r>
      <w:r w:rsidRPr="002D434A">
        <w:t xml:space="preserve"> allowance includes a component for insurance coverage. </w:t>
      </w:r>
      <w:r>
        <w:t xml:space="preserve">There is an expectation that </w:t>
      </w:r>
      <w:r w:rsidRPr="00EB07D5">
        <w:rPr>
          <w:rFonts w:eastAsia="Calibri"/>
        </w:rPr>
        <w:t>APA GasNet</w:t>
      </w:r>
      <w:r>
        <w:t xml:space="preserve"> will expend that component to obtain an efficient level of insurance coverage, but t</w:t>
      </w:r>
      <w:r w:rsidRPr="002D434A">
        <w:t xml:space="preserve">he AER cannot compel </w:t>
      </w:r>
      <w:r w:rsidRPr="00EB07D5">
        <w:rPr>
          <w:rFonts w:eastAsia="Calibri"/>
        </w:rPr>
        <w:t>APA GasNet</w:t>
      </w:r>
      <w:r>
        <w:t xml:space="preserve"> to actually do this</w:t>
      </w:r>
      <w:r w:rsidRPr="002D434A">
        <w:t>.</w:t>
      </w:r>
    </w:p>
    <w:p w:rsidR="00EB07D5" w:rsidRPr="002D434A" w:rsidRDefault="00EB07D5" w:rsidP="00EB07D5">
      <w:pPr>
        <w:pStyle w:val="AERbodytext"/>
      </w:pPr>
      <w:r w:rsidRPr="002D434A">
        <w:t xml:space="preserve">This raises the risk that </w:t>
      </w:r>
      <w:r w:rsidRPr="00EB07D5">
        <w:rPr>
          <w:rFonts w:eastAsia="Calibri"/>
        </w:rPr>
        <w:t>APA GasNet</w:t>
      </w:r>
      <w:r w:rsidRPr="002D434A">
        <w:t xml:space="preserve"> might under-insure by obtaining a level of insurance cover lower than that contemplated in the forecast operating expenditure allowance determined in the AER’s access arrangement final decision, and then pass through any costs that exceed its insurance cap. In these circumstances, customers are effectively paying twice—for the premiums of an efficient level of insurance as reflected in the forecast operating expenditure allowance, and through the cost pass through mechanism for costs that should have otherwise been covered by that efficient level of insurance.</w:t>
      </w:r>
    </w:p>
    <w:p w:rsidR="00EB07D5" w:rsidRDefault="00EB07D5" w:rsidP="00EB07D5">
      <w:pPr>
        <w:pStyle w:val="AERbodytext"/>
      </w:pPr>
      <w:r>
        <w:t>T</w:t>
      </w:r>
      <w:r w:rsidRPr="002D434A">
        <w:t xml:space="preserve">o address this risk, the AER requires </w:t>
      </w:r>
      <w:r w:rsidRPr="00EB07D5">
        <w:rPr>
          <w:rFonts w:eastAsia="Calibri"/>
        </w:rPr>
        <w:t>APA GasNet</w:t>
      </w:r>
      <w:r w:rsidRPr="002D434A">
        <w:t xml:space="preserve"> to amend the defini</w:t>
      </w:r>
      <w:r>
        <w:t xml:space="preserve">tion of an Insurance </w:t>
      </w:r>
      <w:r w:rsidRPr="002D434A">
        <w:t>Event so that it is defined with reference to an efficient insurance policy limit as contemplated in the forecast operating expenditure allowance. This ensures that consumers pay for the premium as contemplated in the forecast operating expenditure allowance and beyond this may only pay for any excess loss incurred by the network business that would otherwise be considered an efficient cost.</w:t>
      </w:r>
    </w:p>
    <w:p w:rsidR="00EB07D5" w:rsidRDefault="00EB07D5" w:rsidP="00EB07D5">
      <w:pPr>
        <w:pStyle w:val="AERbodytext"/>
      </w:pPr>
      <w:r w:rsidRPr="009F6E04">
        <w:t>The AER considers that the amended definition of an insurance event is a preferable alternative that complies with the NGL and is consistent with the NGR and NGO. As previously defined, the inclusion of an Insurance Event in the pass through regime may result in customers effectively paying twice. This is not in the long term interests of consumers, and therefore is inconsistent with the NGO. However, it is in the long term interests of consumers to allow a network business to recover costs that are legitimately outside of its control. The recovery of such costs is also consistent with ensuring that the network business is provided a reasonable opportunity to recover at least its efficient cost</w:t>
      </w:r>
      <w:r>
        <w:t>s, as is consistent with the revenue and pricing principles</w:t>
      </w:r>
      <w:r w:rsidRPr="009F6E04">
        <w:t xml:space="preserve">. </w:t>
      </w:r>
    </w:p>
    <w:p w:rsidR="00EB07D5" w:rsidRPr="00404606" w:rsidRDefault="00EB07D5" w:rsidP="00EB07D5">
      <w:pPr>
        <w:pStyle w:val="AERbodytext"/>
      </w:pPr>
      <w:r w:rsidRPr="00404606">
        <w:t xml:space="preserve">The AER therefore requires </w:t>
      </w:r>
      <w:r w:rsidRPr="00EB07D5">
        <w:rPr>
          <w:rFonts w:eastAsia="Calibri"/>
        </w:rPr>
        <w:t>APA GasNet</w:t>
      </w:r>
      <w:r w:rsidRPr="00404606">
        <w:t xml:space="preserve"> to </w:t>
      </w:r>
      <w:r>
        <w:t>amend the</w:t>
      </w:r>
      <w:r w:rsidRPr="00404606">
        <w:t xml:space="preserve"> definition of an Insurance Event in its access arrangement</w:t>
      </w:r>
      <w:r>
        <w:t xml:space="preserve"> proposal as follows</w:t>
      </w:r>
      <w:r w:rsidRPr="00404606">
        <w:t>:</w:t>
      </w:r>
    </w:p>
    <w:p w:rsidR="00EB07D5" w:rsidRPr="00404606" w:rsidRDefault="00EB07D5" w:rsidP="00EB07D5">
      <w:pPr>
        <w:pStyle w:val="AERquote"/>
      </w:pPr>
      <w:r>
        <w:t>An Insurance</w:t>
      </w:r>
      <w:r w:rsidRPr="00404606">
        <w:t xml:space="preserve"> Event means an event whereby:</w:t>
      </w:r>
    </w:p>
    <w:p w:rsidR="00EB07D5" w:rsidRPr="00404606" w:rsidRDefault="00EB07D5" w:rsidP="00EB07D5">
      <w:pPr>
        <w:pStyle w:val="AERquote"/>
      </w:pPr>
      <w:r>
        <w:t xml:space="preserve">(a) </w:t>
      </w:r>
      <w:r w:rsidRPr="00EB07D5">
        <w:rPr>
          <w:rFonts w:eastAsia="Calibri"/>
        </w:rPr>
        <w:t>APA GasNet</w:t>
      </w:r>
      <w:r w:rsidRPr="00404606">
        <w:t xml:space="preserve"> makes a claim on a relevant insurance policy; </w:t>
      </w:r>
    </w:p>
    <w:p w:rsidR="00EB07D5" w:rsidRPr="00404606" w:rsidRDefault="00EB07D5" w:rsidP="00EB07D5">
      <w:pPr>
        <w:pStyle w:val="AERquote"/>
      </w:pPr>
      <w:r>
        <w:t xml:space="preserve">(b) </w:t>
      </w:r>
      <w:r w:rsidRPr="00EB07D5">
        <w:rPr>
          <w:rFonts w:eastAsia="Calibri"/>
        </w:rPr>
        <w:t>APA GasNet</w:t>
      </w:r>
      <w:r w:rsidRPr="00404606">
        <w:t xml:space="preserve"> incurs costs beyond the relevant policy limit; and</w:t>
      </w:r>
    </w:p>
    <w:p w:rsidR="00EB07D5" w:rsidRPr="00404606" w:rsidRDefault="00EB07D5" w:rsidP="00EB07D5">
      <w:pPr>
        <w:pStyle w:val="AERquote"/>
      </w:pPr>
      <w:r>
        <w:t xml:space="preserve">(c) </w:t>
      </w:r>
      <w:r w:rsidRPr="00404606">
        <w:t xml:space="preserve">The costs beyond the relevant policy limit materially increase the costs to </w:t>
      </w:r>
      <w:r w:rsidRPr="00EB07D5">
        <w:rPr>
          <w:rFonts w:eastAsia="Calibri"/>
        </w:rPr>
        <w:t>APA GasNet</w:t>
      </w:r>
      <w:r w:rsidRPr="00404606">
        <w:t xml:space="preserve"> of providing reference services.</w:t>
      </w:r>
    </w:p>
    <w:p w:rsidR="00EB07D5" w:rsidRPr="00404606" w:rsidRDefault="00EB07D5" w:rsidP="00EB07D5">
      <w:pPr>
        <w:pStyle w:val="AERquote"/>
      </w:pPr>
      <w:r w:rsidRPr="00404606">
        <w:t>For the purposes of this Insurance Event:</w:t>
      </w:r>
    </w:p>
    <w:p w:rsidR="00EB07D5" w:rsidRPr="00404606" w:rsidRDefault="00EB07D5" w:rsidP="00EB07D5">
      <w:pPr>
        <w:pStyle w:val="AERquote"/>
      </w:pPr>
      <w:r>
        <w:t xml:space="preserve">(d) </w:t>
      </w:r>
      <w:r w:rsidRPr="00404606">
        <w:t xml:space="preserve">The relevant policy limit is the greater of </w:t>
      </w:r>
      <w:r w:rsidRPr="00EB07D5">
        <w:rPr>
          <w:rFonts w:eastAsia="Calibri"/>
        </w:rPr>
        <w:t>APA GasNet</w:t>
      </w:r>
      <w:r>
        <w:rPr>
          <w:rFonts w:eastAsia="Calibri"/>
        </w:rPr>
        <w:t>'s</w:t>
      </w:r>
      <w:r w:rsidRPr="00404606">
        <w:t xml:space="preserve"> actual policy limit at the time of the event that gives rise to the claim and its policy limit at the time the AER made its Final Decision on </w:t>
      </w:r>
      <w:r w:rsidRPr="00EB07D5">
        <w:rPr>
          <w:rFonts w:eastAsia="Calibri"/>
        </w:rPr>
        <w:t>APA GasNet</w:t>
      </w:r>
      <w:r w:rsidRPr="00404606">
        <w:t>’s access arrangement proposal for the period 2013-17, with reference to the forecast operating expenditure allowance approved in the AER’s Final Decision and the reasons for that decision; and</w:t>
      </w:r>
    </w:p>
    <w:p w:rsidR="00EB07D5" w:rsidRDefault="00EB07D5" w:rsidP="00EB07D5">
      <w:pPr>
        <w:pStyle w:val="AERquote"/>
      </w:pPr>
      <w:r>
        <w:t xml:space="preserve">(e) </w:t>
      </w:r>
      <w:r w:rsidRPr="00404606">
        <w:t>A relevant insurance policy is an insurance policy held during the 2013-17 Access Arrangement Period</w:t>
      </w:r>
      <w:r>
        <w:t xml:space="preserve"> or a previous period in which access to the pipeline services was regulated</w:t>
      </w:r>
      <w:r w:rsidRPr="00404606">
        <w:t>.</w:t>
      </w:r>
    </w:p>
    <w:p w:rsidR="00EB07D5" w:rsidRDefault="00EB07D5" w:rsidP="00EB07D5">
      <w:r>
        <w:t>T</w:t>
      </w:r>
      <w:r w:rsidRPr="002D434A">
        <w:t xml:space="preserve">he AER considers that an assessment of </w:t>
      </w:r>
      <w:r w:rsidRPr="00EB07D5">
        <w:rPr>
          <w:rFonts w:eastAsia="Calibri"/>
        </w:rPr>
        <w:t>APA GasNet</w:t>
      </w:r>
      <w:r w:rsidRPr="002D434A">
        <w:t xml:space="preserve">’s decisions and actions in relation to the pass through event—including whether the event which was the subject of the relevant insurance claim was within </w:t>
      </w:r>
      <w:r w:rsidRPr="00EB07D5">
        <w:rPr>
          <w:rFonts w:eastAsia="Calibri"/>
        </w:rPr>
        <w:t>APA GasNet</w:t>
      </w:r>
      <w:r w:rsidRPr="002D434A">
        <w:t xml:space="preserve">’s control—is relevant to the AER’s decision whether or not to approve the Relevant Pass Through Event. </w:t>
      </w:r>
    </w:p>
    <w:p w:rsidR="00EB07D5" w:rsidRDefault="00EB07D5" w:rsidP="00EB07D5">
      <w:r>
        <w:t xml:space="preserve"> </w:t>
      </w:r>
    </w:p>
    <w:p w:rsidR="00EB07D5" w:rsidRDefault="00EB07D5" w:rsidP="00EB07D5">
      <w:pPr>
        <w:pStyle w:val="AERbodytext"/>
      </w:pPr>
      <w:r>
        <w:t>To give effect to this, the AER considers that</w:t>
      </w:r>
      <w:r w:rsidRPr="002D434A">
        <w:t xml:space="preserve"> the cost pass through mechanism should include an additional factor which the AER must consider when assessing whether to approve a proposed Relevant Pass Through Event. This factor would require the AER to consider the efficiency of </w:t>
      </w:r>
      <w:r w:rsidRPr="00EB07D5">
        <w:rPr>
          <w:rFonts w:eastAsia="Calibri"/>
        </w:rPr>
        <w:t>APA GasNet</w:t>
      </w:r>
      <w:r w:rsidRPr="002D434A">
        <w:t>'s decisions</w:t>
      </w:r>
      <w:r>
        <w:t xml:space="preserve">, </w:t>
      </w:r>
      <w:r w:rsidRPr="002D434A">
        <w:t xml:space="preserve">actions </w:t>
      </w:r>
      <w:r>
        <w:t xml:space="preserve">and omissions </w:t>
      </w:r>
      <w:r w:rsidRPr="002D434A">
        <w:t xml:space="preserve">in relation to the risk of a pass through event, including whether </w:t>
      </w:r>
      <w:r w:rsidRPr="00EB07D5">
        <w:rPr>
          <w:rFonts w:eastAsia="Calibri"/>
        </w:rPr>
        <w:t>APA GasNet</w:t>
      </w:r>
      <w:r w:rsidRPr="002D434A">
        <w:t xml:space="preserve"> has taken action to mitigate the risk of the </w:t>
      </w:r>
      <w:r>
        <w:t xml:space="preserve">pass through </w:t>
      </w:r>
      <w:r w:rsidRPr="002D434A">
        <w:t xml:space="preserve">event occurring or the magnitude of the costs of the event. </w:t>
      </w:r>
      <w:r>
        <w:t xml:space="preserve">This assessment is not limited to those actions that concern the taking out of an appropriate insurance policy to cover particular risks, but also extends to the actions taken by </w:t>
      </w:r>
      <w:r w:rsidRPr="00EB07D5">
        <w:rPr>
          <w:rFonts w:eastAsia="Calibri"/>
        </w:rPr>
        <w:t>APA GasNet</w:t>
      </w:r>
      <w:r>
        <w:t xml:space="preserve">, or not taken, to mitigate the risk of </w:t>
      </w:r>
      <w:r w:rsidRPr="002D434A">
        <w:t xml:space="preserve">the event which </w:t>
      </w:r>
      <w:r>
        <w:t>is</w:t>
      </w:r>
      <w:r w:rsidRPr="002D434A">
        <w:t xml:space="preserve"> </w:t>
      </w:r>
      <w:r>
        <w:t xml:space="preserve">the </w:t>
      </w:r>
      <w:r w:rsidRPr="002D434A">
        <w:t xml:space="preserve">subject of the relevant insurance claim </w:t>
      </w:r>
      <w:r>
        <w:t xml:space="preserve">and which has resulted in the pass through event application being made. The AER will assess the extent to which this </w:t>
      </w:r>
      <w:r w:rsidRPr="002D434A">
        <w:t xml:space="preserve">was within </w:t>
      </w:r>
      <w:r w:rsidRPr="00EB07D5">
        <w:rPr>
          <w:rFonts w:eastAsia="Calibri"/>
        </w:rPr>
        <w:t>APA GasNet</w:t>
      </w:r>
      <w:r>
        <w:t>'</w:t>
      </w:r>
      <w:r w:rsidRPr="002D434A">
        <w:t>s control.</w:t>
      </w:r>
    </w:p>
    <w:p w:rsidR="00EB07D5" w:rsidRDefault="00EB07D5" w:rsidP="00EB07D5">
      <w:pPr>
        <w:pStyle w:val="AERbodytext"/>
      </w:pPr>
      <w:r w:rsidRPr="004E05A3">
        <w:t xml:space="preserve">The AER considers that this will incentivise </w:t>
      </w:r>
      <w:r w:rsidRPr="00EB07D5">
        <w:rPr>
          <w:rFonts w:eastAsia="Calibri"/>
        </w:rPr>
        <w:t>APA GasNet</w:t>
      </w:r>
      <w:r w:rsidRPr="004E05A3">
        <w:t xml:space="preserve"> to take mitigating action to reduce the likelihood of the risk of an Insurance Event eventuating and the extent of costs associated with the occurrence of this pass through event.</w:t>
      </w:r>
    </w:p>
    <w:p w:rsidR="00EB07D5" w:rsidRPr="00EB07D5" w:rsidRDefault="00EB07D5" w:rsidP="00EB07D5">
      <w:r w:rsidRPr="00EB07D5">
        <w:t xml:space="preserve">The AER considers that this approach will best achieve the NGO.  The AER considers that it needs to examine the circumstances that led to or resulted in an application for a pass through of costs in excess of an insurance cap, when making a decision that is in the long term interests of consumers.  These circumstances will inform the AER’s assessment of what was within the service provider’s control.  This is both with respect to the insurance that it obtained and the cause of the claim that led to incurring the excess above the insurance cap.  </w:t>
      </w:r>
    </w:p>
    <w:p w:rsidR="00EB07D5" w:rsidRDefault="00EB07D5" w:rsidP="00037F13">
      <w:r w:rsidRPr="00EB07D5">
        <w:t>For this reason, the AER has not excluded negligence.  Under the additional factor, the AER considers that its enquiry will necessarily encompass any claims or findings of negligence in the context of the specific regulatory framework which empowers the AER to make a pass through determination.</w:t>
      </w:r>
    </w:p>
    <w:p w:rsidR="00037F13" w:rsidRPr="00037F13" w:rsidRDefault="00037F13" w:rsidP="00037F13">
      <w:pPr>
        <w:pStyle w:val="AERbodynospacing"/>
      </w:pPr>
    </w:p>
    <w:p w:rsidR="00EB07D5" w:rsidRDefault="00EB07D5" w:rsidP="00EB07D5">
      <w:r w:rsidRPr="00EB07D5">
        <w:t xml:space="preserve">Information concerning the circumstances of the event may include negligence as determined by a court of law.  As part of its broad enquiry, the AER may also consider claims of negligence that have not been proved or made in a court of law.  For example, there may be claims of negligence but no public admission of negligence, or a confidential settlement that prevents public disclosure.  It is also possible that what constitutes negligence may not be settled. The NGL and NGR do not limit the AER in taking such information into account.  The AER will consider all such information available to it.  Such information may or may not be determinative of whether the event was in the service provider’s control for the purposes of the AER’s decision on the pass through application.  </w:t>
      </w:r>
    </w:p>
    <w:p w:rsidR="00EB07D5" w:rsidRDefault="00EB07D5" w:rsidP="00037F13">
      <w:pPr>
        <w:pStyle w:val="AERbodynospacing"/>
      </w:pPr>
    </w:p>
    <w:p w:rsidR="00EB07D5" w:rsidRPr="00A00648" w:rsidRDefault="00EB07D5" w:rsidP="00EB07D5">
      <w:pPr>
        <w:pStyle w:val="AERbodytext"/>
      </w:pPr>
      <w:r>
        <w:t>The AER further notes that unlawful conduct and gross negligence would not be covered by an insurer and that acts or omissions resulting from such unlawful conduct or gross negligence could not trigger this pass through event.</w:t>
      </w:r>
    </w:p>
    <w:p w:rsidR="007C1F9F" w:rsidRDefault="007C1F9F" w:rsidP="007C1F9F">
      <w:pPr>
        <w:pStyle w:val="AERheading5"/>
      </w:pPr>
      <w:r>
        <w:t>Materiality Threshold</w:t>
      </w:r>
    </w:p>
    <w:p w:rsidR="007C1F9F" w:rsidRDefault="007C1F9F" w:rsidP="007C1F9F">
      <w:pPr>
        <w:pStyle w:val="AERbodytext"/>
      </w:pPr>
      <w:r>
        <w:t>APA GasNet proposed the following materiality threshold:</w:t>
      </w:r>
    </w:p>
    <w:p w:rsidR="007C1F9F" w:rsidRPr="007E3923" w:rsidRDefault="007C1F9F" w:rsidP="007C1F9F">
      <w:pPr>
        <w:pStyle w:val="AERquote"/>
        <w:rPr>
          <w:rFonts w:eastAsia="Calibri"/>
        </w:rPr>
      </w:pPr>
      <w:r w:rsidRPr="007E3923">
        <w:rPr>
          <w:rFonts w:eastAsia="Calibri"/>
        </w:rPr>
        <w:t>For the purpose of a defined Cost Pass-through Event which has a materiality</w:t>
      </w:r>
      <w:r w:rsidRPr="007E3923">
        <w:rPr>
          <w:rStyle w:val="AERbody"/>
          <w:rFonts w:eastAsia="Calibri"/>
        </w:rPr>
        <w:t xml:space="preserve"> </w:t>
      </w:r>
      <w:r w:rsidRPr="007E3923">
        <w:rPr>
          <w:rFonts w:eastAsia="Calibri"/>
        </w:rPr>
        <w:t>threshold of materially increasing or decreasing the costs to Service Provider of</w:t>
      </w:r>
      <w:r w:rsidRPr="007E3923">
        <w:rPr>
          <w:rStyle w:val="AERbody"/>
          <w:rFonts w:eastAsia="Calibri"/>
        </w:rPr>
        <w:t xml:space="preserve"> </w:t>
      </w:r>
      <w:r w:rsidRPr="007E3923">
        <w:rPr>
          <w:rFonts w:eastAsia="Calibri"/>
        </w:rPr>
        <w:t>providing the Reference Service, an event is considered to materially increase or</w:t>
      </w:r>
      <w:r w:rsidRPr="007E3923">
        <w:rPr>
          <w:rStyle w:val="AERbody"/>
          <w:rFonts w:eastAsia="Calibri"/>
        </w:rPr>
        <w:t xml:space="preserve"> </w:t>
      </w:r>
      <w:r w:rsidRPr="007E3923">
        <w:rPr>
          <w:rFonts w:eastAsia="Calibri"/>
        </w:rPr>
        <w:t>materially decrease costs where that event has an impact of one per cent of the</w:t>
      </w:r>
      <w:r w:rsidRPr="007E3923">
        <w:rPr>
          <w:rStyle w:val="AERbody"/>
          <w:rFonts w:eastAsia="Calibri"/>
        </w:rPr>
        <w:t xml:space="preserve"> </w:t>
      </w:r>
      <w:r w:rsidRPr="007E3923">
        <w:rPr>
          <w:rFonts w:eastAsia="Calibri"/>
        </w:rPr>
        <w:t>smoothed forecast revenue specified in the Access Arrangement Information, in the</w:t>
      </w:r>
      <w:r w:rsidRPr="007E3923">
        <w:rPr>
          <w:rStyle w:val="AERbody"/>
          <w:rFonts w:eastAsia="Calibri"/>
        </w:rPr>
        <w:t xml:space="preserve"> </w:t>
      </w:r>
      <w:r w:rsidRPr="007E3923">
        <w:rPr>
          <w:rFonts w:eastAsia="Calibri"/>
        </w:rPr>
        <w:t>years of the Access Arrangement Period that the costs are incurred. The defined</w:t>
      </w:r>
      <w:r w:rsidRPr="007E3923">
        <w:rPr>
          <w:rStyle w:val="AERbody"/>
          <w:rFonts w:eastAsia="Calibri"/>
        </w:rPr>
        <w:t xml:space="preserve"> </w:t>
      </w:r>
      <w:r w:rsidRPr="007E3923">
        <w:rPr>
          <w:rFonts w:eastAsia="Calibri"/>
        </w:rPr>
        <w:t>Cost Pass-through Events with this materiality threshold are: insurance cap event;</w:t>
      </w:r>
      <w:r w:rsidRPr="007E3923">
        <w:rPr>
          <w:rStyle w:val="AERbody"/>
          <w:rFonts w:eastAsia="Calibri"/>
        </w:rPr>
        <w:t xml:space="preserve"> </w:t>
      </w:r>
      <w:r w:rsidRPr="007E3923">
        <w:rPr>
          <w:rFonts w:eastAsia="Calibri"/>
        </w:rPr>
        <w:t>insurer credit risk event; natural disaster event; regulatory change event; service</w:t>
      </w:r>
      <w:r w:rsidRPr="007E3923">
        <w:rPr>
          <w:rStyle w:val="AERbody"/>
          <w:rFonts w:eastAsia="Calibri"/>
        </w:rPr>
        <w:t xml:space="preserve"> </w:t>
      </w:r>
      <w:r w:rsidRPr="007E3923">
        <w:rPr>
          <w:rFonts w:eastAsia="Calibri"/>
        </w:rPr>
        <w:t>standard event; tax change event; and terrorism event.</w:t>
      </w:r>
    </w:p>
    <w:p w:rsidR="007C1F9F" w:rsidRPr="007E3923" w:rsidRDefault="007C1F9F" w:rsidP="007C1F9F">
      <w:pPr>
        <w:pStyle w:val="AERquote"/>
        <w:rPr>
          <w:rStyle w:val="AERbody"/>
          <w:rFonts w:eastAsia="Calibri"/>
        </w:rPr>
      </w:pPr>
      <w:r w:rsidRPr="007E3923">
        <w:rPr>
          <w:rFonts w:eastAsia="Calibri"/>
        </w:rPr>
        <w:t>No materiality threshold applies to the carbon liability event.</w:t>
      </w:r>
    </w:p>
    <w:p w:rsidR="007C1F9F" w:rsidRDefault="007C1F9F" w:rsidP="007C1F9F">
      <w:pPr>
        <w:pStyle w:val="AERbodytext"/>
      </w:pPr>
      <w:r>
        <w:t>The AER does not accept clause 4.7.3 of APA GasNet's access arrangement proposal. The AER requires APA GasNet to amend clause 4.7.3 in accordance with Revision 11.7.</w:t>
      </w:r>
    </w:p>
    <w:p w:rsidR="007C1F9F" w:rsidRPr="00E8593D" w:rsidRDefault="007C1F9F" w:rsidP="007C1F9F">
      <w:pPr>
        <w:pStyle w:val="AERbodytext"/>
      </w:pPr>
      <w:r>
        <w:t>The AER considers that the reference to smoothed forecast revenue should be to the AER's final decision rather than APA GasNet's Access Arrangement Information. This will be consistent with the definition of material in the other Victorian gas access arrangements.</w:t>
      </w:r>
    </w:p>
    <w:p w:rsidR="007C1F9F" w:rsidRPr="00705A21" w:rsidRDefault="007C1F9F" w:rsidP="007C1F9F">
      <w:pPr>
        <w:pStyle w:val="AERheading2"/>
        <w:numPr>
          <w:ilvl w:val="1"/>
          <w:numId w:val="7"/>
        </w:numPr>
        <w:tabs>
          <w:tab w:val="clear" w:pos="4317"/>
          <w:tab w:val="num" w:pos="0"/>
        </w:tabs>
        <w:ind w:left="0" w:hanging="720"/>
      </w:pPr>
      <w:bookmarkStart w:id="185" w:name="_Toc334543813"/>
      <w:r>
        <w:t>Revisions</w:t>
      </w:r>
      <w:bookmarkEnd w:id="185"/>
    </w:p>
    <w:p w:rsidR="007C1F9F" w:rsidRPr="00E727B9" w:rsidRDefault="007C1F9F" w:rsidP="007C1F9F">
      <w:pPr>
        <w:pStyle w:val="AERbodytext"/>
      </w:pPr>
      <w:r w:rsidRPr="00E727B9">
        <w:t>The AER requires the following revisions to make the access arrangement proposal acceptable:</w:t>
      </w:r>
    </w:p>
    <w:p w:rsidR="007C1F9F" w:rsidRPr="002D3923" w:rsidRDefault="007C1F9F" w:rsidP="007C1F9F">
      <w:pPr>
        <w:pStyle w:val="AERrevisionbox"/>
        <w:rPr>
          <w:rStyle w:val="AERtextbold"/>
        </w:rPr>
      </w:pPr>
      <w:r>
        <w:rPr>
          <w:rStyle w:val="AERtextbold"/>
        </w:rPr>
        <w:t>Revision</w:t>
      </w:r>
      <w:r w:rsidRPr="002D3923">
        <w:rPr>
          <w:rStyle w:val="AERtextbold"/>
        </w:rPr>
        <w:t xml:space="preserve"> 11.1</w:t>
      </w:r>
    </w:p>
    <w:p w:rsidR="007C1F9F" w:rsidRDefault="007C1F9F" w:rsidP="007C1F9F">
      <w:pPr>
        <w:pStyle w:val="AERrevisionbox"/>
      </w:pPr>
      <w:r>
        <w:t xml:space="preserve">Delete the definition of Actual EDD </w:t>
      </w:r>
      <w:r w:rsidR="00C60DDE">
        <w:t xml:space="preserve">and VW </w:t>
      </w:r>
      <w:r>
        <w:t xml:space="preserve">in Schedule D5 of the </w:t>
      </w:r>
      <w:r w:rsidR="00052D90">
        <w:t xml:space="preserve">proposed </w:t>
      </w:r>
      <w:r>
        <w:t>access arrangement and replace it with the following:</w:t>
      </w:r>
    </w:p>
    <w:p w:rsidR="00C60DDE" w:rsidRDefault="007C1F9F" w:rsidP="007C1F9F">
      <w:pPr>
        <w:pStyle w:val="AERrevisionbox"/>
      </w:pPr>
      <w:r>
        <w:t>Actual EDD is the actual measured EDDs for a Regulatory Year, as reported in the AEMO APR or otherwise made available by AEMO</w:t>
      </w:r>
    </w:p>
    <w:p w:rsidR="00C60DDE" w:rsidRDefault="00C60DDE" w:rsidP="007C1F9F">
      <w:pPr>
        <w:pStyle w:val="AERrevisionbox"/>
      </w:pPr>
      <w:r>
        <w:t xml:space="preserve">VW is the actual withdrawal from the VTS excluding: </w:t>
      </w:r>
    </w:p>
    <w:p w:rsidR="00C60DDE" w:rsidRDefault="00C60DDE" w:rsidP="007C1F9F">
      <w:pPr>
        <w:pStyle w:val="AERrevisionbox"/>
      </w:pPr>
      <w:r>
        <w:t xml:space="preserve">(i) any tariff refills at WUGS or the LNG Storage Facility; and </w:t>
      </w:r>
    </w:p>
    <w:p w:rsidR="00C60DDE" w:rsidRDefault="00C60DDE" w:rsidP="007C1F9F">
      <w:pPr>
        <w:pStyle w:val="AERrevisionbox"/>
      </w:pPr>
      <w:r>
        <w:t>(ii) forecast volumes for the incremental Murray Valley tariff.</w:t>
      </w:r>
    </w:p>
    <w:p w:rsidR="007C1F9F" w:rsidRPr="002D3923" w:rsidRDefault="007C1F9F" w:rsidP="007C1F9F">
      <w:pPr>
        <w:pStyle w:val="AERrevisionbox"/>
        <w:rPr>
          <w:rStyle w:val="AERtextbold"/>
        </w:rPr>
      </w:pPr>
      <w:r>
        <w:rPr>
          <w:rStyle w:val="AERtextbold"/>
        </w:rPr>
        <w:t>Revision</w:t>
      </w:r>
      <w:r w:rsidRPr="002D3923">
        <w:rPr>
          <w:rStyle w:val="AERtextbold"/>
        </w:rPr>
        <w:t xml:space="preserve"> 11.2</w:t>
      </w:r>
    </w:p>
    <w:p w:rsidR="007C1F9F" w:rsidRDefault="007C1F9F" w:rsidP="007C1F9F">
      <w:pPr>
        <w:pStyle w:val="AERrevisionbox"/>
      </w:pPr>
      <w:r>
        <w:t xml:space="preserve">Delete the following text under section 4.7.5 of the proposed access arrangement </w:t>
      </w:r>
    </w:p>
    <w:p w:rsidR="007C1F9F" w:rsidRDefault="007C1F9F" w:rsidP="007C1F9F">
      <w:pPr>
        <w:pStyle w:val="AERrevisionbox"/>
      </w:pPr>
      <w:r w:rsidRPr="0050600A">
        <w:t>If Service Provider proposes adjustments to the Ref</w:t>
      </w:r>
      <w:r>
        <w:t xml:space="preserve">erence Tariffs (other than as a </w:t>
      </w:r>
      <w:r w:rsidRPr="0050600A">
        <w:t>result of a Cost Pass-through Event) and those adj</w:t>
      </w:r>
      <w:r>
        <w:t xml:space="preserve">ustments have not been approved </w:t>
      </w:r>
      <w:r w:rsidRPr="0050600A">
        <w:t>by the next 1 January, then the Reference Tariffs wi</w:t>
      </w:r>
      <w:r>
        <w:t xml:space="preserve">ll be adjusted with effect from </w:t>
      </w:r>
      <w:r w:rsidRPr="0050600A">
        <w:t>that following 1 January in accordance with the notice, until such time as adjustments</w:t>
      </w:r>
      <w:r>
        <w:t xml:space="preserve"> </w:t>
      </w:r>
      <w:r w:rsidRPr="0050600A">
        <w:t>to Reference Tariffs are approved by the AER.</w:t>
      </w:r>
    </w:p>
    <w:p w:rsidR="007C1F9F" w:rsidRDefault="007C1F9F" w:rsidP="007C1F9F">
      <w:pPr>
        <w:pStyle w:val="AERrevisionbox"/>
      </w:pPr>
      <w:r>
        <w:t>and replace it with the following:</w:t>
      </w:r>
    </w:p>
    <w:p w:rsidR="007C1F9F" w:rsidRDefault="007C1F9F" w:rsidP="007C1F9F">
      <w:pPr>
        <w:pStyle w:val="AERrevisionbox"/>
      </w:pPr>
      <w:r w:rsidRPr="0050600A">
        <w:t xml:space="preserve">If Service Provider proposes adjustments to the Reference Tariffs (other than as a result of a Cost Pass-through Event) and those adjustments have not been approved by the next 1 January, then the </w:t>
      </w:r>
      <w:r>
        <w:t xml:space="preserve">existing </w:t>
      </w:r>
      <w:r w:rsidRPr="0050600A">
        <w:t xml:space="preserve">Reference Tariffs </w:t>
      </w:r>
      <w:r>
        <w:t xml:space="preserve">will apply </w:t>
      </w:r>
      <w:r w:rsidRPr="0050600A">
        <w:t xml:space="preserve">until such time </w:t>
      </w:r>
      <w:r>
        <w:t xml:space="preserve">varied Reference Tariffs consistent with the access arrangement are </w:t>
      </w:r>
      <w:r w:rsidRPr="0050600A">
        <w:t>approved by the AER.</w:t>
      </w:r>
    </w:p>
    <w:p w:rsidR="007C1F9F" w:rsidRPr="00B92B7F" w:rsidRDefault="007C1F9F" w:rsidP="007C1F9F">
      <w:pPr>
        <w:pStyle w:val="AERrevisionbox"/>
        <w:rPr>
          <w:rStyle w:val="AERtextbold"/>
        </w:rPr>
      </w:pPr>
      <w:r>
        <w:rPr>
          <w:rStyle w:val="AERtextbold"/>
        </w:rPr>
        <w:t>Revision 11.3</w:t>
      </w:r>
    </w:p>
    <w:p w:rsidR="007C1F9F" w:rsidRPr="00B92B7F" w:rsidRDefault="007C1F9F" w:rsidP="007C1F9F">
      <w:pPr>
        <w:pStyle w:val="AERrevisionbox"/>
      </w:pPr>
      <w:r w:rsidRPr="00B92B7F">
        <w:t>Replace the first paragraph under heading 4.7.2 of APA GasNet's proposed access arrangement with:</w:t>
      </w:r>
    </w:p>
    <w:p w:rsidR="007C1F9F" w:rsidRPr="00B92B7F" w:rsidRDefault="007C1F9F" w:rsidP="007C1F9F">
      <w:pPr>
        <w:pStyle w:val="AERrevisionbox"/>
        <w:rPr>
          <w:rStyle w:val="AERtextbold"/>
        </w:rPr>
      </w:pPr>
      <w:r w:rsidRPr="00B92B7F">
        <w:t>Subject to the approval of the AER under the National Gas Rules, Reference Tariffs may be adjusted after one or more Cost Pass-through Event/s occurs in which each individual event materially increases or materially decreases, or is reasonably expected to materially increase or decrease, the cost of providing the Reference Service. If a carbon cost event occurs, Service Provider must apply to the AER for a cost pass through if the carbon cost event materially decreases the cost of providing the Reference Service. Any such adjustment will take effect from the next 1 January.</w:t>
      </w:r>
    </w:p>
    <w:p w:rsidR="007C1F9F" w:rsidRPr="00B92B7F" w:rsidRDefault="007C1F9F" w:rsidP="007C1F9F">
      <w:pPr>
        <w:pStyle w:val="AERrevisionbox"/>
        <w:rPr>
          <w:rStyle w:val="AERtextbold"/>
        </w:rPr>
      </w:pPr>
      <w:r>
        <w:rPr>
          <w:rStyle w:val="AERtextbold"/>
        </w:rPr>
        <w:t>Revision 11.4</w:t>
      </w:r>
    </w:p>
    <w:p w:rsidR="007C1F9F" w:rsidRPr="00B92B7F" w:rsidRDefault="007C1F9F" w:rsidP="007C1F9F">
      <w:pPr>
        <w:pStyle w:val="AERrevisionbox"/>
      </w:pPr>
      <w:r w:rsidRPr="00B92B7F">
        <w:t>Replace the carbon cost pass through event in APA GasNet's proposed revised access arrangement with:</w:t>
      </w:r>
    </w:p>
    <w:p w:rsidR="007C1F9F" w:rsidRPr="00B92B7F" w:rsidRDefault="007C1F9F" w:rsidP="007C1F9F">
      <w:pPr>
        <w:pStyle w:val="AERrevisionbox"/>
      </w:pPr>
      <w:r w:rsidRPr="00B92B7F">
        <w:t>Carbon cost event–means:</w:t>
      </w:r>
    </w:p>
    <w:p w:rsidR="007C1F9F" w:rsidRPr="00B92B7F" w:rsidRDefault="007C1F9F" w:rsidP="007C1F9F">
      <w:pPr>
        <w:pStyle w:val="AERrevisionbox"/>
      </w:pPr>
      <w:r w:rsidRPr="00B92B7F">
        <w:t>An event that occurs if, for a given Regulatory Year of the Access Arrangement Period, the Service Provider incurs a carbon cost (part of which may be an estimate) in complying with the carbon pricing mechanism established under the Clean Energy Act 2011 (Cth) and associated legislation relating to the management of greenhouse gas for that Regulatory Year. The carbon cost event is taken to have occurred at the time that it is possible for Service Provider to calculate the carbon costs it has incurred for a Regulatory Year without use of estimation.</w:t>
      </w:r>
    </w:p>
    <w:p w:rsidR="007C1F9F" w:rsidRPr="00B92B7F" w:rsidRDefault="007C1F9F" w:rsidP="007C1F9F">
      <w:pPr>
        <w:pStyle w:val="AERrevisionbox"/>
        <w:rPr>
          <w:rStyle w:val="AERtextbold"/>
        </w:rPr>
      </w:pPr>
      <w:r>
        <w:rPr>
          <w:rStyle w:val="AERtextbold"/>
        </w:rPr>
        <w:t>Revision 11.5</w:t>
      </w:r>
    </w:p>
    <w:p w:rsidR="007C1F9F" w:rsidRPr="00B92B7F" w:rsidRDefault="007C1F9F" w:rsidP="007C1F9F">
      <w:pPr>
        <w:pStyle w:val="AERrevisionbox"/>
      </w:pPr>
      <w:r w:rsidRPr="00B92B7F">
        <w:t>Delete the definition of insurance cap event in section 4.7.2 of APA GasNet's proposed access arrangement and replace it with the following definition</w:t>
      </w:r>
    </w:p>
    <w:p w:rsidR="007C1F9F" w:rsidRPr="00404606" w:rsidRDefault="007C1F9F" w:rsidP="007C1F9F">
      <w:pPr>
        <w:pStyle w:val="AERrevisionbox"/>
      </w:pPr>
      <w:r>
        <w:t>An Insurance</w:t>
      </w:r>
      <w:r w:rsidRPr="00404606">
        <w:t xml:space="preserve"> </w:t>
      </w:r>
      <w:r>
        <w:t xml:space="preserve">Cap </w:t>
      </w:r>
      <w:r w:rsidRPr="00404606">
        <w:t>Event means an event whereby:</w:t>
      </w:r>
    </w:p>
    <w:p w:rsidR="007C1F9F" w:rsidRPr="00404606" w:rsidRDefault="007C1F9F" w:rsidP="007C1F9F">
      <w:pPr>
        <w:pStyle w:val="AERrevisionbox"/>
      </w:pPr>
      <w:r>
        <w:t>(a) APA GasNet</w:t>
      </w:r>
      <w:r w:rsidRPr="00404606">
        <w:t xml:space="preserve"> makes a claim on a relevant insurance policy; </w:t>
      </w:r>
    </w:p>
    <w:p w:rsidR="007C1F9F" w:rsidRPr="00404606" w:rsidRDefault="007C1F9F" w:rsidP="007C1F9F">
      <w:pPr>
        <w:pStyle w:val="AERrevisionbox"/>
      </w:pPr>
      <w:r>
        <w:t>(b) APA GasNet</w:t>
      </w:r>
      <w:r w:rsidRPr="00404606">
        <w:t xml:space="preserve"> incurs costs beyond the relevant policy limit; and</w:t>
      </w:r>
    </w:p>
    <w:p w:rsidR="007C1F9F" w:rsidRPr="00404606" w:rsidRDefault="007C1F9F" w:rsidP="007C1F9F">
      <w:pPr>
        <w:pStyle w:val="AERrevisionbox"/>
      </w:pPr>
      <w:r>
        <w:t xml:space="preserve">(c) </w:t>
      </w:r>
      <w:r w:rsidRPr="00404606">
        <w:t xml:space="preserve">The costs beyond the relevant policy limit materially increase the costs to </w:t>
      </w:r>
      <w:r>
        <w:t>APA GasNet</w:t>
      </w:r>
      <w:r w:rsidRPr="00404606">
        <w:t xml:space="preserve"> of providing reference services.</w:t>
      </w:r>
    </w:p>
    <w:p w:rsidR="007C1F9F" w:rsidRPr="00404606" w:rsidRDefault="007C1F9F" w:rsidP="007C1F9F">
      <w:pPr>
        <w:pStyle w:val="AERrevisionbox"/>
      </w:pPr>
      <w:r w:rsidRPr="00404606">
        <w:t xml:space="preserve">For the purposes of this Insurance </w:t>
      </w:r>
      <w:r>
        <w:t xml:space="preserve">Cap </w:t>
      </w:r>
      <w:r w:rsidRPr="00404606">
        <w:t>Event:</w:t>
      </w:r>
    </w:p>
    <w:p w:rsidR="007C1F9F" w:rsidRPr="00404606" w:rsidRDefault="007C1F9F" w:rsidP="007C1F9F">
      <w:pPr>
        <w:pStyle w:val="AERrevisionbox"/>
      </w:pPr>
      <w:r>
        <w:t xml:space="preserve">(d) </w:t>
      </w:r>
      <w:r w:rsidRPr="00404606">
        <w:t xml:space="preserve">The relevant policy limit is the greater of </w:t>
      </w:r>
      <w:r>
        <w:t>APA GasNet</w:t>
      </w:r>
      <w:r w:rsidRPr="00404606">
        <w:t xml:space="preserve">’s actual policy limit at the time of the event that gives rise to the claim and its policy limit at the time the AER made its Final Decision on </w:t>
      </w:r>
      <w:r>
        <w:t>APA GasNet</w:t>
      </w:r>
      <w:r w:rsidRPr="00404606">
        <w:t>’s access arrangement proposal for the period 2013-17, with reference to the forecast operating expenditure allowance approved in the AER’s Final Decision and the reasons for that decision; and</w:t>
      </w:r>
    </w:p>
    <w:p w:rsidR="007C1F9F" w:rsidRPr="00404606" w:rsidRDefault="007C1F9F" w:rsidP="007C1F9F">
      <w:pPr>
        <w:pStyle w:val="AERrevisionbox"/>
      </w:pPr>
      <w:r>
        <w:t xml:space="preserve">(e) </w:t>
      </w:r>
      <w:r w:rsidRPr="00404606">
        <w:t>A relevant insurance policy is an insurance policy held during the 2013-17 Access Arrangement Period.</w:t>
      </w:r>
    </w:p>
    <w:p w:rsidR="007C1F9F" w:rsidRPr="00B92B7F" w:rsidRDefault="007C1F9F" w:rsidP="007C1F9F">
      <w:pPr>
        <w:pStyle w:val="AERrevisionbox"/>
        <w:rPr>
          <w:rStyle w:val="AERtextbold"/>
        </w:rPr>
      </w:pPr>
      <w:r>
        <w:rPr>
          <w:rStyle w:val="AERtextbold"/>
        </w:rPr>
        <w:t>Revision 11.6</w:t>
      </w:r>
    </w:p>
    <w:p w:rsidR="007C1F9F" w:rsidRPr="00B92B7F" w:rsidRDefault="00EB07D5" w:rsidP="007C1F9F">
      <w:pPr>
        <w:pStyle w:val="AERrevisionbox"/>
      </w:pPr>
      <w:r>
        <w:rPr>
          <w:rStyle w:val="AERbody"/>
        </w:rPr>
        <w:t>Delete</w:t>
      </w:r>
      <w:r w:rsidR="007C1F9F" w:rsidRPr="00B92B7F">
        <w:rPr>
          <w:rStyle w:val="AERbody"/>
        </w:rPr>
        <w:t xml:space="preserve"> section</w:t>
      </w:r>
      <w:r>
        <w:rPr>
          <w:rStyle w:val="AERbody"/>
        </w:rPr>
        <w:t>s</w:t>
      </w:r>
      <w:r w:rsidR="007C1F9F" w:rsidRPr="00B92B7F">
        <w:rPr>
          <w:rStyle w:val="AERbody"/>
        </w:rPr>
        <w:t xml:space="preserve"> 4.7.2 </w:t>
      </w:r>
      <w:r>
        <w:rPr>
          <w:rStyle w:val="AERbody"/>
        </w:rPr>
        <w:t xml:space="preserve"> and 4.7.3 </w:t>
      </w:r>
      <w:r w:rsidR="007C1F9F">
        <w:t>of APA GasN</w:t>
      </w:r>
      <w:r w:rsidR="007C1F9F" w:rsidRPr="00B92B7F">
        <w:t>et's proposed access arrangement</w:t>
      </w:r>
      <w:r>
        <w:t xml:space="preserve"> </w:t>
      </w:r>
      <w:r w:rsidR="007C1F9F" w:rsidRPr="00B92B7F">
        <w:t>and insert the following</w:t>
      </w:r>
      <w:r>
        <w:t xml:space="preserve"> at section 4.7.2</w:t>
      </w:r>
      <w:r w:rsidR="007C1F9F" w:rsidRPr="00B92B7F">
        <w:t>:</w:t>
      </w:r>
    </w:p>
    <w:p w:rsidR="00EB07D5" w:rsidRPr="00EB07D5" w:rsidRDefault="00EB07D5" w:rsidP="00EB07D5">
      <w:pPr>
        <w:pStyle w:val="AERrevisionbox"/>
        <w:rPr>
          <w:rFonts w:eastAsia="Calibri"/>
        </w:rPr>
      </w:pPr>
      <w:r w:rsidRPr="00EB07D5">
        <w:rPr>
          <w:rFonts w:eastAsia="Calibri"/>
        </w:rPr>
        <w:t>Procedure for a Relevant Pass Through Event Variation in Reference Tariffs</w:t>
      </w:r>
    </w:p>
    <w:p w:rsidR="00EB07D5" w:rsidRPr="00EB07D5" w:rsidRDefault="00F158BE" w:rsidP="00EB07D5">
      <w:pPr>
        <w:pStyle w:val="AERrevisionbox"/>
        <w:rPr>
          <w:rFonts w:eastAsia="Calibri"/>
        </w:rPr>
      </w:pPr>
      <w:r w:rsidRPr="00F158BE">
        <w:rPr>
          <w:rFonts w:eastAsia="Calibri"/>
        </w:rPr>
        <w:t>APA GasNet</w:t>
      </w:r>
      <w:r w:rsidR="00EB07D5" w:rsidRPr="00EB07D5">
        <w:rPr>
          <w:rFonts w:eastAsia="Calibri"/>
        </w:rPr>
        <w:t xml:space="preserve"> will notify the AER of Relevant Pass Through Events within 90 business days of the relevant pass through event occurring, whether the costs would lead to an increase or decrease in Reference Tariffs. </w:t>
      </w:r>
    </w:p>
    <w:p w:rsidR="00EB07D5" w:rsidRPr="00EB07D5" w:rsidRDefault="00EB07D5" w:rsidP="00EB07D5">
      <w:pPr>
        <w:pStyle w:val="AERrevisionbox"/>
        <w:rPr>
          <w:rFonts w:eastAsia="Calibri"/>
        </w:rPr>
      </w:pPr>
      <w:r w:rsidRPr="00EB07D5">
        <w:rPr>
          <w:rStyle w:val="AERbody"/>
          <w:rFonts w:eastAsia="Calibri"/>
        </w:rPr>
        <w:t xml:space="preserve">When the costs of the Cost Pass Through Event incurred are known (or able to be </w:t>
      </w:r>
      <w:r w:rsidRPr="00EB07D5">
        <w:rPr>
          <w:rFonts w:eastAsia="Calibri"/>
        </w:rPr>
        <w:t xml:space="preserve">estimated to a reasonable extent), then those costs shall be notified to the AER. When making a notification to the AER, </w:t>
      </w:r>
      <w:r w:rsidR="00F571EA">
        <w:rPr>
          <w:rFonts w:eastAsia="Calibri"/>
        </w:rPr>
        <w:t>APA GasNet</w:t>
      </w:r>
      <w:r w:rsidRPr="00EB07D5">
        <w:rPr>
          <w:rFonts w:eastAsia="Calibri"/>
        </w:rPr>
        <w:t xml:space="preserve"> will provide the AER with a statement, signed by an authorised officer of SP </w:t>
      </w:r>
      <w:r w:rsidR="00F571EA" w:rsidRPr="00F571EA">
        <w:rPr>
          <w:rFonts w:eastAsia="Calibri"/>
        </w:rPr>
        <w:t>APA GasNet</w:t>
      </w:r>
      <w:r w:rsidRPr="00EB07D5">
        <w:rPr>
          <w:rFonts w:eastAsia="Calibri"/>
        </w:rPr>
        <w:t xml:space="preserve"> verifying that the costs of any pass through events are net of any payments made by an insurer or third party which partially or wholly offsets the financial impact of that event (including self insurance).</w:t>
      </w:r>
    </w:p>
    <w:p w:rsidR="00EB07D5" w:rsidRPr="00EB07D5" w:rsidRDefault="00EB07D5" w:rsidP="00EB07D5">
      <w:pPr>
        <w:pStyle w:val="AERrevisionbox"/>
        <w:rPr>
          <w:rFonts w:eastAsia="Calibri"/>
        </w:rPr>
      </w:pPr>
      <w:r w:rsidRPr="00EB07D5">
        <w:rPr>
          <w:rFonts w:eastAsia="Calibri"/>
        </w:rPr>
        <w:t xml:space="preserve">The AER must notify </w:t>
      </w:r>
      <w:r w:rsidR="00F571EA" w:rsidRPr="00F571EA">
        <w:rPr>
          <w:rFonts w:eastAsia="Calibri"/>
        </w:rPr>
        <w:t xml:space="preserve">APA GasNet </w:t>
      </w:r>
      <w:r w:rsidRPr="00EB07D5">
        <w:rPr>
          <w:rFonts w:eastAsia="Calibri"/>
        </w:rPr>
        <w:t xml:space="preserve">of its decision to approve or reject the proposed variations within 90 Business Days of receiving the notification. This period will be extended for the time taken by the Regulator to obtain information from </w:t>
      </w:r>
      <w:r w:rsidR="00F571EA" w:rsidRPr="00F571EA">
        <w:rPr>
          <w:rFonts w:eastAsia="Calibri"/>
        </w:rPr>
        <w:t>APA GasNet</w:t>
      </w:r>
      <w:r w:rsidRPr="00EB07D5">
        <w:rPr>
          <w:rFonts w:eastAsia="Calibri"/>
        </w:rPr>
        <w:t xml:space="preserve">, obtain expert advice or consult about the notification. </w:t>
      </w:r>
    </w:p>
    <w:p w:rsidR="00EB07D5" w:rsidRPr="00EB07D5" w:rsidRDefault="00EB07D5" w:rsidP="00EB07D5">
      <w:pPr>
        <w:pStyle w:val="AERrevisionbox"/>
        <w:rPr>
          <w:rFonts w:eastAsia="Calibri"/>
        </w:rPr>
      </w:pPr>
      <w:r w:rsidRPr="00EB07D5">
        <w:rPr>
          <w:rFonts w:eastAsia="Calibri"/>
        </w:rPr>
        <w:t xml:space="preserve">However, if the AER determines the difficulty of assessing or quantifying the effect of the Relevant Pass Through Event requires further consideration, the AER may require an extension of a specified duration. The AER will notify </w:t>
      </w:r>
      <w:r w:rsidR="00F571EA" w:rsidRPr="00F571EA">
        <w:rPr>
          <w:rFonts w:eastAsia="Calibri"/>
        </w:rPr>
        <w:t xml:space="preserve">APA GasNet </w:t>
      </w:r>
      <w:r w:rsidRPr="00EB07D5">
        <w:rPr>
          <w:rFonts w:eastAsia="Calibri"/>
        </w:rPr>
        <w:t xml:space="preserve">of the extension, and its duration, within 90 business days of receiving a notification from </w:t>
      </w:r>
      <w:r w:rsidR="00F571EA" w:rsidRPr="00F571EA">
        <w:rPr>
          <w:rFonts w:eastAsia="Calibri"/>
        </w:rPr>
        <w:t>APA GasNet</w:t>
      </w:r>
      <w:r w:rsidRPr="00EB07D5">
        <w:rPr>
          <w:rFonts w:eastAsia="Calibri"/>
        </w:rPr>
        <w:t>.</w:t>
      </w:r>
    </w:p>
    <w:p w:rsidR="00EB07D5" w:rsidRPr="00EB07D5" w:rsidRDefault="00EB07D5" w:rsidP="00EB07D5">
      <w:pPr>
        <w:pStyle w:val="AERrevisionbox"/>
        <w:rPr>
          <w:rFonts w:eastAsia="Calibri"/>
        </w:rPr>
      </w:pPr>
      <w:r w:rsidRPr="00EB07D5">
        <w:rPr>
          <w:rFonts w:eastAsia="Calibri"/>
        </w:rPr>
        <w:t>Subject to the approval of the AER under the NGR, Reference Tariffs may be varied after one or more Relevant Pass Through Event/s occurs, in which each individual event materially increases or materially decreases the cost of providing the reference services. Any such variation will take effect from the next 1 January. In making its decision on whether to approve the proposed Relevant Pass Through Event variation, the AER must take into account the following:</w:t>
      </w:r>
    </w:p>
    <w:p w:rsidR="00EB07D5" w:rsidRPr="00EB07D5" w:rsidRDefault="00EB07D5" w:rsidP="00EB07D5">
      <w:pPr>
        <w:pStyle w:val="AERrevisionbox"/>
        <w:rPr>
          <w:rFonts w:eastAsia="Calibri"/>
        </w:rPr>
      </w:pPr>
      <w:r w:rsidRPr="00EB07D5">
        <w:rPr>
          <w:rFonts w:eastAsia="Calibri"/>
        </w:rPr>
        <w:t>(a) the costs to be passed through are for the delivery of pipeline services</w:t>
      </w:r>
    </w:p>
    <w:p w:rsidR="00EB07D5" w:rsidRPr="00EB07D5" w:rsidRDefault="00EB07D5" w:rsidP="00EB07D5">
      <w:pPr>
        <w:pStyle w:val="AERrevisionbox"/>
        <w:rPr>
          <w:rFonts w:eastAsia="Calibri"/>
        </w:rPr>
      </w:pPr>
      <w:r w:rsidRPr="00EB07D5">
        <w:rPr>
          <w:rFonts w:eastAsia="Calibri"/>
        </w:rPr>
        <w:t>(b) the costs are incremental to costs already allowed for in reference tariffs</w:t>
      </w:r>
    </w:p>
    <w:p w:rsidR="00EB07D5" w:rsidRPr="00EB07D5" w:rsidRDefault="00EB07D5" w:rsidP="00EB07D5">
      <w:pPr>
        <w:pStyle w:val="AERrevisionbox"/>
        <w:rPr>
          <w:rFonts w:eastAsia="Calibri"/>
        </w:rPr>
      </w:pPr>
      <w:r w:rsidRPr="00EB07D5">
        <w:rPr>
          <w:rFonts w:eastAsia="Calibri"/>
        </w:rPr>
        <w:t>(c) the total costs to be passed through are building block components of total revenue</w:t>
      </w:r>
    </w:p>
    <w:p w:rsidR="00EB07D5" w:rsidRPr="00EB07D5" w:rsidRDefault="00EB07D5" w:rsidP="00EB07D5">
      <w:pPr>
        <w:pStyle w:val="AERrevisionbox"/>
        <w:rPr>
          <w:rFonts w:eastAsia="Calibri"/>
        </w:rPr>
      </w:pPr>
      <w:r w:rsidRPr="00EB07D5">
        <w:rPr>
          <w:rFonts w:eastAsia="Calibri"/>
        </w:rPr>
        <w:t>(d) the costs to be passed through meet the relevant National Gas Rules criteria for determining the building block for total revenue in determining reference services</w:t>
      </w:r>
    </w:p>
    <w:p w:rsidR="00EB07D5" w:rsidRPr="00EB07D5" w:rsidRDefault="00EB07D5" w:rsidP="00EB07D5">
      <w:pPr>
        <w:pStyle w:val="AERrevisionbox"/>
        <w:rPr>
          <w:rFonts w:eastAsia="Calibri"/>
        </w:rPr>
      </w:pPr>
      <w:r w:rsidRPr="00EB07D5">
        <w:rPr>
          <w:rFonts w:eastAsia="Calibri"/>
        </w:rPr>
        <w:t xml:space="preserve">(e) </w:t>
      </w:r>
      <w:r w:rsidRPr="003B2C72">
        <w:t xml:space="preserve">the efficiency of </w:t>
      </w:r>
      <w:r w:rsidR="00F571EA" w:rsidRPr="00F571EA">
        <w:rPr>
          <w:rFonts w:eastAsia="Calibri"/>
        </w:rPr>
        <w:t>APA GasNet</w:t>
      </w:r>
      <w:r w:rsidRPr="003B2C72">
        <w:t>’s decisions and actions in relation to the risk of the Relevant Pass Through Event</w:t>
      </w:r>
      <w:r>
        <w:t xml:space="preserve"> occurring</w:t>
      </w:r>
      <w:r w:rsidRPr="003B2C72">
        <w:t xml:space="preserve">, including whether </w:t>
      </w:r>
      <w:r w:rsidR="00F571EA" w:rsidRPr="00F571EA">
        <w:rPr>
          <w:rFonts w:eastAsia="Calibri"/>
        </w:rPr>
        <w:t xml:space="preserve">APA GasNet </w:t>
      </w:r>
      <w:r w:rsidRPr="003B2C72">
        <w:t xml:space="preserve">has failed to take any action that could reasonably be taken to reduce the magnitude of the costs incurred as a result of the Relevant Pass Through Event and whether </w:t>
      </w:r>
      <w:r w:rsidR="00F571EA" w:rsidRPr="00F571EA">
        <w:rPr>
          <w:rFonts w:eastAsia="Calibri"/>
        </w:rPr>
        <w:t xml:space="preserve">APA GasNet </w:t>
      </w:r>
      <w:r w:rsidRPr="003B2C72">
        <w:t>has taken or omitted to take any action where such action or omission has increased the magnitude of the costs; and</w:t>
      </w:r>
    </w:p>
    <w:p w:rsidR="00EB07D5" w:rsidRDefault="00EB07D5" w:rsidP="00EB07D5">
      <w:pPr>
        <w:pStyle w:val="AERrevisionbox"/>
      </w:pPr>
      <w:r w:rsidRPr="00EB07D5">
        <w:rPr>
          <w:rFonts w:eastAsia="Calibri"/>
        </w:rPr>
        <w:t>(f) any other factors the AER considers relevant and consistent with the NGR and NGL.</w:t>
      </w:r>
      <w:r w:rsidRPr="003652A1">
        <w:t xml:space="preserve"> </w:t>
      </w:r>
    </w:p>
    <w:p w:rsidR="007C1F9F" w:rsidRDefault="007C1F9F" w:rsidP="007C1F9F">
      <w:pPr>
        <w:pStyle w:val="AERrevisionbox"/>
        <w:rPr>
          <w:rStyle w:val="AERtextbold"/>
        </w:rPr>
      </w:pPr>
      <w:r>
        <w:rPr>
          <w:rStyle w:val="AERtextbold"/>
        </w:rPr>
        <w:t>Revision 11.7</w:t>
      </w:r>
    </w:p>
    <w:p w:rsidR="007C1F9F" w:rsidRPr="00705A21" w:rsidRDefault="007C1F9F" w:rsidP="007C1F9F">
      <w:pPr>
        <w:pStyle w:val="AERrevisionbox"/>
        <w:rPr>
          <w:rStyle w:val="AERtextbold"/>
        </w:rPr>
      </w:pPr>
      <w:r w:rsidRPr="00B92B7F">
        <w:rPr>
          <w:rStyle w:val="AERbody"/>
        </w:rPr>
        <w:t>Under section 4.7.</w:t>
      </w:r>
      <w:r>
        <w:rPr>
          <w:rStyle w:val="AERbody"/>
        </w:rPr>
        <w:t>3</w:t>
      </w:r>
      <w:r w:rsidRPr="00B92B7F">
        <w:rPr>
          <w:rStyle w:val="AERbody"/>
        </w:rPr>
        <w:t xml:space="preserve"> </w:t>
      </w:r>
      <w:r>
        <w:t>of APA GasN</w:t>
      </w:r>
      <w:r w:rsidRPr="00B92B7F">
        <w:t xml:space="preserve">et's proposed access arrangement, delete </w:t>
      </w:r>
      <w:r>
        <w:t xml:space="preserve">the words 'Access Arrangement Information' </w:t>
      </w:r>
      <w:r w:rsidRPr="00B92B7F">
        <w:t>insert the following</w:t>
      </w:r>
      <w:r>
        <w:t>: 'specified in the AER's final decision on APA GasNet's access arrangement proposal'.</w:t>
      </w:r>
    </w:p>
    <w:p w:rsidR="007C1F9F" w:rsidRDefault="007C1F9F" w:rsidP="007C1F9F">
      <w:pPr>
        <w:pStyle w:val="AERrevisionbox"/>
        <w:rPr>
          <w:rStyle w:val="AERtextbold"/>
        </w:rPr>
      </w:pPr>
      <w:r>
        <w:rPr>
          <w:rStyle w:val="AERtextbold"/>
        </w:rPr>
        <w:t>Revision 11.8</w:t>
      </w:r>
    </w:p>
    <w:p w:rsidR="007C1F9F" w:rsidRPr="005B11F3" w:rsidRDefault="007C1F9F" w:rsidP="007C1F9F">
      <w:pPr>
        <w:pStyle w:val="AERrevisionbox"/>
      </w:pPr>
      <w:r w:rsidRPr="005B11F3">
        <w:t>Replace the f</w:t>
      </w:r>
      <w:r>
        <w:t xml:space="preserve">irst paragraph under heading 4.6 </w:t>
      </w:r>
      <w:r w:rsidRPr="005B11F3">
        <w:t>of APA GasNet's proposed access arrangement with:</w:t>
      </w:r>
    </w:p>
    <w:p w:rsidR="007C1F9F" w:rsidRDefault="007C1F9F" w:rsidP="007C1F9F">
      <w:pPr>
        <w:pStyle w:val="AERrevisionbox"/>
      </w:pPr>
      <w:r w:rsidRPr="005B11F3">
        <w:t>The initial Reference Tariffs (excluding GST) to ap</w:t>
      </w:r>
      <w:r>
        <w:t xml:space="preserve">ply from 1 July 2013 to 31 December 2013 are set </w:t>
      </w:r>
      <w:r w:rsidRPr="005B11F3">
        <w:t>out in Schedule A.</w:t>
      </w:r>
    </w:p>
    <w:p w:rsidR="007C1F9F" w:rsidRDefault="007C1F9F" w:rsidP="007C1F9F">
      <w:pPr>
        <w:pStyle w:val="AERrevisionbox"/>
        <w:rPr>
          <w:rStyle w:val="AERtextbold"/>
        </w:rPr>
      </w:pPr>
      <w:r>
        <w:rPr>
          <w:rStyle w:val="AERtextbold"/>
        </w:rPr>
        <w:t>Revision 11.9</w:t>
      </w:r>
    </w:p>
    <w:p w:rsidR="007C1F9F" w:rsidRPr="008D7736" w:rsidRDefault="007C1F9F" w:rsidP="007C1F9F">
      <w:pPr>
        <w:pStyle w:val="AERrevisionbox"/>
      </w:pPr>
      <w:r>
        <w:t xml:space="preserve">APA GasNet </w:t>
      </w:r>
      <w:r w:rsidRPr="008D7736">
        <w:t>is required to amend its</w:t>
      </w:r>
      <w:r>
        <w:t xml:space="preserve"> </w:t>
      </w:r>
      <w:r w:rsidR="00215D32">
        <w:t xml:space="preserve">proposed </w:t>
      </w:r>
      <w:r>
        <w:t>access arrangement</w:t>
      </w:r>
      <w:r w:rsidRPr="008D7736">
        <w:t>:</w:t>
      </w:r>
    </w:p>
    <w:p w:rsidR="007C1F9F" w:rsidRPr="008D7736" w:rsidRDefault="007C1F9F" w:rsidP="007C1F9F">
      <w:pPr>
        <w:pStyle w:val="AERrevisionbox"/>
      </w:pPr>
      <w:r>
        <w:t xml:space="preserve">(1) </w:t>
      </w:r>
      <w:r w:rsidRPr="008D7736">
        <w:t xml:space="preserve">to make clear the Reference tariffs which applied in 2012 will continue to be apply in nominal terms until 1 July 2013. </w:t>
      </w:r>
    </w:p>
    <w:p w:rsidR="007C1F9F" w:rsidRPr="008D7736" w:rsidRDefault="007C1F9F" w:rsidP="007C1F9F">
      <w:pPr>
        <w:pStyle w:val="AERrevisionbox"/>
      </w:pPr>
      <w:r>
        <w:t xml:space="preserve">(2) </w:t>
      </w:r>
      <w:r w:rsidRPr="008D7736">
        <w:t>to make clear that 2013 Reference tariffs will only apply for the period 1 July 2013 to 31 December 2013</w:t>
      </w:r>
    </w:p>
    <w:p w:rsidR="007C1F9F" w:rsidRPr="008D7736" w:rsidRDefault="007C1F9F" w:rsidP="007C1F9F">
      <w:pPr>
        <w:pStyle w:val="AERrevisionbox"/>
      </w:pPr>
      <w:r>
        <w:t xml:space="preserve">(3) </w:t>
      </w:r>
      <w:r w:rsidRPr="008D7736">
        <w:t>to make change</w:t>
      </w:r>
      <w:r>
        <w:t xml:space="preserve">s to the process under section 4 of the access arrangement </w:t>
      </w:r>
      <w:r w:rsidRPr="008D7736">
        <w:t>to reflect that 2013 Reference tariffs will commence on 1 July 2013 rather than on the start of the calendar year (1 January).</w:t>
      </w:r>
    </w:p>
    <w:p w:rsidR="007C1F9F" w:rsidRDefault="007C1F9F" w:rsidP="007C1F9F">
      <w:pPr>
        <w:pStyle w:val="AERbodytext"/>
        <w:rPr>
          <w:rStyle w:val="AERtextbold"/>
        </w:rPr>
      </w:pPr>
    </w:p>
    <w:p w:rsidR="007C1F9F" w:rsidRPr="00B92B7F" w:rsidRDefault="007C1F9F" w:rsidP="007C1F9F">
      <w:pPr>
        <w:pStyle w:val="AERrevisionbox"/>
        <w:rPr>
          <w:rStyle w:val="AERtextbold"/>
        </w:rPr>
      </w:pPr>
      <w:r>
        <w:rPr>
          <w:rStyle w:val="AERtextbold"/>
        </w:rPr>
        <w:t>Revision 11.10</w:t>
      </w:r>
    </w:p>
    <w:p w:rsidR="007C1F9F" w:rsidRPr="00705A21" w:rsidRDefault="007C1F9F" w:rsidP="007C1F9F">
      <w:pPr>
        <w:pStyle w:val="AERrevisionbox"/>
        <w:rPr>
          <w:rStyle w:val="AERtextbold"/>
        </w:rPr>
      </w:pPr>
      <w:r w:rsidRPr="00B92B7F">
        <w:t xml:space="preserve">Delete section A2 and A3 in Schedule A of the </w:t>
      </w:r>
      <w:r w:rsidR="00215D32">
        <w:t xml:space="preserve">proposed </w:t>
      </w:r>
      <w:r w:rsidRPr="00B92B7F">
        <w:t>access arrangement and replace it with the following:</w:t>
      </w:r>
    </w:p>
    <w:p w:rsidR="007C1F9F" w:rsidRPr="00350517" w:rsidRDefault="007C1F9F" w:rsidP="007C1F9F">
      <w:pPr>
        <w:pStyle w:val="AERbodytext"/>
        <w:rPr>
          <w:rStyle w:val="AERtextbold"/>
        </w:rPr>
      </w:pPr>
      <w:r>
        <w:rPr>
          <w:rStyle w:val="AERtextbold"/>
        </w:rPr>
        <w:t>A.2</w:t>
      </w:r>
      <w:r w:rsidRPr="00350517">
        <w:rPr>
          <w:rStyle w:val="AERtextbold"/>
        </w:rPr>
        <w:t xml:space="preserve"> Injection Tariffs</w:t>
      </w:r>
    </w:p>
    <w:p w:rsidR="007C1F9F" w:rsidRPr="007E3923" w:rsidRDefault="007C1F9F" w:rsidP="007C1F9F">
      <w:pPr>
        <w:pStyle w:val="AERbodytext"/>
        <w:rPr>
          <w:rFonts w:eastAsia="Calibri"/>
        </w:rPr>
      </w:pPr>
      <w:r w:rsidRPr="007E3923">
        <w:rPr>
          <w:rFonts w:eastAsia="Calibri"/>
        </w:rPr>
        <w:t>(a) Injection at Longford Injection Zone</w:t>
      </w:r>
    </w:p>
    <w:tbl>
      <w:tblPr>
        <w:tblW w:w="0" w:type="auto"/>
        <w:tblBorders>
          <w:top w:val="single" w:sz="4" w:space="0" w:color="auto"/>
          <w:bottom w:val="single" w:sz="4" w:space="0" w:color="auto"/>
        </w:tblBorders>
        <w:tblLook w:val="01E0"/>
      </w:tblPr>
      <w:tblGrid>
        <w:gridCol w:w="2579"/>
        <w:gridCol w:w="4377"/>
        <w:gridCol w:w="910"/>
      </w:tblGrid>
      <w:tr w:rsidR="007C1F9F" w:rsidTr="00186172">
        <w:tc>
          <w:tcPr>
            <w:tcW w:w="25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Matched Withdrawal Zone</w:t>
            </w:r>
          </w:p>
        </w:tc>
        <w:tc>
          <w:tcPr>
            <w:tcW w:w="437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Injection Tariff ($/GJ, for the 10 Day Injection Volume)</w:t>
            </w:r>
          </w:p>
        </w:tc>
        <w:tc>
          <w:tcPr>
            <w:tcW w:w="91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X-factor</w:t>
            </w:r>
          </w:p>
        </w:tc>
      </w:tr>
      <w:tr w:rsidR="007C1F9F" w:rsidTr="00186172">
        <w:tc>
          <w:tcPr>
            <w:tcW w:w="2579" w:type="dxa"/>
            <w:shd w:val="clear" w:color="auto" w:fill="auto"/>
            <w:noWrap/>
            <w:tcMar>
              <w:top w:w="0" w:type="dxa"/>
              <w:bottom w:w="0" w:type="dxa"/>
            </w:tcMar>
            <w:vAlign w:val="center"/>
          </w:tcPr>
          <w:p w:rsidR="007C1F9F" w:rsidRPr="00033B79" w:rsidRDefault="007C1F9F" w:rsidP="00186172">
            <w:pPr>
              <w:pStyle w:val="AERtabletext"/>
            </w:pPr>
            <w:r w:rsidRPr="00033B79">
              <w:t>All Withdrawal Zones except</w:t>
            </w:r>
          </w:p>
          <w:p w:rsidR="007C1F9F" w:rsidRPr="00033B79" w:rsidRDefault="007C1F9F" w:rsidP="00186172">
            <w:pPr>
              <w:pStyle w:val="AERtabletext"/>
            </w:pPr>
            <w:r w:rsidRPr="00033B79">
              <w:t>LaTrobe, Maryvale, Tyers, West</w:t>
            </w:r>
          </w:p>
          <w:p w:rsidR="007C1F9F" w:rsidRPr="00033B79" w:rsidRDefault="007C1F9F" w:rsidP="00186172">
            <w:pPr>
              <w:pStyle w:val="AERtabletext"/>
            </w:pPr>
            <w:r w:rsidRPr="00033B79">
              <w:t>Gippsland and Lurgi</w:t>
            </w:r>
          </w:p>
        </w:tc>
        <w:tc>
          <w:tcPr>
            <w:tcW w:w="4377" w:type="dxa"/>
            <w:shd w:val="clear" w:color="auto" w:fill="auto"/>
            <w:noWrap/>
            <w:tcMar>
              <w:top w:w="0" w:type="dxa"/>
              <w:bottom w:w="0" w:type="dxa"/>
            </w:tcMar>
            <w:vAlign w:val="center"/>
          </w:tcPr>
          <w:p w:rsidR="007C1F9F" w:rsidRDefault="007C1F9F" w:rsidP="00186172">
            <w:pPr>
              <w:pStyle w:val="AERtabletext"/>
            </w:pPr>
          </w:p>
          <w:p w:rsidR="007C1F9F" w:rsidRPr="00033B79" w:rsidRDefault="007C1F9F" w:rsidP="00186172">
            <w:pPr>
              <w:pStyle w:val="AERtabletext"/>
            </w:pPr>
            <w:r>
              <w:t>1.6840</w:t>
            </w:r>
          </w:p>
          <w:p w:rsidR="007C1F9F" w:rsidRPr="00033B79" w:rsidRDefault="007C1F9F" w:rsidP="00186172">
            <w:pPr>
              <w:pStyle w:val="AERtabletext"/>
            </w:pPr>
          </w:p>
        </w:tc>
        <w:tc>
          <w:tcPr>
            <w:tcW w:w="910" w:type="dxa"/>
            <w:shd w:val="clear" w:color="auto" w:fill="auto"/>
            <w:noWrap/>
            <w:tcMar>
              <w:top w:w="0" w:type="dxa"/>
              <w:bottom w:w="0" w:type="dxa"/>
            </w:tcMar>
            <w:vAlign w:val="center"/>
          </w:tcPr>
          <w:p w:rsidR="007C1F9F" w:rsidRPr="00033B79" w:rsidRDefault="007C1F9F" w:rsidP="00186172">
            <w:pPr>
              <w:pStyle w:val="AERtabletext"/>
            </w:pPr>
            <w:r>
              <w:t>0%</w:t>
            </w:r>
          </w:p>
        </w:tc>
      </w:tr>
      <w:tr w:rsidR="007C1F9F" w:rsidTr="00186172">
        <w:tc>
          <w:tcPr>
            <w:tcW w:w="2579" w:type="dxa"/>
            <w:shd w:val="clear" w:color="auto" w:fill="F8B47C"/>
            <w:noWrap/>
            <w:tcMar>
              <w:top w:w="0" w:type="dxa"/>
              <w:bottom w:w="0" w:type="dxa"/>
            </w:tcMar>
            <w:vAlign w:val="center"/>
          </w:tcPr>
          <w:p w:rsidR="007C1F9F" w:rsidRPr="00033B79" w:rsidRDefault="007C1F9F" w:rsidP="00186172">
            <w:pPr>
              <w:pStyle w:val="AERtabletext"/>
            </w:pPr>
            <w:r w:rsidRPr="00033B79">
              <w:t>LaTrobe &amp; Maryvale</w:t>
            </w:r>
          </w:p>
        </w:tc>
        <w:tc>
          <w:tcPr>
            <w:tcW w:w="4377" w:type="dxa"/>
            <w:shd w:val="clear" w:color="auto" w:fill="F8B47C"/>
            <w:noWrap/>
            <w:tcMar>
              <w:top w:w="0" w:type="dxa"/>
              <w:bottom w:w="0" w:type="dxa"/>
            </w:tcMar>
            <w:vAlign w:val="center"/>
          </w:tcPr>
          <w:p w:rsidR="007C1F9F" w:rsidRPr="00033B79" w:rsidRDefault="007C1F9F" w:rsidP="00186172">
            <w:pPr>
              <w:pStyle w:val="AERtabletext"/>
            </w:pPr>
            <w:r w:rsidRPr="00033B79">
              <w:t>0.31</w:t>
            </w:r>
            <w:r>
              <w:t>24</w:t>
            </w:r>
          </w:p>
        </w:tc>
        <w:tc>
          <w:tcPr>
            <w:tcW w:w="910" w:type="dxa"/>
            <w:shd w:val="clear" w:color="auto" w:fill="F8B47C"/>
            <w:noWrap/>
            <w:tcMar>
              <w:top w:w="0" w:type="dxa"/>
              <w:bottom w:w="0" w:type="dxa"/>
            </w:tcMar>
            <w:vAlign w:val="center"/>
          </w:tcPr>
          <w:p w:rsidR="007C1F9F" w:rsidRPr="00033B79" w:rsidRDefault="007C1F9F" w:rsidP="00186172">
            <w:pPr>
              <w:pStyle w:val="AERtabletext"/>
            </w:pPr>
            <w:r w:rsidRPr="003348AA">
              <w:t>0%</w:t>
            </w:r>
          </w:p>
        </w:tc>
      </w:tr>
      <w:tr w:rsidR="007C1F9F" w:rsidTr="00186172">
        <w:tc>
          <w:tcPr>
            <w:tcW w:w="2579" w:type="dxa"/>
            <w:shd w:val="clear" w:color="auto" w:fill="auto"/>
            <w:noWrap/>
            <w:tcMar>
              <w:top w:w="0" w:type="dxa"/>
              <w:bottom w:w="0" w:type="dxa"/>
            </w:tcMar>
            <w:vAlign w:val="center"/>
          </w:tcPr>
          <w:p w:rsidR="007C1F9F" w:rsidRPr="00033B79" w:rsidRDefault="007C1F9F" w:rsidP="00186172">
            <w:pPr>
              <w:pStyle w:val="AERtabletext"/>
            </w:pPr>
            <w:r w:rsidRPr="00033B79">
              <w:t>Tyers &amp; Lurgi</w:t>
            </w:r>
          </w:p>
        </w:tc>
        <w:tc>
          <w:tcPr>
            <w:tcW w:w="4377" w:type="dxa"/>
            <w:shd w:val="clear" w:color="auto" w:fill="auto"/>
            <w:noWrap/>
            <w:tcMar>
              <w:top w:w="0" w:type="dxa"/>
              <w:bottom w:w="0" w:type="dxa"/>
            </w:tcMar>
            <w:vAlign w:val="center"/>
          </w:tcPr>
          <w:p w:rsidR="007C1F9F" w:rsidRPr="00377B37" w:rsidRDefault="007C1F9F" w:rsidP="00186172">
            <w:pPr>
              <w:pStyle w:val="AERtabletext"/>
              <w:rPr>
                <w:rStyle w:val="AERtextbold"/>
                <w:b w:val="0"/>
              </w:rPr>
            </w:pPr>
            <w:r w:rsidRPr="0005787B">
              <w:t>1.0</w:t>
            </w:r>
            <w:r>
              <w:t>104</w:t>
            </w:r>
          </w:p>
        </w:tc>
        <w:tc>
          <w:tcPr>
            <w:tcW w:w="910" w:type="dxa"/>
            <w:shd w:val="clear" w:color="auto" w:fill="auto"/>
            <w:noWrap/>
            <w:tcMar>
              <w:top w:w="0" w:type="dxa"/>
              <w:bottom w:w="0" w:type="dxa"/>
            </w:tcMar>
            <w:vAlign w:val="center"/>
          </w:tcPr>
          <w:p w:rsidR="007C1F9F" w:rsidRPr="00174C43" w:rsidRDefault="007C1F9F" w:rsidP="00186172">
            <w:pPr>
              <w:pStyle w:val="AERtabletext"/>
            </w:pPr>
            <w:r w:rsidRPr="003348AA">
              <w:t>0%</w:t>
            </w:r>
          </w:p>
        </w:tc>
      </w:tr>
      <w:tr w:rsidR="007C1F9F" w:rsidTr="00186172">
        <w:tc>
          <w:tcPr>
            <w:tcW w:w="2579" w:type="dxa"/>
            <w:shd w:val="clear" w:color="auto" w:fill="F8B47C"/>
            <w:noWrap/>
            <w:tcMar>
              <w:top w:w="0" w:type="dxa"/>
              <w:bottom w:w="0" w:type="dxa"/>
            </w:tcMar>
            <w:vAlign w:val="center"/>
          </w:tcPr>
          <w:p w:rsidR="007C1F9F" w:rsidRPr="00033B79" w:rsidRDefault="007C1F9F" w:rsidP="00186172">
            <w:pPr>
              <w:pStyle w:val="AERtabletext"/>
            </w:pPr>
            <w:r w:rsidRPr="00033B79">
              <w:t>West Gippsland</w:t>
            </w:r>
          </w:p>
        </w:tc>
        <w:tc>
          <w:tcPr>
            <w:tcW w:w="4377" w:type="dxa"/>
            <w:shd w:val="clear" w:color="auto" w:fill="F8B47C"/>
            <w:noWrap/>
            <w:tcMar>
              <w:top w:w="0" w:type="dxa"/>
              <w:bottom w:w="0" w:type="dxa"/>
            </w:tcMar>
            <w:vAlign w:val="center"/>
          </w:tcPr>
          <w:p w:rsidR="007C1F9F" w:rsidRPr="0005787B" w:rsidRDefault="007C1F9F" w:rsidP="00186172">
            <w:pPr>
              <w:pStyle w:val="AERtabletext"/>
            </w:pPr>
            <w:r w:rsidRPr="0005787B">
              <w:t>0.44</w:t>
            </w:r>
            <w:r>
              <w:t>65</w:t>
            </w:r>
          </w:p>
        </w:tc>
        <w:tc>
          <w:tcPr>
            <w:tcW w:w="910" w:type="dxa"/>
            <w:shd w:val="clear" w:color="auto" w:fill="F8B47C"/>
            <w:noWrap/>
            <w:tcMar>
              <w:top w:w="0" w:type="dxa"/>
              <w:bottom w:w="0" w:type="dxa"/>
            </w:tcMar>
            <w:vAlign w:val="center"/>
          </w:tcPr>
          <w:p w:rsidR="007C1F9F" w:rsidRPr="0005787B" w:rsidRDefault="007C1F9F" w:rsidP="00186172">
            <w:pPr>
              <w:pStyle w:val="AERtabletext"/>
            </w:pPr>
            <w:r w:rsidRPr="003348AA">
              <w:t>0%</w:t>
            </w:r>
          </w:p>
        </w:tc>
      </w:tr>
    </w:tbl>
    <w:p w:rsidR="007C1F9F" w:rsidRDefault="007C1F9F" w:rsidP="007C1F9F">
      <w:pPr>
        <w:pStyle w:val="AERbodytext"/>
        <w:rPr>
          <w:rStyle w:val="AERbody"/>
        </w:rPr>
      </w:pPr>
    </w:p>
    <w:p w:rsidR="007C1F9F" w:rsidRPr="007E3923" w:rsidRDefault="007C1F9F" w:rsidP="007C1F9F">
      <w:pPr>
        <w:pStyle w:val="AERbodytext"/>
        <w:rPr>
          <w:rFonts w:eastAsia="Calibri"/>
        </w:rPr>
      </w:pPr>
      <w:r>
        <w:rPr>
          <w:rStyle w:val="AERbody"/>
        </w:rPr>
        <w:t>(b)</w:t>
      </w:r>
      <w:r w:rsidRPr="007E3923">
        <w:rPr>
          <w:rFonts w:eastAsia="Calibri"/>
        </w:rPr>
        <w:t xml:space="preserve"> Injection at Culcairn Injection Zone</w:t>
      </w:r>
    </w:p>
    <w:tbl>
      <w:tblPr>
        <w:tblW w:w="0" w:type="auto"/>
        <w:tblBorders>
          <w:top w:val="single" w:sz="4" w:space="0" w:color="auto"/>
          <w:bottom w:val="single" w:sz="4" w:space="0" w:color="auto"/>
        </w:tblBorders>
        <w:tblLook w:val="01E0"/>
      </w:tblPr>
      <w:tblGrid>
        <w:gridCol w:w="2579"/>
        <w:gridCol w:w="4377"/>
        <w:gridCol w:w="910"/>
      </w:tblGrid>
      <w:tr w:rsidR="007C1F9F" w:rsidTr="00186172">
        <w:tc>
          <w:tcPr>
            <w:tcW w:w="25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Matched Withdrawal Zone</w:t>
            </w:r>
          </w:p>
        </w:tc>
        <w:tc>
          <w:tcPr>
            <w:tcW w:w="437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Injection Tariff ($/GJ, for the 10 Day Injection Volume)</w:t>
            </w:r>
          </w:p>
        </w:tc>
        <w:tc>
          <w:tcPr>
            <w:tcW w:w="91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X-factor</w:t>
            </w:r>
          </w:p>
        </w:tc>
      </w:tr>
      <w:tr w:rsidR="007C1F9F" w:rsidTr="00186172">
        <w:tc>
          <w:tcPr>
            <w:tcW w:w="2579"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All Withdrawal Zones except</w:t>
            </w:r>
          </w:p>
          <w:p w:rsidR="007C1F9F" w:rsidRPr="00033B79" w:rsidRDefault="007C1F9F" w:rsidP="00186172">
            <w:pPr>
              <w:pStyle w:val="AERtabletext"/>
            </w:pPr>
            <w:r w:rsidRPr="007E3923">
              <w:rPr>
                <w:rFonts w:eastAsia="Calibri"/>
              </w:rPr>
              <w:t>Interconnect</w:t>
            </w:r>
          </w:p>
        </w:tc>
        <w:tc>
          <w:tcPr>
            <w:tcW w:w="4377" w:type="dxa"/>
            <w:shd w:val="clear" w:color="auto" w:fill="auto"/>
            <w:noWrap/>
            <w:tcMar>
              <w:top w:w="0" w:type="dxa"/>
              <w:bottom w:w="0" w:type="dxa"/>
            </w:tcMar>
            <w:vAlign w:val="center"/>
          </w:tcPr>
          <w:p w:rsidR="007C1F9F" w:rsidRPr="00033B79" w:rsidRDefault="007C1F9F" w:rsidP="00186172">
            <w:pPr>
              <w:pStyle w:val="AERtabletext"/>
            </w:pPr>
            <w:r>
              <w:t>1.4275</w:t>
            </w:r>
          </w:p>
        </w:tc>
        <w:tc>
          <w:tcPr>
            <w:tcW w:w="910" w:type="dxa"/>
            <w:shd w:val="clear" w:color="auto" w:fill="auto"/>
            <w:noWrap/>
            <w:tcMar>
              <w:top w:w="0" w:type="dxa"/>
              <w:bottom w:w="0" w:type="dxa"/>
            </w:tcMar>
            <w:vAlign w:val="center"/>
          </w:tcPr>
          <w:p w:rsidR="007C1F9F" w:rsidRPr="00033B79" w:rsidRDefault="007C1F9F" w:rsidP="00186172">
            <w:pPr>
              <w:pStyle w:val="AERtabletext"/>
            </w:pPr>
            <w:r>
              <w:t>0%</w:t>
            </w:r>
          </w:p>
        </w:tc>
      </w:tr>
      <w:tr w:rsidR="007C1F9F" w:rsidTr="00186172">
        <w:tc>
          <w:tcPr>
            <w:tcW w:w="2579" w:type="dxa"/>
            <w:shd w:val="clear" w:color="auto" w:fill="F8B47C"/>
            <w:noWrap/>
            <w:tcMar>
              <w:top w:w="0" w:type="dxa"/>
              <w:bottom w:w="0" w:type="dxa"/>
            </w:tcMar>
            <w:vAlign w:val="center"/>
          </w:tcPr>
          <w:p w:rsidR="007C1F9F" w:rsidRPr="00033B79" w:rsidRDefault="007C1F9F" w:rsidP="00186172">
            <w:pPr>
              <w:pStyle w:val="AERtabletext"/>
            </w:pPr>
            <w:r w:rsidRPr="007E3923">
              <w:rPr>
                <w:rFonts w:eastAsia="Calibri"/>
              </w:rPr>
              <w:t>Interconnect</w:t>
            </w:r>
          </w:p>
        </w:tc>
        <w:tc>
          <w:tcPr>
            <w:tcW w:w="4377" w:type="dxa"/>
            <w:shd w:val="clear" w:color="auto" w:fill="F8B47C"/>
            <w:noWrap/>
            <w:tcMar>
              <w:top w:w="0" w:type="dxa"/>
              <w:bottom w:w="0" w:type="dxa"/>
            </w:tcMar>
            <w:vAlign w:val="center"/>
          </w:tcPr>
          <w:p w:rsidR="007C1F9F" w:rsidRPr="00033B79" w:rsidRDefault="007C1F9F" w:rsidP="00186172">
            <w:pPr>
              <w:pStyle w:val="AERtabletext"/>
            </w:pPr>
            <w:r>
              <w:t>0.3581</w:t>
            </w:r>
          </w:p>
        </w:tc>
        <w:tc>
          <w:tcPr>
            <w:tcW w:w="910" w:type="dxa"/>
            <w:shd w:val="clear" w:color="auto" w:fill="F8B47C"/>
            <w:noWrap/>
            <w:tcMar>
              <w:top w:w="0" w:type="dxa"/>
              <w:bottom w:w="0" w:type="dxa"/>
            </w:tcMar>
            <w:vAlign w:val="center"/>
          </w:tcPr>
          <w:p w:rsidR="007C1F9F" w:rsidRPr="00033B79" w:rsidRDefault="007C1F9F" w:rsidP="00186172">
            <w:pPr>
              <w:pStyle w:val="AERtabletext"/>
            </w:pPr>
            <w:r>
              <w:t>0%</w:t>
            </w:r>
          </w:p>
        </w:tc>
      </w:tr>
    </w:tbl>
    <w:p w:rsidR="007C1F9F" w:rsidRPr="007E3923" w:rsidRDefault="007C1F9F" w:rsidP="007C1F9F">
      <w:pPr>
        <w:rPr>
          <w:rFonts w:eastAsia="Calibri"/>
        </w:rPr>
      </w:pPr>
    </w:p>
    <w:p w:rsidR="007C1F9F" w:rsidRPr="007E3923" w:rsidRDefault="007C1F9F" w:rsidP="007C1F9F">
      <w:pPr>
        <w:pStyle w:val="AERbodytext"/>
        <w:rPr>
          <w:rFonts w:eastAsia="Calibri"/>
        </w:rPr>
      </w:pPr>
      <w:r w:rsidRPr="007E3923">
        <w:rPr>
          <w:rFonts w:eastAsia="Calibri"/>
        </w:rPr>
        <w:t>(c) Injection at Port Campbell Injection Zone</w:t>
      </w:r>
    </w:p>
    <w:tbl>
      <w:tblPr>
        <w:tblW w:w="0" w:type="auto"/>
        <w:tblBorders>
          <w:top w:val="single" w:sz="4" w:space="0" w:color="auto"/>
          <w:bottom w:val="single" w:sz="4" w:space="0" w:color="auto"/>
        </w:tblBorders>
        <w:tblLook w:val="01E0"/>
      </w:tblPr>
      <w:tblGrid>
        <w:gridCol w:w="2579"/>
        <w:gridCol w:w="4377"/>
        <w:gridCol w:w="910"/>
      </w:tblGrid>
      <w:tr w:rsidR="007C1F9F" w:rsidRPr="00033B79" w:rsidTr="00186172">
        <w:tc>
          <w:tcPr>
            <w:tcW w:w="25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Matched Withdrawal Zone</w:t>
            </w:r>
          </w:p>
        </w:tc>
        <w:tc>
          <w:tcPr>
            <w:tcW w:w="437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Injection Tariff ($/GJ, for the 10 Day Injection Volume)</w:t>
            </w:r>
          </w:p>
        </w:tc>
        <w:tc>
          <w:tcPr>
            <w:tcW w:w="91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X-factor</w:t>
            </w:r>
          </w:p>
        </w:tc>
      </w:tr>
      <w:tr w:rsidR="007C1F9F" w:rsidRPr="00033B79" w:rsidTr="00186172">
        <w:tc>
          <w:tcPr>
            <w:tcW w:w="2579" w:type="dxa"/>
            <w:shd w:val="clear" w:color="auto" w:fill="auto"/>
            <w:noWrap/>
            <w:tcMar>
              <w:top w:w="0" w:type="dxa"/>
              <w:bottom w:w="0" w:type="dxa"/>
            </w:tcMar>
            <w:vAlign w:val="center"/>
          </w:tcPr>
          <w:p w:rsidR="007C1F9F" w:rsidRPr="007E3923" w:rsidRDefault="007C1F9F" w:rsidP="00186172">
            <w:pPr>
              <w:pStyle w:val="AERtabletext"/>
              <w:rPr>
                <w:rFonts w:eastAsia="Calibri"/>
              </w:rPr>
            </w:pPr>
            <w:r w:rsidRPr="007E3923">
              <w:rPr>
                <w:rFonts w:eastAsia="Calibri"/>
              </w:rPr>
              <w:t>All Withdrawal Zones except</w:t>
            </w:r>
          </w:p>
          <w:p w:rsidR="007C1F9F" w:rsidRPr="007E3923" w:rsidRDefault="007C1F9F" w:rsidP="00186172">
            <w:pPr>
              <w:pStyle w:val="AERtabletext"/>
              <w:rPr>
                <w:rFonts w:eastAsia="Calibri"/>
              </w:rPr>
            </w:pPr>
            <w:r w:rsidRPr="007E3923">
              <w:rPr>
                <w:rFonts w:eastAsia="Calibri"/>
              </w:rPr>
              <w:t>Western, South West and</w:t>
            </w:r>
          </w:p>
          <w:p w:rsidR="007C1F9F" w:rsidRPr="00033B79" w:rsidRDefault="007C1F9F" w:rsidP="00186172">
            <w:pPr>
              <w:pStyle w:val="AERtabletext"/>
            </w:pPr>
            <w:r w:rsidRPr="007E3923">
              <w:rPr>
                <w:rFonts w:eastAsia="Calibri"/>
              </w:rPr>
              <w:t>SEAGas Pipeline</w:t>
            </w:r>
          </w:p>
        </w:tc>
        <w:tc>
          <w:tcPr>
            <w:tcW w:w="4377" w:type="dxa"/>
            <w:shd w:val="clear" w:color="auto" w:fill="auto"/>
            <w:noWrap/>
            <w:tcMar>
              <w:top w:w="0" w:type="dxa"/>
              <w:bottom w:w="0" w:type="dxa"/>
            </w:tcMar>
            <w:vAlign w:val="center"/>
          </w:tcPr>
          <w:p w:rsidR="007C1F9F" w:rsidRDefault="007C1F9F" w:rsidP="00186172">
            <w:pPr>
              <w:pStyle w:val="AERtabletext"/>
            </w:pPr>
          </w:p>
          <w:p w:rsidR="007C1F9F" w:rsidRPr="00157D6A" w:rsidRDefault="007C1F9F" w:rsidP="00186172">
            <w:pPr>
              <w:pStyle w:val="AERtabletext"/>
            </w:pPr>
            <w:r>
              <w:t>1.6915</w:t>
            </w:r>
          </w:p>
          <w:p w:rsidR="007C1F9F" w:rsidRPr="00033B79" w:rsidRDefault="007C1F9F" w:rsidP="00186172">
            <w:pPr>
              <w:pStyle w:val="AERtabletext"/>
            </w:pPr>
          </w:p>
        </w:tc>
        <w:tc>
          <w:tcPr>
            <w:tcW w:w="910" w:type="dxa"/>
            <w:shd w:val="clear" w:color="auto" w:fill="auto"/>
            <w:noWrap/>
            <w:tcMar>
              <w:top w:w="0" w:type="dxa"/>
              <w:bottom w:w="0" w:type="dxa"/>
            </w:tcMar>
            <w:vAlign w:val="center"/>
          </w:tcPr>
          <w:p w:rsidR="007C1F9F" w:rsidRPr="00033B79" w:rsidRDefault="007C1F9F" w:rsidP="00186172">
            <w:pPr>
              <w:pStyle w:val="AERtabletext"/>
            </w:pPr>
            <w:r>
              <w:t>0%</w:t>
            </w:r>
          </w:p>
        </w:tc>
      </w:tr>
      <w:tr w:rsidR="007C1F9F" w:rsidRPr="00033B79" w:rsidTr="00186172">
        <w:tc>
          <w:tcPr>
            <w:tcW w:w="2579" w:type="dxa"/>
            <w:shd w:val="clear" w:color="auto" w:fill="F8B47C"/>
            <w:noWrap/>
            <w:tcMar>
              <w:top w:w="0" w:type="dxa"/>
              <w:bottom w:w="0" w:type="dxa"/>
            </w:tcMar>
            <w:vAlign w:val="center"/>
          </w:tcPr>
          <w:p w:rsidR="007C1F9F" w:rsidRPr="00033B79" w:rsidRDefault="007C1F9F" w:rsidP="00186172">
            <w:pPr>
              <w:pStyle w:val="AERtabletext"/>
            </w:pPr>
            <w:r w:rsidRPr="007E3923">
              <w:rPr>
                <w:rFonts w:eastAsia="Calibri"/>
              </w:rPr>
              <w:t>South West</w:t>
            </w:r>
          </w:p>
        </w:tc>
        <w:tc>
          <w:tcPr>
            <w:tcW w:w="4377" w:type="dxa"/>
            <w:shd w:val="clear" w:color="auto" w:fill="F8B47C"/>
            <w:noWrap/>
            <w:tcMar>
              <w:top w:w="0" w:type="dxa"/>
              <w:bottom w:w="0" w:type="dxa"/>
            </w:tcMar>
            <w:vAlign w:val="center"/>
          </w:tcPr>
          <w:p w:rsidR="007C1F9F" w:rsidRPr="00033B79" w:rsidRDefault="007C1F9F" w:rsidP="00186172">
            <w:pPr>
              <w:pStyle w:val="AERtabletext"/>
            </w:pPr>
            <w:r w:rsidRPr="00157D6A">
              <w:t>0.</w:t>
            </w:r>
            <w:r>
              <w:t>6018</w:t>
            </w:r>
          </w:p>
        </w:tc>
        <w:tc>
          <w:tcPr>
            <w:tcW w:w="910" w:type="dxa"/>
            <w:shd w:val="clear" w:color="auto" w:fill="F8B47C"/>
            <w:noWrap/>
            <w:tcMar>
              <w:top w:w="0" w:type="dxa"/>
              <w:bottom w:w="0" w:type="dxa"/>
            </w:tcMar>
            <w:vAlign w:val="center"/>
          </w:tcPr>
          <w:p w:rsidR="007C1F9F" w:rsidRPr="00033B79" w:rsidRDefault="007C1F9F" w:rsidP="00186172">
            <w:pPr>
              <w:pStyle w:val="AERtabletext"/>
            </w:pPr>
            <w:r>
              <w:t>0%</w:t>
            </w:r>
          </w:p>
        </w:tc>
      </w:tr>
      <w:tr w:rsidR="007C1F9F" w:rsidRPr="0005787B" w:rsidTr="00186172">
        <w:tc>
          <w:tcPr>
            <w:tcW w:w="2579" w:type="dxa"/>
            <w:shd w:val="clear" w:color="auto" w:fill="auto"/>
            <w:noWrap/>
            <w:tcMar>
              <w:top w:w="0" w:type="dxa"/>
              <w:bottom w:w="0" w:type="dxa"/>
            </w:tcMar>
            <w:vAlign w:val="center"/>
          </w:tcPr>
          <w:p w:rsidR="007C1F9F" w:rsidRPr="00033B79" w:rsidRDefault="007C1F9F" w:rsidP="00186172">
            <w:pPr>
              <w:pStyle w:val="AERtabletext"/>
            </w:pPr>
            <w:r w:rsidRPr="007E3923">
              <w:rPr>
                <w:rFonts w:eastAsia="Calibri"/>
              </w:rPr>
              <w:t>Western and SEAGas Pipeline</w:t>
            </w:r>
          </w:p>
        </w:tc>
        <w:tc>
          <w:tcPr>
            <w:tcW w:w="4377" w:type="dxa"/>
            <w:shd w:val="clear" w:color="auto" w:fill="auto"/>
            <w:noWrap/>
            <w:tcMar>
              <w:top w:w="0" w:type="dxa"/>
              <w:bottom w:w="0" w:type="dxa"/>
            </w:tcMar>
            <w:vAlign w:val="center"/>
          </w:tcPr>
          <w:p w:rsidR="007C1F9F" w:rsidRPr="00377B37" w:rsidRDefault="007C1F9F" w:rsidP="00186172">
            <w:pPr>
              <w:pStyle w:val="AERtabletext"/>
              <w:rPr>
                <w:rStyle w:val="AERtextbold"/>
                <w:b w:val="0"/>
              </w:rPr>
            </w:pPr>
            <w:r>
              <w:t>-</w:t>
            </w:r>
          </w:p>
        </w:tc>
        <w:tc>
          <w:tcPr>
            <w:tcW w:w="910" w:type="dxa"/>
            <w:shd w:val="clear" w:color="auto" w:fill="auto"/>
            <w:noWrap/>
            <w:tcMar>
              <w:top w:w="0" w:type="dxa"/>
              <w:bottom w:w="0" w:type="dxa"/>
            </w:tcMar>
            <w:vAlign w:val="center"/>
          </w:tcPr>
          <w:p w:rsidR="007C1F9F" w:rsidRPr="00157D6A" w:rsidRDefault="007C1F9F" w:rsidP="00186172">
            <w:pPr>
              <w:pStyle w:val="AERtabletext"/>
            </w:pPr>
            <w:r w:rsidRPr="00157D6A">
              <w:t>NA</w:t>
            </w:r>
          </w:p>
        </w:tc>
      </w:tr>
    </w:tbl>
    <w:p w:rsidR="007C1F9F" w:rsidRPr="007E3923" w:rsidRDefault="007C1F9F" w:rsidP="007C1F9F">
      <w:pPr>
        <w:pStyle w:val="AERbodytext"/>
        <w:rPr>
          <w:rFonts w:eastAsia="Calibri"/>
        </w:rPr>
      </w:pPr>
    </w:p>
    <w:p w:rsidR="007C1F9F" w:rsidRPr="007E3923" w:rsidRDefault="007C1F9F" w:rsidP="007C1F9F">
      <w:pPr>
        <w:pStyle w:val="AERbodytext"/>
        <w:rPr>
          <w:rFonts w:eastAsia="Calibri"/>
        </w:rPr>
      </w:pPr>
      <w:r w:rsidRPr="007E3923">
        <w:rPr>
          <w:rFonts w:eastAsia="Calibri"/>
        </w:rPr>
        <w:t>(d) Injection at Pakenham Injection Zone</w:t>
      </w:r>
    </w:p>
    <w:tbl>
      <w:tblPr>
        <w:tblW w:w="0" w:type="auto"/>
        <w:tblBorders>
          <w:top w:val="single" w:sz="4" w:space="0" w:color="auto"/>
          <w:bottom w:val="single" w:sz="4" w:space="0" w:color="auto"/>
        </w:tblBorders>
        <w:tblLook w:val="01E0"/>
      </w:tblPr>
      <w:tblGrid>
        <w:gridCol w:w="2579"/>
        <w:gridCol w:w="4377"/>
        <w:gridCol w:w="910"/>
      </w:tblGrid>
      <w:tr w:rsidR="007C1F9F" w:rsidRPr="00033B79" w:rsidTr="00186172">
        <w:tc>
          <w:tcPr>
            <w:tcW w:w="25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Matched Withdrawal Zone</w:t>
            </w:r>
          </w:p>
        </w:tc>
        <w:tc>
          <w:tcPr>
            <w:tcW w:w="437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Injection Tariff ($/GJ, for the 10 Day Injection Volume)</w:t>
            </w:r>
          </w:p>
        </w:tc>
        <w:tc>
          <w:tcPr>
            <w:tcW w:w="91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X-factor</w:t>
            </w:r>
          </w:p>
        </w:tc>
      </w:tr>
      <w:tr w:rsidR="007C1F9F" w:rsidRPr="00033B79" w:rsidTr="00186172">
        <w:tc>
          <w:tcPr>
            <w:tcW w:w="2579" w:type="dxa"/>
            <w:shd w:val="clear" w:color="auto" w:fill="auto"/>
            <w:noWrap/>
            <w:tcMar>
              <w:top w:w="0" w:type="dxa"/>
              <w:bottom w:w="0" w:type="dxa"/>
            </w:tcMar>
            <w:vAlign w:val="center"/>
          </w:tcPr>
          <w:p w:rsidR="007C1F9F" w:rsidRPr="00033B79" w:rsidRDefault="007C1F9F" w:rsidP="00186172">
            <w:pPr>
              <w:pStyle w:val="AERtabletext"/>
            </w:pPr>
            <w:r w:rsidRPr="00033B79">
              <w:t xml:space="preserve">All </w:t>
            </w:r>
            <w:r>
              <w:t>Zones</w:t>
            </w:r>
          </w:p>
        </w:tc>
        <w:tc>
          <w:tcPr>
            <w:tcW w:w="4377" w:type="dxa"/>
            <w:shd w:val="clear" w:color="auto" w:fill="auto"/>
            <w:noWrap/>
            <w:tcMar>
              <w:top w:w="0" w:type="dxa"/>
              <w:bottom w:w="0" w:type="dxa"/>
            </w:tcMar>
            <w:vAlign w:val="center"/>
          </w:tcPr>
          <w:p w:rsidR="007C1F9F" w:rsidRPr="00033B79" w:rsidRDefault="007C1F9F" w:rsidP="00186172">
            <w:pPr>
              <w:pStyle w:val="AERtabletext"/>
            </w:pPr>
            <w:r>
              <w:t>0.2717</w:t>
            </w:r>
          </w:p>
        </w:tc>
        <w:tc>
          <w:tcPr>
            <w:tcW w:w="910" w:type="dxa"/>
            <w:shd w:val="clear" w:color="auto" w:fill="auto"/>
            <w:noWrap/>
            <w:tcMar>
              <w:top w:w="0" w:type="dxa"/>
              <w:bottom w:w="0" w:type="dxa"/>
            </w:tcMar>
            <w:vAlign w:val="center"/>
          </w:tcPr>
          <w:p w:rsidR="007C1F9F" w:rsidRPr="00033B79" w:rsidRDefault="007C1F9F" w:rsidP="00186172">
            <w:pPr>
              <w:pStyle w:val="AERtabletext"/>
            </w:pPr>
            <w:r>
              <w:t>0%</w:t>
            </w:r>
          </w:p>
        </w:tc>
      </w:tr>
    </w:tbl>
    <w:p w:rsidR="007C1F9F" w:rsidRPr="007E3923" w:rsidRDefault="007C1F9F" w:rsidP="007C1F9F">
      <w:pPr>
        <w:pStyle w:val="AERbodytext"/>
        <w:rPr>
          <w:rFonts w:eastAsia="Calibri"/>
        </w:rPr>
      </w:pPr>
    </w:p>
    <w:p w:rsidR="007C1F9F" w:rsidRPr="007E3923" w:rsidRDefault="007C1F9F" w:rsidP="007C1F9F">
      <w:pPr>
        <w:pStyle w:val="AERbodytext"/>
        <w:rPr>
          <w:rStyle w:val="AERbody"/>
          <w:rFonts w:eastAsia="Calibri"/>
        </w:rPr>
      </w:pPr>
      <w:r w:rsidRPr="007E3923">
        <w:rPr>
          <w:rFonts w:eastAsia="Calibri"/>
        </w:rPr>
        <w:t xml:space="preserve">(e) Injection at </w:t>
      </w:r>
      <w:r w:rsidRPr="007E3923">
        <w:rPr>
          <w:rStyle w:val="AERbody"/>
          <w:rFonts w:eastAsia="Calibri"/>
        </w:rPr>
        <w:t>Dandenong Injection Zone</w:t>
      </w:r>
    </w:p>
    <w:tbl>
      <w:tblPr>
        <w:tblW w:w="0" w:type="auto"/>
        <w:tblBorders>
          <w:top w:val="single" w:sz="4" w:space="0" w:color="auto"/>
          <w:bottom w:val="single" w:sz="4" w:space="0" w:color="auto"/>
        </w:tblBorders>
        <w:tblLook w:val="01E0"/>
      </w:tblPr>
      <w:tblGrid>
        <w:gridCol w:w="2579"/>
        <w:gridCol w:w="4377"/>
        <w:gridCol w:w="910"/>
      </w:tblGrid>
      <w:tr w:rsidR="007C1F9F" w:rsidRPr="00033B79" w:rsidTr="00186172">
        <w:tc>
          <w:tcPr>
            <w:tcW w:w="25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Matched Withdrawal Zone</w:t>
            </w:r>
          </w:p>
        </w:tc>
        <w:tc>
          <w:tcPr>
            <w:tcW w:w="437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Injection Tariff ($/GJ, for the 10 Day Injection Volume)</w:t>
            </w:r>
          </w:p>
        </w:tc>
        <w:tc>
          <w:tcPr>
            <w:tcW w:w="91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033B79" w:rsidRDefault="007C1F9F" w:rsidP="00186172">
            <w:pPr>
              <w:pStyle w:val="AERtabletext"/>
              <w:rPr>
                <w:rStyle w:val="AERtextbold"/>
              </w:rPr>
            </w:pPr>
            <w:r w:rsidRPr="00033B79">
              <w:rPr>
                <w:rStyle w:val="AERtextbold"/>
              </w:rPr>
              <w:t>X-factor</w:t>
            </w:r>
          </w:p>
        </w:tc>
      </w:tr>
      <w:tr w:rsidR="007C1F9F" w:rsidRPr="00033B79" w:rsidTr="00186172">
        <w:tc>
          <w:tcPr>
            <w:tcW w:w="2579" w:type="dxa"/>
            <w:shd w:val="clear" w:color="auto" w:fill="auto"/>
            <w:noWrap/>
            <w:tcMar>
              <w:top w:w="0" w:type="dxa"/>
              <w:bottom w:w="0" w:type="dxa"/>
            </w:tcMar>
            <w:vAlign w:val="center"/>
          </w:tcPr>
          <w:p w:rsidR="007C1F9F" w:rsidRPr="00033B79" w:rsidRDefault="007C1F9F" w:rsidP="00186172">
            <w:pPr>
              <w:pStyle w:val="AERtabletext"/>
            </w:pPr>
            <w:r w:rsidRPr="00033B79">
              <w:t xml:space="preserve">All </w:t>
            </w:r>
            <w:r>
              <w:t>Zones</w:t>
            </w:r>
          </w:p>
        </w:tc>
        <w:tc>
          <w:tcPr>
            <w:tcW w:w="4377" w:type="dxa"/>
            <w:shd w:val="clear" w:color="auto" w:fill="auto"/>
            <w:noWrap/>
            <w:tcMar>
              <w:top w:w="0" w:type="dxa"/>
              <w:bottom w:w="0" w:type="dxa"/>
            </w:tcMar>
            <w:vAlign w:val="center"/>
          </w:tcPr>
          <w:p w:rsidR="007C1F9F" w:rsidRPr="00033B79" w:rsidRDefault="007C1F9F" w:rsidP="00186172">
            <w:pPr>
              <w:pStyle w:val="AERtabletext"/>
            </w:pPr>
            <w:r>
              <w:t>-</w:t>
            </w:r>
          </w:p>
        </w:tc>
        <w:tc>
          <w:tcPr>
            <w:tcW w:w="910" w:type="dxa"/>
            <w:shd w:val="clear" w:color="auto" w:fill="auto"/>
            <w:noWrap/>
            <w:tcMar>
              <w:top w:w="0" w:type="dxa"/>
              <w:bottom w:w="0" w:type="dxa"/>
            </w:tcMar>
            <w:vAlign w:val="center"/>
          </w:tcPr>
          <w:p w:rsidR="007C1F9F" w:rsidRPr="00033B79" w:rsidRDefault="007C1F9F" w:rsidP="00186172">
            <w:pPr>
              <w:pStyle w:val="AERtabletext"/>
            </w:pPr>
            <w:r>
              <w:t>NA</w:t>
            </w:r>
          </w:p>
        </w:tc>
      </w:tr>
    </w:tbl>
    <w:p w:rsidR="007C1F9F" w:rsidRPr="007E3923" w:rsidRDefault="007C1F9F" w:rsidP="007C1F9F">
      <w:pPr>
        <w:pStyle w:val="AERbodytext"/>
        <w:rPr>
          <w:rStyle w:val="AERbody"/>
          <w:rFonts w:eastAsia="Calibri"/>
        </w:rPr>
      </w:pPr>
    </w:p>
    <w:p w:rsidR="007C1F9F" w:rsidRPr="007E3923" w:rsidRDefault="007C1F9F" w:rsidP="007C1F9F">
      <w:pPr>
        <w:pStyle w:val="AERbodytext"/>
        <w:rPr>
          <w:rStyle w:val="AERbody"/>
          <w:rFonts w:eastAsia="Calibri"/>
        </w:rPr>
      </w:pPr>
      <w:r w:rsidRPr="007E3923">
        <w:rPr>
          <w:rStyle w:val="AERbody"/>
          <w:rFonts w:eastAsia="Calibri"/>
        </w:rPr>
        <w:t>(f) AMDQ CC</w:t>
      </w:r>
    </w:p>
    <w:tbl>
      <w:tblPr>
        <w:tblW w:w="0" w:type="auto"/>
        <w:tblBorders>
          <w:top w:val="single" w:sz="4" w:space="0" w:color="auto"/>
          <w:bottom w:val="single" w:sz="4" w:space="0" w:color="auto"/>
        </w:tblBorders>
        <w:tblLook w:val="01E0"/>
      </w:tblPr>
      <w:tblGrid>
        <w:gridCol w:w="2579"/>
        <w:gridCol w:w="4377"/>
        <w:gridCol w:w="910"/>
      </w:tblGrid>
      <w:tr w:rsidR="007C1F9F" w:rsidRPr="00033B79" w:rsidTr="00186172">
        <w:tc>
          <w:tcPr>
            <w:tcW w:w="2579"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542076" w:rsidRDefault="007C1F9F" w:rsidP="00186172">
            <w:pPr>
              <w:pStyle w:val="AERtabletext"/>
              <w:rPr>
                <w:rStyle w:val="AERtextbold"/>
              </w:rPr>
            </w:pPr>
            <w:r w:rsidRPr="006E5906">
              <w:rPr>
                <w:rStyle w:val="AERtextbold"/>
              </w:rPr>
              <w:t>Matched Withdrawal Zone</w:t>
            </w:r>
          </w:p>
        </w:tc>
        <w:tc>
          <w:tcPr>
            <w:tcW w:w="437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542076" w:rsidRDefault="007C1F9F" w:rsidP="00186172">
            <w:pPr>
              <w:pStyle w:val="AERtabletext"/>
              <w:rPr>
                <w:rStyle w:val="AERtextbold"/>
              </w:rPr>
            </w:pPr>
            <w:r w:rsidRPr="00542076">
              <w:rPr>
                <w:rStyle w:val="AERtextbold"/>
              </w:rPr>
              <w:t>Injection Tariff ($/GJ, for the 10 Day Injection Volume)</w:t>
            </w:r>
          </w:p>
        </w:tc>
        <w:tc>
          <w:tcPr>
            <w:tcW w:w="910"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542076" w:rsidRDefault="007C1F9F" w:rsidP="00186172">
            <w:pPr>
              <w:pStyle w:val="AERtabletext"/>
              <w:rPr>
                <w:rStyle w:val="AERtextbold"/>
              </w:rPr>
            </w:pPr>
            <w:r w:rsidRPr="00542076">
              <w:rPr>
                <w:rStyle w:val="AERtextbold"/>
              </w:rPr>
              <w:t>X-factor</w:t>
            </w:r>
          </w:p>
        </w:tc>
      </w:tr>
      <w:tr w:rsidR="007C1F9F" w:rsidRPr="00033B79" w:rsidTr="00186172">
        <w:tc>
          <w:tcPr>
            <w:tcW w:w="2579" w:type="dxa"/>
            <w:shd w:val="clear" w:color="auto" w:fill="auto"/>
            <w:noWrap/>
            <w:tcMar>
              <w:top w:w="0" w:type="dxa"/>
              <w:bottom w:w="0" w:type="dxa"/>
            </w:tcMar>
            <w:vAlign w:val="center"/>
          </w:tcPr>
          <w:p w:rsidR="007C1F9F" w:rsidRPr="00542076" w:rsidRDefault="007C1F9F" w:rsidP="00186172">
            <w:pPr>
              <w:pStyle w:val="AERtabletext"/>
            </w:pPr>
            <w:r w:rsidRPr="00542076">
              <w:t>All Zones</w:t>
            </w:r>
          </w:p>
        </w:tc>
        <w:tc>
          <w:tcPr>
            <w:tcW w:w="4377" w:type="dxa"/>
            <w:shd w:val="clear" w:color="auto" w:fill="auto"/>
            <w:noWrap/>
            <w:tcMar>
              <w:top w:w="0" w:type="dxa"/>
              <w:bottom w:w="0" w:type="dxa"/>
            </w:tcMar>
            <w:vAlign w:val="center"/>
          </w:tcPr>
          <w:p w:rsidR="007C1F9F" w:rsidRPr="00542076" w:rsidRDefault="007C1F9F" w:rsidP="00186172">
            <w:pPr>
              <w:pStyle w:val="AERtabletext"/>
            </w:pPr>
            <w:r>
              <w:t>0.0025</w:t>
            </w:r>
          </w:p>
        </w:tc>
        <w:tc>
          <w:tcPr>
            <w:tcW w:w="910" w:type="dxa"/>
            <w:shd w:val="clear" w:color="auto" w:fill="auto"/>
            <w:noWrap/>
            <w:tcMar>
              <w:top w:w="0" w:type="dxa"/>
              <w:bottom w:w="0" w:type="dxa"/>
            </w:tcMar>
            <w:vAlign w:val="center"/>
          </w:tcPr>
          <w:p w:rsidR="007C1F9F" w:rsidRPr="00542076" w:rsidRDefault="007C1F9F" w:rsidP="00186172">
            <w:pPr>
              <w:pStyle w:val="AERtabletext"/>
            </w:pPr>
            <w:r>
              <w:t>0%</w:t>
            </w:r>
          </w:p>
        </w:tc>
      </w:tr>
    </w:tbl>
    <w:p w:rsidR="007C1F9F" w:rsidRPr="005D2785" w:rsidRDefault="007C1F9F" w:rsidP="007C1F9F">
      <w:pPr>
        <w:pStyle w:val="AERbodytext"/>
        <w:rPr>
          <w:rStyle w:val="AERtextbold"/>
        </w:rPr>
      </w:pPr>
    </w:p>
    <w:p w:rsidR="007C1F9F" w:rsidRPr="005D2785" w:rsidRDefault="007C1F9F" w:rsidP="007C1F9F">
      <w:pPr>
        <w:pStyle w:val="AERbodytext"/>
        <w:rPr>
          <w:rStyle w:val="AERtextbold"/>
        </w:rPr>
      </w:pPr>
      <w:r w:rsidRPr="005D2785">
        <w:rPr>
          <w:rStyle w:val="AERtextbold"/>
        </w:rPr>
        <w:t>A.3 Withdrawal Tariffs</w:t>
      </w:r>
    </w:p>
    <w:p w:rsidR="007C1F9F" w:rsidRDefault="007C1F9F" w:rsidP="007C1F9F">
      <w:pPr>
        <w:pStyle w:val="AERbodytext"/>
      </w:pPr>
      <w:r w:rsidRPr="007E3923">
        <w:rPr>
          <w:rFonts w:eastAsia="Calibri"/>
        </w:rPr>
        <w:t>(a) Transmission Delivery Tariff</w:t>
      </w:r>
      <w:r w:rsidRPr="00174C43">
        <w:t xml:space="preserve"> </w:t>
      </w:r>
    </w:p>
    <w:p w:rsidR="007C1F9F" w:rsidRPr="007E3923" w:rsidRDefault="007C1F9F" w:rsidP="007C1F9F">
      <w:pPr>
        <w:pStyle w:val="AERbodytext"/>
        <w:rPr>
          <w:rFonts w:eastAsia="Calibri"/>
        </w:rPr>
      </w:pPr>
      <w:r w:rsidRPr="007E3923">
        <w:rPr>
          <w:rFonts w:eastAsia="Calibri"/>
        </w:rPr>
        <w:t>Subject to the exceptions in clauses A.3(b), A.3(c), A.3(d), A.3(e) and A.3(f) of</w:t>
      </w:r>
      <w:r w:rsidRPr="00174C43">
        <w:t xml:space="preserve"> </w:t>
      </w:r>
      <w:r w:rsidRPr="007E3923">
        <w:rPr>
          <w:rFonts w:eastAsia="Calibri"/>
        </w:rPr>
        <w:t>this Schedule, the Withdrawal Tariffs are as follows:</w:t>
      </w:r>
    </w:p>
    <w:tbl>
      <w:tblPr>
        <w:tblW w:w="0" w:type="auto"/>
        <w:tblBorders>
          <w:top w:val="single" w:sz="4" w:space="0" w:color="auto"/>
          <w:bottom w:val="single" w:sz="4" w:space="0" w:color="auto"/>
        </w:tblBorders>
        <w:tblLook w:val="01E0"/>
      </w:tblPr>
      <w:tblGrid>
        <w:gridCol w:w="1440"/>
        <w:gridCol w:w="1417"/>
        <w:gridCol w:w="1406"/>
        <w:gridCol w:w="1406"/>
        <w:gridCol w:w="1163"/>
      </w:tblGrid>
      <w:tr w:rsidR="007C1F9F" w:rsidTr="00186172">
        <w:tc>
          <w:tcPr>
            <w:tcW w:w="144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w:t>
            </w:r>
          </w:p>
          <w:p w:rsidR="007C1F9F" w:rsidRPr="007E3923" w:rsidRDefault="007C1F9F" w:rsidP="00186172">
            <w:pPr>
              <w:pStyle w:val="AERtabletext"/>
              <w:rPr>
                <w:rStyle w:val="AERtextbold"/>
                <w:rFonts w:eastAsia="Calibri"/>
              </w:rPr>
            </w:pPr>
            <w:r w:rsidRPr="007E3923">
              <w:rPr>
                <w:rStyle w:val="AERtextbold"/>
                <w:rFonts w:eastAsia="Calibri"/>
              </w:rPr>
              <w:t>Zone</w:t>
            </w:r>
          </w:p>
          <w:p w:rsidR="007C1F9F" w:rsidRPr="00350517" w:rsidRDefault="007C1F9F" w:rsidP="00186172">
            <w:pPr>
              <w:pStyle w:val="AERtabletext"/>
              <w:rPr>
                <w:rStyle w:val="AERtextbold"/>
              </w:rPr>
            </w:pPr>
            <w:r w:rsidRPr="007E3923">
              <w:rPr>
                <w:rStyle w:val="AERtextbold"/>
                <w:rFonts w:eastAsia="Calibri"/>
              </w:rPr>
              <w:t>Number</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 Zone</w:t>
            </w:r>
          </w:p>
          <w:p w:rsidR="007C1F9F" w:rsidRPr="00350517" w:rsidRDefault="007C1F9F" w:rsidP="00186172">
            <w:pPr>
              <w:pStyle w:val="AERtabletext"/>
              <w:rPr>
                <w:rStyle w:val="AERtextbold"/>
              </w:rPr>
            </w:pPr>
            <w:r w:rsidRPr="007E3923">
              <w:rPr>
                <w:rStyle w:val="AERtextbold"/>
                <w:rFonts w:eastAsia="Calibri"/>
              </w:rPr>
              <w:t>Name</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Transmission</w:t>
            </w:r>
          </w:p>
          <w:p w:rsidR="007C1F9F" w:rsidRPr="007E3923" w:rsidRDefault="007C1F9F" w:rsidP="00186172">
            <w:pPr>
              <w:pStyle w:val="AERtabletext"/>
              <w:rPr>
                <w:rStyle w:val="AERtextbold"/>
                <w:rFonts w:eastAsia="Calibri"/>
              </w:rPr>
            </w:pPr>
            <w:r w:rsidRPr="007E3923">
              <w:rPr>
                <w:rStyle w:val="AERtextbold"/>
                <w:rFonts w:eastAsia="Calibri"/>
              </w:rPr>
              <w:t>delivery tariff D</w:t>
            </w:r>
          </w:p>
          <w:p w:rsidR="007C1F9F" w:rsidRPr="00350517" w:rsidRDefault="007C1F9F" w:rsidP="00186172">
            <w:pPr>
              <w:pStyle w:val="AERtabletext"/>
              <w:rPr>
                <w:rStyle w:val="AERtextbold"/>
              </w:rPr>
            </w:pPr>
            <w:r w:rsidRPr="007E3923">
              <w:rPr>
                <w:rStyle w:val="AERtextbold"/>
                <w:rFonts w:eastAsia="Calibri"/>
              </w:rPr>
              <w:t>($/GJ)</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Transmission</w:t>
            </w:r>
          </w:p>
          <w:p w:rsidR="007C1F9F" w:rsidRPr="007E3923" w:rsidRDefault="007C1F9F" w:rsidP="00186172">
            <w:pPr>
              <w:pStyle w:val="AERtabletext"/>
              <w:rPr>
                <w:rStyle w:val="AERtextbold"/>
                <w:rFonts w:eastAsia="Calibri"/>
              </w:rPr>
            </w:pPr>
            <w:r w:rsidRPr="007E3923">
              <w:rPr>
                <w:rStyle w:val="AERtextbold"/>
                <w:rFonts w:eastAsia="Calibri"/>
              </w:rPr>
              <w:t>delivery tariff V</w:t>
            </w:r>
          </w:p>
          <w:p w:rsidR="007C1F9F" w:rsidRPr="00350517" w:rsidRDefault="007C1F9F" w:rsidP="00186172">
            <w:pPr>
              <w:pStyle w:val="AERtabletext"/>
              <w:rPr>
                <w:rStyle w:val="AERtextbold"/>
              </w:rPr>
            </w:pPr>
            <w:r w:rsidRPr="007E3923">
              <w:rPr>
                <w:rStyle w:val="AERtextbold"/>
                <w:rFonts w:eastAsia="Calibri"/>
              </w:rPr>
              <w:t>($/GJ)</w:t>
            </w:r>
          </w:p>
        </w:tc>
        <w:tc>
          <w:tcPr>
            <w:tcW w:w="116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sidRPr="007E3923">
              <w:rPr>
                <w:rStyle w:val="AERtextbold"/>
                <w:rFonts w:eastAsia="Calibri"/>
              </w:rPr>
              <w:t>X-factor</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rsidRPr="00916386">
              <w:t>1</w:t>
            </w:r>
          </w:p>
        </w:tc>
        <w:tc>
          <w:tcPr>
            <w:tcW w:w="1417" w:type="dxa"/>
            <w:shd w:val="clear" w:color="auto" w:fill="auto"/>
            <w:noWrap/>
            <w:tcMar>
              <w:top w:w="0" w:type="dxa"/>
              <w:bottom w:w="0" w:type="dxa"/>
            </w:tcMar>
            <w:vAlign w:val="center"/>
          </w:tcPr>
          <w:p w:rsidR="007C1F9F" w:rsidRPr="00916386" w:rsidRDefault="007C1F9F" w:rsidP="00186172">
            <w:pPr>
              <w:pStyle w:val="AERtabletext"/>
            </w:pPr>
            <w:r w:rsidRPr="00916386">
              <w:t>LaTrobe</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w:t>
            </w:r>
            <w:r>
              <w:t>1364</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0.12</w:t>
            </w:r>
            <w:r>
              <w:t>15</w:t>
            </w:r>
          </w:p>
        </w:tc>
        <w:tc>
          <w:tcPr>
            <w:tcW w:w="1163" w:type="dxa"/>
            <w:shd w:val="clear" w:color="auto" w:fill="auto"/>
            <w:noWrap/>
            <w:tcMar>
              <w:top w:w="0" w:type="dxa"/>
              <w:bottom w:w="0" w:type="dxa"/>
            </w:tcMar>
            <w:vAlign w:val="center"/>
          </w:tcPr>
          <w:p w:rsidR="007C1F9F" w:rsidRPr="00916386" w:rsidRDefault="007C1F9F" w:rsidP="00186172">
            <w:pPr>
              <w:pStyle w:val="AERtabletext"/>
            </w:pPr>
            <w:r w:rsidRPr="00916386">
              <w:t>0%</w:t>
            </w:r>
          </w:p>
        </w:tc>
      </w:tr>
      <w:tr w:rsidR="007C1F9F" w:rsidRPr="00916386" w:rsidTr="00186172">
        <w:tc>
          <w:tcPr>
            <w:tcW w:w="1440" w:type="dxa"/>
            <w:shd w:val="clear" w:color="auto" w:fill="F8B47C"/>
            <w:noWrap/>
            <w:tcMar>
              <w:top w:w="0" w:type="dxa"/>
              <w:bottom w:w="0" w:type="dxa"/>
            </w:tcMar>
            <w:vAlign w:val="center"/>
          </w:tcPr>
          <w:p w:rsidR="007C1F9F" w:rsidRPr="00916386" w:rsidRDefault="007C1F9F" w:rsidP="00186172">
            <w:pPr>
              <w:pStyle w:val="AERtabletext"/>
            </w:pPr>
            <w:r w:rsidRPr="00916386">
              <w:t>25</w:t>
            </w:r>
          </w:p>
        </w:tc>
        <w:tc>
          <w:tcPr>
            <w:tcW w:w="1417" w:type="dxa"/>
            <w:shd w:val="clear" w:color="auto" w:fill="F8B47C"/>
            <w:noWrap/>
            <w:tcMar>
              <w:top w:w="0" w:type="dxa"/>
              <w:bottom w:w="0" w:type="dxa"/>
            </w:tcMar>
            <w:vAlign w:val="center"/>
          </w:tcPr>
          <w:p w:rsidR="007C1F9F" w:rsidRPr="00916386" w:rsidRDefault="007C1F9F" w:rsidP="00186172">
            <w:pPr>
              <w:pStyle w:val="AERtabletext"/>
            </w:pPr>
            <w:r w:rsidRPr="00916386">
              <w:t>Maryvale</w:t>
            </w:r>
          </w:p>
        </w:tc>
        <w:tc>
          <w:tcPr>
            <w:tcW w:w="1406" w:type="dxa"/>
            <w:shd w:val="clear" w:color="auto" w:fill="F8B47C"/>
            <w:noWrap/>
            <w:tcMar>
              <w:top w:w="0" w:type="dxa"/>
              <w:bottom w:w="0" w:type="dxa"/>
            </w:tcMar>
            <w:vAlign w:val="center"/>
          </w:tcPr>
          <w:p w:rsidR="007C1F9F" w:rsidRPr="00916386" w:rsidRDefault="007C1F9F" w:rsidP="00186172">
            <w:pPr>
              <w:pStyle w:val="AERtabletext"/>
            </w:pPr>
            <w:r w:rsidRPr="00916386">
              <w:t>0.05</w:t>
            </w:r>
            <w:r>
              <w:t>79</w:t>
            </w:r>
          </w:p>
        </w:tc>
        <w:tc>
          <w:tcPr>
            <w:tcW w:w="1406" w:type="dxa"/>
            <w:shd w:val="clear" w:color="auto" w:fill="F8B47C"/>
            <w:noWrap/>
            <w:tcMar>
              <w:top w:w="0" w:type="dxa"/>
              <w:bottom w:w="0" w:type="dxa"/>
            </w:tcMar>
            <w:vAlign w:val="center"/>
          </w:tcPr>
          <w:p w:rsidR="007C1F9F" w:rsidRPr="00916386" w:rsidRDefault="007C1F9F" w:rsidP="00186172">
            <w:pPr>
              <w:pStyle w:val="AERtabletext"/>
            </w:pPr>
            <w:r>
              <w:t>-</w:t>
            </w:r>
          </w:p>
        </w:tc>
        <w:tc>
          <w:tcPr>
            <w:tcW w:w="1163" w:type="dxa"/>
            <w:shd w:val="clear" w:color="auto" w:fill="F8B47C"/>
            <w:noWrap/>
            <w:tcMar>
              <w:top w:w="0" w:type="dxa"/>
              <w:bottom w:w="0" w:type="dxa"/>
            </w:tcMar>
            <w:vAlign w:val="center"/>
          </w:tcPr>
          <w:p w:rsidR="007C1F9F" w:rsidRPr="00916386"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rsidRPr="00916386">
              <w:t>2</w:t>
            </w:r>
          </w:p>
        </w:tc>
        <w:tc>
          <w:tcPr>
            <w:tcW w:w="1417" w:type="dxa"/>
            <w:shd w:val="clear" w:color="auto" w:fill="auto"/>
            <w:noWrap/>
            <w:tcMar>
              <w:top w:w="0" w:type="dxa"/>
              <w:bottom w:w="0" w:type="dxa"/>
            </w:tcMar>
            <w:vAlign w:val="center"/>
          </w:tcPr>
          <w:p w:rsidR="007C1F9F" w:rsidRPr="00916386" w:rsidRDefault="007C1F9F" w:rsidP="00186172">
            <w:pPr>
              <w:pStyle w:val="AERtabletext"/>
            </w:pPr>
            <w:r w:rsidRPr="00916386">
              <w:t>West Gippsland</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0.1</w:t>
            </w:r>
            <w:r>
              <w:t>569</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0.1</w:t>
            </w:r>
            <w:r>
              <w:t>585</w:t>
            </w:r>
          </w:p>
        </w:tc>
        <w:tc>
          <w:tcPr>
            <w:tcW w:w="1163" w:type="dxa"/>
            <w:shd w:val="clear" w:color="auto" w:fill="auto"/>
            <w:noWrap/>
            <w:tcMar>
              <w:top w:w="0" w:type="dxa"/>
              <w:bottom w:w="0" w:type="dxa"/>
            </w:tcMar>
            <w:vAlign w:val="center"/>
          </w:tcPr>
          <w:p w:rsidR="007C1F9F" w:rsidRPr="00916386"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A15BA2" w:rsidRDefault="007C1F9F" w:rsidP="00186172">
            <w:pPr>
              <w:pStyle w:val="AERtabletext"/>
            </w:pPr>
            <w:r w:rsidRPr="00A15BA2">
              <w:t>3</w:t>
            </w:r>
          </w:p>
        </w:tc>
        <w:tc>
          <w:tcPr>
            <w:tcW w:w="1417" w:type="dxa"/>
            <w:shd w:val="clear" w:color="auto" w:fill="F8B47C"/>
            <w:noWrap/>
            <w:tcMar>
              <w:top w:w="0" w:type="dxa"/>
              <w:bottom w:w="0" w:type="dxa"/>
            </w:tcMar>
            <w:vAlign w:val="center"/>
          </w:tcPr>
          <w:p w:rsidR="007C1F9F" w:rsidRPr="00A15BA2" w:rsidRDefault="007C1F9F" w:rsidP="00186172">
            <w:pPr>
              <w:pStyle w:val="AERtabletext"/>
            </w:pPr>
            <w:r w:rsidRPr="00A15BA2">
              <w:t>Lurgi</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0.1</w:t>
            </w:r>
            <w:r>
              <w:t>774</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w:t>
            </w:r>
            <w:r>
              <w:t>1956</w:t>
            </w:r>
          </w:p>
        </w:tc>
        <w:tc>
          <w:tcPr>
            <w:tcW w:w="1163" w:type="dxa"/>
            <w:shd w:val="clear" w:color="auto" w:fill="F8B47C"/>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A15BA2" w:rsidRDefault="007C1F9F" w:rsidP="00186172">
            <w:pPr>
              <w:pStyle w:val="AERtabletext"/>
            </w:pPr>
            <w:r w:rsidRPr="00A15BA2">
              <w:t>4</w:t>
            </w:r>
          </w:p>
        </w:tc>
        <w:tc>
          <w:tcPr>
            <w:tcW w:w="1417" w:type="dxa"/>
            <w:shd w:val="clear" w:color="auto" w:fill="auto"/>
            <w:noWrap/>
            <w:tcMar>
              <w:top w:w="0" w:type="dxa"/>
              <w:bottom w:w="0" w:type="dxa"/>
            </w:tcMar>
            <w:vAlign w:val="center"/>
          </w:tcPr>
          <w:p w:rsidR="007C1F9F" w:rsidRPr="00A15BA2" w:rsidRDefault="007C1F9F" w:rsidP="00186172">
            <w:pPr>
              <w:pStyle w:val="AERtabletext"/>
            </w:pPr>
            <w:r w:rsidRPr="00A15BA2">
              <w:t>Metro North West</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w:t>
            </w:r>
            <w:r>
              <w:t>2586</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w:t>
            </w:r>
            <w:r>
              <w:t>2688</w:t>
            </w:r>
          </w:p>
        </w:tc>
        <w:tc>
          <w:tcPr>
            <w:tcW w:w="1163" w:type="dxa"/>
            <w:shd w:val="clear" w:color="auto" w:fill="auto"/>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A15BA2" w:rsidRDefault="007C1F9F" w:rsidP="00186172">
            <w:pPr>
              <w:pStyle w:val="AERtabletext"/>
            </w:pPr>
            <w:r w:rsidRPr="00A15BA2">
              <w:t>5</w:t>
            </w:r>
          </w:p>
        </w:tc>
        <w:tc>
          <w:tcPr>
            <w:tcW w:w="1417" w:type="dxa"/>
            <w:shd w:val="clear" w:color="auto" w:fill="F8B47C"/>
            <w:noWrap/>
            <w:tcMar>
              <w:top w:w="0" w:type="dxa"/>
              <w:bottom w:w="0" w:type="dxa"/>
            </w:tcMar>
            <w:vAlign w:val="center"/>
          </w:tcPr>
          <w:p w:rsidR="007C1F9F" w:rsidRPr="00A15BA2" w:rsidRDefault="007C1F9F" w:rsidP="00186172">
            <w:pPr>
              <w:pStyle w:val="AERtabletext"/>
            </w:pPr>
            <w:r w:rsidRPr="00A15BA2">
              <w:t>Calder</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w:t>
            </w:r>
            <w:r>
              <w:t>7862</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w:t>
            </w:r>
            <w:r>
              <w:t>7351</w:t>
            </w:r>
          </w:p>
        </w:tc>
        <w:tc>
          <w:tcPr>
            <w:tcW w:w="1163" w:type="dxa"/>
            <w:shd w:val="clear" w:color="auto" w:fill="F8B47C"/>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A15BA2" w:rsidRDefault="007C1F9F" w:rsidP="00186172">
            <w:pPr>
              <w:pStyle w:val="AERtabletext"/>
            </w:pPr>
            <w:r w:rsidRPr="00A15BA2">
              <w:t>6</w:t>
            </w:r>
          </w:p>
        </w:tc>
        <w:tc>
          <w:tcPr>
            <w:tcW w:w="1417" w:type="dxa"/>
            <w:shd w:val="clear" w:color="auto" w:fill="auto"/>
            <w:noWrap/>
            <w:tcMar>
              <w:top w:w="0" w:type="dxa"/>
              <w:bottom w:w="0" w:type="dxa"/>
            </w:tcMar>
            <w:vAlign w:val="center"/>
          </w:tcPr>
          <w:p w:rsidR="007C1F9F" w:rsidRPr="00A15BA2" w:rsidRDefault="007C1F9F" w:rsidP="00186172">
            <w:pPr>
              <w:pStyle w:val="AERtabletext"/>
            </w:pPr>
            <w:r w:rsidRPr="00A15BA2">
              <w:t>South Hume</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w:t>
            </w:r>
            <w:r>
              <w:t>3942</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0.36</w:t>
            </w:r>
            <w:r>
              <w:t>35</w:t>
            </w:r>
          </w:p>
        </w:tc>
        <w:tc>
          <w:tcPr>
            <w:tcW w:w="1163" w:type="dxa"/>
            <w:shd w:val="clear" w:color="auto" w:fill="auto"/>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A15BA2" w:rsidRDefault="007C1F9F" w:rsidP="00186172">
            <w:pPr>
              <w:pStyle w:val="AERtabletext"/>
            </w:pPr>
            <w:r w:rsidRPr="00A15BA2">
              <w:t>7</w:t>
            </w:r>
          </w:p>
        </w:tc>
        <w:tc>
          <w:tcPr>
            <w:tcW w:w="1417" w:type="dxa"/>
            <w:shd w:val="clear" w:color="auto" w:fill="F8B47C"/>
            <w:noWrap/>
            <w:tcMar>
              <w:top w:w="0" w:type="dxa"/>
              <w:bottom w:w="0" w:type="dxa"/>
            </w:tcMar>
            <w:vAlign w:val="center"/>
          </w:tcPr>
          <w:p w:rsidR="007C1F9F" w:rsidRPr="00A15BA2" w:rsidRDefault="007C1F9F" w:rsidP="00186172">
            <w:pPr>
              <w:pStyle w:val="AERtabletext"/>
            </w:pPr>
            <w:r w:rsidRPr="00A15BA2">
              <w:t>Echuca</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w:t>
            </w:r>
            <w:r>
              <w:t>7474</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0.8</w:t>
            </w:r>
            <w:r>
              <w:t>621</w:t>
            </w:r>
          </w:p>
        </w:tc>
        <w:tc>
          <w:tcPr>
            <w:tcW w:w="1163" w:type="dxa"/>
            <w:shd w:val="clear" w:color="auto" w:fill="F8B47C"/>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A15BA2" w:rsidRDefault="007C1F9F" w:rsidP="00186172">
            <w:pPr>
              <w:pStyle w:val="AERtabletext"/>
            </w:pPr>
            <w:r w:rsidRPr="00A15BA2">
              <w:t>8</w:t>
            </w:r>
          </w:p>
        </w:tc>
        <w:tc>
          <w:tcPr>
            <w:tcW w:w="1417" w:type="dxa"/>
            <w:shd w:val="clear" w:color="auto" w:fill="auto"/>
            <w:noWrap/>
            <w:tcMar>
              <w:top w:w="0" w:type="dxa"/>
              <w:bottom w:w="0" w:type="dxa"/>
            </w:tcMar>
            <w:vAlign w:val="center"/>
          </w:tcPr>
          <w:p w:rsidR="007C1F9F" w:rsidRPr="00A15BA2" w:rsidRDefault="007C1F9F" w:rsidP="00186172">
            <w:pPr>
              <w:pStyle w:val="AERtabletext"/>
            </w:pPr>
            <w:r w:rsidRPr="00A15BA2">
              <w:t>North Hume</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0.7</w:t>
            </w:r>
            <w:r>
              <w:t>410</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0.8</w:t>
            </w:r>
            <w:r>
              <w:t>295</w:t>
            </w:r>
          </w:p>
        </w:tc>
        <w:tc>
          <w:tcPr>
            <w:tcW w:w="1163" w:type="dxa"/>
            <w:shd w:val="clear" w:color="auto" w:fill="auto"/>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A15BA2" w:rsidRDefault="007C1F9F" w:rsidP="00186172">
            <w:pPr>
              <w:pStyle w:val="AERtabletext"/>
            </w:pPr>
            <w:r w:rsidRPr="00A15BA2">
              <w:t>9</w:t>
            </w:r>
          </w:p>
        </w:tc>
        <w:tc>
          <w:tcPr>
            <w:tcW w:w="1417" w:type="dxa"/>
            <w:shd w:val="clear" w:color="auto" w:fill="F8B47C"/>
            <w:noWrap/>
            <w:tcMar>
              <w:top w:w="0" w:type="dxa"/>
              <w:bottom w:w="0" w:type="dxa"/>
            </w:tcMar>
            <w:vAlign w:val="center"/>
          </w:tcPr>
          <w:p w:rsidR="007C1F9F" w:rsidRPr="00A15BA2" w:rsidRDefault="007C1F9F" w:rsidP="00186172">
            <w:pPr>
              <w:pStyle w:val="AERtabletext"/>
            </w:pPr>
            <w:r w:rsidRPr="00A15BA2">
              <w:t>Western</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0.4</w:t>
            </w:r>
            <w:r>
              <w:t>067</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0.81</w:t>
            </w:r>
            <w:r>
              <w:t>02</w:t>
            </w:r>
          </w:p>
        </w:tc>
        <w:tc>
          <w:tcPr>
            <w:tcW w:w="1163" w:type="dxa"/>
            <w:shd w:val="clear" w:color="auto" w:fill="F8B47C"/>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A15BA2" w:rsidRDefault="007C1F9F" w:rsidP="00186172">
            <w:pPr>
              <w:pStyle w:val="AERtabletext"/>
            </w:pPr>
            <w:r w:rsidRPr="00A15BA2">
              <w:t>10</w:t>
            </w:r>
          </w:p>
        </w:tc>
        <w:tc>
          <w:tcPr>
            <w:tcW w:w="1417" w:type="dxa"/>
            <w:shd w:val="clear" w:color="auto" w:fill="auto"/>
            <w:noWrap/>
            <w:tcMar>
              <w:top w:w="0" w:type="dxa"/>
              <w:bottom w:w="0" w:type="dxa"/>
            </w:tcMar>
            <w:vAlign w:val="center"/>
          </w:tcPr>
          <w:p w:rsidR="007C1F9F" w:rsidRPr="00A15BA2" w:rsidRDefault="007C1F9F" w:rsidP="00186172">
            <w:pPr>
              <w:pStyle w:val="AERtabletext"/>
            </w:pPr>
            <w:r w:rsidRPr="00A15BA2">
              <w:t>Murray Valley</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1.1</w:t>
            </w:r>
            <w:r>
              <w:t>340</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1.2</w:t>
            </w:r>
            <w:r>
              <w:t>531</w:t>
            </w:r>
          </w:p>
        </w:tc>
        <w:tc>
          <w:tcPr>
            <w:tcW w:w="1163" w:type="dxa"/>
            <w:shd w:val="clear" w:color="auto" w:fill="auto"/>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A15BA2" w:rsidRDefault="007C1F9F" w:rsidP="00186172">
            <w:pPr>
              <w:pStyle w:val="AERtabletext"/>
            </w:pPr>
            <w:r w:rsidRPr="00A15BA2">
              <w:t>11</w:t>
            </w:r>
          </w:p>
        </w:tc>
        <w:tc>
          <w:tcPr>
            <w:tcW w:w="1417" w:type="dxa"/>
            <w:shd w:val="clear" w:color="auto" w:fill="F8B47C"/>
            <w:noWrap/>
            <w:tcMar>
              <w:top w:w="0" w:type="dxa"/>
              <w:bottom w:w="0" w:type="dxa"/>
            </w:tcMar>
            <w:vAlign w:val="center"/>
          </w:tcPr>
          <w:p w:rsidR="007C1F9F" w:rsidRPr="00A15BA2" w:rsidRDefault="007C1F9F" w:rsidP="00186172">
            <w:pPr>
              <w:pStyle w:val="AERtabletext"/>
            </w:pPr>
            <w:r w:rsidRPr="00A15BA2">
              <w:t>Interconnect</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0.8</w:t>
            </w:r>
            <w:r>
              <w:t>745</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0.87</w:t>
            </w:r>
            <w:r>
              <w:t>45</w:t>
            </w:r>
          </w:p>
        </w:tc>
        <w:tc>
          <w:tcPr>
            <w:tcW w:w="1163" w:type="dxa"/>
            <w:shd w:val="clear" w:color="auto" w:fill="F8B47C"/>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A15BA2" w:rsidRDefault="007C1F9F" w:rsidP="00186172">
            <w:pPr>
              <w:pStyle w:val="AERtabletext"/>
            </w:pPr>
            <w:r w:rsidRPr="00A15BA2">
              <w:t>13</w:t>
            </w:r>
          </w:p>
        </w:tc>
        <w:tc>
          <w:tcPr>
            <w:tcW w:w="1417" w:type="dxa"/>
            <w:shd w:val="clear" w:color="auto" w:fill="auto"/>
            <w:noWrap/>
            <w:tcMar>
              <w:top w:w="0" w:type="dxa"/>
              <w:bottom w:w="0" w:type="dxa"/>
            </w:tcMar>
            <w:vAlign w:val="center"/>
          </w:tcPr>
          <w:p w:rsidR="007C1F9F" w:rsidRPr="00A15BA2" w:rsidRDefault="007C1F9F" w:rsidP="00186172">
            <w:pPr>
              <w:pStyle w:val="AERtabletext"/>
            </w:pPr>
            <w:r w:rsidRPr="00A15BA2">
              <w:t>South West</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0.12</w:t>
            </w:r>
            <w:r>
              <w:t>15</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0.12</w:t>
            </w:r>
            <w:r>
              <w:t>15</w:t>
            </w:r>
          </w:p>
        </w:tc>
        <w:tc>
          <w:tcPr>
            <w:tcW w:w="1163" w:type="dxa"/>
            <w:shd w:val="clear" w:color="auto" w:fill="auto"/>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A15BA2" w:rsidRDefault="007C1F9F" w:rsidP="00186172">
            <w:pPr>
              <w:pStyle w:val="AERtabletext"/>
            </w:pPr>
            <w:r w:rsidRPr="00A15BA2">
              <w:t>17</w:t>
            </w:r>
          </w:p>
        </w:tc>
        <w:tc>
          <w:tcPr>
            <w:tcW w:w="1417" w:type="dxa"/>
            <w:shd w:val="clear" w:color="auto" w:fill="F8B47C"/>
            <w:noWrap/>
            <w:tcMar>
              <w:top w:w="0" w:type="dxa"/>
              <w:bottom w:w="0" w:type="dxa"/>
            </w:tcMar>
            <w:vAlign w:val="center"/>
          </w:tcPr>
          <w:p w:rsidR="007C1F9F" w:rsidRPr="00A15BA2" w:rsidRDefault="007C1F9F" w:rsidP="00186172">
            <w:pPr>
              <w:pStyle w:val="AERtabletext"/>
            </w:pPr>
            <w:r w:rsidRPr="00A15BA2">
              <w:t>Wodonga</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0.6</w:t>
            </w:r>
            <w:r>
              <w:t>644</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1.2</w:t>
            </w:r>
            <w:r>
              <w:t>052</w:t>
            </w:r>
          </w:p>
        </w:tc>
        <w:tc>
          <w:tcPr>
            <w:tcW w:w="1163" w:type="dxa"/>
            <w:shd w:val="clear" w:color="auto" w:fill="F8B47C"/>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A15BA2" w:rsidRDefault="007C1F9F" w:rsidP="00186172">
            <w:pPr>
              <w:pStyle w:val="AERtabletext"/>
            </w:pPr>
            <w:r w:rsidRPr="00A15BA2">
              <w:t>18</w:t>
            </w:r>
          </w:p>
        </w:tc>
        <w:tc>
          <w:tcPr>
            <w:tcW w:w="1417" w:type="dxa"/>
            <w:shd w:val="clear" w:color="auto" w:fill="auto"/>
            <w:noWrap/>
            <w:tcMar>
              <w:top w:w="0" w:type="dxa"/>
              <w:bottom w:w="0" w:type="dxa"/>
            </w:tcMar>
            <w:vAlign w:val="center"/>
          </w:tcPr>
          <w:p w:rsidR="007C1F9F" w:rsidRPr="00A15BA2" w:rsidRDefault="007C1F9F" w:rsidP="00186172">
            <w:pPr>
              <w:pStyle w:val="AERtabletext"/>
            </w:pPr>
            <w:r w:rsidRPr="00A15BA2">
              <w:t>Tyers</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0.1</w:t>
            </w:r>
            <w:r>
              <w:t>549</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0.16</w:t>
            </w:r>
            <w:r>
              <w:t>35</w:t>
            </w:r>
          </w:p>
        </w:tc>
        <w:tc>
          <w:tcPr>
            <w:tcW w:w="1163" w:type="dxa"/>
            <w:shd w:val="clear" w:color="auto" w:fill="auto"/>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A15BA2" w:rsidRDefault="007C1F9F" w:rsidP="00186172">
            <w:pPr>
              <w:pStyle w:val="AERtabletext"/>
            </w:pPr>
            <w:r w:rsidRPr="00A15BA2">
              <w:t>19</w:t>
            </w:r>
          </w:p>
        </w:tc>
        <w:tc>
          <w:tcPr>
            <w:tcW w:w="1417" w:type="dxa"/>
            <w:shd w:val="clear" w:color="auto" w:fill="F8B47C"/>
            <w:noWrap/>
            <w:tcMar>
              <w:top w:w="0" w:type="dxa"/>
              <w:bottom w:w="0" w:type="dxa"/>
            </w:tcMar>
            <w:vAlign w:val="center"/>
          </w:tcPr>
          <w:p w:rsidR="007C1F9F" w:rsidRPr="00A15BA2" w:rsidRDefault="007C1F9F" w:rsidP="00186172">
            <w:pPr>
              <w:pStyle w:val="AERtabletext"/>
            </w:pPr>
            <w:r w:rsidRPr="00A15BA2">
              <w:t>NSW Export</w:t>
            </w:r>
          </w:p>
        </w:tc>
        <w:tc>
          <w:tcPr>
            <w:tcW w:w="1406" w:type="dxa"/>
            <w:shd w:val="clear" w:color="auto" w:fill="F8B47C"/>
            <w:noWrap/>
            <w:tcMar>
              <w:top w:w="0" w:type="dxa"/>
              <w:bottom w:w="0" w:type="dxa"/>
            </w:tcMar>
            <w:vAlign w:val="center"/>
          </w:tcPr>
          <w:p w:rsidR="007C1F9F" w:rsidRPr="00A15BA2" w:rsidRDefault="007C1F9F" w:rsidP="00186172">
            <w:pPr>
              <w:pStyle w:val="AERtabletext"/>
            </w:pPr>
            <w:r w:rsidRPr="00A15BA2">
              <w:t>0.</w:t>
            </w:r>
            <w:r>
              <w:t>6671</w:t>
            </w:r>
          </w:p>
        </w:tc>
        <w:tc>
          <w:tcPr>
            <w:tcW w:w="1406" w:type="dxa"/>
            <w:shd w:val="clear" w:color="auto" w:fill="F8B47C"/>
            <w:noWrap/>
            <w:tcMar>
              <w:top w:w="0" w:type="dxa"/>
              <w:bottom w:w="0" w:type="dxa"/>
            </w:tcMar>
            <w:vAlign w:val="center"/>
          </w:tcPr>
          <w:p w:rsidR="007C1F9F" w:rsidRPr="00A15BA2" w:rsidRDefault="007C1F9F" w:rsidP="00186172">
            <w:pPr>
              <w:pStyle w:val="AERtabletext"/>
            </w:pPr>
            <w:r>
              <w:t>0.0000</w:t>
            </w:r>
          </w:p>
        </w:tc>
        <w:tc>
          <w:tcPr>
            <w:tcW w:w="1163" w:type="dxa"/>
            <w:shd w:val="clear" w:color="auto" w:fill="F8B47C"/>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auto"/>
            <w:noWrap/>
            <w:tcMar>
              <w:top w:w="0" w:type="dxa"/>
              <w:bottom w:w="0" w:type="dxa"/>
            </w:tcMar>
            <w:vAlign w:val="center"/>
          </w:tcPr>
          <w:p w:rsidR="007C1F9F" w:rsidRPr="00A15BA2" w:rsidRDefault="007C1F9F" w:rsidP="00186172">
            <w:pPr>
              <w:pStyle w:val="AERtabletext"/>
            </w:pPr>
            <w:r w:rsidRPr="00A15BA2">
              <w:t>20</w:t>
            </w:r>
          </w:p>
        </w:tc>
        <w:tc>
          <w:tcPr>
            <w:tcW w:w="1417" w:type="dxa"/>
            <w:shd w:val="clear" w:color="auto" w:fill="auto"/>
            <w:noWrap/>
            <w:tcMar>
              <w:top w:w="0" w:type="dxa"/>
              <w:bottom w:w="0" w:type="dxa"/>
            </w:tcMar>
            <w:vAlign w:val="center"/>
          </w:tcPr>
          <w:p w:rsidR="007C1F9F" w:rsidRPr="00A15BA2" w:rsidRDefault="007C1F9F" w:rsidP="00186172">
            <w:pPr>
              <w:pStyle w:val="AERtabletext"/>
            </w:pPr>
            <w:r w:rsidRPr="00A15BA2">
              <w:t>Metro South East</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w:t>
            </w:r>
            <w:r>
              <w:t>2586</w:t>
            </w:r>
          </w:p>
        </w:tc>
        <w:tc>
          <w:tcPr>
            <w:tcW w:w="1406" w:type="dxa"/>
            <w:shd w:val="clear" w:color="auto" w:fill="auto"/>
            <w:noWrap/>
            <w:tcMar>
              <w:top w:w="0" w:type="dxa"/>
              <w:bottom w:w="0" w:type="dxa"/>
            </w:tcMar>
            <w:vAlign w:val="center"/>
          </w:tcPr>
          <w:p w:rsidR="007C1F9F" w:rsidRPr="00A15BA2" w:rsidRDefault="007C1F9F" w:rsidP="00186172">
            <w:pPr>
              <w:pStyle w:val="AERtabletext"/>
            </w:pPr>
            <w:r w:rsidRPr="00A15BA2">
              <w:t>0.</w:t>
            </w:r>
            <w:r>
              <w:t>2688</w:t>
            </w:r>
          </w:p>
        </w:tc>
        <w:tc>
          <w:tcPr>
            <w:tcW w:w="1163" w:type="dxa"/>
            <w:shd w:val="clear" w:color="auto" w:fill="auto"/>
            <w:noWrap/>
            <w:tcMar>
              <w:top w:w="0" w:type="dxa"/>
              <w:bottom w:w="0" w:type="dxa"/>
            </w:tcMar>
          </w:tcPr>
          <w:p w:rsidR="007C1F9F" w:rsidRPr="00A15BA2" w:rsidRDefault="007C1F9F" w:rsidP="00186172">
            <w:pPr>
              <w:pStyle w:val="AERtabletext"/>
            </w:pPr>
            <w:r w:rsidRPr="00A15BA2">
              <w:t>0%</w:t>
            </w:r>
          </w:p>
        </w:tc>
      </w:tr>
      <w:tr w:rsidR="007C1F9F" w:rsidRPr="00916386" w:rsidTr="00186172">
        <w:tc>
          <w:tcPr>
            <w:tcW w:w="1440" w:type="dxa"/>
            <w:shd w:val="clear" w:color="auto" w:fill="F8B47C"/>
            <w:noWrap/>
            <w:tcMar>
              <w:top w:w="0" w:type="dxa"/>
              <w:bottom w:w="0" w:type="dxa"/>
            </w:tcMar>
            <w:vAlign w:val="center"/>
          </w:tcPr>
          <w:p w:rsidR="007C1F9F" w:rsidRPr="00916386" w:rsidRDefault="007C1F9F" w:rsidP="00186172">
            <w:pPr>
              <w:pStyle w:val="AERtabletext"/>
            </w:pPr>
            <w:r w:rsidRPr="00916386">
              <w:t>21</w:t>
            </w:r>
          </w:p>
        </w:tc>
        <w:tc>
          <w:tcPr>
            <w:tcW w:w="1417" w:type="dxa"/>
            <w:shd w:val="clear" w:color="auto" w:fill="F8B47C"/>
            <w:noWrap/>
            <w:tcMar>
              <w:top w:w="0" w:type="dxa"/>
              <w:bottom w:w="0" w:type="dxa"/>
            </w:tcMar>
            <w:vAlign w:val="center"/>
          </w:tcPr>
          <w:p w:rsidR="007C1F9F" w:rsidRPr="00916386" w:rsidRDefault="007C1F9F" w:rsidP="00186172">
            <w:pPr>
              <w:pStyle w:val="AERtabletext"/>
            </w:pPr>
            <w:r w:rsidRPr="00916386">
              <w:t>Warrnambool</w:t>
            </w:r>
          </w:p>
        </w:tc>
        <w:tc>
          <w:tcPr>
            <w:tcW w:w="1406" w:type="dxa"/>
            <w:shd w:val="clear" w:color="auto" w:fill="F8B47C"/>
            <w:noWrap/>
            <w:tcMar>
              <w:top w:w="0" w:type="dxa"/>
              <w:bottom w:w="0" w:type="dxa"/>
            </w:tcMar>
            <w:vAlign w:val="center"/>
          </w:tcPr>
          <w:p w:rsidR="007C1F9F" w:rsidRPr="00916386" w:rsidRDefault="007C1F9F" w:rsidP="00186172">
            <w:pPr>
              <w:pStyle w:val="AERtabletext"/>
            </w:pPr>
            <w:r w:rsidRPr="00916386">
              <w:t>0.09</w:t>
            </w:r>
            <w:r>
              <w:t>36</w:t>
            </w:r>
          </w:p>
        </w:tc>
        <w:tc>
          <w:tcPr>
            <w:tcW w:w="1406" w:type="dxa"/>
            <w:shd w:val="clear" w:color="auto" w:fill="F8B47C"/>
            <w:noWrap/>
            <w:tcMar>
              <w:top w:w="0" w:type="dxa"/>
              <w:bottom w:w="0" w:type="dxa"/>
            </w:tcMar>
            <w:vAlign w:val="center"/>
          </w:tcPr>
          <w:p w:rsidR="007C1F9F" w:rsidRPr="00916386" w:rsidRDefault="007C1F9F" w:rsidP="00186172">
            <w:pPr>
              <w:pStyle w:val="AERtabletext"/>
            </w:pPr>
            <w:r w:rsidRPr="00916386">
              <w:t>0.15</w:t>
            </w:r>
            <w:r>
              <w:t>66</w:t>
            </w:r>
          </w:p>
        </w:tc>
        <w:tc>
          <w:tcPr>
            <w:tcW w:w="1163" w:type="dxa"/>
            <w:shd w:val="clear" w:color="auto" w:fill="F8B47C"/>
            <w:noWrap/>
            <w:tcMar>
              <w:top w:w="0" w:type="dxa"/>
              <w:bottom w:w="0" w:type="dxa"/>
            </w:tcMar>
            <w:vAlign w:val="center"/>
          </w:tcPr>
          <w:p w:rsidR="007C1F9F" w:rsidRPr="00916386" w:rsidRDefault="007C1F9F" w:rsidP="00186172">
            <w:pPr>
              <w:pStyle w:val="AERtabletext"/>
            </w:pPr>
            <w:r w:rsidRPr="00916386">
              <w:t>0%</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rsidRPr="00916386">
              <w:t>22</w:t>
            </w:r>
          </w:p>
        </w:tc>
        <w:tc>
          <w:tcPr>
            <w:tcW w:w="1417" w:type="dxa"/>
            <w:shd w:val="clear" w:color="auto" w:fill="auto"/>
            <w:noWrap/>
            <w:tcMar>
              <w:top w:w="0" w:type="dxa"/>
              <w:bottom w:w="0" w:type="dxa"/>
            </w:tcMar>
            <w:vAlign w:val="center"/>
          </w:tcPr>
          <w:p w:rsidR="007C1F9F" w:rsidRPr="00916386" w:rsidRDefault="007C1F9F" w:rsidP="00186172">
            <w:pPr>
              <w:pStyle w:val="AERtabletext"/>
            </w:pPr>
            <w:r w:rsidRPr="00916386">
              <w:t>Koroit</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0.19</w:t>
            </w:r>
            <w:r>
              <w:t>41</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0.5</w:t>
            </w:r>
            <w:r>
              <w:t>858</w:t>
            </w:r>
          </w:p>
        </w:tc>
        <w:tc>
          <w:tcPr>
            <w:tcW w:w="1163" w:type="dxa"/>
            <w:shd w:val="clear" w:color="auto" w:fill="auto"/>
            <w:noWrap/>
            <w:tcMar>
              <w:top w:w="0" w:type="dxa"/>
              <w:bottom w:w="0" w:type="dxa"/>
            </w:tcMar>
            <w:vAlign w:val="center"/>
          </w:tcPr>
          <w:p w:rsidR="007C1F9F" w:rsidRPr="00916386" w:rsidRDefault="007C1F9F" w:rsidP="00186172">
            <w:pPr>
              <w:pStyle w:val="AERtabletext"/>
            </w:pPr>
            <w:r w:rsidRPr="00916386">
              <w:t>0%</w:t>
            </w:r>
          </w:p>
        </w:tc>
      </w:tr>
      <w:tr w:rsidR="007C1F9F" w:rsidRPr="00916386" w:rsidTr="00186172">
        <w:tc>
          <w:tcPr>
            <w:tcW w:w="1440" w:type="dxa"/>
            <w:shd w:val="clear" w:color="auto" w:fill="F8B47C"/>
            <w:noWrap/>
            <w:tcMar>
              <w:top w:w="0" w:type="dxa"/>
              <w:bottom w:w="0" w:type="dxa"/>
            </w:tcMar>
            <w:vAlign w:val="center"/>
          </w:tcPr>
          <w:p w:rsidR="007C1F9F" w:rsidRPr="00916386" w:rsidRDefault="007C1F9F" w:rsidP="00186172">
            <w:pPr>
              <w:pStyle w:val="AERtabletext"/>
            </w:pPr>
            <w:r w:rsidRPr="00916386">
              <w:t>24</w:t>
            </w:r>
          </w:p>
        </w:tc>
        <w:tc>
          <w:tcPr>
            <w:tcW w:w="1417" w:type="dxa"/>
            <w:shd w:val="clear" w:color="auto" w:fill="F8B47C"/>
            <w:noWrap/>
            <w:tcMar>
              <w:top w:w="0" w:type="dxa"/>
              <w:bottom w:w="0" w:type="dxa"/>
            </w:tcMar>
            <w:vAlign w:val="center"/>
          </w:tcPr>
          <w:p w:rsidR="007C1F9F" w:rsidRPr="00916386" w:rsidRDefault="007C1F9F" w:rsidP="00186172">
            <w:pPr>
              <w:pStyle w:val="AERtabletext"/>
            </w:pPr>
            <w:r w:rsidRPr="00916386">
              <w:br w:type="column"/>
            </w:r>
            <w:r w:rsidRPr="00916386">
              <w:br w:type="column"/>
              <w:t>Geelong</w:t>
            </w:r>
          </w:p>
        </w:tc>
        <w:tc>
          <w:tcPr>
            <w:tcW w:w="1406" w:type="dxa"/>
            <w:shd w:val="clear" w:color="auto" w:fill="F8B47C"/>
            <w:noWrap/>
            <w:tcMar>
              <w:top w:w="0" w:type="dxa"/>
              <w:bottom w:w="0" w:type="dxa"/>
            </w:tcMar>
            <w:vAlign w:val="center"/>
          </w:tcPr>
          <w:p w:rsidR="007C1F9F" w:rsidRPr="00916386" w:rsidRDefault="007C1F9F" w:rsidP="00186172">
            <w:pPr>
              <w:pStyle w:val="AERtabletext"/>
            </w:pPr>
            <w:r w:rsidRPr="00916386">
              <w:t>0.1</w:t>
            </w:r>
            <w:r>
              <w:t>460</w:t>
            </w:r>
          </w:p>
        </w:tc>
        <w:tc>
          <w:tcPr>
            <w:tcW w:w="1406" w:type="dxa"/>
            <w:shd w:val="clear" w:color="auto" w:fill="F8B47C"/>
            <w:noWrap/>
            <w:tcMar>
              <w:top w:w="0" w:type="dxa"/>
              <w:bottom w:w="0" w:type="dxa"/>
            </w:tcMar>
            <w:vAlign w:val="center"/>
          </w:tcPr>
          <w:p w:rsidR="007C1F9F" w:rsidRPr="00916386" w:rsidRDefault="007C1F9F" w:rsidP="00186172">
            <w:pPr>
              <w:pStyle w:val="AERtabletext"/>
            </w:pPr>
            <w:r w:rsidRPr="00916386">
              <w:t>0.1</w:t>
            </w:r>
            <w:r>
              <w:t>650</w:t>
            </w:r>
          </w:p>
        </w:tc>
        <w:tc>
          <w:tcPr>
            <w:tcW w:w="1163" w:type="dxa"/>
            <w:shd w:val="clear" w:color="auto" w:fill="F8B47C"/>
            <w:noWrap/>
            <w:tcMar>
              <w:top w:w="0" w:type="dxa"/>
              <w:bottom w:w="0" w:type="dxa"/>
            </w:tcMar>
            <w:vAlign w:val="center"/>
          </w:tcPr>
          <w:p w:rsidR="007C1F9F" w:rsidRPr="00916386" w:rsidRDefault="007C1F9F" w:rsidP="00186172">
            <w:pPr>
              <w:pStyle w:val="AERtabletext"/>
            </w:pPr>
            <w:r w:rsidRPr="00A15BA2">
              <w:t>0%</w:t>
            </w:r>
          </w:p>
        </w:tc>
      </w:tr>
    </w:tbl>
    <w:p w:rsidR="007C1F9F" w:rsidRPr="007E3923" w:rsidRDefault="007C1F9F" w:rsidP="007C1F9F">
      <w:pPr>
        <w:pStyle w:val="AERbodytext"/>
        <w:rPr>
          <w:rFonts w:eastAsia="Calibri"/>
        </w:rPr>
      </w:pPr>
    </w:p>
    <w:p w:rsidR="007C1F9F" w:rsidRPr="007E3923" w:rsidRDefault="007C1F9F" w:rsidP="007C1F9F">
      <w:pPr>
        <w:pStyle w:val="AERbodytext"/>
        <w:rPr>
          <w:rFonts w:eastAsia="Calibri"/>
        </w:rPr>
      </w:pPr>
      <w:r w:rsidRPr="007E3923">
        <w:rPr>
          <w:rFonts w:eastAsia="Calibri"/>
        </w:rPr>
        <w:t>(b) System Export Tariff</w:t>
      </w:r>
    </w:p>
    <w:p w:rsidR="007C1F9F" w:rsidRPr="007E3923" w:rsidRDefault="007C1F9F" w:rsidP="007C1F9F">
      <w:pPr>
        <w:pStyle w:val="AERbodytext"/>
        <w:rPr>
          <w:rFonts w:eastAsia="Calibri"/>
        </w:rPr>
      </w:pPr>
      <w:r w:rsidRPr="007E3923">
        <w:rPr>
          <w:rFonts w:eastAsia="Calibri"/>
        </w:rPr>
        <w:t>Where a Connection Point in an Injection Zone services an export of gas from the VTS to a Connected Transmission Pipeline, gas Injected at that Injection Zone and Withdrawn through that Connection Point is subject to the System Export Tariff specified below, instead of the Withdrawal Tariff specified in clause A.3(a) of this Schedule.</w:t>
      </w:r>
    </w:p>
    <w:tbl>
      <w:tblPr>
        <w:tblW w:w="0" w:type="auto"/>
        <w:tblBorders>
          <w:top w:val="single" w:sz="4" w:space="0" w:color="auto"/>
          <w:bottom w:val="single" w:sz="4" w:space="0" w:color="auto"/>
        </w:tblBorders>
        <w:tblLook w:val="01E0"/>
      </w:tblPr>
      <w:tblGrid>
        <w:gridCol w:w="1440"/>
        <w:gridCol w:w="1417"/>
        <w:gridCol w:w="1406"/>
        <w:gridCol w:w="1406"/>
      </w:tblGrid>
      <w:tr w:rsidR="007C1F9F" w:rsidRPr="00350517" w:rsidTr="00186172">
        <w:tc>
          <w:tcPr>
            <w:tcW w:w="144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w:t>
            </w:r>
          </w:p>
          <w:p w:rsidR="007C1F9F" w:rsidRPr="007E3923" w:rsidRDefault="007C1F9F" w:rsidP="00186172">
            <w:pPr>
              <w:pStyle w:val="AERtabletext"/>
              <w:rPr>
                <w:rStyle w:val="AERtextbold"/>
                <w:rFonts w:eastAsia="Calibri"/>
              </w:rPr>
            </w:pPr>
            <w:r w:rsidRPr="007E3923">
              <w:rPr>
                <w:rStyle w:val="AERtextbold"/>
                <w:rFonts w:eastAsia="Calibri"/>
              </w:rPr>
              <w:t>Zone</w:t>
            </w:r>
          </w:p>
          <w:p w:rsidR="007C1F9F" w:rsidRPr="00350517" w:rsidRDefault="007C1F9F" w:rsidP="00186172">
            <w:pPr>
              <w:pStyle w:val="AERtabletext"/>
              <w:rPr>
                <w:rStyle w:val="AERtextbold"/>
              </w:rPr>
            </w:pPr>
            <w:r w:rsidRPr="007E3923">
              <w:rPr>
                <w:rStyle w:val="AERtextbold"/>
                <w:rFonts w:eastAsia="Calibri"/>
              </w:rPr>
              <w:t>Number</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Connected Transmission Pipeline name</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sidRPr="007E3923">
              <w:rPr>
                <w:rStyle w:val="AERtextbold"/>
                <w:rFonts w:eastAsia="Calibri"/>
              </w:rPr>
              <w:t>System export tariff ($/GJ)</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X-factor</w:t>
            </w:r>
          </w:p>
        </w:tc>
      </w:tr>
      <w:tr w:rsidR="007C1F9F" w:rsidRPr="00916386" w:rsidTr="00186172">
        <w:tc>
          <w:tcPr>
            <w:tcW w:w="1440" w:type="dxa"/>
            <w:shd w:val="clear" w:color="auto" w:fill="auto"/>
            <w:noWrap/>
            <w:tcMar>
              <w:top w:w="0" w:type="dxa"/>
              <w:bottom w:w="0" w:type="dxa"/>
            </w:tcMar>
            <w:vAlign w:val="center"/>
          </w:tcPr>
          <w:p w:rsidR="007C1F9F" w:rsidRPr="00EF01D2" w:rsidRDefault="007C1F9F" w:rsidP="00186172">
            <w:pPr>
              <w:pStyle w:val="AERtabletext"/>
            </w:pPr>
            <w:r w:rsidRPr="00EF01D2">
              <w:t>31</w:t>
            </w:r>
          </w:p>
        </w:tc>
        <w:tc>
          <w:tcPr>
            <w:tcW w:w="1417" w:type="dxa"/>
            <w:shd w:val="clear" w:color="auto" w:fill="auto"/>
            <w:noWrap/>
            <w:tcMar>
              <w:top w:w="0" w:type="dxa"/>
              <w:bottom w:w="0" w:type="dxa"/>
            </w:tcMar>
            <w:vAlign w:val="center"/>
          </w:tcPr>
          <w:p w:rsidR="007C1F9F" w:rsidRPr="00EF01D2" w:rsidRDefault="007C1F9F" w:rsidP="00186172">
            <w:pPr>
              <w:pStyle w:val="AERtabletext"/>
            </w:pPr>
            <w:r w:rsidRPr="00EF01D2">
              <w:t>VicHub</w:t>
            </w:r>
          </w:p>
        </w:tc>
        <w:tc>
          <w:tcPr>
            <w:tcW w:w="1406" w:type="dxa"/>
            <w:shd w:val="clear" w:color="auto" w:fill="auto"/>
            <w:noWrap/>
            <w:tcMar>
              <w:top w:w="0" w:type="dxa"/>
              <w:bottom w:w="0" w:type="dxa"/>
            </w:tcMar>
            <w:vAlign w:val="center"/>
          </w:tcPr>
          <w:p w:rsidR="007C1F9F" w:rsidRPr="00EF01D2" w:rsidRDefault="007C1F9F" w:rsidP="00186172">
            <w:pPr>
              <w:pStyle w:val="AERtabletext"/>
            </w:pPr>
            <w:r w:rsidRPr="00EF01D2">
              <w:t>0.0000</w:t>
            </w:r>
          </w:p>
        </w:tc>
        <w:tc>
          <w:tcPr>
            <w:tcW w:w="1406" w:type="dxa"/>
            <w:shd w:val="clear" w:color="auto" w:fill="auto"/>
            <w:noWrap/>
            <w:tcMar>
              <w:top w:w="0" w:type="dxa"/>
              <w:bottom w:w="0" w:type="dxa"/>
            </w:tcMar>
            <w:vAlign w:val="center"/>
          </w:tcPr>
          <w:p w:rsidR="007C1F9F" w:rsidRPr="00EF01D2" w:rsidRDefault="007C1F9F" w:rsidP="00186172">
            <w:pPr>
              <w:pStyle w:val="AERtabletext"/>
            </w:pPr>
            <w:r w:rsidRPr="00EF01D2">
              <w:t>0%</w:t>
            </w:r>
          </w:p>
        </w:tc>
      </w:tr>
      <w:tr w:rsidR="007C1F9F" w:rsidRPr="00916386" w:rsidTr="00186172">
        <w:tc>
          <w:tcPr>
            <w:tcW w:w="1440" w:type="dxa"/>
            <w:shd w:val="clear" w:color="auto" w:fill="F8B47C"/>
            <w:noWrap/>
            <w:tcMar>
              <w:top w:w="0" w:type="dxa"/>
              <w:bottom w:w="0" w:type="dxa"/>
            </w:tcMar>
            <w:vAlign w:val="center"/>
          </w:tcPr>
          <w:p w:rsidR="007C1F9F" w:rsidRPr="00EF01D2" w:rsidRDefault="007C1F9F" w:rsidP="00186172">
            <w:pPr>
              <w:pStyle w:val="AERtabletext"/>
            </w:pPr>
            <w:r w:rsidRPr="00EF01D2">
              <w:t>33</w:t>
            </w:r>
          </w:p>
        </w:tc>
        <w:tc>
          <w:tcPr>
            <w:tcW w:w="1417" w:type="dxa"/>
            <w:shd w:val="clear" w:color="auto" w:fill="F8B47C"/>
            <w:noWrap/>
            <w:tcMar>
              <w:top w:w="0" w:type="dxa"/>
              <w:bottom w:w="0" w:type="dxa"/>
            </w:tcMar>
            <w:vAlign w:val="center"/>
          </w:tcPr>
          <w:p w:rsidR="007C1F9F" w:rsidRPr="00EF01D2" w:rsidRDefault="007C1F9F" w:rsidP="00186172">
            <w:pPr>
              <w:pStyle w:val="AERtabletext"/>
            </w:pPr>
            <w:r w:rsidRPr="00EF01D2">
              <w:t>SEA Gas Pipeline</w:t>
            </w:r>
          </w:p>
        </w:tc>
        <w:tc>
          <w:tcPr>
            <w:tcW w:w="1406" w:type="dxa"/>
            <w:shd w:val="clear" w:color="auto" w:fill="F8B47C"/>
            <w:noWrap/>
            <w:tcMar>
              <w:top w:w="0" w:type="dxa"/>
              <w:bottom w:w="0" w:type="dxa"/>
            </w:tcMar>
            <w:vAlign w:val="center"/>
          </w:tcPr>
          <w:p w:rsidR="007C1F9F" w:rsidRPr="00EF01D2" w:rsidRDefault="007C1F9F" w:rsidP="00186172">
            <w:pPr>
              <w:pStyle w:val="AERtabletext"/>
            </w:pPr>
            <w:r w:rsidRPr="00EF01D2">
              <w:t>0.0205</w:t>
            </w:r>
          </w:p>
        </w:tc>
        <w:tc>
          <w:tcPr>
            <w:tcW w:w="1406" w:type="dxa"/>
            <w:shd w:val="clear" w:color="auto" w:fill="F8B47C"/>
            <w:noWrap/>
            <w:tcMar>
              <w:top w:w="0" w:type="dxa"/>
              <w:bottom w:w="0" w:type="dxa"/>
            </w:tcMar>
            <w:vAlign w:val="center"/>
          </w:tcPr>
          <w:p w:rsidR="007C1F9F" w:rsidRPr="00EF01D2" w:rsidRDefault="007C1F9F" w:rsidP="00186172">
            <w:pPr>
              <w:pStyle w:val="AERtabletext"/>
            </w:pPr>
            <w:r w:rsidRPr="00EF01D2">
              <w:t>0%</w:t>
            </w:r>
          </w:p>
        </w:tc>
      </w:tr>
    </w:tbl>
    <w:p w:rsidR="007C1F9F" w:rsidRPr="007E3923" w:rsidRDefault="007C1F9F" w:rsidP="007C1F9F">
      <w:pPr>
        <w:rPr>
          <w:rFonts w:eastAsia="Calibri"/>
        </w:rPr>
      </w:pPr>
    </w:p>
    <w:p w:rsidR="007C1F9F" w:rsidRPr="007E3923" w:rsidRDefault="007C1F9F" w:rsidP="007C1F9F">
      <w:pPr>
        <w:pStyle w:val="AERbodytext"/>
        <w:rPr>
          <w:rFonts w:eastAsia="Calibri"/>
        </w:rPr>
      </w:pPr>
      <w:r w:rsidRPr="007E3923">
        <w:rPr>
          <w:rFonts w:eastAsia="Calibri"/>
        </w:rPr>
        <w:t>(c) Transmission Refill Tariff</w:t>
      </w:r>
    </w:p>
    <w:p w:rsidR="007C1F9F" w:rsidRPr="007E3923" w:rsidRDefault="007C1F9F" w:rsidP="007C1F9F">
      <w:pPr>
        <w:pStyle w:val="AERbodytext"/>
        <w:rPr>
          <w:rFonts w:eastAsia="Calibri"/>
        </w:rPr>
      </w:pPr>
      <w:r w:rsidRPr="007E3923">
        <w:rPr>
          <w:rFonts w:eastAsia="Calibri"/>
        </w:rPr>
        <w:t>Where a Connection Point services a Storage Facility, all gas Withdrawn through that Connection Point is subject to the Transmission Refill Tariff specified below, instead of the Withdrawal Tariff specified in clause A.3(a) of this Schedule.</w:t>
      </w:r>
    </w:p>
    <w:tbl>
      <w:tblPr>
        <w:tblW w:w="0" w:type="auto"/>
        <w:tblBorders>
          <w:top w:val="single" w:sz="4" w:space="0" w:color="auto"/>
          <w:bottom w:val="single" w:sz="4" w:space="0" w:color="auto"/>
        </w:tblBorders>
        <w:tblLook w:val="01E0"/>
      </w:tblPr>
      <w:tblGrid>
        <w:gridCol w:w="1440"/>
        <w:gridCol w:w="1417"/>
        <w:gridCol w:w="1406"/>
        <w:gridCol w:w="1406"/>
      </w:tblGrid>
      <w:tr w:rsidR="007C1F9F" w:rsidRPr="00350517" w:rsidTr="00186172">
        <w:tc>
          <w:tcPr>
            <w:tcW w:w="144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w:t>
            </w:r>
          </w:p>
          <w:p w:rsidR="007C1F9F" w:rsidRPr="007E3923" w:rsidRDefault="007C1F9F" w:rsidP="00186172">
            <w:pPr>
              <w:pStyle w:val="AERtabletext"/>
              <w:rPr>
                <w:rStyle w:val="AERtextbold"/>
                <w:rFonts w:eastAsia="Calibri"/>
              </w:rPr>
            </w:pPr>
            <w:r w:rsidRPr="007E3923">
              <w:rPr>
                <w:rStyle w:val="AERtextbold"/>
                <w:rFonts w:eastAsia="Calibri"/>
              </w:rPr>
              <w:t>Zone</w:t>
            </w:r>
          </w:p>
          <w:p w:rsidR="007C1F9F" w:rsidRPr="00350517" w:rsidRDefault="007C1F9F" w:rsidP="00186172">
            <w:pPr>
              <w:pStyle w:val="AERtabletext"/>
              <w:rPr>
                <w:rStyle w:val="AERtextbold"/>
              </w:rPr>
            </w:pPr>
            <w:r w:rsidRPr="007E3923">
              <w:rPr>
                <w:rStyle w:val="AERtextbold"/>
                <w:rFonts w:eastAsia="Calibri"/>
              </w:rPr>
              <w:t>Number</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Storage Facility Name</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sidRPr="007E3923">
              <w:rPr>
                <w:rStyle w:val="AERtextbold"/>
                <w:rFonts w:eastAsia="Calibri"/>
              </w:rPr>
              <w:t>Transmission Refill tariff ($/GJ)</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X-factor</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t>23</w:t>
            </w:r>
          </w:p>
        </w:tc>
        <w:tc>
          <w:tcPr>
            <w:tcW w:w="1417" w:type="dxa"/>
            <w:shd w:val="clear" w:color="auto" w:fill="auto"/>
            <w:noWrap/>
            <w:tcMar>
              <w:top w:w="0" w:type="dxa"/>
              <w:bottom w:w="0" w:type="dxa"/>
            </w:tcMar>
            <w:vAlign w:val="center"/>
          </w:tcPr>
          <w:p w:rsidR="007C1F9F" w:rsidRPr="00916386" w:rsidRDefault="007C1F9F" w:rsidP="00186172">
            <w:pPr>
              <w:pStyle w:val="AERtabletext"/>
            </w:pPr>
            <w:r>
              <w:t>LNG</w:t>
            </w:r>
          </w:p>
        </w:tc>
        <w:tc>
          <w:tcPr>
            <w:tcW w:w="1406" w:type="dxa"/>
            <w:shd w:val="clear" w:color="auto" w:fill="auto"/>
            <w:noWrap/>
            <w:tcMar>
              <w:top w:w="0" w:type="dxa"/>
              <w:bottom w:w="0" w:type="dxa"/>
            </w:tcMar>
            <w:vAlign w:val="center"/>
          </w:tcPr>
          <w:p w:rsidR="007C1F9F" w:rsidRPr="00916386" w:rsidRDefault="007C1F9F" w:rsidP="00186172">
            <w:pPr>
              <w:pStyle w:val="AERtabletext"/>
            </w:pPr>
            <w:r>
              <w:t>0.0500</w:t>
            </w:r>
          </w:p>
        </w:tc>
        <w:tc>
          <w:tcPr>
            <w:tcW w:w="1406" w:type="dxa"/>
            <w:shd w:val="clear" w:color="auto" w:fill="auto"/>
            <w:noWrap/>
            <w:tcMar>
              <w:top w:w="0" w:type="dxa"/>
              <w:bottom w:w="0" w:type="dxa"/>
            </w:tcMar>
            <w:vAlign w:val="center"/>
          </w:tcPr>
          <w:p w:rsidR="007C1F9F" w:rsidRPr="00916386" w:rsidRDefault="007C1F9F" w:rsidP="00186172">
            <w:pPr>
              <w:pStyle w:val="AERtabletext"/>
            </w:pPr>
            <w:r>
              <w:t>0%</w:t>
            </w:r>
          </w:p>
        </w:tc>
      </w:tr>
      <w:tr w:rsidR="007C1F9F" w:rsidRPr="00916386" w:rsidTr="00186172">
        <w:tc>
          <w:tcPr>
            <w:tcW w:w="1440" w:type="dxa"/>
            <w:shd w:val="clear" w:color="auto" w:fill="F8B47C"/>
            <w:noWrap/>
            <w:tcMar>
              <w:top w:w="0" w:type="dxa"/>
              <w:bottom w:w="0" w:type="dxa"/>
            </w:tcMar>
            <w:vAlign w:val="center"/>
          </w:tcPr>
          <w:p w:rsidR="007C1F9F" w:rsidRPr="00916386" w:rsidRDefault="007C1F9F" w:rsidP="00186172">
            <w:pPr>
              <w:pStyle w:val="AERtabletext"/>
            </w:pPr>
            <w:r>
              <w:t>32</w:t>
            </w:r>
          </w:p>
        </w:tc>
        <w:tc>
          <w:tcPr>
            <w:tcW w:w="1417" w:type="dxa"/>
            <w:shd w:val="clear" w:color="auto" w:fill="F8B47C"/>
            <w:noWrap/>
            <w:tcMar>
              <w:top w:w="0" w:type="dxa"/>
              <w:bottom w:w="0" w:type="dxa"/>
            </w:tcMar>
            <w:vAlign w:val="center"/>
          </w:tcPr>
          <w:p w:rsidR="007C1F9F" w:rsidRPr="00916386" w:rsidRDefault="007C1F9F" w:rsidP="00186172">
            <w:pPr>
              <w:pStyle w:val="AERtabletext"/>
            </w:pPr>
            <w:r>
              <w:t>WUGS</w:t>
            </w:r>
          </w:p>
        </w:tc>
        <w:tc>
          <w:tcPr>
            <w:tcW w:w="1406" w:type="dxa"/>
            <w:shd w:val="clear" w:color="auto" w:fill="F8B47C"/>
            <w:noWrap/>
            <w:tcMar>
              <w:top w:w="0" w:type="dxa"/>
              <w:bottom w:w="0" w:type="dxa"/>
            </w:tcMar>
            <w:vAlign w:val="center"/>
          </w:tcPr>
          <w:p w:rsidR="007C1F9F" w:rsidRPr="00916386" w:rsidRDefault="007C1F9F" w:rsidP="00186172">
            <w:pPr>
              <w:pStyle w:val="AERtabletext"/>
            </w:pPr>
            <w:r>
              <w:t>0.0500</w:t>
            </w:r>
          </w:p>
        </w:tc>
        <w:tc>
          <w:tcPr>
            <w:tcW w:w="1406" w:type="dxa"/>
            <w:shd w:val="clear" w:color="auto" w:fill="F8B47C"/>
            <w:noWrap/>
            <w:tcMar>
              <w:top w:w="0" w:type="dxa"/>
              <w:bottom w:w="0" w:type="dxa"/>
            </w:tcMar>
            <w:vAlign w:val="center"/>
          </w:tcPr>
          <w:p w:rsidR="007C1F9F" w:rsidRPr="00916386" w:rsidRDefault="007C1F9F" w:rsidP="00186172">
            <w:pPr>
              <w:pStyle w:val="AERtabletext"/>
            </w:pPr>
            <w:r>
              <w:t>0%</w:t>
            </w:r>
          </w:p>
        </w:tc>
      </w:tr>
    </w:tbl>
    <w:p w:rsidR="007C1F9F" w:rsidRPr="007E3923" w:rsidRDefault="007C1F9F" w:rsidP="007C1F9F">
      <w:pPr>
        <w:rPr>
          <w:rFonts w:eastAsia="Calibri"/>
        </w:rPr>
      </w:pPr>
    </w:p>
    <w:p w:rsidR="007C1F9F" w:rsidRPr="007E3923" w:rsidRDefault="007C1F9F" w:rsidP="007C1F9F">
      <w:pPr>
        <w:pStyle w:val="AERbodytext"/>
        <w:rPr>
          <w:rFonts w:eastAsia="Calibri"/>
        </w:rPr>
      </w:pPr>
      <w:r w:rsidRPr="007E3923">
        <w:rPr>
          <w:rFonts w:eastAsia="Calibri"/>
        </w:rPr>
        <w:t>(d) Cross System Withdrawal Tariff</w:t>
      </w:r>
    </w:p>
    <w:p w:rsidR="007C1F9F" w:rsidRPr="007E3923" w:rsidRDefault="007C1F9F" w:rsidP="007C1F9F">
      <w:pPr>
        <w:pStyle w:val="AERbodytext"/>
        <w:rPr>
          <w:rFonts w:eastAsia="Calibri"/>
        </w:rPr>
      </w:pPr>
      <w:r w:rsidRPr="007E3923">
        <w:rPr>
          <w:rFonts w:eastAsia="Calibri"/>
        </w:rPr>
        <w:t>If:</w:t>
      </w:r>
    </w:p>
    <w:p w:rsidR="007C1F9F" w:rsidRPr="007E3923" w:rsidRDefault="007C1F9F" w:rsidP="007C1F9F">
      <w:pPr>
        <w:pStyle w:val="AERbodytext"/>
        <w:rPr>
          <w:rFonts w:eastAsia="Calibri"/>
        </w:rPr>
      </w:pPr>
      <w:r w:rsidRPr="007E3923">
        <w:rPr>
          <w:rFonts w:eastAsia="Calibri"/>
        </w:rPr>
        <w:t>(i) gas is Withdrawn at a Connection Point, other than a Connection Point servicing a Storage Facility, located on an Injection Pipeline other than the Interconnect Pipeline; and</w:t>
      </w:r>
    </w:p>
    <w:p w:rsidR="007C1F9F" w:rsidRPr="007E3923" w:rsidRDefault="007C1F9F" w:rsidP="007C1F9F">
      <w:pPr>
        <w:pStyle w:val="AERbodytext"/>
        <w:rPr>
          <w:rFonts w:eastAsia="Calibri"/>
        </w:rPr>
      </w:pPr>
      <w:r w:rsidRPr="007E3923">
        <w:rPr>
          <w:rFonts w:eastAsia="Calibri"/>
        </w:rPr>
        <w:t xml:space="preserve">(ii) that Withdrawal is a Matched Withdrawal with respect to an Injection Zone other than the Injection Zone for that Injection Pipeline, </w:t>
      </w:r>
    </w:p>
    <w:p w:rsidR="007C1F9F" w:rsidRPr="007E3923" w:rsidRDefault="007C1F9F" w:rsidP="007C1F9F">
      <w:pPr>
        <w:pStyle w:val="AERbodytext"/>
        <w:rPr>
          <w:rFonts w:eastAsia="Calibri"/>
        </w:rPr>
      </w:pPr>
      <w:r w:rsidRPr="007E3923">
        <w:rPr>
          <w:rFonts w:eastAsia="Calibri"/>
        </w:rPr>
        <w:t>then the Withdrawal is subject to the following Cross System Withdrawal Tariff in addition to the applicable Injection Tariff and Withdrawal Tariff.</w:t>
      </w:r>
    </w:p>
    <w:tbl>
      <w:tblPr>
        <w:tblW w:w="0" w:type="auto"/>
        <w:tblBorders>
          <w:top w:val="single" w:sz="4" w:space="0" w:color="auto"/>
          <w:bottom w:val="single" w:sz="4" w:space="0" w:color="auto"/>
        </w:tblBorders>
        <w:tblLook w:val="01E0"/>
      </w:tblPr>
      <w:tblGrid>
        <w:gridCol w:w="1440"/>
        <w:gridCol w:w="1417"/>
        <w:gridCol w:w="1406"/>
        <w:gridCol w:w="1406"/>
      </w:tblGrid>
      <w:tr w:rsidR="007C1F9F" w:rsidRPr="00350517" w:rsidTr="00186172">
        <w:tc>
          <w:tcPr>
            <w:tcW w:w="144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Injection Pipeline</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Cross System Withdrawal Tariff D ($/GJ)</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Transmission delivery tariff V ($/GJ)</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Pr>
                <w:rStyle w:val="AERtextbold"/>
              </w:rPr>
              <w:t>X-factor</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t>All</w:t>
            </w:r>
          </w:p>
        </w:tc>
        <w:tc>
          <w:tcPr>
            <w:tcW w:w="1417" w:type="dxa"/>
            <w:shd w:val="clear" w:color="auto" w:fill="auto"/>
            <w:noWrap/>
            <w:tcMar>
              <w:top w:w="0" w:type="dxa"/>
              <w:bottom w:w="0" w:type="dxa"/>
            </w:tcMar>
            <w:vAlign w:val="center"/>
          </w:tcPr>
          <w:p w:rsidR="007C1F9F" w:rsidRPr="00916386" w:rsidRDefault="007C1F9F" w:rsidP="00186172">
            <w:pPr>
              <w:pStyle w:val="AERtabletext"/>
            </w:pPr>
            <w:r>
              <w:t>0.1371</w:t>
            </w:r>
          </w:p>
        </w:tc>
        <w:tc>
          <w:tcPr>
            <w:tcW w:w="1406" w:type="dxa"/>
            <w:shd w:val="clear" w:color="auto" w:fill="auto"/>
            <w:noWrap/>
            <w:tcMar>
              <w:top w:w="0" w:type="dxa"/>
              <w:bottom w:w="0" w:type="dxa"/>
            </w:tcMar>
            <w:vAlign w:val="center"/>
          </w:tcPr>
          <w:p w:rsidR="007C1F9F" w:rsidRPr="00916386" w:rsidRDefault="007C1F9F" w:rsidP="00186172">
            <w:pPr>
              <w:pStyle w:val="AERtabletext"/>
            </w:pPr>
            <w:r>
              <w:t>0.1473</w:t>
            </w:r>
          </w:p>
        </w:tc>
        <w:tc>
          <w:tcPr>
            <w:tcW w:w="1406" w:type="dxa"/>
            <w:shd w:val="clear" w:color="auto" w:fill="auto"/>
            <w:noWrap/>
            <w:tcMar>
              <w:top w:w="0" w:type="dxa"/>
              <w:bottom w:w="0" w:type="dxa"/>
            </w:tcMar>
            <w:vAlign w:val="center"/>
          </w:tcPr>
          <w:p w:rsidR="007C1F9F" w:rsidRPr="00916386" w:rsidRDefault="007C1F9F" w:rsidP="00186172">
            <w:pPr>
              <w:pStyle w:val="AERtabletext"/>
            </w:pPr>
            <w:r>
              <w:t>0%</w:t>
            </w:r>
          </w:p>
        </w:tc>
      </w:tr>
    </w:tbl>
    <w:p w:rsidR="007C1F9F" w:rsidRPr="007E3923" w:rsidRDefault="007C1F9F" w:rsidP="007C1F9F">
      <w:pPr>
        <w:pStyle w:val="AERbodytext"/>
        <w:rPr>
          <w:rFonts w:eastAsia="Calibri"/>
        </w:rPr>
      </w:pPr>
    </w:p>
    <w:p w:rsidR="007C1F9F" w:rsidRPr="007E3923" w:rsidRDefault="007C1F9F" w:rsidP="007C1F9F">
      <w:pPr>
        <w:pStyle w:val="AERbodytext"/>
        <w:rPr>
          <w:rFonts w:eastAsia="Calibri"/>
        </w:rPr>
      </w:pPr>
      <w:r w:rsidRPr="007E3923">
        <w:rPr>
          <w:rFonts w:eastAsia="Calibri"/>
        </w:rPr>
        <w:t>(e) Matched Withdrawals - Culcairn</w:t>
      </w:r>
    </w:p>
    <w:p w:rsidR="007C1F9F" w:rsidRPr="007E3923" w:rsidRDefault="007C1F9F" w:rsidP="007C1F9F">
      <w:pPr>
        <w:pStyle w:val="AERbodytext"/>
        <w:rPr>
          <w:rFonts w:eastAsia="Calibri"/>
        </w:rPr>
      </w:pPr>
      <w:r w:rsidRPr="007E3923">
        <w:rPr>
          <w:rFonts w:eastAsia="Calibri"/>
        </w:rPr>
        <w:t>If a Withdrawal in one of the following Zones is a Matched Withdrawal relating to Injections in the Culcairn Zone, then the following Matched Withdrawal Tariffs apply instead of the tariffs described in clause A.3(a) of this Schedule:</w:t>
      </w:r>
    </w:p>
    <w:tbl>
      <w:tblPr>
        <w:tblW w:w="0" w:type="auto"/>
        <w:tblBorders>
          <w:top w:val="single" w:sz="4" w:space="0" w:color="auto"/>
          <w:bottom w:val="single" w:sz="4" w:space="0" w:color="auto"/>
        </w:tblBorders>
        <w:tblLook w:val="01E0"/>
      </w:tblPr>
      <w:tblGrid>
        <w:gridCol w:w="1440"/>
        <w:gridCol w:w="1417"/>
        <w:gridCol w:w="1406"/>
        <w:gridCol w:w="1406"/>
        <w:gridCol w:w="1163"/>
      </w:tblGrid>
      <w:tr w:rsidR="007C1F9F" w:rsidRPr="00350517" w:rsidTr="00186172">
        <w:tc>
          <w:tcPr>
            <w:tcW w:w="144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w:t>
            </w:r>
          </w:p>
          <w:p w:rsidR="007C1F9F" w:rsidRPr="007E3923" w:rsidRDefault="007C1F9F" w:rsidP="00186172">
            <w:pPr>
              <w:pStyle w:val="AERtabletext"/>
              <w:rPr>
                <w:rStyle w:val="AERtextbold"/>
                <w:rFonts w:eastAsia="Calibri"/>
              </w:rPr>
            </w:pPr>
            <w:r w:rsidRPr="007E3923">
              <w:rPr>
                <w:rStyle w:val="AERtextbold"/>
                <w:rFonts w:eastAsia="Calibri"/>
              </w:rPr>
              <w:t>Zone</w:t>
            </w:r>
          </w:p>
          <w:p w:rsidR="007C1F9F" w:rsidRPr="00350517" w:rsidRDefault="007C1F9F" w:rsidP="00186172">
            <w:pPr>
              <w:pStyle w:val="AERtabletext"/>
              <w:rPr>
                <w:rStyle w:val="AERtextbold"/>
              </w:rPr>
            </w:pPr>
            <w:r w:rsidRPr="007E3923">
              <w:rPr>
                <w:rStyle w:val="AERtextbold"/>
                <w:rFonts w:eastAsia="Calibri"/>
              </w:rPr>
              <w:t>Number</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 Zone</w:t>
            </w:r>
          </w:p>
          <w:p w:rsidR="007C1F9F" w:rsidRPr="00350517" w:rsidRDefault="007C1F9F" w:rsidP="00186172">
            <w:pPr>
              <w:pStyle w:val="AERtabletext"/>
              <w:rPr>
                <w:rStyle w:val="AERtextbold"/>
              </w:rPr>
            </w:pPr>
            <w:r w:rsidRPr="007E3923">
              <w:rPr>
                <w:rStyle w:val="AERtextbold"/>
                <w:rFonts w:eastAsia="Calibri"/>
              </w:rPr>
              <w:t>Name</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Transmission</w:t>
            </w:r>
          </w:p>
          <w:p w:rsidR="007C1F9F" w:rsidRPr="007E3923" w:rsidRDefault="007C1F9F" w:rsidP="00186172">
            <w:pPr>
              <w:pStyle w:val="AERtabletext"/>
              <w:rPr>
                <w:rStyle w:val="AERtextbold"/>
                <w:rFonts w:eastAsia="Calibri"/>
              </w:rPr>
            </w:pPr>
            <w:r w:rsidRPr="007E3923">
              <w:rPr>
                <w:rStyle w:val="AERtextbold"/>
                <w:rFonts w:eastAsia="Calibri"/>
              </w:rPr>
              <w:t>delivery tariff D</w:t>
            </w:r>
          </w:p>
          <w:p w:rsidR="007C1F9F" w:rsidRPr="00350517" w:rsidRDefault="007C1F9F" w:rsidP="00186172">
            <w:pPr>
              <w:pStyle w:val="AERtabletext"/>
              <w:rPr>
                <w:rStyle w:val="AERtextbold"/>
              </w:rPr>
            </w:pPr>
            <w:r w:rsidRPr="007E3923">
              <w:rPr>
                <w:rStyle w:val="AERtextbold"/>
                <w:rFonts w:eastAsia="Calibri"/>
              </w:rPr>
              <w:t>($/GJ)</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Transmission</w:t>
            </w:r>
          </w:p>
          <w:p w:rsidR="007C1F9F" w:rsidRPr="007E3923" w:rsidRDefault="007C1F9F" w:rsidP="00186172">
            <w:pPr>
              <w:pStyle w:val="AERtabletext"/>
              <w:rPr>
                <w:rStyle w:val="AERtextbold"/>
                <w:rFonts w:eastAsia="Calibri"/>
              </w:rPr>
            </w:pPr>
            <w:r w:rsidRPr="007E3923">
              <w:rPr>
                <w:rStyle w:val="AERtextbold"/>
                <w:rFonts w:eastAsia="Calibri"/>
              </w:rPr>
              <w:t>delivery tariff V</w:t>
            </w:r>
          </w:p>
          <w:p w:rsidR="007C1F9F" w:rsidRPr="00350517" w:rsidRDefault="007C1F9F" w:rsidP="00186172">
            <w:pPr>
              <w:pStyle w:val="AERtabletext"/>
              <w:rPr>
                <w:rStyle w:val="AERtextbold"/>
              </w:rPr>
            </w:pPr>
            <w:r w:rsidRPr="007E3923">
              <w:rPr>
                <w:rStyle w:val="AERtextbold"/>
                <w:rFonts w:eastAsia="Calibri"/>
              </w:rPr>
              <w:t>($/GJ)</w:t>
            </w:r>
          </w:p>
        </w:tc>
        <w:tc>
          <w:tcPr>
            <w:tcW w:w="116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sidRPr="007E3923">
              <w:rPr>
                <w:rStyle w:val="AERtextbold"/>
                <w:rFonts w:eastAsia="Calibri"/>
              </w:rPr>
              <w:t>X-factor</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t>8</w:t>
            </w:r>
          </w:p>
        </w:tc>
        <w:tc>
          <w:tcPr>
            <w:tcW w:w="1417" w:type="dxa"/>
            <w:shd w:val="clear" w:color="auto" w:fill="auto"/>
            <w:noWrap/>
            <w:tcMar>
              <w:top w:w="0" w:type="dxa"/>
              <w:bottom w:w="0" w:type="dxa"/>
            </w:tcMar>
            <w:vAlign w:val="center"/>
          </w:tcPr>
          <w:p w:rsidR="007C1F9F" w:rsidRPr="00916386" w:rsidRDefault="007C1F9F" w:rsidP="00186172">
            <w:pPr>
              <w:pStyle w:val="AERtabletext"/>
            </w:pPr>
            <w:r w:rsidRPr="000C7767">
              <w:t>North Hume</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w:t>
            </w:r>
            <w:r>
              <w:t>2434</w:t>
            </w:r>
          </w:p>
        </w:tc>
        <w:tc>
          <w:tcPr>
            <w:tcW w:w="1406" w:type="dxa"/>
            <w:shd w:val="clear" w:color="auto" w:fill="auto"/>
            <w:noWrap/>
            <w:tcMar>
              <w:top w:w="0" w:type="dxa"/>
              <w:bottom w:w="0" w:type="dxa"/>
            </w:tcMar>
            <w:vAlign w:val="center"/>
          </w:tcPr>
          <w:p w:rsidR="007C1F9F" w:rsidRPr="00916386" w:rsidRDefault="007C1F9F" w:rsidP="00186172">
            <w:pPr>
              <w:pStyle w:val="AERtabletext"/>
            </w:pPr>
            <w:r w:rsidRPr="00916386">
              <w:t>0.</w:t>
            </w:r>
            <w:r>
              <w:t>2380</w:t>
            </w:r>
          </w:p>
        </w:tc>
        <w:tc>
          <w:tcPr>
            <w:tcW w:w="1163" w:type="dxa"/>
            <w:shd w:val="clear" w:color="auto" w:fill="auto"/>
            <w:noWrap/>
            <w:tcMar>
              <w:top w:w="0" w:type="dxa"/>
              <w:bottom w:w="0" w:type="dxa"/>
            </w:tcMar>
            <w:vAlign w:val="center"/>
          </w:tcPr>
          <w:p w:rsidR="007C1F9F" w:rsidRPr="00916386" w:rsidRDefault="007C1F9F" w:rsidP="00186172">
            <w:pPr>
              <w:pStyle w:val="AERtabletext"/>
            </w:pPr>
            <w:r w:rsidRPr="00916386">
              <w:t>0%</w:t>
            </w:r>
          </w:p>
        </w:tc>
      </w:tr>
      <w:tr w:rsidR="007C1F9F" w:rsidRPr="00916386" w:rsidTr="00186172">
        <w:tc>
          <w:tcPr>
            <w:tcW w:w="1440" w:type="dxa"/>
            <w:shd w:val="clear" w:color="auto" w:fill="F8B47C"/>
            <w:noWrap/>
            <w:tcMar>
              <w:top w:w="0" w:type="dxa"/>
              <w:bottom w:w="0" w:type="dxa"/>
            </w:tcMar>
            <w:vAlign w:val="center"/>
          </w:tcPr>
          <w:p w:rsidR="007C1F9F" w:rsidRPr="00916386" w:rsidRDefault="007C1F9F" w:rsidP="00186172">
            <w:pPr>
              <w:pStyle w:val="AERtabletext"/>
            </w:pPr>
            <w:r>
              <w:t>11</w:t>
            </w:r>
          </w:p>
        </w:tc>
        <w:tc>
          <w:tcPr>
            <w:tcW w:w="1417" w:type="dxa"/>
            <w:shd w:val="clear" w:color="auto" w:fill="F8B47C"/>
            <w:noWrap/>
            <w:tcMar>
              <w:top w:w="0" w:type="dxa"/>
              <w:bottom w:w="0" w:type="dxa"/>
            </w:tcMar>
            <w:vAlign w:val="center"/>
          </w:tcPr>
          <w:p w:rsidR="007C1F9F" w:rsidRPr="00916386" w:rsidRDefault="007C1F9F" w:rsidP="00186172">
            <w:pPr>
              <w:pStyle w:val="AERtabletext"/>
            </w:pPr>
            <w:r w:rsidRPr="007E3923">
              <w:rPr>
                <w:rFonts w:eastAsia="Calibri"/>
              </w:rPr>
              <w:t>Interconnect</w:t>
            </w:r>
          </w:p>
        </w:tc>
        <w:tc>
          <w:tcPr>
            <w:tcW w:w="1406" w:type="dxa"/>
            <w:shd w:val="clear" w:color="auto" w:fill="F8B47C"/>
            <w:noWrap/>
            <w:tcMar>
              <w:top w:w="0" w:type="dxa"/>
              <w:bottom w:w="0" w:type="dxa"/>
            </w:tcMar>
            <w:vAlign w:val="center"/>
          </w:tcPr>
          <w:p w:rsidR="007C1F9F" w:rsidRPr="00916386" w:rsidRDefault="007C1F9F" w:rsidP="00186172">
            <w:pPr>
              <w:pStyle w:val="AERtabletext"/>
            </w:pPr>
            <w:r>
              <w:t>0.0000</w:t>
            </w:r>
          </w:p>
        </w:tc>
        <w:tc>
          <w:tcPr>
            <w:tcW w:w="1406" w:type="dxa"/>
            <w:shd w:val="clear" w:color="auto" w:fill="F8B47C"/>
            <w:noWrap/>
            <w:tcMar>
              <w:top w:w="0" w:type="dxa"/>
              <w:bottom w:w="0" w:type="dxa"/>
            </w:tcMar>
            <w:vAlign w:val="center"/>
          </w:tcPr>
          <w:p w:rsidR="007C1F9F" w:rsidRPr="00916386" w:rsidRDefault="007C1F9F" w:rsidP="00186172">
            <w:pPr>
              <w:pStyle w:val="AERtabletext"/>
            </w:pPr>
            <w:r>
              <w:t>0.5570</w:t>
            </w:r>
          </w:p>
        </w:tc>
        <w:tc>
          <w:tcPr>
            <w:tcW w:w="1163" w:type="dxa"/>
            <w:shd w:val="clear" w:color="auto" w:fill="F8B47C"/>
            <w:noWrap/>
            <w:tcMar>
              <w:top w:w="0" w:type="dxa"/>
              <w:bottom w:w="0" w:type="dxa"/>
            </w:tcMar>
            <w:vAlign w:val="center"/>
          </w:tcPr>
          <w:p w:rsidR="007C1F9F" w:rsidRPr="00916386" w:rsidRDefault="007C1F9F" w:rsidP="00186172">
            <w:pPr>
              <w:pStyle w:val="AERtabletext"/>
            </w:pPr>
            <w:r>
              <w:t>0%</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t>17</w:t>
            </w:r>
          </w:p>
        </w:tc>
        <w:tc>
          <w:tcPr>
            <w:tcW w:w="1417" w:type="dxa"/>
            <w:shd w:val="clear" w:color="auto" w:fill="auto"/>
            <w:noWrap/>
            <w:tcMar>
              <w:top w:w="0" w:type="dxa"/>
              <w:bottom w:w="0" w:type="dxa"/>
            </w:tcMar>
            <w:vAlign w:val="center"/>
          </w:tcPr>
          <w:p w:rsidR="007C1F9F" w:rsidRPr="00916386" w:rsidRDefault="007C1F9F" w:rsidP="00186172">
            <w:pPr>
              <w:pStyle w:val="AERtabletext"/>
            </w:pPr>
            <w:r w:rsidRPr="007E3923">
              <w:rPr>
                <w:rFonts w:eastAsia="Calibri"/>
              </w:rPr>
              <w:t>Wodonga</w:t>
            </w:r>
          </w:p>
        </w:tc>
        <w:tc>
          <w:tcPr>
            <w:tcW w:w="1406" w:type="dxa"/>
            <w:shd w:val="clear" w:color="auto" w:fill="auto"/>
            <w:noWrap/>
            <w:tcMar>
              <w:top w:w="0" w:type="dxa"/>
              <w:bottom w:w="0" w:type="dxa"/>
            </w:tcMar>
            <w:vAlign w:val="center"/>
          </w:tcPr>
          <w:p w:rsidR="007C1F9F" w:rsidRPr="00916386" w:rsidRDefault="007C1F9F" w:rsidP="00186172">
            <w:pPr>
              <w:pStyle w:val="AERtabletext"/>
            </w:pPr>
            <w:r>
              <w:t>0.1347</w:t>
            </w:r>
          </w:p>
        </w:tc>
        <w:tc>
          <w:tcPr>
            <w:tcW w:w="1406" w:type="dxa"/>
            <w:shd w:val="clear" w:color="auto" w:fill="auto"/>
            <w:noWrap/>
            <w:tcMar>
              <w:top w:w="0" w:type="dxa"/>
              <w:bottom w:w="0" w:type="dxa"/>
            </w:tcMar>
            <w:vAlign w:val="center"/>
          </w:tcPr>
          <w:p w:rsidR="007C1F9F" w:rsidRPr="00916386" w:rsidRDefault="007C1F9F" w:rsidP="00186172">
            <w:pPr>
              <w:pStyle w:val="AERtabletext"/>
            </w:pPr>
            <w:r>
              <w:t>0.1480</w:t>
            </w:r>
          </w:p>
        </w:tc>
        <w:tc>
          <w:tcPr>
            <w:tcW w:w="1163" w:type="dxa"/>
            <w:shd w:val="clear" w:color="auto" w:fill="auto"/>
            <w:noWrap/>
            <w:tcMar>
              <w:top w:w="0" w:type="dxa"/>
              <w:bottom w:w="0" w:type="dxa"/>
            </w:tcMar>
            <w:vAlign w:val="center"/>
          </w:tcPr>
          <w:p w:rsidR="007C1F9F" w:rsidRPr="00916386" w:rsidRDefault="007C1F9F" w:rsidP="00186172">
            <w:pPr>
              <w:pStyle w:val="AERtabletext"/>
            </w:pPr>
            <w:r w:rsidRPr="00916386">
              <w:t>0%</w:t>
            </w:r>
          </w:p>
        </w:tc>
      </w:tr>
    </w:tbl>
    <w:p w:rsidR="007C1F9F" w:rsidRPr="007E3923" w:rsidRDefault="007C1F9F" w:rsidP="007C1F9F">
      <w:pPr>
        <w:rPr>
          <w:rFonts w:eastAsia="Calibri"/>
        </w:rPr>
      </w:pPr>
    </w:p>
    <w:p w:rsidR="007C1F9F" w:rsidRPr="007E3923" w:rsidRDefault="007C1F9F" w:rsidP="007C1F9F">
      <w:pPr>
        <w:pStyle w:val="AERbodytext"/>
        <w:rPr>
          <w:rFonts w:eastAsia="Calibri"/>
        </w:rPr>
      </w:pPr>
      <w:r w:rsidRPr="007E3923">
        <w:rPr>
          <w:rFonts w:eastAsia="Calibri"/>
        </w:rPr>
        <w:t>(f) Matched Withdrawals - Metro (South East)</w:t>
      </w:r>
    </w:p>
    <w:p w:rsidR="007C1F9F" w:rsidRPr="007E3923" w:rsidRDefault="007C1F9F" w:rsidP="007C1F9F">
      <w:pPr>
        <w:pStyle w:val="AERbodytext"/>
        <w:rPr>
          <w:rFonts w:eastAsia="Calibri"/>
        </w:rPr>
      </w:pPr>
      <w:r w:rsidRPr="007E3923">
        <w:rPr>
          <w:rFonts w:eastAsia="Calibri"/>
        </w:rPr>
        <w:t>If a Withdrawal in the Metro South East Zone is a Matched Withdrawal relating to Injections in the Pakenham Zone, then the following Matched Withdrawal Tariffs apply instead of the tariffs described in clause 1.3(a) of this Schedule:</w:t>
      </w:r>
    </w:p>
    <w:tbl>
      <w:tblPr>
        <w:tblW w:w="0" w:type="auto"/>
        <w:tblBorders>
          <w:top w:val="single" w:sz="4" w:space="0" w:color="auto"/>
          <w:bottom w:val="single" w:sz="4" w:space="0" w:color="auto"/>
        </w:tblBorders>
        <w:tblLook w:val="01E0"/>
      </w:tblPr>
      <w:tblGrid>
        <w:gridCol w:w="1440"/>
        <w:gridCol w:w="1417"/>
        <w:gridCol w:w="1406"/>
        <w:gridCol w:w="1406"/>
        <w:gridCol w:w="1163"/>
      </w:tblGrid>
      <w:tr w:rsidR="007C1F9F" w:rsidRPr="00350517" w:rsidTr="00186172">
        <w:tc>
          <w:tcPr>
            <w:tcW w:w="144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w:t>
            </w:r>
          </w:p>
          <w:p w:rsidR="007C1F9F" w:rsidRPr="007E3923" w:rsidRDefault="007C1F9F" w:rsidP="00186172">
            <w:pPr>
              <w:pStyle w:val="AERtabletext"/>
              <w:rPr>
                <w:rStyle w:val="AERtextbold"/>
                <w:rFonts w:eastAsia="Calibri"/>
              </w:rPr>
            </w:pPr>
            <w:r w:rsidRPr="007E3923">
              <w:rPr>
                <w:rStyle w:val="AERtextbold"/>
                <w:rFonts w:eastAsia="Calibri"/>
              </w:rPr>
              <w:t>Zone</w:t>
            </w:r>
          </w:p>
          <w:p w:rsidR="007C1F9F" w:rsidRPr="00350517" w:rsidRDefault="007C1F9F" w:rsidP="00186172">
            <w:pPr>
              <w:pStyle w:val="AERtabletext"/>
              <w:rPr>
                <w:rStyle w:val="AERtextbold"/>
              </w:rPr>
            </w:pPr>
            <w:r w:rsidRPr="007E3923">
              <w:rPr>
                <w:rStyle w:val="AERtextbold"/>
                <w:rFonts w:eastAsia="Calibri"/>
              </w:rPr>
              <w:t>Number</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Withdrawal Zone</w:t>
            </w:r>
          </w:p>
          <w:p w:rsidR="007C1F9F" w:rsidRPr="00350517" w:rsidRDefault="007C1F9F" w:rsidP="00186172">
            <w:pPr>
              <w:pStyle w:val="AERtabletext"/>
              <w:rPr>
                <w:rStyle w:val="AERtextbold"/>
              </w:rPr>
            </w:pPr>
            <w:r w:rsidRPr="007E3923">
              <w:rPr>
                <w:rStyle w:val="AERtextbold"/>
                <w:rFonts w:eastAsia="Calibri"/>
              </w:rPr>
              <w:t>Name</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Transmission</w:t>
            </w:r>
          </w:p>
          <w:p w:rsidR="007C1F9F" w:rsidRPr="007E3923" w:rsidRDefault="007C1F9F" w:rsidP="00186172">
            <w:pPr>
              <w:pStyle w:val="AERtabletext"/>
              <w:rPr>
                <w:rStyle w:val="AERtextbold"/>
                <w:rFonts w:eastAsia="Calibri"/>
              </w:rPr>
            </w:pPr>
            <w:r w:rsidRPr="007E3923">
              <w:rPr>
                <w:rStyle w:val="AERtextbold"/>
                <w:rFonts w:eastAsia="Calibri"/>
              </w:rPr>
              <w:t>delivery tariff D</w:t>
            </w:r>
          </w:p>
          <w:p w:rsidR="007C1F9F" w:rsidRPr="00350517" w:rsidRDefault="007C1F9F" w:rsidP="00186172">
            <w:pPr>
              <w:pStyle w:val="AERtabletext"/>
              <w:rPr>
                <w:rStyle w:val="AERtextbold"/>
              </w:rPr>
            </w:pPr>
            <w:r w:rsidRPr="007E3923">
              <w:rPr>
                <w:rStyle w:val="AERtextbold"/>
                <w:rFonts w:eastAsia="Calibri"/>
              </w:rPr>
              <w:t>($/GJ)</w:t>
            </w:r>
          </w:p>
        </w:tc>
        <w:tc>
          <w:tcPr>
            <w:tcW w:w="140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7E3923" w:rsidRDefault="007C1F9F" w:rsidP="00186172">
            <w:pPr>
              <w:pStyle w:val="AERtabletext"/>
              <w:rPr>
                <w:rStyle w:val="AERtextbold"/>
                <w:rFonts w:eastAsia="Calibri"/>
              </w:rPr>
            </w:pPr>
            <w:r w:rsidRPr="007E3923">
              <w:rPr>
                <w:rStyle w:val="AERtextbold"/>
                <w:rFonts w:eastAsia="Calibri"/>
              </w:rPr>
              <w:t>Transmission</w:t>
            </w:r>
          </w:p>
          <w:p w:rsidR="007C1F9F" w:rsidRPr="007E3923" w:rsidRDefault="007C1F9F" w:rsidP="00186172">
            <w:pPr>
              <w:pStyle w:val="AERtabletext"/>
              <w:rPr>
                <w:rStyle w:val="AERtextbold"/>
                <w:rFonts w:eastAsia="Calibri"/>
              </w:rPr>
            </w:pPr>
            <w:r w:rsidRPr="007E3923">
              <w:rPr>
                <w:rStyle w:val="AERtextbold"/>
                <w:rFonts w:eastAsia="Calibri"/>
              </w:rPr>
              <w:t>delivery tariff V</w:t>
            </w:r>
          </w:p>
          <w:p w:rsidR="007C1F9F" w:rsidRPr="00350517" w:rsidRDefault="007C1F9F" w:rsidP="00186172">
            <w:pPr>
              <w:pStyle w:val="AERtabletext"/>
              <w:rPr>
                <w:rStyle w:val="AERtextbold"/>
              </w:rPr>
            </w:pPr>
            <w:r w:rsidRPr="007E3923">
              <w:rPr>
                <w:rStyle w:val="AERtextbold"/>
                <w:rFonts w:eastAsia="Calibri"/>
              </w:rPr>
              <w:t>($/GJ)</w:t>
            </w:r>
          </w:p>
        </w:tc>
        <w:tc>
          <w:tcPr>
            <w:tcW w:w="116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7C1F9F" w:rsidRPr="00350517" w:rsidRDefault="007C1F9F" w:rsidP="00186172">
            <w:pPr>
              <w:pStyle w:val="AERtabletext"/>
              <w:rPr>
                <w:rStyle w:val="AERtextbold"/>
              </w:rPr>
            </w:pPr>
            <w:r w:rsidRPr="007E3923">
              <w:rPr>
                <w:rStyle w:val="AERtextbold"/>
                <w:rFonts w:eastAsia="Calibri"/>
              </w:rPr>
              <w:t>X-factor</w:t>
            </w:r>
          </w:p>
        </w:tc>
      </w:tr>
      <w:tr w:rsidR="007C1F9F" w:rsidRPr="00916386" w:rsidTr="00186172">
        <w:tc>
          <w:tcPr>
            <w:tcW w:w="1440" w:type="dxa"/>
            <w:shd w:val="clear" w:color="auto" w:fill="auto"/>
            <w:noWrap/>
            <w:tcMar>
              <w:top w:w="0" w:type="dxa"/>
              <w:bottom w:w="0" w:type="dxa"/>
            </w:tcMar>
            <w:vAlign w:val="center"/>
          </w:tcPr>
          <w:p w:rsidR="007C1F9F" w:rsidRPr="00916386" w:rsidRDefault="007C1F9F" w:rsidP="00186172">
            <w:pPr>
              <w:pStyle w:val="AERtabletext"/>
            </w:pPr>
            <w:r>
              <w:t>20</w:t>
            </w:r>
          </w:p>
        </w:tc>
        <w:tc>
          <w:tcPr>
            <w:tcW w:w="1417" w:type="dxa"/>
            <w:shd w:val="clear" w:color="auto" w:fill="auto"/>
            <w:noWrap/>
            <w:tcMar>
              <w:top w:w="0" w:type="dxa"/>
              <w:bottom w:w="0" w:type="dxa"/>
            </w:tcMar>
            <w:vAlign w:val="center"/>
          </w:tcPr>
          <w:p w:rsidR="007C1F9F" w:rsidRPr="00916386" w:rsidRDefault="007C1F9F" w:rsidP="00186172">
            <w:pPr>
              <w:pStyle w:val="AERtabletext"/>
            </w:pPr>
            <w:r>
              <w:t>Metro South East</w:t>
            </w:r>
          </w:p>
        </w:tc>
        <w:tc>
          <w:tcPr>
            <w:tcW w:w="1406" w:type="dxa"/>
            <w:shd w:val="clear" w:color="auto" w:fill="auto"/>
            <w:noWrap/>
            <w:tcMar>
              <w:top w:w="0" w:type="dxa"/>
              <w:bottom w:w="0" w:type="dxa"/>
            </w:tcMar>
            <w:vAlign w:val="center"/>
          </w:tcPr>
          <w:p w:rsidR="007C1F9F" w:rsidRPr="00916386" w:rsidRDefault="007C1F9F" w:rsidP="00186172">
            <w:pPr>
              <w:pStyle w:val="AERtabletext"/>
            </w:pPr>
            <w:r>
              <w:t>0.1534</w:t>
            </w:r>
          </w:p>
        </w:tc>
        <w:tc>
          <w:tcPr>
            <w:tcW w:w="1406" w:type="dxa"/>
            <w:shd w:val="clear" w:color="auto" w:fill="auto"/>
            <w:noWrap/>
            <w:tcMar>
              <w:top w:w="0" w:type="dxa"/>
              <w:bottom w:w="0" w:type="dxa"/>
            </w:tcMar>
            <w:vAlign w:val="center"/>
          </w:tcPr>
          <w:p w:rsidR="007C1F9F" w:rsidRPr="00916386" w:rsidRDefault="007C1F9F" w:rsidP="00186172">
            <w:pPr>
              <w:pStyle w:val="AERtabletext"/>
            </w:pPr>
            <w:r>
              <w:t>0.1723</w:t>
            </w:r>
          </w:p>
        </w:tc>
        <w:tc>
          <w:tcPr>
            <w:tcW w:w="1163" w:type="dxa"/>
            <w:shd w:val="clear" w:color="auto" w:fill="auto"/>
            <w:noWrap/>
            <w:tcMar>
              <w:top w:w="0" w:type="dxa"/>
              <w:bottom w:w="0" w:type="dxa"/>
            </w:tcMar>
            <w:vAlign w:val="center"/>
          </w:tcPr>
          <w:p w:rsidR="007C1F9F" w:rsidRPr="00916386" w:rsidRDefault="007C1F9F" w:rsidP="00186172">
            <w:pPr>
              <w:pStyle w:val="AERtabletext"/>
            </w:pPr>
            <w:r w:rsidRPr="00916386">
              <w:t>0%</w:t>
            </w:r>
          </w:p>
        </w:tc>
      </w:tr>
    </w:tbl>
    <w:p w:rsidR="007C1F9F" w:rsidRPr="007E3923" w:rsidRDefault="007C1F9F" w:rsidP="007C1F9F">
      <w:pPr>
        <w:rPr>
          <w:rFonts w:eastAsia="Calibri"/>
        </w:rPr>
      </w:pPr>
    </w:p>
    <w:p w:rsidR="007C1F9F" w:rsidRPr="000809E5" w:rsidRDefault="007C1F9F" w:rsidP="007C1F9F">
      <w:pPr>
        <w:pStyle w:val="AERheading1"/>
        <w:numPr>
          <w:ilvl w:val="0"/>
          <w:numId w:val="7"/>
        </w:numPr>
        <w:tabs>
          <w:tab w:val="clear" w:pos="-357"/>
          <w:tab w:val="left" w:pos="0"/>
        </w:tabs>
        <w:ind w:left="-354" w:hanging="360"/>
      </w:pPr>
      <w:bookmarkStart w:id="186" w:name="_Toc334543814"/>
      <w:r w:rsidRPr="000809E5">
        <w:t>Non-tariff components</w:t>
      </w:r>
      <w:bookmarkEnd w:id="186"/>
      <w:r w:rsidRPr="000809E5">
        <w:t xml:space="preserve"> </w:t>
      </w:r>
    </w:p>
    <w:p w:rsidR="007C1F9F" w:rsidRPr="000809E5" w:rsidRDefault="007C1F9F" w:rsidP="007C1F9F">
      <w:pPr>
        <w:pStyle w:val="AERbodytext"/>
      </w:pPr>
      <w:r>
        <w:t>APA GasNet</w:t>
      </w:r>
      <w:r w:rsidRPr="000809E5">
        <w:t xml:space="preserve">’s access arrangement proposal sets out terms and conditions that are not directly related to the nature or level of tariffs paid by users. However, these are important to the relationship between </w:t>
      </w:r>
      <w:r>
        <w:t>APA GasNet</w:t>
      </w:r>
      <w:r w:rsidRPr="000809E5">
        <w:t xml:space="preserve"> and Network Users. These are referred to by the AER as non-tariff components of the access arrangement and include:</w:t>
      </w:r>
    </w:p>
    <w:p w:rsidR="007C1F9F" w:rsidRPr="000809E5" w:rsidRDefault="007C1F9F" w:rsidP="007C1F9F">
      <w:pPr>
        <w:pStyle w:val="AERbulletlistfirststyle"/>
      </w:pPr>
      <w:r w:rsidRPr="000809E5">
        <w:t xml:space="preserve">capacity trading requirements—how users may assign contracted capacity and change delivery and receipt points </w:t>
      </w:r>
    </w:p>
    <w:p w:rsidR="007C1F9F" w:rsidRPr="000809E5" w:rsidRDefault="007C1F9F" w:rsidP="007C1F9F">
      <w:pPr>
        <w:pStyle w:val="AERbulletlistfirststyle"/>
      </w:pPr>
      <w:r w:rsidRPr="000809E5">
        <w:t xml:space="preserve">queuing requirements—a process or mechanism for establishing an order of priority between prospective users of spare and / or developable capacity  </w:t>
      </w:r>
    </w:p>
    <w:p w:rsidR="007C1F9F" w:rsidRPr="000809E5" w:rsidRDefault="007C1F9F" w:rsidP="007C1F9F">
      <w:pPr>
        <w:pStyle w:val="AERbulletlistfirststyle"/>
      </w:pPr>
      <w:r w:rsidRPr="000809E5">
        <w:t>extension and expansion requirements—the method for determining whether an extension or expansion is a part of the covered pipeline and the effect this will have on tariffs. These requirements are relevant when identifying the covered pipeline and pipeline services which will be regulated through the access arrangement</w:t>
      </w:r>
    </w:p>
    <w:p w:rsidR="007C1F9F" w:rsidRPr="000809E5" w:rsidRDefault="007C1F9F" w:rsidP="007C1F9F">
      <w:pPr>
        <w:pStyle w:val="AERbulletlistfirststyle"/>
      </w:pPr>
      <w:r w:rsidRPr="000809E5">
        <w:t>commencement and review dates</w:t>
      </w:r>
    </w:p>
    <w:p w:rsidR="007C1F9F" w:rsidRPr="000809E5" w:rsidRDefault="007C1F9F" w:rsidP="007C1F9F">
      <w:pPr>
        <w:pStyle w:val="AERbulletlistfirststyle"/>
      </w:pPr>
      <w:r w:rsidRPr="000809E5">
        <w:t>terms and conditions on which the reference service will be provided.</w:t>
      </w:r>
    </w:p>
    <w:p w:rsidR="007C1F9F" w:rsidRPr="000809E5" w:rsidRDefault="007C1F9F" w:rsidP="007C1F9F">
      <w:pPr>
        <w:pStyle w:val="AERbodytext"/>
      </w:pPr>
      <w:r w:rsidRPr="000809E5">
        <w:t xml:space="preserve">A more detailed consideration of the terms and conditions of </w:t>
      </w:r>
      <w:r w:rsidRPr="005E0AFB">
        <w:t>APA GasNet</w:t>
      </w:r>
      <w:r>
        <w:t>'</w:t>
      </w:r>
      <w:r w:rsidRPr="000809E5">
        <w:t>s access arrangement is also set out below. The remaining non-tariff components are considered after the terms and conditions.</w:t>
      </w:r>
    </w:p>
    <w:p w:rsidR="007C1F9F" w:rsidRDefault="007C1F9F" w:rsidP="007C1F9F">
      <w:pPr>
        <w:pStyle w:val="AERheading2"/>
        <w:numPr>
          <w:ilvl w:val="1"/>
          <w:numId w:val="7"/>
        </w:numPr>
        <w:tabs>
          <w:tab w:val="clear" w:pos="4317"/>
          <w:tab w:val="num" w:pos="0"/>
        </w:tabs>
        <w:ind w:left="0" w:hanging="720"/>
      </w:pPr>
      <w:bookmarkStart w:id="187" w:name="_Toc334543815"/>
      <w:r>
        <w:t>Terms and conditions</w:t>
      </w:r>
      <w:bookmarkEnd w:id="187"/>
    </w:p>
    <w:p w:rsidR="007C1F9F" w:rsidRPr="003325A1" w:rsidRDefault="007C1F9F" w:rsidP="007C1F9F">
      <w:pPr>
        <w:pStyle w:val="AERbodytext"/>
      </w:pPr>
      <w:r w:rsidRPr="003325A1">
        <w:t>Rule 48(d)(ii) of the NGR requires that a full access arrangement specify for each reference service the other terms and conditions on which the reference service will be provided. The terms and conditions set out in an approved access arrangement will be the terms and conditions that the AER must give effect to in the event that there is an access dispute, requiring it to make an access determination.</w:t>
      </w:r>
      <w:r>
        <w:rPr>
          <w:rStyle w:val="FootnoteReference"/>
        </w:rPr>
        <w:footnoteReference w:id="682"/>
      </w:r>
      <w:r w:rsidRPr="003325A1">
        <w:t xml:space="preserve"> </w:t>
      </w:r>
    </w:p>
    <w:p w:rsidR="007C1F9F" w:rsidRPr="00EB1AF3" w:rsidRDefault="007C1F9F" w:rsidP="007C1F9F">
      <w:pPr>
        <w:pStyle w:val="AERbodytext"/>
        <w:rPr>
          <w:rStyle w:val="AERbody"/>
        </w:rPr>
      </w:pPr>
      <w:r w:rsidRPr="003325A1">
        <w:t>Notwithstanding this, nothing in the NGL prevents a Service Provider from entering into an agreement with a user or a prospective user about access to a pipeline service that is different from the applicable access arrangement.</w:t>
      </w:r>
      <w:r>
        <w:rPr>
          <w:rStyle w:val="FootnoteReference"/>
        </w:rPr>
        <w:footnoteReference w:id="683"/>
      </w:r>
      <w:r w:rsidRPr="003325A1">
        <w:t xml:space="preserve"> The parties are therefore able to negotiate terms and conditions that are suitable to their commercial circumstances. The AER expects that the terms and conditions as set out in an approved access arrangement would act as a starting point for such negotiations.</w:t>
      </w:r>
    </w:p>
    <w:p w:rsidR="007C1F9F" w:rsidRPr="000809E5" w:rsidRDefault="007C1F9F" w:rsidP="007C1F9F">
      <w:pPr>
        <w:pStyle w:val="AERheading3"/>
        <w:numPr>
          <w:ilvl w:val="2"/>
          <w:numId w:val="7"/>
        </w:numPr>
        <w:tabs>
          <w:tab w:val="clear" w:pos="-357"/>
          <w:tab w:val="num" w:pos="0"/>
        </w:tabs>
        <w:ind w:left="0" w:hanging="714"/>
      </w:pPr>
      <w:r w:rsidRPr="000809E5">
        <w:t>Draft decision</w:t>
      </w:r>
    </w:p>
    <w:p w:rsidR="007C1F9F" w:rsidRPr="000809E5" w:rsidRDefault="007C1F9F" w:rsidP="007C1F9F">
      <w:pPr>
        <w:pStyle w:val="AERbodytext"/>
      </w:pPr>
      <w:r w:rsidRPr="000809E5">
        <w:t xml:space="preserve">The AER does not approve </w:t>
      </w:r>
      <w:r>
        <w:t>APA Ga</w:t>
      </w:r>
      <w:r w:rsidRPr="000809E5">
        <w:t>s</w:t>
      </w:r>
      <w:r>
        <w:t>net's</w:t>
      </w:r>
      <w:r w:rsidRPr="000809E5">
        <w:t xml:space="preserve"> non-tariff components. The AER requires revisions to be made to the following non-tariff components</w:t>
      </w:r>
      <w:r>
        <w:t xml:space="preserve"> to</w:t>
      </w:r>
      <w:r w:rsidRPr="000809E5">
        <w:t>:</w:t>
      </w:r>
    </w:p>
    <w:p w:rsidR="007C1F9F" w:rsidRDefault="007C1F9F" w:rsidP="007C1F9F">
      <w:pPr>
        <w:pStyle w:val="AERbulletlistfirststyle"/>
      </w:pPr>
      <w:r>
        <w:t>make it clear at what rate interest will be charged</w:t>
      </w:r>
    </w:p>
    <w:p w:rsidR="007C1F9F" w:rsidRDefault="007C1F9F" w:rsidP="007C1F9F">
      <w:pPr>
        <w:pStyle w:val="AERbulletlistfirststyle"/>
      </w:pPr>
      <w:r>
        <w:t>Provide that APA GasNet cannot terminate the Deed for non-payment where a user has disputed the charge; and</w:t>
      </w:r>
    </w:p>
    <w:p w:rsidR="007C1F9F" w:rsidRPr="000809E5" w:rsidRDefault="007C1F9F" w:rsidP="007C1F9F">
      <w:pPr>
        <w:pStyle w:val="AERbulletlistfirststyle"/>
      </w:pPr>
      <w:r>
        <w:t>Make it clear that there are no applicable capacity trading requirements.</w:t>
      </w:r>
    </w:p>
    <w:p w:rsidR="007C1F9F" w:rsidRDefault="007C1F9F" w:rsidP="007C1F9F">
      <w:pPr>
        <w:pStyle w:val="AERheading3"/>
        <w:numPr>
          <w:ilvl w:val="2"/>
          <w:numId w:val="7"/>
        </w:numPr>
        <w:tabs>
          <w:tab w:val="clear" w:pos="-357"/>
          <w:tab w:val="num" w:pos="0"/>
        </w:tabs>
        <w:ind w:left="0" w:hanging="714"/>
      </w:pPr>
      <w:r>
        <w:t>Access Arrangement Proposal</w:t>
      </w:r>
    </w:p>
    <w:p w:rsidR="007C1F9F" w:rsidRDefault="007C1F9F" w:rsidP="007C1F9F">
      <w:pPr>
        <w:pStyle w:val="AERbodytext"/>
      </w:pPr>
      <w:r>
        <w:t>APA GasNet sets out its proposed non-price terms and conditions in the Transmission Payment Deed Terms, in Appendix F to its access arrangement proposal. The Transmission Payment Deed Terms contain considerable variations from APA GasNet's current Payment Deed Terms.</w:t>
      </w:r>
    </w:p>
    <w:p w:rsidR="007C1F9F" w:rsidRDefault="007C1F9F" w:rsidP="007C1F9F">
      <w:pPr>
        <w:pStyle w:val="AERbodytext"/>
      </w:pPr>
      <w:r>
        <w:t>APA GasNet submits that the Victorian gas market arrangements means that the scope of relevant terms and conditions of access to the Victorian Transmission Service (VTS) are significantly different to those for contract carriage pipelines. In particular, this is because of the role of AEMO in operating the VTS. Terms and conditions in the access arrangement are limited to payments made by shippers to APA GasNet under the Transmission Payment Deed.</w:t>
      </w:r>
      <w:r>
        <w:rPr>
          <w:rStyle w:val="FootnoteReference"/>
        </w:rPr>
        <w:footnoteReference w:id="684"/>
      </w:r>
    </w:p>
    <w:p w:rsidR="007C1F9F" w:rsidRDefault="007C1F9F" w:rsidP="007C1F9F">
      <w:pPr>
        <w:pStyle w:val="AERbodytext"/>
      </w:pPr>
      <w:r>
        <w:t xml:space="preserve">APA GasNet submits that it is implementing a standard form Gas Transportation Agreement across all the assets in the APA group (this is also reflected in the terms and conditions of various access arrangements for covered pipelines). The APA group first proposed these standard form terms in respect of the Amadeus Gas Pipeline (AGP) owned by APA subsidiary by </w:t>
      </w:r>
      <w:r w:rsidRPr="007E3923">
        <w:rPr>
          <w:rFonts w:eastAsia="Calibri"/>
        </w:rPr>
        <w:t>APT Pipelines NT Pty Ltd.</w:t>
      </w:r>
      <w:r>
        <w:t xml:space="preserve"> APA GasNet states that it has, where relevant, incorporated the terms and conditions (approved by the AER) in respect of the AGP into this access arrangement.</w:t>
      </w:r>
      <w:r>
        <w:rPr>
          <w:rStyle w:val="FootnoteReference"/>
        </w:rPr>
        <w:footnoteReference w:id="685"/>
      </w:r>
      <w:r>
        <w:t xml:space="preserve"> However, APA GasNet goes on to state that the different market and operating arrangements for the VTS mean that a significant number of its standard terms and conditions are not relevant to the VTS.</w:t>
      </w:r>
      <w:r>
        <w:rPr>
          <w:rStyle w:val="FootnoteReference"/>
        </w:rPr>
        <w:footnoteReference w:id="686"/>
      </w:r>
    </w:p>
    <w:p w:rsidR="007C1F9F" w:rsidRDefault="007C1F9F" w:rsidP="007C1F9F">
      <w:pPr>
        <w:pStyle w:val="AERbodytext"/>
      </w:pPr>
      <w:r>
        <w:t>APA GasNet states that it considers that the revised terms and conditions are necessary and that they are consistent with the NGO. APA GasNet submits that shippers and prospective shippers will also benefit from consistency in contracting arrangements across APA Group's assets, as many shippers are common across a number of APA Group assets in a different states and territories.</w:t>
      </w:r>
      <w:r>
        <w:rPr>
          <w:rStyle w:val="FootnoteReference"/>
        </w:rPr>
        <w:footnoteReference w:id="687"/>
      </w:r>
    </w:p>
    <w:p w:rsidR="007C1F9F" w:rsidRPr="005E0AFB" w:rsidRDefault="007C1F9F" w:rsidP="007C1F9F">
      <w:pPr>
        <w:pStyle w:val="AERheading3"/>
        <w:numPr>
          <w:ilvl w:val="2"/>
          <w:numId w:val="7"/>
        </w:numPr>
        <w:tabs>
          <w:tab w:val="clear" w:pos="-357"/>
          <w:tab w:val="num" w:pos="0"/>
        </w:tabs>
        <w:ind w:left="0" w:hanging="714"/>
      </w:pPr>
      <w:r w:rsidRPr="005E0AFB">
        <w:t>Assessment Approach</w:t>
      </w:r>
    </w:p>
    <w:p w:rsidR="007C1F9F" w:rsidRPr="005E0AFB" w:rsidRDefault="007C1F9F" w:rsidP="007C1F9F">
      <w:pPr>
        <w:pStyle w:val="AERbodytext"/>
      </w:pPr>
      <w:r w:rsidRPr="005E0AFB">
        <w:t>Non-tariff components must be consistent with the NGO.</w:t>
      </w:r>
      <w:r w:rsidRPr="005E0AFB">
        <w:rPr>
          <w:rStyle w:val="FootnoteReference"/>
        </w:rPr>
        <w:footnoteReference w:id="688"/>
      </w:r>
      <w:r w:rsidRPr="005E0AFB">
        <w:t xml:space="preserve"> But, otherwise, the AER has full discretion in dealing with them.</w:t>
      </w:r>
      <w:r w:rsidRPr="005E0AFB">
        <w:rPr>
          <w:rStyle w:val="FootnoteReference"/>
        </w:rPr>
        <w:footnoteReference w:id="689"/>
      </w:r>
      <w:r w:rsidRPr="005E0AFB">
        <w:t xml:space="preserve"> The AER has considered whether each term of Envestra's access arrangement proposal is consistent with the NGO.</w:t>
      </w:r>
      <w:r w:rsidRPr="005E0AFB">
        <w:rPr>
          <w:rStyle w:val="FootnoteReference"/>
        </w:rPr>
        <w:footnoteReference w:id="690"/>
      </w:r>
      <w:r w:rsidRPr="005E0AFB">
        <w:t xml:space="preserve"> The AER considers that assessing consistency with the NGO requires the AER to assess and balance the competing interests of the Service Provider, Network Users and consumers. In particular, the AER has considered: </w:t>
      </w:r>
    </w:p>
    <w:p w:rsidR="007C1F9F" w:rsidRPr="005E0AFB" w:rsidRDefault="007C1F9F" w:rsidP="007C1F9F">
      <w:pPr>
        <w:pStyle w:val="AERbulletlistfirststyle"/>
      </w:pPr>
      <w:r w:rsidRPr="005E0AFB">
        <w:t xml:space="preserve">the appropriate allocation of risk </w:t>
      </w:r>
    </w:p>
    <w:p w:rsidR="007C1F9F" w:rsidRPr="005E0AFB" w:rsidRDefault="007C1F9F" w:rsidP="007C1F9F">
      <w:pPr>
        <w:pStyle w:val="AERbulletlistfirststyle"/>
      </w:pPr>
      <w:r w:rsidRPr="005E0AFB">
        <w:t>the desirability of avoiding a prescriptive approach on commercial matters in the access arrangement.</w:t>
      </w:r>
    </w:p>
    <w:p w:rsidR="007C1F9F" w:rsidRPr="005E0AFB" w:rsidRDefault="007C1F9F" w:rsidP="007C1F9F">
      <w:pPr>
        <w:pStyle w:val="AERheading4"/>
      </w:pPr>
      <w:r w:rsidRPr="005E0AFB">
        <w:t>Allocation of risk</w:t>
      </w:r>
    </w:p>
    <w:p w:rsidR="007C1F9F" w:rsidRPr="005E0AFB" w:rsidRDefault="007C1F9F" w:rsidP="007C1F9F">
      <w:pPr>
        <w:pStyle w:val="AERbodytext"/>
      </w:pPr>
      <w:r w:rsidRPr="005E0AFB">
        <w:t xml:space="preserve">The NGO involves the promotion of efficient investment in and efficient operation and use of natural gas pipeline services for the long term interest of consumers. The AER considers that requiring risk to be borne by the party best able to manage it promotes this objective. This is because such an approach provides </w:t>
      </w:r>
      <w:r>
        <w:t>the opportunity to minimise the</w:t>
      </w:r>
      <w:r w:rsidRPr="005E0AFB">
        <w:t xml:space="preserve"> risk, which can ultimately lead to greater efficiency and lower prices. </w:t>
      </w:r>
    </w:p>
    <w:p w:rsidR="007C1F9F" w:rsidRPr="005E0AFB" w:rsidRDefault="007C1F9F" w:rsidP="007C1F9F">
      <w:pPr>
        <w:pStyle w:val="AERbodytext"/>
      </w:pPr>
      <w:r w:rsidRPr="005E0AFB">
        <w:t xml:space="preserve">The AER considers that non-price terms and conditions that unduly favour a gas pipeline service provider are not consistent with the NGO. Such terms could discourage new businesses from entering the retail sector. They are also likely to increase Network Users' costs, which retailers would pass on to end consumers. A similar logic applies to terms and conditions that unduly favour Network Users. If the gas pipeline service providers face an inefficient level of risk, they are likely to pass additional costs on to the Network Users and consumers. </w:t>
      </w:r>
    </w:p>
    <w:p w:rsidR="007C1F9F" w:rsidRPr="005E0AFB" w:rsidRDefault="007C1F9F" w:rsidP="007C1F9F">
      <w:pPr>
        <w:pStyle w:val="AERheading4"/>
      </w:pPr>
      <w:r w:rsidRPr="005E0AFB">
        <w:t>Commercial matters</w:t>
      </w:r>
    </w:p>
    <w:p w:rsidR="007C1F9F" w:rsidRPr="005E0AFB" w:rsidRDefault="007C1F9F" w:rsidP="007C1F9F">
      <w:pPr>
        <w:pStyle w:val="AERbodytext"/>
      </w:pPr>
      <w:r w:rsidRPr="005E0AFB">
        <w:t>The AER considers that consistency with the NGO requires terms and conditions to be sufficient to provide for a clear, legally certain and effective ongoing relationship between the parties. This becomes particularly relevant should an access dispute arise. In that scenario, the terms and conditions in the access arrangement will come into central focus.</w:t>
      </w:r>
      <w:r w:rsidRPr="005E0AFB">
        <w:rPr>
          <w:rStyle w:val="FootnoteReference"/>
        </w:rPr>
        <w:footnoteReference w:id="691"/>
      </w:r>
      <w:r w:rsidRPr="005E0AFB">
        <w:t xml:space="preserve"> The AER does not consider an access arrangement's terms and conditions can or need to cover every possible area of interaction between the parties.</w:t>
      </w:r>
    </w:p>
    <w:p w:rsidR="007C1F9F" w:rsidRPr="005E0AFB" w:rsidRDefault="007C1F9F" w:rsidP="007C1F9F">
      <w:pPr>
        <w:pStyle w:val="AERbodytext"/>
      </w:pPr>
      <w:r w:rsidRPr="005E0AFB">
        <w:t xml:space="preserve">The AER considers that Envestra and a Network User may wish to reach agreement on several aspects of their commercial relationship, separate from the access arrangment's terms and conditions. These aspects are likely to depend on the parties' particular circumstances. The AER considers that it should provide such parties with commercial flexibility to agree on terms that are relevant to their businesses and circumstances, consistent with s. 322 of the NGL. A prescriptive approach would not provide this flexibility. The AER considers that such an approach would not be consistent with the NGO. </w:t>
      </w:r>
    </w:p>
    <w:p w:rsidR="007C1F9F" w:rsidRPr="005E0AFB" w:rsidRDefault="007C1F9F" w:rsidP="007C1F9F">
      <w:pPr>
        <w:pStyle w:val="AERbodytext"/>
      </w:pPr>
      <w:r w:rsidRPr="005E0AFB">
        <w:t xml:space="preserve">In general, the AER considers that the terms and conditions Envestra has proposed are necessary for there to be a clear, effective and legally certain agreement between Envestra and a Network User. </w:t>
      </w:r>
    </w:p>
    <w:p w:rsidR="007C1F9F" w:rsidRPr="005E0AFB" w:rsidRDefault="007C1F9F" w:rsidP="007C1F9F">
      <w:pPr>
        <w:pStyle w:val="AERbodytext"/>
      </w:pPr>
      <w:r w:rsidRPr="005E0AFB">
        <w:t xml:space="preserve">By itself, a term may be necessary for an agreement to be clear, effective and legally certain. However, there may still be scope to adapt the language or level of detail of that term to apply to different commercial circumstances. In these cases, the AER considers that amendinga term will be consistent with the NGO. Nonetheless, for commercial reasons, a Network User may seek to vary the wording or depth of a term. In these cases the AER considers that the proposed term should be approved. The parties can then negotiate any changes to the wording or detail of the term.  </w:t>
      </w:r>
    </w:p>
    <w:p w:rsidR="007C1F9F" w:rsidRPr="005E0AFB" w:rsidRDefault="007C1F9F" w:rsidP="007C1F9F">
      <w:pPr>
        <w:pStyle w:val="AERbodytext"/>
      </w:pPr>
      <w:r w:rsidRPr="005E0AFB">
        <w:t xml:space="preserve">In these cases, the AER will generally avoid proposing amendments. This is particularly the case where the AER has received submissions that it considers go to the commercial form of a term, rather than its operation. </w:t>
      </w:r>
    </w:p>
    <w:p w:rsidR="007C1F9F" w:rsidRPr="005E0AFB" w:rsidRDefault="007C1F9F" w:rsidP="007C1F9F">
      <w:pPr>
        <w:pStyle w:val="AERbodytext"/>
      </w:pPr>
      <w:r w:rsidRPr="005E0AFB">
        <w:t>For the above reasons, the AER considers that this assessment approach will deliver a result consistent with the NGO.</w:t>
      </w:r>
      <w:r w:rsidRPr="005E0AFB">
        <w:rPr>
          <w:rStyle w:val="FootnoteReference"/>
        </w:rPr>
        <w:footnoteReference w:id="692"/>
      </w:r>
    </w:p>
    <w:p w:rsidR="007C1F9F" w:rsidRDefault="007C1F9F" w:rsidP="007C1F9F">
      <w:pPr>
        <w:pStyle w:val="AERheading3"/>
        <w:numPr>
          <w:ilvl w:val="2"/>
          <w:numId w:val="7"/>
        </w:numPr>
        <w:tabs>
          <w:tab w:val="clear" w:pos="-357"/>
          <w:tab w:val="num" w:pos="0"/>
        </w:tabs>
        <w:ind w:left="0" w:hanging="714"/>
      </w:pPr>
      <w:r>
        <w:t>Reasons for the d</w:t>
      </w:r>
      <w:r w:rsidRPr="005E0AFB">
        <w:t>ecision</w:t>
      </w:r>
    </w:p>
    <w:p w:rsidR="007C1F9F" w:rsidRPr="00EB1AF3" w:rsidRDefault="007C1F9F" w:rsidP="007C1F9F">
      <w:pPr>
        <w:pStyle w:val="AERbodytext"/>
      </w:pPr>
      <w:r w:rsidRPr="00EB1AF3">
        <w:rPr>
          <w:rStyle w:val="AERbody"/>
        </w:rPr>
        <w:t>The following discussion focuses on the terms and conditions that the AER has concerns with and requires to be amended</w:t>
      </w:r>
      <w:r>
        <w:rPr>
          <w:rStyle w:val="AERbody"/>
        </w:rPr>
        <w:t xml:space="preserve"> as well as</w:t>
      </w:r>
      <w:r w:rsidRPr="00EB1AF3">
        <w:rPr>
          <w:rStyle w:val="AERbody"/>
        </w:rPr>
        <w:t xml:space="preserve"> set</w:t>
      </w:r>
      <w:r>
        <w:rPr>
          <w:rStyle w:val="AERbody"/>
        </w:rPr>
        <w:t>ting</w:t>
      </w:r>
      <w:r w:rsidRPr="00EB1AF3">
        <w:rPr>
          <w:rStyle w:val="AERbody"/>
        </w:rPr>
        <w:t xml:space="preserve"> out the AER's reasoning with respect to proposed terms that it has accepted and submissions that it has not referred to in the following discussion.</w:t>
      </w:r>
    </w:p>
    <w:p w:rsidR="007C1F9F" w:rsidRDefault="007C1F9F" w:rsidP="007C1F9F">
      <w:pPr>
        <w:pStyle w:val="AERheading4"/>
      </w:pPr>
      <w:r>
        <w:t>Billing and Payment</w:t>
      </w:r>
    </w:p>
    <w:p w:rsidR="007C1F9F" w:rsidRPr="0074613B" w:rsidRDefault="007C1F9F" w:rsidP="007C1F9F">
      <w:pPr>
        <w:pStyle w:val="AERbodytext"/>
      </w:pPr>
      <w:r>
        <w:t>For the reasons set out below t</w:t>
      </w:r>
      <w:r w:rsidRPr="0074613B">
        <w:t>he AER considers that this clause</w:t>
      </w:r>
      <w:r>
        <w:t>,</w:t>
      </w:r>
      <w:r w:rsidRPr="0074613B">
        <w:t xml:space="preserve"> </w:t>
      </w:r>
      <w:r>
        <w:t xml:space="preserve">F2, </w:t>
      </w:r>
      <w:r w:rsidRPr="0074613B">
        <w:t xml:space="preserve">is </w:t>
      </w:r>
      <w:r>
        <w:t xml:space="preserve">not </w:t>
      </w:r>
      <w:r w:rsidRPr="0074613B">
        <w:t xml:space="preserve">consistent with the NGO and </w:t>
      </w:r>
      <w:r>
        <w:t>requires it to be amended in accordance with Revision 12.1</w:t>
      </w:r>
      <w:r w:rsidRPr="0074613B">
        <w:t>.</w:t>
      </w:r>
    </w:p>
    <w:p w:rsidR="007C1F9F" w:rsidRDefault="007C1F9F" w:rsidP="007C1F9F">
      <w:pPr>
        <w:pStyle w:val="AERbodytext"/>
      </w:pPr>
      <w:r>
        <w:t>APG submitted that invoices to recover additional amounts should be restricted to revised amounts as issued by AEMO as per the previous access arrangement. APG states that this should be limited because any other legitimate recovery will be contemplated under the cost pass through provision, F3. In the case of recovery of additional amounts that specifically pertain to errors, there should be a reference to the last paragraph where a time limitation applies.</w:t>
      </w:r>
      <w:r>
        <w:rPr>
          <w:rStyle w:val="FootnoteReference"/>
        </w:rPr>
        <w:footnoteReference w:id="693"/>
      </w:r>
    </w:p>
    <w:p w:rsidR="007C1F9F" w:rsidRDefault="007C1F9F" w:rsidP="007C1F9F">
      <w:pPr>
        <w:pStyle w:val="AERbodytext"/>
      </w:pPr>
      <w:r>
        <w:t>TRU Energy submitted that it prefers to retain the wording in the current Transmission Entitlement Deed that relates to disputed amounts. However, if the wording in the proposal is retained, greater clarity is required regarding the interest chargeable where the disputed amount is found to be payable by, or re-payable to the shipper.</w:t>
      </w:r>
      <w:r>
        <w:rPr>
          <w:rStyle w:val="FootnoteReference"/>
        </w:rPr>
        <w:footnoteReference w:id="694"/>
      </w:r>
    </w:p>
    <w:p w:rsidR="007C1F9F" w:rsidRDefault="007C1F9F" w:rsidP="007C1F9F">
      <w:pPr>
        <w:pStyle w:val="AERbodytext"/>
      </w:pPr>
      <w:r>
        <w:t xml:space="preserve">The AER considers that the inclusion of F2(c) is consistent with the NGO. The AER considers that there could be a number of reasons for an incorrect amount to be invoiced or paid – such as an error in rendering a bill or tendering payment. This clause operates to the benefit of both APA GasNet and the Network User because it refers to recovering additional amounts which the Service Provider is entitled to recover, and making adjustments for amounts that were invoiced to or paid in error by the Shipper. </w:t>
      </w:r>
    </w:p>
    <w:p w:rsidR="007C1F9F" w:rsidRDefault="007C1F9F" w:rsidP="007C1F9F">
      <w:pPr>
        <w:pStyle w:val="AERbodytext"/>
      </w:pPr>
      <w:r>
        <w:t>The AER considers that permitting invoices to be issued to rectify an error promotes the efficient operation of APA GasNet's system. Allowing a party to retain funds arising from erroneous payments or incorrect invoices could lead to price distortions. This would not be in the long term interests of consumers, an aspect of the NGO.</w:t>
      </w:r>
    </w:p>
    <w:p w:rsidR="007C1F9F" w:rsidRDefault="007C1F9F" w:rsidP="007C1F9F">
      <w:pPr>
        <w:pStyle w:val="AERbodytext"/>
      </w:pPr>
      <w:r>
        <w:t>With respect to APG's submission, the AER notes that clause F3 provides that a reference tariff may be varied in accordance with the Reference Tariff Adjustment Mechanism set out in section 4 of the access arrangement. The AER does not consider that an erroneous payment falls within any of the proposed and approved cost pass through events. Accordingly, the AER does not agree with APG's submission that clause F3 contemplates the recovery of erroneous payments.</w:t>
      </w:r>
    </w:p>
    <w:p w:rsidR="007C1F9F" w:rsidRDefault="007C1F9F" w:rsidP="007C1F9F">
      <w:pPr>
        <w:pStyle w:val="AERbodytext"/>
      </w:pPr>
      <w:r>
        <w:t>The AER considers that the reference to interest in the final two sub-clauses should be amended to refer to the rate of interest set out in the previous sub-clause. This will avoid any uncertainty or disputes which, could lead to increased costs. This is in the long term interests of consumers with respect to price, an aspect of the NGO.</w:t>
      </w:r>
    </w:p>
    <w:p w:rsidR="007C1F9F" w:rsidRDefault="007C1F9F" w:rsidP="007C1F9F">
      <w:pPr>
        <w:pStyle w:val="AERbodytext"/>
      </w:pPr>
      <w:r>
        <w:t>This clause is substantially consistent with the billing and payment clauses approved in recent AER gas decisions.</w:t>
      </w:r>
      <w:r>
        <w:rPr>
          <w:rStyle w:val="FootnoteReference"/>
        </w:rPr>
        <w:footnoteReference w:id="695"/>
      </w:r>
    </w:p>
    <w:p w:rsidR="007C1F9F" w:rsidRDefault="007C1F9F" w:rsidP="007C1F9F">
      <w:pPr>
        <w:pStyle w:val="AERheading4"/>
      </w:pPr>
      <w:r>
        <w:t>Prudential Requirements</w:t>
      </w:r>
    </w:p>
    <w:p w:rsidR="007C1F9F" w:rsidRPr="00543C68" w:rsidRDefault="007C1F9F" w:rsidP="007C1F9F">
      <w:pPr>
        <w:pStyle w:val="AERbodytext"/>
      </w:pPr>
      <w:r>
        <w:t>For the reasons set out below t</w:t>
      </w:r>
      <w:r w:rsidRPr="00543C68">
        <w:t>he AER considers that this clause</w:t>
      </w:r>
      <w:r>
        <w:t>,</w:t>
      </w:r>
      <w:r w:rsidRPr="00543C68">
        <w:t xml:space="preserve"> </w:t>
      </w:r>
      <w:r>
        <w:t xml:space="preserve">F4, </w:t>
      </w:r>
      <w:r w:rsidRPr="00543C68">
        <w:t>is consistent with the NGO and does not propose to require any amendments.</w:t>
      </w:r>
    </w:p>
    <w:p w:rsidR="007C1F9F" w:rsidRDefault="007C1F9F" w:rsidP="007C1F9F">
      <w:pPr>
        <w:pStyle w:val="AERbodytext"/>
      </w:pPr>
      <w:r>
        <w:t>APG considers that prudential requirements can form barriers to participants' market entry and expansion. Further, APG considers that the provision of credit support should be commensurate with the level of risk associated with payment default. APG is concerned that clause F4(a) suggests that credit support arrangements are solely at the discretion of APA GasNet. APG also considers that the drafting lacks reference to any consistent calculation methodology in determining the quantum, or criteria for determining the type of this support. APG considers that the clause should give participants flexibility to provide credit support in a low cost manner, commensurate with the risk of payment default.</w:t>
      </w:r>
      <w:r>
        <w:rPr>
          <w:rStyle w:val="FootnoteReference"/>
        </w:rPr>
        <w:footnoteReference w:id="696"/>
      </w:r>
    </w:p>
    <w:p w:rsidR="007C1F9F" w:rsidRDefault="007C1F9F" w:rsidP="007C1F9F">
      <w:pPr>
        <w:pStyle w:val="AERbodytext"/>
      </w:pPr>
      <w:r>
        <w:t>TRU Energy submitted that APA GasNet's proposed prudential facility should be replaced by the prudential facility in the Deed attached to APA GasNet's current access arrangement.</w:t>
      </w:r>
      <w:r>
        <w:rPr>
          <w:rStyle w:val="FootnoteReference"/>
        </w:rPr>
        <w:footnoteReference w:id="697"/>
      </w:r>
    </w:p>
    <w:p w:rsidR="007C1F9F" w:rsidRDefault="007C1F9F" w:rsidP="007C1F9F">
      <w:pPr>
        <w:pStyle w:val="AERbodytext"/>
      </w:pPr>
      <w:r>
        <w:t>The AER considers that prudential requirements form an important part of an access arrangement. The financial viability of service providers and prudent investment are essential to the efficient operation of natural gas networks and services. The AER considers that requiring a service provider to provide services to a financially unstable party is not consistent with the NGO. This could potentially leave a service provider with limited finances in the event that a network user becomes insolvent.</w:t>
      </w:r>
    </w:p>
    <w:p w:rsidR="007C1F9F" w:rsidRDefault="007C1F9F" w:rsidP="007C1F9F">
      <w:pPr>
        <w:pStyle w:val="AERbodytext"/>
      </w:pPr>
      <w:r>
        <w:t xml:space="preserve">The AER considers that the proposed mechanism is consistent with the NGO. It balances the interests of APA GasNet with those of users and consumers. APA GasNet may require the provision of financial security but only to a reasonable extent. </w:t>
      </w:r>
    </w:p>
    <w:p w:rsidR="007C1F9F" w:rsidRDefault="007C1F9F" w:rsidP="007C1F9F">
      <w:pPr>
        <w:pStyle w:val="AERbodytext"/>
      </w:pPr>
      <w:r>
        <w:t>Sub-clause F4(a) is the same as the prudential requirements clauses recently approved by the AER for other APA Group subsidiaries.</w:t>
      </w:r>
      <w:r>
        <w:rPr>
          <w:rStyle w:val="FootnoteReference"/>
        </w:rPr>
        <w:footnoteReference w:id="698"/>
      </w:r>
      <w:r>
        <w:t xml:space="preserve"> In its draft decision on the Amadeus Gas Pipeline, the AER required the prudential requirements clause to be amended to the format that APA GasNet has proposed. In particular, the AER required the Service Provider's discretion to be limited by the inclusion of a 'reasonable' qualification.</w:t>
      </w:r>
      <w:r>
        <w:rPr>
          <w:rStyle w:val="FootnoteReference"/>
        </w:rPr>
        <w:footnoteReference w:id="699"/>
      </w:r>
    </w:p>
    <w:p w:rsidR="007C1F9F" w:rsidRDefault="007C1F9F" w:rsidP="007C1F9F">
      <w:pPr>
        <w:pStyle w:val="AERbodytext"/>
      </w:pPr>
      <w:r>
        <w:t xml:space="preserve">APA GasNet may only require financial security where it is 'reasonably required'. This qualifies APA GasNet's discretion with an objective test. Financial security would be 'reasonably required' where an objective assessment of the circumstances of the user determines that it could potentially be a security risk. If an objective assessment showed that a user was not a potential security risk, it would be unreasonable to require the provision of financial security and financial security would not be 'reasonably required'. The AER considers that it is appropriate to allow the requirement of financial security where it is reasonably required. </w:t>
      </w:r>
    </w:p>
    <w:p w:rsidR="007C1F9F" w:rsidRDefault="007C1F9F" w:rsidP="007C1F9F">
      <w:pPr>
        <w:pStyle w:val="AERbodytext"/>
      </w:pPr>
      <w:r>
        <w:t>APA GasNet is also given discretion to determine the form of financial security. However, this discretion must also be exercised reasonably. Accordingly, the AER considers that there is sufficient limitation on the scope of APA GasNet's discretion and this clause is consistent with the NGO.</w:t>
      </w:r>
    </w:p>
    <w:p w:rsidR="007C1F9F" w:rsidRDefault="007C1F9F" w:rsidP="007C1F9F">
      <w:pPr>
        <w:pStyle w:val="AERbodytext"/>
      </w:pPr>
      <w:r>
        <w:t>The AER agrees that requirements for financial security can form barriers to entry or expansion. However, the AER also considers that it is necessary for APA GasNet to protect its interests in order to achieve the NGO. APA GasNet's proposed prudential requirements limit it to acting reasonably and the AER considers this prevents the arbitrary or capricious use of this clause. The AER does not agree that the credit support arrangements are solely at the discretion of APA GasNet. As discussed above, APA  GasNet's discretion is limited to acting reasonably.</w:t>
      </w:r>
    </w:p>
    <w:p w:rsidR="007C1F9F" w:rsidRDefault="007C1F9F" w:rsidP="007C1F9F">
      <w:pPr>
        <w:pStyle w:val="AERbodytext"/>
      </w:pPr>
      <w:r>
        <w:t xml:space="preserve">The AER acknowledges APG's point that the proposed mechanism does not refer to a consistent calculation methodology. However, the AER considers that the qualification that the financial security must be in the form reasonably required by APA GasNet limits it to requiring security that is reasonable. </w:t>
      </w:r>
    </w:p>
    <w:p w:rsidR="007C1F9F" w:rsidRDefault="007C1F9F" w:rsidP="007C1F9F">
      <w:pPr>
        <w:pStyle w:val="AERbodytext"/>
      </w:pPr>
      <w:r w:rsidRPr="008D2ED2">
        <w:rPr>
          <w:rStyle w:val="AERbody"/>
        </w:rPr>
        <w:t xml:space="preserve">This clause is substantially consistent with the </w:t>
      </w:r>
      <w:r>
        <w:rPr>
          <w:rStyle w:val="AERbody"/>
        </w:rPr>
        <w:t>prudential requirements</w:t>
      </w:r>
      <w:r w:rsidRPr="008D2ED2">
        <w:rPr>
          <w:rStyle w:val="AERbody"/>
        </w:rPr>
        <w:t xml:space="preserve"> clauses approved in recent AER gas decisions.</w:t>
      </w:r>
      <w:r>
        <w:rPr>
          <w:rStyle w:val="FootnoteReference"/>
        </w:rPr>
        <w:footnoteReference w:id="700"/>
      </w:r>
    </w:p>
    <w:p w:rsidR="007C1F9F" w:rsidRDefault="007C1F9F" w:rsidP="007C1F9F">
      <w:pPr>
        <w:pStyle w:val="AERheading4"/>
      </w:pPr>
      <w:r>
        <w:t>Termination</w:t>
      </w:r>
    </w:p>
    <w:p w:rsidR="007C1F9F" w:rsidRPr="00DB7D37" w:rsidRDefault="007C1F9F" w:rsidP="007C1F9F">
      <w:pPr>
        <w:pStyle w:val="AERbodytext"/>
      </w:pPr>
      <w:r w:rsidRPr="00DB7D37">
        <w:t>For the reasons set out below the AER considers that this clause</w:t>
      </w:r>
      <w:r>
        <w:t>, F8,</w:t>
      </w:r>
      <w:r w:rsidRPr="00DB7D37">
        <w:t xml:space="preserve"> is </w:t>
      </w:r>
      <w:r>
        <w:t xml:space="preserve">not </w:t>
      </w:r>
      <w:r w:rsidRPr="00DB7D37">
        <w:t xml:space="preserve">consistent with the NGO and </w:t>
      </w:r>
      <w:r>
        <w:t>requires it to be amended in accordance with revision 12.2.</w:t>
      </w:r>
    </w:p>
    <w:p w:rsidR="007C1F9F" w:rsidRDefault="007C1F9F" w:rsidP="007C1F9F">
      <w:pPr>
        <w:pStyle w:val="AERbodytext"/>
      </w:pPr>
      <w:r>
        <w:t>TRU Energy submitted that clause F8 should overtly indicate that failure to pay a disputed amount is not a material default.</w:t>
      </w:r>
      <w:r>
        <w:rPr>
          <w:rStyle w:val="FootnoteReference"/>
        </w:rPr>
        <w:footnoteReference w:id="701"/>
      </w:r>
    </w:p>
    <w:p w:rsidR="007C1F9F" w:rsidRDefault="007C1F9F" w:rsidP="007C1F9F">
      <w:pPr>
        <w:pStyle w:val="AERbodytext"/>
      </w:pPr>
      <w:r>
        <w:t xml:space="preserve">The AER agrees with TRU Energy's concerns. The AER considers that it is not consistent with the NGO to permit APA GasNet to terminate the Transmission Payment Deed, where a user has disputed an invoice. APA GasNet should not be able to incorrectly charge a user and then terminate the Transmission Payment Deed if the User disputes the invoice. The AER considers that such a circumstance would not promote the efficient use and operation of gas services, an aspect of the NGO. </w:t>
      </w:r>
    </w:p>
    <w:p w:rsidR="007C1F9F" w:rsidRDefault="007C1F9F" w:rsidP="007C1F9F">
      <w:pPr>
        <w:pStyle w:val="AERheading4"/>
      </w:pPr>
      <w:r>
        <w:t>Assignment</w:t>
      </w:r>
    </w:p>
    <w:p w:rsidR="007C1F9F" w:rsidRPr="00DB7D37" w:rsidRDefault="007C1F9F" w:rsidP="007C1F9F">
      <w:pPr>
        <w:pStyle w:val="AERbodytext"/>
      </w:pPr>
      <w:r w:rsidRPr="00DB7D37">
        <w:t>For the reasons set out below the AER considers that this clause</w:t>
      </w:r>
      <w:r>
        <w:t>, F10,</w:t>
      </w:r>
      <w:r w:rsidRPr="00DB7D37">
        <w:t xml:space="preserve"> is consistent with the NGO and does not propose to require any amendments.</w:t>
      </w:r>
    </w:p>
    <w:p w:rsidR="007C1F9F" w:rsidRPr="00F93A3C" w:rsidRDefault="007C1F9F" w:rsidP="007C1F9F">
      <w:pPr>
        <w:pStyle w:val="AERbodytext"/>
      </w:pPr>
      <w:r>
        <w:t>This clause is substantially the same as the assignment clause (approved by the AER) in recent gas pipeline decisions.</w:t>
      </w:r>
      <w:r>
        <w:rPr>
          <w:rStyle w:val="FootnoteReference"/>
        </w:rPr>
        <w:footnoteReference w:id="702"/>
      </w:r>
    </w:p>
    <w:p w:rsidR="007C1F9F" w:rsidRDefault="007C1F9F" w:rsidP="007C1F9F">
      <w:pPr>
        <w:pStyle w:val="AERbodytext"/>
      </w:pPr>
      <w:r>
        <w:t>APG submitted that the provisions for change of control should be removed. A "change in control" may be beyond the immediate control of the parties (as in the case of a publically listed company) and in effect, a subsequent trigger that the Deed is not enforced until consent is obtained from the other party may be an unreasonable disruption to continuing business.</w:t>
      </w:r>
      <w:r>
        <w:rPr>
          <w:rStyle w:val="FootnoteReference"/>
        </w:rPr>
        <w:footnoteReference w:id="703"/>
      </w:r>
    </w:p>
    <w:p w:rsidR="007C1F9F" w:rsidRDefault="007C1F9F" w:rsidP="007C1F9F">
      <w:pPr>
        <w:pStyle w:val="AERbodytext"/>
      </w:pPr>
      <w:r>
        <w:t>The AER considers that APG is concerned that a publically listed company will not have any control over whether there is a change in control, because the change in control could arise from a stock market takeover. APG has not provided any other examples where it considers there could be a change of control of a party that is beyond its immediate control.</w:t>
      </w:r>
    </w:p>
    <w:p w:rsidR="007C1F9F" w:rsidRDefault="007C1F9F" w:rsidP="007C1F9F">
      <w:pPr>
        <w:pStyle w:val="AERbodytext"/>
      </w:pPr>
      <w:r>
        <w:t xml:space="preserve">The AER notes that in the provisions relating to change of control, point (b) refers to neither the affected party or its ultimate holding company being listed on a recognised public securities exchange. This is a pre-requisite for the further provisions, limiting the ability of the affected party to enforce the Deed, to apply. Accordingly, where the affected party or its ultimate holding company are listed, the limitation on enforcing the Deed does not apply. </w:t>
      </w:r>
    </w:p>
    <w:p w:rsidR="007C1F9F" w:rsidRDefault="007C1F9F" w:rsidP="007C1F9F">
      <w:pPr>
        <w:pStyle w:val="AERbodytext"/>
      </w:pPr>
      <w:r>
        <w:t>This clause provides for affected parties to deal with their assets in a flexible way. However, it also allows the other party to protect its interests by refusing to consent to an assignment if the assignee is not technically or financially capable of performing. The AER considers that this promotes the efficient operation of the network, an aspect of the NGO.</w:t>
      </w:r>
    </w:p>
    <w:p w:rsidR="007C1F9F" w:rsidRDefault="007C1F9F" w:rsidP="007C1F9F">
      <w:pPr>
        <w:pStyle w:val="AERheading4"/>
      </w:pPr>
      <w:r>
        <w:t>Confidentiality</w:t>
      </w:r>
    </w:p>
    <w:p w:rsidR="007C1F9F" w:rsidRPr="0076383B" w:rsidRDefault="007C1F9F" w:rsidP="007C1F9F">
      <w:pPr>
        <w:pStyle w:val="AERbodytext"/>
      </w:pPr>
      <w:r w:rsidRPr="0076383B">
        <w:t>For the reasons set out below the AER considers that this clause</w:t>
      </w:r>
      <w:r>
        <w:t>, F11</w:t>
      </w:r>
      <w:r w:rsidRPr="0076383B">
        <w:t>, is consistent with the NGO and does not propose to require any amendments.</w:t>
      </w:r>
    </w:p>
    <w:p w:rsidR="007C1F9F" w:rsidRPr="00C9126A" w:rsidRDefault="007C1F9F" w:rsidP="007C1F9F">
      <w:pPr>
        <w:pStyle w:val="AERbodytext"/>
      </w:pPr>
      <w:r>
        <w:t>This clause is consistent with the confidentiality clauses recently approved by the AER.</w:t>
      </w:r>
      <w:r>
        <w:rPr>
          <w:rStyle w:val="FootnoteReference"/>
        </w:rPr>
        <w:footnoteReference w:id="704"/>
      </w:r>
    </w:p>
    <w:p w:rsidR="007C1F9F" w:rsidRPr="007F55D6" w:rsidRDefault="007C1F9F" w:rsidP="007C1F9F">
      <w:pPr>
        <w:pStyle w:val="AERbodytext"/>
      </w:pPr>
      <w:r>
        <w:t>APG submitted that this clause should make provision for disclosure to any financiers or prospective financiers of a party, as exceptions to consent requirements.</w:t>
      </w:r>
      <w:r>
        <w:rPr>
          <w:rStyle w:val="FootnoteReference"/>
        </w:rPr>
        <w:footnoteReference w:id="705"/>
      </w:r>
    </w:p>
    <w:p w:rsidR="007C1F9F" w:rsidRDefault="007C1F9F" w:rsidP="007C1F9F">
      <w:pPr>
        <w:pStyle w:val="AERbodytext"/>
      </w:pPr>
      <w:r>
        <w:t>The AER considers that the obligation to obtain written consent to use confidential information for a purpose other than the permitted purposes is not particularly onerous. The AER considers that it is important that parties are able to protect and restrict who deals with their confidential information. Broadening the scope of access to confidential information could act as a disincentive to entry into or investment in the industry. The AER considers that this would not promote efficient investment in and the efficient operation and use of services, which are aspects of the NGO.</w:t>
      </w:r>
    </w:p>
    <w:p w:rsidR="007C1F9F" w:rsidRDefault="007C1F9F" w:rsidP="007C1F9F">
      <w:pPr>
        <w:pStyle w:val="AERbodytext"/>
      </w:pPr>
      <w:r>
        <w:t xml:space="preserve">Whilst a party would have to obtain written consent to disclose confidential information to its financiers, the AER considers that this is not inconsistent with the NGO.  </w:t>
      </w:r>
    </w:p>
    <w:p w:rsidR="007C1F9F" w:rsidRPr="000809E5" w:rsidRDefault="007C1F9F" w:rsidP="007C1F9F">
      <w:pPr>
        <w:pStyle w:val="AERheading2"/>
        <w:numPr>
          <w:ilvl w:val="1"/>
          <w:numId w:val="7"/>
        </w:numPr>
        <w:tabs>
          <w:tab w:val="clear" w:pos="4317"/>
          <w:tab w:val="num" w:pos="0"/>
        </w:tabs>
        <w:ind w:left="0" w:hanging="720"/>
      </w:pPr>
      <w:bookmarkStart w:id="188" w:name="_Toc334543816"/>
      <w:r w:rsidRPr="000809E5">
        <w:t>Capacity trading requirements</w:t>
      </w:r>
      <w:bookmarkEnd w:id="188"/>
      <w:r w:rsidRPr="000809E5">
        <w:t xml:space="preserve"> </w:t>
      </w:r>
    </w:p>
    <w:p w:rsidR="007C1F9F" w:rsidRPr="000809E5" w:rsidRDefault="007C1F9F" w:rsidP="007C1F9F">
      <w:pPr>
        <w:pStyle w:val="AERbodytext"/>
      </w:pPr>
      <w:r w:rsidRPr="000809E5">
        <w:t>The capacity trading requirements of an access arrangement may allow a user to transfer, by way of a subcontract, all or any of the user’s contracted capacity to another user.</w:t>
      </w:r>
      <w:r w:rsidRPr="000809E5">
        <w:rPr>
          <w:rStyle w:val="FootnoteReference"/>
        </w:rPr>
        <w:footnoteReference w:id="706"/>
      </w:r>
      <w:r w:rsidRPr="000809E5">
        <w:t xml:space="preserve"> In doing so, it may enable a secondary market with more efficient price signals and levels of usage.</w:t>
      </w:r>
    </w:p>
    <w:p w:rsidR="007C1F9F" w:rsidRPr="000809E5" w:rsidRDefault="007C1F9F" w:rsidP="007C1F9F">
      <w:pPr>
        <w:pStyle w:val="AERbodytext"/>
      </w:pPr>
      <w:r w:rsidRPr="000809E5">
        <w:t>The NGR provides that capacity trading requirements are to be included in a full access arrangement.</w:t>
      </w:r>
      <w:r w:rsidRPr="000809E5">
        <w:rPr>
          <w:rStyle w:val="FootnoteReference"/>
        </w:rPr>
        <w:footnoteReference w:id="707"/>
      </w:r>
      <w:r w:rsidRPr="000809E5">
        <w:t xml:space="preserve"> Relevantly, the NGR requires that capacity trading requirements must provide for capacity transfers in accordance with the rules or procedures of the relevant gas market, if the service provider is registered as a participant in a particular gas market.</w:t>
      </w:r>
      <w:r w:rsidRPr="000809E5">
        <w:rPr>
          <w:rStyle w:val="FootnoteReference"/>
        </w:rPr>
        <w:footnoteReference w:id="708"/>
      </w:r>
      <w:r w:rsidRPr="000809E5">
        <w:t xml:space="preserve"> </w:t>
      </w:r>
    </w:p>
    <w:p w:rsidR="007C1F9F" w:rsidRPr="000809E5" w:rsidRDefault="007C1F9F" w:rsidP="007C1F9F">
      <w:pPr>
        <w:pStyle w:val="AERheading3"/>
        <w:numPr>
          <w:ilvl w:val="2"/>
          <w:numId w:val="7"/>
        </w:numPr>
        <w:tabs>
          <w:tab w:val="clear" w:pos="-357"/>
          <w:tab w:val="num" w:pos="0"/>
        </w:tabs>
        <w:ind w:left="0" w:hanging="714"/>
      </w:pPr>
      <w:r w:rsidRPr="000809E5">
        <w:t>AER Decision</w:t>
      </w:r>
    </w:p>
    <w:p w:rsidR="007C1F9F" w:rsidRPr="000809E5" w:rsidRDefault="007C1F9F" w:rsidP="007C1F9F">
      <w:pPr>
        <w:pStyle w:val="AERbodytext"/>
      </w:pPr>
      <w:r w:rsidRPr="000809E5">
        <w:t xml:space="preserve">To ensure that the access arrangement is consistent with the NGR, the AER requires APA GasNet to amend its proposal to state that there are no applicable capacity trading requirements for the purposes of rule 48(1)(f)or 105(1) of the NGR. </w:t>
      </w:r>
    </w:p>
    <w:p w:rsidR="007C1F9F" w:rsidRPr="000809E5" w:rsidRDefault="007C1F9F" w:rsidP="007C1F9F">
      <w:pPr>
        <w:pStyle w:val="AERbodytext"/>
      </w:pPr>
      <w:r w:rsidRPr="000809E5">
        <w:t>The AER requires APA GasNet to amend clause 5.1 of its propos</w:t>
      </w:r>
      <w:r>
        <w:t>ed access arrangement in accordance with Revision 12.3.</w:t>
      </w:r>
    </w:p>
    <w:p w:rsidR="007C1F9F" w:rsidRPr="000809E5" w:rsidRDefault="007C1F9F" w:rsidP="007C1F9F">
      <w:pPr>
        <w:pStyle w:val="AERheading3"/>
        <w:numPr>
          <w:ilvl w:val="2"/>
          <w:numId w:val="7"/>
        </w:numPr>
        <w:tabs>
          <w:tab w:val="clear" w:pos="-357"/>
          <w:tab w:val="num" w:pos="0"/>
        </w:tabs>
        <w:ind w:left="0" w:hanging="714"/>
      </w:pPr>
      <w:r w:rsidRPr="000809E5">
        <w:t>Access arrangement proposal</w:t>
      </w:r>
    </w:p>
    <w:p w:rsidR="007C1F9F" w:rsidRDefault="007C1F9F" w:rsidP="007C1F9F">
      <w:pPr>
        <w:pStyle w:val="AERbodytext"/>
      </w:pPr>
      <w:r w:rsidRPr="000809E5">
        <w:t>APA GasNet’s access arrangement proposal states that as it is a registered participant in the Victorian Declared Wholesale Gas Market. Therefore, any transfer of capacity must be undertaken in accordance with the rules or procedures governing the Victorian Declared Wholesale Gas Market.</w:t>
      </w:r>
      <w:r w:rsidRPr="000809E5">
        <w:rPr>
          <w:rStyle w:val="FootnoteReference"/>
        </w:rPr>
        <w:footnoteReference w:id="709"/>
      </w:r>
      <w:r w:rsidRPr="000809E5">
        <w:t xml:space="preserve"> APA GasNet’s proposal does not include any further rules in relation to capacity trading.</w:t>
      </w:r>
    </w:p>
    <w:p w:rsidR="007C1F9F" w:rsidRPr="00F41173" w:rsidRDefault="007C1F9F" w:rsidP="007C1F9F">
      <w:pPr>
        <w:pStyle w:val="AERheading3"/>
        <w:numPr>
          <w:ilvl w:val="2"/>
          <w:numId w:val="7"/>
        </w:numPr>
        <w:tabs>
          <w:tab w:val="clear" w:pos="-357"/>
          <w:tab w:val="num" w:pos="0"/>
        </w:tabs>
        <w:ind w:left="0" w:hanging="714"/>
      </w:pPr>
      <w:r>
        <w:t>A</w:t>
      </w:r>
      <w:r w:rsidRPr="00F41173">
        <w:t>ssessment approach</w:t>
      </w:r>
    </w:p>
    <w:p w:rsidR="007C1F9F" w:rsidRPr="000809E5" w:rsidRDefault="007C1F9F" w:rsidP="007C1F9F">
      <w:pPr>
        <w:pStyle w:val="AERbodytext"/>
      </w:pPr>
      <w:r>
        <w:t>The AER has assessed APA GasNet's capacity trading requirements against the NGO and rules 48(1)(f) and 105 of the NGR.</w:t>
      </w:r>
      <w:r w:rsidRPr="000809E5">
        <w:t xml:space="preserve"> </w:t>
      </w:r>
    </w:p>
    <w:p w:rsidR="007C1F9F" w:rsidRPr="000809E5" w:rsidRDefault="007C1F9F" w:rsidP="007C1F9F">
      <w:pPr>
        <w:pStyle w:val="AERheading3"/>
        <w:numPr>
          <w:ilvl w:val="2"/>
          <w:numId w:val="7"/>
        </w:numPr>
        <w:tabs>
          <w:tab w:val="clear" w:pos="-357"/>
          <w:tab w:val="num" w:pos="0"/>
        </w:tabs>
        <w:ind w:left="0" w:hanging="714"/>
      </w:pPr>
      <w:r>
        <w:t>Reasons for the decision</w:t>
      </w:r>
    </w:p>
    <w:p w:rsidR="007C1F9F" w:rsidRPr="000809E5" w:rsidRDefault="007C1F9F" w:rsidP="007C1F9F">
      <w:pPr>
        <w:pStyle w:val="AERbodytext"/>
      </w:pPr>
      <w:r w:rsidRPr="000809E5">
        <w:t>Capacity trading is not possible on the Victorian gas network (including on APA GasNet’s transmission network).  This is different to most Australian gas markets. Those markets are based on bilateral arrangements between producers, major users and retailers linked together through pipeline hubs connecting gas fields to gas consumers.</w:t>
      </w:r>
      <w:r w:rsidRPr="000809E5">
        <w:rPr>
          <w:rStyle w:val="FootnoteReference"/>
        </w:rPr>
        <w:footnoteReference w:id="710"/>
      </w:r>
      <w:r w:rsidRPr="000809E5">
        <w:t xml:space="preserve"> By comparison, in Victoria a wholesale gas market has been established to enable competitive trading based on injections into and withdrawals from a transmission system that links multiple producers, major users and retailers.</w:t>
      </w:r>
      <w:r w:rsidRPr="000809E5">
        <w:rPr>
          <w:rStyle w:val="FootnoteReference"/>
        </w:rPr>
        <w:footnoteReference w:id="711"/>
      </w:r>
      <w:r w:rsidRPr="000809E5">
        <w:t xml:space="preserve"> Under this model, Victorian gas networks (including APA GasNet’s transmission network) are subject to the Declared Wholesale Market Rules in part 19 of the NGR. These rules do not provide for capacity trading. Rather, AEMO is responsible for managing capacity, on a daily basis, throughout the Victorian wholesale gas market.</w:t>
      </w:r>
      <w:r w:rsidRPr="000809E5">
        <w:rPr>
          <w:rStyle w:val="FootnoteReference"/>
        </w:rPr>
        <w:footnoteReference w:id="712"/>
      </w:r>
      <w:r w:rsidRPr="000809E5">
        <w:t xml:space="preserve"> </w:t>
      </w:r>
    </w:p>
    <w:p w:rsidR="007C1F9F" w:rsidRPr="000809E5" w:rsidRDefault="007C1F9F" w:rsidP="007C1F9F">
      <w:pPr>
        <w:pStyle w:val="AERbodytext"/>
      </w:pPr>
      <w:r w:rsidRPr="000809E5">
        <w:t xml:space="preserve">Rule 330 of the NGR sets out the applicable procedure for allocating capacity where AEMO and the declared transmission system service provider agree that the declared transmission system has available capacity which has not previously been allocated or reserved. </w:t>
      </w:r>
    </w:p>
    <w:p w:rsidR="007C1F9F" w:rsidRPr="000809E5" w:rsidRDefault="007C1F9F" w:rsidP="007C1F9F">
      <w:pPr>
        <w:pStyle w:val="AERbodytext"/>
      </w:pPr>
      <w:r w:rsidRPr="000809E5">
        <w:t xml:space="preserve">Capacity trading is therefore not applicable to the APA GasNet’s network. </w:t>
      </w:r>
    </w:p>
    <w:p w:rsidR="007C1F9F" w:rsidRPr="000809E5" w:rsidRDefault="007C1F9F" w:rsidP="007C1F9F">
      <w:pPr>
        <w:pStyle w:val="AERbodytext"/>
      </w:pPr>
      <w:r w:rsidRPr="000809E5">
        <w:t>Despite the practical situation, the NGR require that the access arrangement include capacity trading requirements. The AER considers that APA GasNet’s access arrangement may meet this requirement by specifying that there are no applicable capacity trading requirements.</w:t>
      </w:r>
    </w:p>
    <w:p w:rsidR="007C1F9F" w:rsidRPr="000809E5" w:rsidRDefault="007C1F9F" w:rsidP="007C1F9F">
      <w:pPr>
        <w:pStyle w:val="AERheading2"/>
        <w:numPr>
          <w:ilvl w:val="1"/>
          <w:numId w:val="7"/>
        </w:numPr>
        <w:tabs>
          <w:tab w:val="clear" w:pos="4317"/>
          <w:tab w:val="num" w:pos="0"/>
        </w:tabs>
        <w:ind w:left="0" w:hanging="720"/>
      </w:pPr>
      <w:bookmarkStart w:id="189" w:name="_Toc334543817"/>
      <w:r w:rsidRPr="000809E5">
        <w:t>Queuing arrangements</w:t>
      </w:r>
      <w:bookmarkEnd w:id="189"/>
    </w:p>
    <w:p w:rsidR="007C1F9F" w:rsidRPr="000809E5" w:rsidRDefault="007C1F9F" w:rsidP="007C1F9F">
      <w:pPr>
        <w:pStyle w:val="AERbodytext"/>
      </w:pPr>
      <w:r w:rsidRPr="000809E5">
        <w:t>Queuing can be used to determine access to a pipeline that is fully, or close to being fully, utilised. Queuing requirements establish the priority that a prospective user has, against any other prospective user, to obtain access to spare and developable capacity on a covered pipeline.</w:t>
      </w:r>
      <w:r w:rsidRPr="000809E5">
        <w:rPr>
          <w:rStyle w:val="FootnoteReference"/>
        </w:rPr>
        <w:footnoteReference w:id="713"/>
      </w:r>
      <w:r w:rsidRPr="000809E5">
        <w:t xml:space="preserve"> Queuing requirements establish a process or mechanism for establishing an order of priority between prospective users of spare and/or developable capacity. </w:t>
      </w:r>
    </w:p>
    <w:p w:rsidR="007C1F9F" w:rsidRPr="000809E5" w:rsidRDefault="007C1F9F" w:rsidP="007C1F9F">
      <w:pPr>
        <w:pStyle w:val="AERbodytext"/>
      </w:pPr>
      <w:r w:rsidRPr="000809E5">
        <w:t>However, the capacity of APA GasNet’s transmission pipelines are managed by AEMO on a daily basis under Part 19 of the NGR (Declared Wholesale Market Rules) meaning that queuing arrangements are unnecessary (there is no queue).</w:t>
      </w:r>
    </w:p>
    <w:p w:rsidR="007C1F9F" w:rsidRPr="000809E5" w:rsidRDefault="007C1F9F" w:rsidP="007C1F9F">
      <w:pPr>
        <w:pStyle w:val="AERbodytext"/>
      </w:pPr>
      <w:r w:rsidRPr="000809E5">
        <w:t>Despite this practical situation, queuing requirements must be included in an access arrangement for a gas transmission pipeline.</w:t>
      </w:r>
      <w:r w:rsidRPr="000809E5">
        <w:rPr>
          <w:rStyle w:val="FootnoteReference"/>
        </w:rPr>
        <w:footnoteReference w:id="714"/>
      </w:r>
      <w:r w:rsidRPr="000809E5">
        <w:t xml:space="preserve"> Where there are queuing requirements they must establish a process or mechanism (or both) for establishing an order of priority between prospective users of spare or developable capacity (or both) in which all prospective users (whether associates of, or unrelated to, the service provider) are treated on a fair and equal basis.</w:t>
      </w:r>
      <w:r w:rsidRPr="000809E5">
        <w:rPr>
          <w:rStyle w:val="FootnoteReference"/>
        </w:rPr>
        <w:footnoteReference w:id="715"/>
      </w:r>
    </w:p>
    <w:p w:rsidR="007C1F9F" w:rsidRPr="000809E5" w:rsidRDefault="007C1F9F" w:rsidP="007C1F9F">
      <w:pPr>
        <w:pStyle w:val="AERheading3"/>
        <w:numPr>
          <w:ilvl w:val="2"/>
          <w:numId w:val="7"/>
        </w:numPr>
        <w:tabs>
          <w:tab w:val="clear" w:pos="-357"/>
          <w:tab w:val="num" w:pos="0"/>
        </w:tabs>
        <w:ind w:left="0" w:hanging="714"/>
      </w:pPr>
      <w:r w:rsidRPr="000809E5">
        <w:t>AER decision</w:t>
      </w:r>
    </w:p>
    <w:p w:rsidR="007C1F9F" w:rsidRPr="000809E5" w:rsidRDefault="007C1F9F" w:rsidP="007C1F9F">
      <w:pPr>
        <w:pStyle w:val="AERbodytext"/>
      </w:pPr>
      <w:r w:rsidRPr="000809E5">
        <w:t xml:space="preserve">The AER proposes to accept APA GasNet’s proposal that the order of priority between prospective users of spare or developable capacity will be determined on a daily basis by AEMO in accordance with Part 19 of the NGR. </w:t>
      </w:r>
    </w:p>
    <w:p w:rsidR="007C1F9F" w:rsidRPr="000809E5" w:rsidRDefault="007C1F9F" w:rsidP="007C1F9F">
      <w:pPr>
        <w:pStyle w:val="AERheading3"/>
        <w:numPr>
          <w:ilvl w:val="2"/>
          <w:numId w:val="7"/>
        </w:numPr>
        <w:tabs>
          <w:tab w:val="clear" w:pos="-357"/>
          <w:tab w:val="num" w:pos="0"/>
        </w:tabs>
        <w:ind w:left="0" w:hanging="714"/>
      </w:pPr>
      <w:r w:rsidRPr="000809E5">
        <w:t xml:space="preserve">Access arrangement proposal </w:t>
      </w:r>
    </w:p>
    <w:p w:rsidR="007C1F9F" w:rsidRDefault="007C1F9F" w:rsidP="007C1F9F">
      <w:pPr>
        <w:pStyle w:val="AERbodytext"/>
      </w:pPr>
      <w:r w:rsidRPr="000809E5">
        <w:t>APA GasNet’s access arrangement proposal states that the order of priority between prospective users of spare or developable capacity is determined on a daily basis in accordance with Part 19 of the NGR.</w:t>
      </w:r>
      <w:r w:rsidRPr="000809E5">
        <w:rPr>
          <w:rStyle w:val="FootnoteReference"/>
        </w:rPr>
        <w:footnoteReference w:id="716"/>
      </w:r>
    </w:p>
    <w:p w:rsidR="007C1F9F" w:rsidRPr="00B7497A" w:rsidRDefault="007C1F9F" w:rsidP="007C1F9F">
      <w:pPr>
        <w:pStyle w:val="AERheading3"/>
        <w:numPr>
          <w:ilvl w:val="2"/>
          <w:numId w:val="7"/>
        </w:numPr>
        <w:tabs>
          <w:tab w:val="clear" w:pos="-357"/>
          <w:tab w:val="num" w:pos="0"/>
        </w:tabs>
        <w:ind w:left="0" w:hanging="714"/>
      </w:pPr>
      <w:r>
        <w:t>A</w:t>
      </w:r>
      <w:r w:rsidRPr="00B7497A">
        <w:t>ssessment approach</w:t>
      </w:r>
    </w:p>
    <w:p w:rsidR="007C1F9F" w:rsidRPr="00B233F7" w:rsidRDefault="007C1F9F" w:rsidP="007C1F9F">
      <w:pPr>
        <w:pStyle w:val="AERbodytext"/>
      </w:pPr>
      <w:r>
        <w:t>The AER has assessed APA GasNet's queuing requirements against the NGO and rules 48(1)(e) and 103 of the NGR.</w:t>
      </w:r>
    </w:p>
    <w:p w:rsidR="007C1F9F" w:rsidRDefault="007C1F9F" w:rsidP="007C1F9F">
      <w:pPr>
        <w:pStyle w:val="AERheading3"/>
        <w:numPr>
          <w:ilvl w:val="2"/>
          <w:numId w:val="7"/>
        </w:numPr>
        <w:tabs>
          <w:tab w:val="clear" w:pos="-357"/>
          <w:tab w:val="num" w:pos="0"/>
        </w:tabs>
        <w:ind w:left="0" w:hanging="714"/>
      </w:pPr>
      <w:r w:rsidRPr="00EB1AF3">
        <w:t>Reasons for the decision</w:t>
      </w:r>
    </w:p>
    <w:p w:rsidR="007C1F9F" w:rsidRDefault="007C1F9F" w:rsidP="007C1F9F">
      <w:pPr>
        <w:pStyle w:val="AERbodytext"/>
      </w:pPr>
      <w:r w:rsidRPr="000809E5">
        <w:t>The capacity of the transmission pipelines operated by APA GasNet is managed by AEMO under the rules set out in Part 19 of the NGR. Queuing requirements are not applicable to APA GasNet’s network. Accordingly, the AER considers that APA GasNet has specified a policy that works in the particular circumstances and has complied with its obligations under the NGR.</w:t>
      </w:r>
    </w:p>
    <w:p w:rsidR="007C1F9F" w:rsidRPr="000809E5" w:rsidRDefault="007C1F9F" w:rsidP="007C1F9F">
      <w:pPr>
        <w:pStyle w:val="AERheading2"/>
        <w:numPr>
          <w:ilvl w:val="1"/>
          <w:numId w:val="7"/>
        </w:numPr>
        <w:tabs>
          <w:tab w:val="clear" w:pos="4317"/>
          <w:tab w:val="num" w:pos="0"/>
        </w:tabs>
        <w:ind w:left="0" w:hanging="720"/>
      </w:pPr>
      <w:bookmarkStart w:id="190" w:name="_Toc334543818"/>
      <w:r w:rsidRPr="000809E5">
        <w:t>Extension and expansion requirements</w:t>
      </w:r>
      <w:bookmarkEnd w:id="190"/>
    </w:p>
    <w:p w:rsidR="007C1F9F" w:rsidRPr="000809E5" w:rsidRDefault="007C1F9F" w:rsidP="007C1F9F">
      <w:pPr>
        <w:pStyle w:val="AERbodytext"/>
      </w:pPr>
      <w:r w:rsidRPr="000809E5">
        <w:t>Extension and expansion requirements included in an access arrangement specify the method for determining whether extensions or expansions to the covered pipeline are to be covered by the access arrangement.</w:t>
      </w:r>
      <w:r w:rsidRPr="000809E5">
        <w:rPr>
          <w:rStyle w:val="FootnoteReference"/>
        </w:rPr>
        <w:footnoteReference w:id="717"/>
      </w:r>
      <w:r w:rsidRPr="000809E5">
        <w:t xml:space="preserve"> </w:t>
      </w:r>
    </w:p>
    <w:p w:rsidR="007C1F9F" w:rsidRPr="000809E5" w:rsidRDefault="007C1F9F" w:rsidP="007C1F9F">
      <w:pPr>
        <w:pStyle w:val="AERbodytext"/>
      </w:pPr>
      <w:r w:rsidRPr="000809E5">
        <w:t>Extension and expansion requirements must be included in an access arrangement.</w:t>
      </w:r>
      <w:r w:rsidRPr="000809E5">
        <w:rPr>
          <w:rStyle w:val="AERsuperscript"/>
        </w:rPr>
        <w:footnoteReference w:id="718"/>
      </w:r>
      <w:r w:rsidRPr="000809E5">
        <w:rPr>
          <w:rStyle w:val="AERsuperscript"/>
        </w:rPr>
        <w:t xml:space="preserve"> </w:t>
      </w:r>
      <w:r w:rsidRPr="000809E5">
        <w:t>Extension and expansion requirements may state whether the applicable access arrangement will apply to incremental services to be provided as a result of a particular extension to, or expansion of the capacity of, the pipeline or outline how may be dealt with at a later time.</w:t>
      </w:r>
      <w:r w:rsidRPr="000809E5">
        <w:rPr>
          <w:rStyle w:val="AERsuperscript"/>
        </w:rPr>
        <w:footnoteReference w:id="719"/>
      </w:r>
      <w:r w:rsidRPr="000809E5">
        <w:rPr>
          <w:rStyle w:val="AERsuperscript"/>
        </w:rPr>
        <w:t xml:space="preserve"> </w:t>
      </w:r>
      <w:r w:rsidRPr="000809E5">
        <w:t>If the requirements provide that an access arrangement applies to incremental services, the requirements must deal with the effect of the extension or expansion on tariffs.</w:t>
      </w:r>
      <w:r w:rsidRPr="000809E5">
        <w:rPr>
          <w:rStyle w:val="AERsuperscript"/>
        </w:rPr>
        <w:footnoteReference w:id="720"/>
      </w:r>
      <w:r w:rsidRPr="000809E5">
        <w:rPr>
          <w:rStyle w:val="AERsuperscript"/>
        </w:rPr>
        <w:t xml:space="preserve"> </w:t>
      </w:r>
    </w:p>
    <w:p w:rsidR="007C1F9F" w:rsidRPr="000809E5" w:rsidRDefault="007C1F9F" w:rsidP="007C1F9F">
      <w:pPr>
        <w:pStyle w:val="AERheading3"/>
        <w:numPr>
          <w:ilvl w:val="2"/>
          <w:numId w:val="7"/>
        </w:numPr>
        <w:tabs>
          <w:tab w:val="clear" w:pos="-357"/>
          <w:tab w:val="num" w:pos="0"/>
        </w:tabs>
        <w:ind w:left="0" w:hanging="714"/>
      </w:pPr>
      <w:r w:rsidRPr="000809E5">
        <w:t>AER decision</w:t>
      </w:r>
    </w:p>
    <w:p w:rsidR="007C1F9F" w:rsidRPr="000809E5" w:rsidRDefault="007C1F9F" w:rsidP="007C1F9F">
      <w:pPr>
        <w:pStyle w:val="AERbodytext"/>
      </w:pPr>
      <w:r w:rsidRPr="000809E5">
        <w:t xml:space="preserve">The AER </w:t>
      </w:r>
      <w:r>
        <w:t>accepts</w:t>
      </w:r>
      <w:r w:rsidRPr="000809E5">
        <w:t xml:space="preserve"> APA GasNet’s proposal in relation to its extensions and expansions requirements. </w:t>
      </w:r>
    </w:p>
    <w:p w:rsidR="007C1F9F" w:rsidRPr="000809E5" w:rsidRDefault="007C1F9F" w:rsidP="007C1F9F">
      <w:pPr>
        <w:pStyle w:val="AERheading3"/>
        <w:numPr>
          <w:ilvl w:val="2"/>
          <w:numId w:val="7"/>
        </w:numPr>
        <w:tabs>
          <w:tab w:val="clear" w:pos="-357"/>
          <w:tab w:val="num" w:pos="0"/>
        </w:tabs>
        <w:ind w:left="0" w:hanging="714"/>
      </w:pPr>
      <w:r w:rsidRPr="000809E5">
        <w:t xml:space="preserve">Access arrangement proposal </w:t>
      </w:r>
    </w:p>
    <w:p w:rsidR="007C1F9F" w:rsidRPr="000809E5" w:rsidRDefault="007C1F9F" w:rsidP="007C1F9F">
      <w:pPr>
        <w:pStyle w:val="AERbodytext"/>
      </w:pPr>
      <w:r w:rsidRPr="000809E5">
        <w:t>APA GasNet’s proposal is that if it proposes an extension of the covered pipeline, it must apply to the AER. APA GasNet proposes that the AER decide whether the proposed extension will be taken to form part of the covered pipeline. However, APA GasNet would not be required to apply to the AER to the extent that the cost of the proposed pipeline extension has already been included and approved by the AER in the calculation of reference tariffs.</w:t>
      </w:r>
      <w:r w:rsidRPr="000809E5">
        <w:rPr>
          <w:rStyle w:val="FootnoteReference"/>
        </w:rPr>
        <w:footnoteReference w:id="721"/>
      </w:r>
    </w:p>
    <w:p w:rsidR="007C1F9F" w:rsidRDefault="007C1F9F" w:rsidP="007C1F9F">
      <w:pPr>
        <w:pStyle w:val="AERbodytext"/>
      </w:pPr>
      <w:r w:rsidRPr="000809E5">
        <w:t xml:space="preserve">In the event that it expands the capacity of the pipeline, APA GasNet proposes that the access arrangement will apply to incremental services provided as a result of the expansion. The proposal states that </w:t>
      </w:r>
      <w:r>
        <w:t>APA GasNet</w:t>
      </w:r>
      <w:r w:rsidRPr="000809E5">
        <w:t xml:space="preserve"> can ask the AER to agree that the access arrangement will not apply to the incremental services provided as a result of the expansion.</w:t>
      </w:r>
      <w:r w:rsidRPr="000809E5">
        <w:rPr>
          <w:rStyle w:val="FootnoteReference"/>
        </w:rPr>
        <w:footnoteReference w:id="722"/>
      </w:r>
    </w:p>
    <w:p w:rsidR="007C1F9F" w:rsidRPr="00B7497A" w:rsidRDefault="007C1F9F" w:rsidP="007C1F9F">
      <w:pPr>
        <w:pStyle w:val="AERheading3"/>
        <w:numPr>
          <w:ilvl w:val="2"/>
          <w:numId w:val="7"/>
        </w:numPr>
        <w:tabs>
          <w:tab w:val="clear" w:pos="-357"/>
          <w:tab w:val="num" w:pos="0"/>
        </w:tabs>
        <w:ind w:left="0" w:hanging="714"/>
      </w:pPr>
      <w:r>
        <w:t>A</w:t>
      </w:r>
      <w:r w:rsidRPr="00B7497A">
        <w:t>ssessment approach</w:t>
      </w:r>
    </w:p>
    <w:p w:rsidR="007C1F9F" w:rsidRPr="00712DB3" w:rsidRDefault="007C1F9F" w:rsidP="007C1F9F">
      <w:pPr>
        <w:pStyle w:val="AERbodytext"/>
      </w:pPr>
      <w:r w:rsidRPr="00712DB3">
        <w:t xml:space="preserve">The AER has assessed </w:t>
      </w:r>
      <w:r>
        <w:t>APA GasNet</w:t>
      </w:r>
      <w:r w:rsidRPr="00712DB3">
        <w:t>'s extension and expansion requirement against the NGO and rules 48(1)(g) and 104 of the NGR.</w:t>
      </w:r>
    </w:p>
    <w:p w:rsidR="007C1F9F" w:rsidRDefault="007C1F9F" w:rsidP="007C1F9F">
      <w:pPr>
        <w:pStyle w:val="AERheading3"/>
        <w:numPr>
          <w:ilvl w:val="2"/>
          <w:numId w:val="7"/>
        </w:numPr>
        <w:tabs>
          <w:tab w:val="clear" w:pos="-357"/>
          <w:tab w:val="num" w:pos="0"/>
        </w:tabs>
        <w:ind w:left="0" w:hanging="714"/>
      </w:pPr>
      <w:r w:rsidRPr="00EB1AF3">
        <w:t>Reasons for the decision</w:t>
      </w:r>
    </w:p>
    <w:p w:rsidR="007C1F9F" w:rsidRPr="000809E5" w:rsidRDefault="007C1F9F" w:rsidP="007C1F9F">
      <w:pPr>
        <w:pStyle w:val="AERbodytext"/>
      </w:pPr>
      <w:r w:rsidRPr="000809E5">
        <w:t>In assessing the proposed extension and expansion requirements, the AER has also considered the overall purpose of the regulatory regime and the way it has dealt with extension and expansion requirements in the past.</w:t>
      </w:r>
    </w:p>
    <w:p w:rsidR="007C1F9F" w:rsidRPr="000809E5" w:rsidRDefault="007C1F9F" w:rsidP="007C1F9F">
      <w:pPr>
        <w:pStyle w:val="AERbodytext"/>
      </w:pPr>
      <w:r w:rsidRPr="000809E5">
        <w:t>Consistent with its previous decisions,</w:t>
      </w:r>
      <w:r w:rsidRPr="000809E5">
        <w:rPr>
          <w:rStyle w:val="AERsuperscript"/>
        </w:rPr>
        <w:footnoteReference w:id="723"/>
      </w:r>
      <w:r w:rsidRPr="000809E5">
        <w:t xml:space="preserve"> the AER considers that all extensions to transmission pipelines should be assessed on a case-by-case basis for coverage. This is because transmission pipelines could be used either as viable bypass options to end users, or to support the existing network. APA GasNet’s proposed extensions and expansions policy is consistent with this view and the AER proposes to accept it.  </w:t>
      </w:r>
    </w:p>
    <w:p w:rsidR="007C1F9F" w:rsidRPr="000809E5" w:rsidRDefault="007C1F9F" w:rsidP="007C1F9F">
      <w:pPr>
        <w:pStyle w:val="AERbodytext"/>
      </w:pPr>
      <w:r w:rsidRPr="000809E5">
        <w:t xml:space="preserve">Clauses 7.1(a), (b), (c) and (d) and 7.2 of APA GasNet’s access arrangement proposal set out the extension and expansion requirements of the proposal. </w:t>
      </w:r>
    </w:p>
    <w:p w:rsidR="007C1F9F" w:rsidRPr="000809E5" w:rsidRDefault="007C1F9F" w:rsidP="007C1F9F">
      <w:pPr>
        <w:pStyle w:val="AERbodytext"/>
      </w:pPr>
      <w:r w:rsidRPr="000809E5">
        <w:t>The AER considers that the requirement for the AER to make a decision on the coverage of any extensions to the transmission network is appropriate because it provides for the AER to take the circumstances of the particular extension into account. Clause 7.1(a) sets out the process to be taken and the information to be provided to the AER.  The AER considers these requirements are clear and reasonable. The AER accepts this clause.</w:t>
      </w:r>
    </w:p>
    <w:p w:rsidR="007C1F9F" w:rsidRPr="000809E5" w:rsidRDefault="007C1F9F" w:rsidP="007C1F9F">
      <w:pPr>
        <w:pStyle w:val="AERbodytext"/>
      </w:pPr>
      <w:r w:rsidRPr="000809E5">
        <w:t>The AER does not agree with Tru Energy’s submission that any extension provided by APA GasNet (or any other provider who can meet the technical requirements for connection) should either be rolled in (and AMDQcc assigned), or should remain outside the Victorian Transmission System and be operated by the owner as they see fit (but again, meeting the requirements for connection).</w:t>
      </w:r>
      <w:r w:rsidRPr="000809E5">
        <w:rPr>
          <w:rStyle w:val="FootnoteReference"/>
        </w:rPr>
        <w:footnoteReference w:id="724"/>
      </w:r>
      <w:r w:rsidRPr="000809E5">
        <w:t xml:space="preserve"> The AER has considered this submission but believes that it is appropriate for extensions to be assessed by the AER on a case by case basis.</w:t>
      </w:r>
    </w:p>
    <w:p w:rsidR="007C1F9F" w:rsidRDefault="007C1F9F" w:rsidP="007C1F9F">
      <w:pPr>
        <w:pStyle w:val="AERbodytext"/>
      </w:pPr>
      <w:r w:rsidRPr="000809E5">
        <w:t>For the following reasons, the AER considers that, in general, expansions to the pipeline should be covered by def</w:t>
      </w:r>
      <w:r>
        <w:t xml:space="preserve">ault. </w:t>
      </w:r>
      <w:r w:rsidRPr="000809E5">
        <w:t xml:space="preserve">Pipeline expansions involve the augmentation of pipeline capacity of the existing pipeline, and are likely to be used by existing pipeline users. They are much less likely than an extension to serve new or isolated customers. As such, the AER considers that it is appropriate that pipeline expansions form part of the covered pipeline, unless the AER expressly agrees otherwise. The process in clause 7.2 provides for this. </w:t>
      </w:r>
    </w:p>
    <w:p w:rsidR="007C1F9F" w:rsidRPr="000809E5" w:rsidRDefault="007C1F9F" w:rsidP="007C1F9F">
      <w:pPr>
        <w:pStyle w:val="AERbodytext"/>
      </w:pPr>
      <w:r w:rsidRPr="000809E5">
        <w:t>However, flexibility is provided with the option for APA GasNet to propose that the access arrangement will not apply. The AER is given discretion to consider and approve such a proposal. The AER considers that this approach provides APA GasNet and the AER with the flexibility to take the particular circumstances of the extension into account, when necessary. This is consistent with TRU Energy’s submission that the expansion policy proposed for the next access arrangement period is appropriate.</w:t>
      </w:r>
      <w:r w:rsidRPr="000809E5">
        <w:rPr>
          <w:rStyle w:val="FootnoteReference"/>
        </w:rPr>
        <w:footnoteReference w:id="725"/>
      </w:r>
    </w:p>
    <w:p w:rsidR="007C1F9F" w:rsidRPr="000809E5" w:rsidRDefault="007C1F9F" w:rsidP="007C1F9F">
      <w:pPr>
        <w:pStyle w:val="AERbodytext"/>
      </w:pPr>
      <w:r w:rsidRPr="000809E5">
        <w:t>The AER’s approach is also consistent with Australian Power and Gas’ submission. This submission argued that that extensions and expansions should ultimately recognise the existing regulatory framework and that investments should eventually be rolled into the capital base once the overall economic benefits become positive.</w:t>
      </w:r>
      <w:r w:rsidRPr="000809E5">
        <w:rPr>
          <w:rStyle w:val="FootnoteReference"/>
        </w:rPr>
        <w:footnoteReference w:id="726"/>
      </w:r>
    </w:p>
    <w:p w:rsidR="007C1F9F" w:rsidRPr="000809E5" w:rsidRDefault="007C1F9F" w:rsidP="007C1F9F">
      <w:pPr>
        <w:pStyle w:val="AERheading2"/>
        <w:numPr>
          <w:ilvl w:val="1"/>
          <w:numId w:val="7"/>
        </w:numPr>
        <w:tabs>
          <w:tab w:val="clear" w:pos="4317"/>
          <w:tab w:val="num" w:pos="0"/>
        </w:tabs>
        <w:ind w:left="0" w:hanging="720"/>
      </w:pPr>
      <w:bookmarkStart w:id="191" w:name="_Toc334543819"/>
      <w:r w:rsidRPr="000809E5">
        <w:t>Terms and conditions for changing receipt or delivery points</w:t>
      </w:r>
      <w:bookmarkEnd w:id="191"/>
      <w:r w:rsidRPr="000809E5">
        <w:t xml:space="preserve"> </w:t>
      </w:r>
    </w:p>
    <w:p w:rsidR="007C1F9F" w:rsidRPr="000809E5" w:rsidRDefault="007C1F9F" w:rsidP="007C1F9F">
      <w:pPr>
        <w:pStyle w:val="AERbodytext"/>
      </w:pPr>
      <w:r w:rsidRPr="000809E5">
        <w:t>A receipt or delivery point is a point on a pipeline at which a service provider takes delivery of natural gas, or delivers natural gas.</w:t>
      </w:r>
      <w:r w:rsidRPr="000809E5">
        <w:rPr>
          <w:rStyle w:val="AERsuperscript"/>
        </w:rPr>
        <w:footnoteReference w:id="727"/>
      </w:r>
      <w:r w:rsidRPr="000809E5">
        <w:t xml:space="preserve"> A user may wish to change the point at which they receive or take delivery of natural gas. </w:t>
      </w:r>
    </w:p>
    <w:p w:rsidR="007C1F9F" w:rsidRPr="000809E5" w:rsidRDefault="007C1F9F" w:rsidP="007C1F9F">
      <w:pPr>
        <w:pStyle w:val="AERbodytext"/>
      </w:pPr>
      <w:r w:rsidRPr="000809E5">
        <w:t>The terms and conditions for changing receipt and delivery are to be included in a full access arrangement.</w:t>
      </w:r>
      <w:r w:rsidRPr="000809E5">
        <w:rPr>
          <w:rStyle w:val="FootnoteReference"/>
        </w:rPr>
        <w:footnoteReference w:id="728"/>
      </w:r>
      <w:r w:rsidRPr="000809E5">
        <w:t xml:space="preserve"> Under the NGR an access arrangement must allow a user, with the service provider's consent, to change the user's receipt or delivery point. The access arrangement must not allow a service provider to withhold its consent unless it has reasonable grounds, based on technical or commercial considerations, for doing so.</w:t>
      </w:r>
      <w:r w:rsidRPr="000809E5">
        <w:rPr>
          <w:rStyle w:val="AERsuperscript"/>
        </w:rPr>
        <w:footnoteReference w:id="729"/>
      </w:r>
      <w:r w:rsidRPr="000809E5">
        <w:t xml:space="preserve"> The access arrangement may specify conditions under which consent will or will not be given to be complied with if consent is given.</w:t>
      </w:r>
      <w:r w:rsidRPr="000809E5">
        <w:rPr>
          <w:rStyle w:val="FootnoteReference"/>
        </w:rPr>
        <w:footnoteReference w:id="730"/>
      </w:r>
      <w:r w:rsidRPr="000809E5">
        <w:t xml:space="preserve"> </w:t>
      </w:r>
    </w:p>
    <w:p w:rsidR="007C1F9F" w:rsidRPr="000809E5" w:rsidRDefault="007C1F9F" w:rsidP="007C1F9F">
      <w:pPr>
        <w:pStyle w:val="AERbodytext"/>
      </w:pPr>
      <w:r w:rsidRPr="000809E5">
        <w:t xml:space="preserve">However, the rules in part 19 of the NGR govern the Victorian wholesale declared gas market, in particular the injection and removal of gas from the network. The network is managed by AEMO on a daily basis.  </w:t>
      </w:r>
    </w:p>
    <w:p w:rsidR="007C1F9F" w:rsidRPr="000809E5" w:rsidRDefault="007C1F9F" w:rsidP="007C1F9F">
      <w:pPr>
        <w:pStyle w:val="AERheading3"/>
        <w:numPr>
          <w:ilvl w:val="2"/>
          <w:numId w:val="7"/>
        </w:numPr>
        <w:tabs>
          <w:tab w:val="clear" w:pos="-357"/>
          <w:tab w:val="num" w:pos="0"/>
        </w:tabs>
        <w:ind w:left="0" w:hanging="714"/>
      </w:pPr>
      <w:r w:rsidRPr="000809E5">
        <w:t>AER decision</w:t>
      </w:r>
    </w:p>
    <w:p w:rsidR="007C1F9F" w:rsidRPr="000809E5" w:rsidRDefault="007C1F9F" w:rsidP="007C1F9F">
      <w:r w:rsidRPr="000809E5">
        <w:t xml:space="preserve">The AER </w:t>
      </w:r>
      <w:r>
        <w:t>accepts</w:t>
      </w:r>
      <w:r w:rsidRPr="000809E5">
        <w:t xml:space="preserve"> APA GasNet’s proposal in so far as it relates to changes to users’ receipt or delivery points. </w:t>
      </w:r>
    </w:p>
    <w:p w:rsidR="007C1F9F" w:rsidRPr="000809E5" w:rsidRDefault="007C1F9F" w:rsidP="007C1F9F">
      <w:pPr>
        <w:pStyle w:val="AERheading3"/>
        <w:numPr>
          <w:ilvl w:val="2"/>
          <w:numId w:val="7"/>
        </w:numPr>
        <w:tabs>
          <w:tab w:val="clear" w:pos="-357"/>
          <w:tab w:val="num" w:pos="0"/>
        </w:tabs>
        <w:ind w:left="0" w:hanging="714"/>
      </w:pPr>
      <w:r w:rsidRPr="000809E5">
        <w:t>Access arrangement proposal</w:t>
      </w:r>
    </w:p>
    <w:p w:rsidR="007C1F9F" w:rsidRDefault="007C1F9F" w:rsidP="007C1F9F">
      <w:pPr>
        <w:pStyle w:val="AERbodytext"/>
      </w:pPr>
      <w:r w:rsidRPr="000809E5">
        <w:t>APA GasNet’s proposal states a change of a user’s receipt or delivery point is governed by Part 19 of the NGR and the Gas Scheduling Procedures, and that under these rules and procedures, a service provider’s consent is not required for a user to change its receipt or delivery point.</w:t>
      </w:r>
      <w:r w:rsidRPr="000809E5">
        <w:rPr>
          <w:rStyle w:val="FootnoteReference"/>
        </w:rPr>
        <w:footnoteReference w:id="731"/>
      </w:r>
    </w:p>
    <w:p w:rsidR="007C1F9F" w:rsidRPr="00B7497A" w:rsidRDefault="007C1F9F" w:rsidP="007C1F9F">
      <w:pPr>
        <w:pStyle w:val="AERheading3"/>
        <w:numPr>
          <w:ilvl w:val="2"/>
          <w:numId w:val="7"/>
        </w:numPr>
        <w:tabs>
          <w:tab w:val="clear" w:pos="-357"/>
          <w:tab w:val="num" w:pos="0"/>
        </w:tabs>
        <w:ind w:left="0" w:hanging="714"/>
      </w:pPr>
      <w:r>
        <w:t>A</w:t>
      </w:r>
      <w:r w:rsidRPr="00B7497A">
        <w:t>ssessment approach</w:t>
      </w:r>
    </w:p>
    <w:p w:rsidR="007C1F9F" w:rsidRPr="00712DB3" w:rsidRDefault="007C1F9F" w:rsidP="007C1F9F">
      <w:pPr>
        <w:pStyle w:val="AERbodytext"/>
      </w:pPr>
      <w:r w:rsidRPr="00712DB3">
        <w:t>The AER has assessed APA GasNet's terms and conditions for changing receipt and delivery points against the NGO and rules 48(1)(h) and 106 of the NGR.</w:t>
      </w:r>
    </w:p>
    <w:p w:rsidR="007C1F9F" w:rsidRDefault="007C1F9F" w:rsidP="007C1F9F">
      <w:pPr>
        <w:pStyle w:val="AERheading3"/>
        <w:numPr>
          <w:ilvl w:val="2"/>
          <w:numId w:val="7"/>
        </w:numPr>
        <w:tabs>
          <w:tab w:val="clear" w:pos="-357"/>
          <w:tab w:val="num" w:pos="0"/>
        </w:tabs>
        <w:ind w:left="0" w:hanging="714"/>
      </w:pPr>
      <w:r w:rsidRPr="00EB1AF3">
        <w:t>Reasons for the decision</w:t>
      </w:r>
    </w:p>
    <w:p w:rsidR="007C1F9F" w:rsidRPr="000809E5" w:rsidRDefault="007C1F9F" w:rsidP="007C1F9F">
      <w:pPr>
        <w:pStyle w:val="AERbodytext"/>
      </w:pPr>
      <w:r w:rsidRPr="000809E5">
        <w:t xml:space="preserve">APA GasNet’s proposal acknowledges that AEMO is responsible for managing the delivery and receipt points of its customers under Part 19 of the NGR. The AER considers that this is appropriate and proposes to accept the proposal in this respect. </w:t>
      </w:r>
    </w:p>
    <w:p w:rsidR="007C1F9F" w:rsidRPr="000809E5" w:rsidRDefault="007C1F9F" w:rsidP="007C1F9F">
      <w:pPr>
        <w:pStyle w:val="AERheading2"/>
        <w:numPr>
          <w:ilvl w:val="1"/>
          <w:numId w:val="7"/>
        </w:numPr>
        <w:tabs>
          <w:tab w:val="clear" w:pos="4317"/>
          <w:tab w:val="num" w:pos="0"/>
        </w:tabs>
        <w:ind w:left="0" w:hanging="720"/>
      </w:pPr>
      <w:bookmarkStart w:id="192" w:name="_Toc334543820"/>
      <w:r w:rsidRPr="000809E5">
        <w:t>Review dates</w:t>
      </w:r>
      <w:bookmarkEnd w:id="192"/>
      <w:r w:rsidRPr="000809E5">
        <w:t xml:space="preserve"> </w:t>
      </w:r>
    </w:p>
    <w:p w:rsidR="007C1F9F" w:rsidRPr="000809E5" w:rsidRDefault="007C1F9F" w:rsidP="007C1F9F">
      <w:r w:rsidRPr="000809E5">
        <w:t>Rule 49(1) of the NGR requires that a full access arrangement that is not voluntary must contain a review submission date and a revision commencement date and must not contain an expiry date.</w:t>
      </w:r>
    </w:p>
    <w:p w:rsidR="007C1F9F" w:rsidRPr="000809E5" w:rsidRDefault="007C1F9F" w:rsidP="007C1F9F"/>
    <w:p w:rsidR="007C1F9F" w:rsidRPr="000809E5" w:rsidRDefault="007C1F9F" w:rsidP="007C1F9F">
      <w:r w:rsidRPr="000809E5">
        <w:t>The NGR provides that, as a general rule:</w:t>
      </w:r>
      <w:r w:rsidRPr="000809E5">
        <w:rPr>
          <w:rStyle w:val="FootnoteReference"/>
        </w:rPr>
        <w:footnoteReference w:id="732"/>
      </w:r>
    </w:p>
    <w:p w:rsidR="007C1F9F" w:rsidRPr="000809E5" w:rsidRDefault="007C1F9F" w:rsidP="007C1F9F">
      <w:pPr>
        <w:pStyle w:val="AERbulletlistfirststyle"/>
      </w:pPr>
      <w:r w:rsidRPr="000809E5">
        <w:t xml:space="preserve">a review submission date will fall </w:t>
      </w:r>
      <w:r>
        <w:t>four</w:t>
      </w:r>
      <w:r w:rsidRPr="000809E5">
        <w:t xml:space="preserve"> years after the access arrangement took effect or the last revision commencement date; and</w:t>
      </w:r>
    </w:p>
    <w:p w:rsidR="007C1F9F" w:rsidRPr="000809E5" w:rsidRDefault="007C1F9F" w:rsidP="007C1F9F">
      <w:pPr>
        <w:pStyle w:val="AERbulletlistfirststyle"/>
      </w:pPr>
      <w:r w:rsidRPr="000809E5">
        <w:t xml:space="preserve">a revision commencement date will fall </w:t>
      </w:r>
      <w:r>
        <w:t>five</w:t>
      </w:r>
      <w:r w:rsidRPr="000809E5">
        <w:t xml:space="preserve"> years after the access arrangement took effect of the last revision commencement date.</w:t>
      </w:r>
    </w:p>
    <w:p w:rsidR="007C1F9F" w:rsidRPr="000809E5" w:rsidRDefault="007C1F9F" w:rsidP="007C1F9F">
      <w:r w:rsidRPr="000809E5">
        <w:t xml:space="preserve">The AER is required to accept a service provider’s proposed review submission and commencement dates if these are made in accordance with this general rule. </w:t>
      </w:r>
    </w:p>
    <w:p w:rsidR="007C1F9F" w:rsidRPr="000809E5" w:rsidRDefault="007C1F9F" w:rsidP="007C1F9F"/>
    <w:p w:rsidR="007C1F9F" w:rsidRPr="000809E5" w:rsidRDefault="007C1F9F" w:rsidP="007C1F9F">
      <w:pPr>
        <w:pStyle w:val="AERheading3"/>
        <w:numPr>
          <w:ilvl w:val="2"/>
          <w:numId w:val="7"/>
        </w:numPr>
        <w:tabs>
          <w:tab w:val="clear" w:pos="-357"/>
          <w:tab w:val="num" w:pos="0"/>
        </w:tabs>
        <w:ind w:left="0" w:hanging="714"/>
      </w:pPr>
      <w:r w:rsidRPr="000809E5">
        <w:t>AER decision</w:t>
      </w:r>
    </w:p>
    <w:p w:rsidR="007C1F9F" w:rsidRPr="000809E5" w:rsidRDefault="007C1F9F" w:rsidP="007C1F9F">
      <w:pPr>
        <w:pStyle w:val="AERbodytext"/>
      </w:pPr>
      <w:r w:rsidRPr="000809E5">
        <w:t xml:space="preserve">The AER accepts APA GasNet’s proposal in relation to the review submission date and revision commencement date. </w:t>
      </w:r>
    </w:p>
    <w:p w:rsidR="007C1F9F" w:rsidRPr="000809E5" w:rsidRDefault="007C1F9F" w:rsidP="007C1F9F">
      <w:pPr>
        <w:pStyle w:val="AERheading3"/>
        <w:numPr>
          <w:ilvl w:val="2"/>
          <w:numId w:val="7"/>
        </w:numPr>
        <w:tabs>
          <w:tab w:val="clear" w:pos="-357"/>
          <w:tab w:val="num" w:pos="0"/>
        </w:tabs>
        <w:ind w:left="0" w:hanging="714"/>
      </w:pPr>
      <w:r w:rsidRPr="000809E5">
        <w:t>Access arrangement proposal</w:t>
      </w:r>
    </w:p>
    <w:p w:rsidR="007C1F9F" w:rsidRPr="000809E5" w:rsidRDefault="007C1F9F" w:rsidP="007C1F9F">
      <w:pPr>
        <w:pStyle w:val="AERbodytext"/>
      </w:pPr>
      <w:r w:rsidRPr="000809E5">
        <w:t>APA GasNet proposed a review submission date on or before 1 January 2017 and a revision commencement date on the later of 1 January 2018.</w:t>
      </w:r>
      <w:r w:rsidRPr="000809E5">
        <w:rPr>
          <w:rStyle w:val="FootnoteReference"/>
        </w:rPr>
        <w:footnoteReference w:id="733"/>
      </w:r>
    </w:p>
    <w:p w:rsidR="007C1F9F" w:rsidRDefault="007C1F9F" w:rsidP="007C1F9F">
      <w:pPr>
        <w:pStyle w:val="AERbodytext"/>
      </w:pPr>
      <w:r w:rsidRPr="000809E5">
        <w:t>APA GasNet’s access arrangement proposal did not include a trigger event for the acceleration of the review submission date.</w:t>
      </w:r>
    </w:p>
    <w:p w:rsidR="007C1F9F" w:rsidRPr="00B7497A" w:rsidRDefault="007C1F9F" w:rsidP="007C1F9F">
      <w:pPr>
        <w:pStyle w:val="AERheading3"/>
        <w:numPr>
          <w:ilvl w:val="2"/>
          <w:numId w:val="7"/>
        </w:numPr>
        <w:tabs>
          <w:tab w:val="clear" w:pos="-357"/>
          <w:tab w:val="num" w:pos="0"/>
        </w:tabs>
        <w:ind w:left="0" w:hanging="714"/>
      </w:pPr>
      <w:r>
        <w:t>A</w:t>
      </w:r>
      <w:r w:rsidRPr="00B7497A">
        <w:t>ssessment approach</w:t>
      </w:r>
    </w:p>
    <w:p w:rsidR="007C1F9F" w:rsidRDefault="007C1F9F" w:rsidP="007C1F9F">
      <w:pPr>
        <w:pStyle w:val="AERbodytext"/>
      </w:pPr>
      <w:r w:rsidRPr="00712DB3">
        <w:t xml:space="preserve">The AER has assessed APA GasNet's </w:t>
      </w:r>
      <w:r>
        <w:t xml:space="preserve">review submission date and </w:t>
      </w:r>
      <w:r w:rsidRPr="00677861">
        <w:t xml:space="preserve">revision commencement date </w:t>
      </w:r>
      <w:r>
        <w:t>against the NGO and rules 48(1)(i) and 48(1)(j) of the NGR.</w:t>
      </w:r>
      <w:r w:rsidRPr="000809E5">
        <w:t xml:space="preserve"> </w:t>
      </w:r>
    </w:p>
    <w:p w:rsidR="007C1F9F" w:rsidRPr="000809E5" w:rsidRDefault="007C1F9F" w:rsidP="007C1F9F">
      <w:pPr>
        <w:pStyle w:val="AERheading3"/>
        <w:numPr>
          <w:ilvl w:val="2"/>
          <w:numId w:val="7"/>
        </w:numPr>
        <w:tabs>
          <w:tab w:val="clear" w:pos="-357"/>
          <w:tab w:val="num" w:pos="0"/>
        </w:tabs>
        <w:ind w:left="0" w:hanging="714"/>
      </w:pPr>
      <w:r w:rsidRPr="00EB1AF3">
        <w:t>Reasons for the decision</w:t>
      </w:r>
    </w:p>
    <w:p w:rsidR="007C1F9F" w:rsidRPr="000809E5" w:rsidRDefault="007C1F9F" w:rsidP="007C1F9F">
      <w:pPr>
        <w:pStyle w:val="AERbodytext"/>
      </w:pPr>
      <w:r w:rsidRPr="000809E5">
        <w:t xml:space="preserve">APA GasNet’s proposed review submission date and revision commencement date are consistent with the general rule and the AER proposes to accept them. </w:t>
      </w:r>
    </w:p>
    <w:p w:rsidR="007C1F9F" w:rsidRDefault="007C1F9F" w:rsidP="007C1F9F">
      <w:pPr>
        <w:pStyle w:val="AERheading2"/>
        <w:numPr>
          <w:ilvl w:val="1"/>
          <w:numId w:val="7"/>
        </w:numPr>
        <w:tabs>
          <w:tab w:val="clear" w:pos="4317"/>
          <w:tab w:val="num" w:pos="0"/>
        </w:tabs>
        <w:ind w:left="0" w:hanging="720"/>
      </w:pPr>
      <w:bookmarkStart w:id="193" w:name="_Toc334543821"/>
      <w:r>
        <w:t>Revisions</w:t>
      </w:r>
      <w:bookmarkEnd w:id="193"/>
    </w:p>
    <w:p w:rsidR="007C1F9F" w:rsidRPr="00712DB3" w:rsidRDefault="007C1F9F" w:rsidP="007C1F9F">
      <w:pPr>
        <w:pStyle w:val="AERbodytext"/>
      </w:pPr>
      <w:r w:rsidRPr="00712DB3">
        <w:t>Before the access arrangement can be approved, APA GasNet must make the following amendments.</w:t>
      </w:r>
    </w:p>
    <w:p w:rsidR="007C1F9F" w:rsidRDefault="007C1F9F" w:rsidP="007C1F9F">
      <w:pPr>
        <w:pStyle w:val="AERrevisionbox"/>
      </w:pPr>
      <w:r w:rsidRPr="00C73408">
        <w:rPr>
          <w:rStyle w:val="AERtextbold"/>
        </w:rPr>
        <w:t xml:space="preserve">Revision </w:t>
      </w:r>
      <w:r>
        <w:rPr>
          <w:rStyle w:val="AERtextbold"/>
        </w:rPr>
        <w:t>12.</w:t>
      </w:r>
      <w:r w:rsidRPr="00C73408">
        <w:rPr>
          <w:rStyle w:val="AERtextbold"/>
        </w:rPr>
        <w:t>1:</w:t>
      </w:r>
      <w:r>
        <w:t xml:space="preserve"> Amend the final two paragraphs of this clause as follows:</w:t>
      </w:r>
    </w:p>
    <w:p w:rsidR="007C1F9F" w:rsidRPr="006E0D8F" w:rsidRDefault="007C1F9F" w:rsidP="007C1F9F">
      <w:pPr>
        <w:pStyle w:val="AERrevisionbox"/>
        <w:rPr>
          <w:rStyle w:val="AERtextitalic"/>
        </w:rPr>
      </w:pPr>
      <w:r w:rsidRPr="006E0D8F">
        <w:rPr>
          <w:rStyle w:val="AERtextitalic"/>
        </w:rPr>
        <w:t>Following the word "interest" in each paragraph, insert:</w:t>
      </w:r>
    </w:p>
    <w:p w:rsidR="007C1F9F" w:rsidRDefault="007C1F9F" w:rsidP="007C1F9F">
      <w:pPr>
        <w:pStyle w:val="AERrevisionbox"/>
      </w:pPr>
      <w:r>
        <w:t>Calculated at the Commonwealth Bank corporate overdraft reference rate plus two percentage points.</w:t>
      </w:r>
    </w:p>
    <w:p w:rsidR="007C1F9F" w:rsidRDefault="007C1F9F" w:rsidP="007C1F9F">
      <w:pPr>
        <w:pStyle w:val="AERrevisionbox"/>
      </w:pPr>
      <w:r>
        <w:rPr>
          <w:rStyle w:val="AERtextbold"/>
        </w:rPr>
        <w:t>Revision 12.2</w:t>
      </w:r>
      <w:r w:rsidRPr="00FE0639">
        <w:rPr>
          <w:rStyle w:val="AERtextbold"/>
        </w:rPr>
        <w:t>:</w:t>
      </w:r>
      <w:r>
        <w:t xml:space="preserve"> Amend clause F8 of APA GasNet's Transmission Payment Deed, in appendix F of its access arrangement as follows:</w:t>
      </w:r>
    </w:p>
    <w:p w:rsidR="007C1F9F" w:rsidRPr="006E0D8F" w:rsidRDefault="007C1F9F" w:rsidP="007C1F9F">
      <w:pPr>
        <w:pStyle w:val="AERrevisionbox"/>
        <w:rPr>
          <w:rStyle w:val="AERtextitalic"/>
        </w:rPr>
      </w:pPr>
      <w:r w:rsidRPr="006E0D8F">
        <w:rPr>
          <w:rStyle w:val="AERtextitalic"/>
        </w:rPr>
        <w:t>Insert a new paragraph between the first and second paragraph as follows:</w:t>
      </w:r>
    </w:p>
    <w:p w:rsidR="007C1F9F" w:rsidRDefault="007C1F9F" w:rsidP="007C1F9F">
      <w:pPr>
        <w:pStyle w:val="AERrevisionbox"/>
      </w:pPr>
      <w:r>
        <w:t>This clause does not apply to a failure to pay an amount where Service Provider has included that amount in an invoice issued under F2 and the user has disputed that amount, until such time as it is determined that the disputed amount is required to be paid.</w:t>
      </w:r>
    </w:p>
    <w:p w:rsidR="007C1F9F" w:rsidRPr="000809E5" w:rsidRDefault="007C1F9F" w:rsidP="007C1F9F">
      <w:pPr>
        <w:pStyle w:val="AERrevisionbox"/>
      </w:pPr>
      <w:r>
        <w:rPr>
          <w:rStyle w:val="AERtextbold"/>
        </w:rPr>
        <w:t>Revision 12.3</w:t>
      </w:r>
      <w:r w:rsidRPr="000809E5">
        <w:rPr>
          <w:rStyle w:val="AERtextbold"/>
        </w:rPr>
        <w:t xml:space="preserve">: </w:t>
      </w:r>
      <w:r w:rsidRPr="000809E5">
        <w:t>Amend clause 5.1 of the proposed access arrangement to include the following:</w:t>
      </w:r>
    </w:p>
    <w:p w:rsidR="007C1F9F" w:rsidRPr="000809E5" w:rsidRDefault="007C1F9F" w:rsidP="007C1F9F">
      <w:pPr>
        <w:pStyle w:val="AERrevisionbox"/>
      </w:pPr>
      <w:r w:rsidRPr="000809E5">
        <w:t xml:space="preserve">There are no applicable capacity trading requirements for the purposes of rules 48(1)(f) or 105 of the NGR. </w:t>
      </w:r>
    </w:p>
    <w:p w:rsidR="007C1F9F" w:rsidRPr="00FB2943" w:rsidRDefault="007C1F9F" w:rsidP="007C1F9F"/>
    <w:p w:rsidR="007C1F9F" w:rsidRPr="00D955D1" w:rsidRDefault="007C1F9F" w:rsidP="007C1F9F">
      <w:pPr>
        <w:pStyle w:val="AERbodytext"/>
      </w:pPr>
    </w:p>
    <w:p w:rsidR="002D4C3B" w:rsidRPr="004B1E46" w:rsidRDefault="002D4C3B" w:rsidP="007C1F9F">
      <w:pPr>
        <w:pStyle w:val="AERbodytext"/>
      </w:pPr>
    </w:p>
    <w:sectPr w:rsidR="002D4C3B" w:rsidRPr="004B1E46" w:rsidSect="00901FCB">
      <w:headerReference w:type="even" r:id="rId33"/>
      <w:headerReference w:type="default" r:id="rId34"/>
      <w:footerReference w:type="even" r:id="rId35"/>
      <w:footerReference w:type="default" r:id="rId36"/>
      <w:headerReference w:type="first" r:id="rId37"/>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B37" w:rsidRDefault="00377B37" w:rsidP="00BB640B">
      <w:r>
        <w:separator/>
      </w:r>
    </w:p>
    <w:p w:rsidR="00377B37" w:rsidRDefault="00377B37"/>
    <w:p w:rsidR="00377B37" w:rsidRDefault="00377B37"/>
  </w:endnote>
  <w:endnote w:type="continuationSeparator" w:id="0">
    <w:p w:rsidR="00377B37" w:rsidRDefault="00377B37" w:rsidP="00BB640B">
      <w:r>
        <w:continuationSeparator/>
      </w:r>
    </w:p>
    <w:p w:rsidR="00377B37" w:rsidRDefault="00377B37"/>
    <w:p w:rsidR="00377B37" w:rsidRDefault="00377B37"/>
  </w:endnote>
</w:endnotes>
</file>

<file path=word/fontTable.xml><?xml version="1.0" encoding="utf-8"?>
<w:fonts xmlns:r="http://schemas.openxmlformats.org/officeDocument/2006/relationships" xmlns:w="http://schemas.openxmlformats.org/wordprocessingml/2006/main">
  <w:font w:name="Gautami">
    <w:panose1 w:val="02000500000000000000"/>
    <w:charset w:val="00"/>
    <w:family w:val="auto"/>
    <w:pitch w:val="variable"/>
    <w:sig w:usb0="002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DE0D6A" w:rsidP="001A7245">
    <w:r>
      <w:rPr>
        <w:rStyle w:val="PageNumber"/>
      </w:rPr>
      <w:fldChar w:fldCharType="begin"/>
    </w:r>
    <w:r w:rsidR="00377B37">
      <w:rPr>
        <w:rStyle w:val="PageNumber"/>
      </w:rPr>
      <w:instrText xml:space="preserve"> PAGE </w:instrText>
    </w:r>
    <w:r>
      <w:rPr>
        <w:rStyle w:val="PageNumber"/>
      </w:rPr>
      <w:fldChar w:fldCharType="separate"/>
    </w:r>
    <w:r w:rsidR="00377B37" w:rsidRPr="001A7245">
      <w:rPr>
        <w:rStyle w:val="PageNumber"/>
      </w:rPr>
      <w:t>2</w:t>
    </w:r>
    <w:r>
      <w:rPr>
        <w:rStyle w:val="PageNumber"/>
      </w:rPr>
      <w:fldChar w:fldCharType="end"/>
    </w:r>
    <w:r w:rsidR="00377B37">
      <w:rPr>
        <w:rStyle w:val="PageNumber"/>
      </w:rPr>
      <w:tab/>
    </w:r>
    <w:r w:rsidR="00377B37" w:rsidRPr="001A7245">
      <w:t>Chapter Heading</w:t>
    </w:r>
    <w:r w:rsidR="00377B37">
      <w:t xml:space="preserve"> | Aer Determination Heading</w:t>
    </w:r>
  </w:p>
  <w:p w:rsidR="00377B37" w:rsidRDefault="00377B37"/>
  <w:p w:rsidR="00377B37" w:rsidRDefault="00377B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rsidP="004B574E">
    <w:pPr>
      <w:tabs>
        <w:tab w:val="left" w:pos="810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DE0D6A" w:rsidP="001A7245">
    <w:r>
      <w:rPr>
        <w:rStyle w:val="PageNumber"/>
      </w:rPr>
      <w:fldChar w:fldCharType="begin"/>
    </w:r>
    <w:r w:rsidR="00377B37">
      <w:rPr>
        <w:rStyle w:val="PageNumber"/>
      </w:rPr>
      <w:instrText xml:space="preserve"> PAGE </w:instrText>
    </w:r>
    <w:r>
      <w:rPr>
        <w:rStyle w:val="PageNumber"/>
      </w:rPr>
      <w:fldChar w:fldCharType="separate"/>
    </w:r>
    <w:r w:rsidR="00377B37" w:rsidRPr="001A7245">
      <w:rPr>
        <w:rStyle w:val="PageNumber"/>
      </w:rPr>
      <w:t>2</w:t>
    </w:r>
    <w:r>
      <w:rPr>
        <w:rStyle w:val="PageNumber"/>
      </w:rPr>
      <w:fldChar w:fldCharType="end"/>
    </w:r>
    <w:r w:rsidR="00377B37">
      <w:rPr>
        <w:rStyle w:val="PageNumber"/>
      </w:rPr>
      <w:tab/>
    </w:r>
    <w:r w:rsidR="00377B37" w:rsidRPr="001A7245">
      <w:t>Chapter Heading</w:t>
    </w:r>
    <w:r w:rsidR="00377B37">
      <w:t xml:space="preserve"> | Aer Determination Heading</w:t>
    </w:r>
  </w:p>
  <w:p w:rsidR="00377B37" w:rsidRDefault="00377B37"/>
  <w:p w:rsidR="00377B37" w:rsidRDefault="00377B3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rsidP="007B1CCA">
    <w:pPr>
      <w:tabs>
        <w:tab w:val="right" w:pos="9072"/>
      </w:tabs>
    </w:pPr>
    <w:r>
      <w:t>AER draft decision |</w:t>
    </w:r>
    <w:r w:rsidRPr="001A7245">
      <w:t xml:space="preserve"> </w:t>
    </w:r>
    <w:r>
      <w:t>APA GasNet 2013–17 | Attachments</w:t>
    </w:r>
    <w:r>
      <w:tab/>
    </w:r>
    <w:r w:rsidR="00DE0D6A">
      <w:rPr>
        <w:rStyle w:val="PageNumber"/>
      </w:rPr>
      <w:fldChar w:fldCharType="begin"/>
    </w:r>
    <w:r>
      <w:rPr>
        <w:rStyle w:val="PageNumber"/>
      </w:rPr>
      <w:instrText xml:space="preserve"> PAGE </w:instrText>
    </w:r>
    <w:r w:rsidR="00DE0D6A">
      <w:rPr>
        <w:rStyle w:val="PageNumber"/>
      </w:rPr>
      <w:fldChar w:fldCharType="separate"/>
    </w:r>
    <w:r w:rsidR="002A2AAF">
      <w:rPr>
        <w:rStyle w:val="PageNumber"/>
        <w:noProof/>
      </w:rPr>
      <w:t>iii</w:t>
    </w:r>
    <w:r w:rsidR="00DE0D6A">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rsidP="007B1CCA">
    <w:pPr>
      <w:tabs>
        <w:tab w:val="right" w:pos="9072"/>
      </w:tabs>
    </w:pPr>
    <w:r>
      <w:t>AER distribution determination |</w:t>
    </w:r>
    <w:r w:rsidRPr="001A7245">
      <w:t xml:space="preserve"> </w:t>
    </w:r>
    <w:r>
      <w:t>Aurora 2012–13 to 2016–17 | Uncontested issues</w:t>
    </w:r>
    <w:r>
      <w:tab/>
    </w:r>
    <w:r w:rsidR="00DE0D6A">
      <w:rPr>
        <w:rStyle w:val="PageNumber"/>
      </w:rPr>
      <w:fldChar w:fldCharType="begin"/>
    </w:r>
    <w:r>
      <w:rPr>
        <w:rStyle w:val="PageNumber"/>
      </w:rPr>
      <w:instrText xml:space="preserve"> PAGE </w:instrText>
    </w:r>
    <w:r w:rsidR="00DE0D6A">
      <w:rPr>
        <w:rStyle w:val="PageNumber"/>
      </w:rPr>
      <w:fldChar w:fldCharType="separate"/>
    </w:r>
    <w:r>
      <w:rPr>
        <w:rStyle w:val="PageNumber"/>
        <w:noProof/>
      </w:rPr>
      <w:t>1</w:t>
    </w:r>
    <w:r w:rsidR="00DE0D6A">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DE0D6A" w:rsidP="001A7245">
    <w:r>
      <w:rPr>
        <w:rStyle w:val="PageNumber"/>
      </w:rPr>
      <w:fldChar w:fldCharType="begin"/>
    </w:r>
    <w:r w:rsidR="00377B37">
      <w:rPr>
        <w:rStyle w:val="PageNumber"/>
      </w:rPr>
      <w:instrText xml:space="preserve"> PAGE </w:instrText>
    </w:r>
    <w:r>
      <w:rPr>
        <w:rStyle w:val="PageNumber"/>
      </w:rPr>
      <w:fldChar w:fldCharType="separate"/>
    </w:r>
    <w:r w:rsidR="00377B37" w:rsidRPr="001A7245">
      <w:rPr>
        <w:rStyle w:val="PageNumber"/>
      </w:rPr>
      <w:t>2</w:t>
    </w:r>
    <w:r>
      <w:rPr>
        <w:rStyle w:val="PageNumber"/>
      </w:rPr>
      <w:fldChar w:fldCharType="end"/>
    </w:r>
    <w:r w:rsidR="00377B37">
      <w:rPr>
        <w:rStyle w:val="PageNumber"/>
      </w:rPr>
      <w:tab/>
    </w:r>
    <w:r w:rsidR="00377B37" w:rsidRPr="001A7245">
      <w:t>Chapter Heading</w:t>
    </w:r>
    <w:r w:rsidR="00377B37">
      <w:t xml:space="preserve"> | Aer Determination Heading</w:t>
    </w:r>
  </w:p>
  <w:p w:rsidR="00377B37" w:rsidRDefault="00377B37"/>
  <w:p w:rsidR="00377B37" w:rsidRDefault="00377B3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rsidP="00942539">
    <w:pPr>
      <w:tabs>
        <w:tab w:val="right" w:pos="8280"/>
      </w:tabs>
    </w:pPr>
    <w:r>
      <w:t>AER Draft Decision |</w:t>
    </w:r>
    <w:r w:rsidRPr="001A7245">
      <w:t xml:space="preserve"> </w:t>
    </w:r>
    <w:r>
      <w:t>APA GasNet</w:t>
    </w:r>
    <w:r>
      <w:tab/>
    </w:r>
    <w:r w:rsidR="00DE0D6A">
      <w:rPr>
        <w:rStyle w:val="PageNumber"/>
      </w:rPr>
      <w:fldChar w:fldCharType="begin"/>
    </w:r>
    <w:r>
      <w:rPr>
        <w:rStyle w:val="PageNumber"/>
      </w:rPr>
      <w:instrText xml:space="preserve"> PAGE </w:instrText>
    </w:r>
    <w:r w:rsidR="00DE0D6A">
      <w:rPr>
        <w:rStyle w:val="PageNumber"/>
      </w:rPr>
      <w:fldChar w:fldCharType="separate"/>
    </w:r>
    <w:r w:rsidR="002A2AAF">
      <w:rPr>
        <w:rStyle w:val="PageNumber"/>
        <w:noProof/>
      </w:rPr>
      <w:t>6</w:t>
    </w:r>
    <w:r w:rsidR="00DE0D6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B37" w:rsidRDefault="00377B37" w:rsidP="00BB640B">
      <w:r>
        <w:separator/>
      </w:r>
    </w:p>
    <w:p w:rsidR="00377B37" w:rsidRDefault="00377B37"/>
    <w:p w:rsidR="00377B37" w:rsidRDefault="00377B37"/>
  </w:footnote>
  <w:footnote w:type="continuationSeparator" w:id="0">
    <w:p w:rsidR="00377B37" w:rsidRDefault="00377B37" w:rsidP="00BB640B">
      <w:r>
        <w:continuationSeparator/>
      </w:r>
    </w:p>
    <w:p w:rsidR="00377B37" w:rsidRDefault="00377B37"/>
    <w:p w:rsidR="00377B37" w:rsidRDefault="00377B37"/>
  </w:footnote>
  <w:footnote w:id="1">
    <w:p w:rsidR="00377B37" w:rsidRDefault="00377B37" w:rsidP="007C1F9F">
      <w:pPr>
        <w:pStyle w:val="FootnoteText"/>
      </w:pPr>
      <w:r>
        <w:rPr>
          <w:rStyle w:val="FootnoteReference"/>
        </w:rPr>
        <w:footnoteRef/>
      </w:r>
      <w:r>
        <w:t xml:space="preserve"> </w:t>
      </w:r>
      <w:r>
        <w:tab/>
        <w:t>NGR, r. 48(1)(a).</w:t>
      </w:r>
    </w:p>
  </w:footnote>
  <w:footnote w:id="2">
    <w:p w:rsidR="00377B37" w:rsidRDefault="00377B37" w:rsidP="007C1F9F">
      <w:pPr>
        <w:pStyle w:val="FootnoteText"/>
      </w:pPr>
      <w:r>
        <w:rPr>
          <w:rStyle w:val="FootnoteReference"/>
        </w:rPr>
        <w:footnoteRef/>
      </w:r>
      <w:r>
        <w:t xml:space="preserve"> </w:t>
      </w:r>
      <w:r>
        <w:tab/>
        <w:t>NGR, r. 48(1)(b).</w:t>
      </w:r>
    </w:p>
  </w:footnote>
  <w:footnote w:id="3">
    <w:p w:rsidR="00377B37" w:rsidRDefault="00377B37" w:rsidP="007C1F9F">
      <w:pPr>
        <w:pStyle w:val="FootnoteText"/>
      </w:pPr>
      <w:r>
        <w:rPr>
          <w:rStyle w:val="FootnoteReference"/>
        </w:rPr>
        <w:footnoteRef/>
      </w:r>
      <w:r>
        <w:t xml:space="preserve"> </w:t>
      </w:r>
      <w:r>
        <w:tab/>
      </w:r>
      <w:r w:rsidRPr="00514D97">
        <w:t xml:space="preserve">APA GasNet, </w:t>
      </w:r>
      <w:r w:rsidRPr="00825A6E">
        <w:rPr>
          <w:rStyle w:val="AERtextitalic"/>
        </w:rPr>
        <w:t>Access arrangement</w:t>
      </w:r>
      <w:r>
        <w:rPr>
          <w:rStyle w:val="AERtextitalic"/>
        </w:rPr>
        <w:t xml:space="preserve"> submission</w:t>
      </w:r>
      <w:r>
        <w:t>, 31 March 2012, p. 5.</w:t>
      </w:r>
    </w:p>
  </w:footnote>
  <w:footnote w:id="4">
    <w:p w:rsidR="00377B37" w:rsidRDefault="00377B37" w:rsidP="007C1F9F">
      <w:pPr>
        <w:pStyle w:val="FootnoteText"/>
      </w:pPr>
      <w:r>
        <w:rPr>
          <w:rStyle w:val="FootnoteReference"/>
        </w:rPr>
        <w:footnoteRef/>
      </w:r>
      <w:r>
        <w:t xml:space="preserve"> </w:t>
      </w:r>
      <w:r>
        <w:tab/>
      </w:r>
      <w:r w:rsidRPr="00253622">
        <w:t xml:space="preserve">APA GasNet, </w:t>
      </w:r>
      <w:r w:rsidRPr="00825A6E">
        <w:rPr>
          <w:rStyle w:val="AERtextitalic"/>
        </w:rPr>
        <w:t>Access arrangement submission</w:t>
      </w:r>
      <w:r w:rsidRPr="00253622">
        <w:t xml:space="preserve">, </w:t>
      </w:r>
      <w:r>
        <w:t xml:space="preserve">31 </w:t>
      </w:r>
      <w:r w:rsidRPr="00253622">
        <w:t>March 2012, p</w:t>
      </w:r>
      <w:r>
        <w:t>p</w:t>
      </w:r>
      <w:r w:rsidRPr="00253622">
        <w:t xml:space="preserve">. </w:t>
      </w:r>
      <w:r>
        <w:t>14–20</w:t>
      </w:r>
      <w:r w:rsidRPr="00253622">
        <w:t>.</w:t>
      </w:r>
    </w:p>
  </w:footnote>
  <w:footnote w:id="5">
    <w:p w:rsidR="00377B37" w:rsidRDefault="00377B37" w:rsidP="007C1F9F">
      <w:pPr>
        <w:pStyle w:val="FootnoteText"/>
      </w:pPr>
      <w:r>
        <w:rPr>
          <w:rStyle w:val="FootnoteReference"/>
        </w:rPr>
        <w:footnoteRef/>
      </w:r>
      <w:r>
        <w:t xml:space="preserve"> </w:t>
      </w:r>
      <w:r>
        <w:tab/>
      </w:r>
      <w:r w:rsidRPr="00121B1F">
        <w:t xml:space="preserve">APA GasNet, </w:t>
      </w:r>
      <w:r w:rsidRPr="00825A6E">
        <w:rPr>
          <w:rStyle w:val="AERtextitalic"/>
        </w:rPr>
        <w:t>Access arrangement submission</w:t>
      </w:r>
      <w:r w:rsidRPr="00121B1F">
        <w:t xml:space="preserve">, </w:t>
      </w:r>
      <w:r>
        <w:t xml:space="preserve">31 </w:t>
      </w:r>
      <w:r w:rsidRPr="00121B1F">
        <w:t xml:space="preserve">March 2012, p. </w:t>
      </w:r>
      <w:r>
        <w:t>19.</w:t>
      </w:r>
    </w:p>
  </w:footnote>
  <w:footnote w:id="6">
    <w:p w:rsidR="00377B37" w:rsidRDefault="00377B37" w:rsidP="007C1F9F">
      <w:pPr>
        <w:pStyle w:val="FootnoteText"/>
      </w:pPr>
      <w:r>
        <w:rPr>
          <w:rStyle w:val="FootnoteReference"/>
        </w:rPr>
        <w:footnoteRef/>
      </w:r>
      <w:r>
        <w:t xml:space="preserve"> </w:t>
      </w:r>
      <w:r>
        <w:tab/>
      </w:r>
      <w:r w:rsidRPr="00121B1F">
        <w:t xml:space="preserve">APA GasNet, </w:t>
      </w:r>
      <w:r w:rsidRPr="00825A6E">
        <w:rPr>
          <w:rStyle w:val="AERtextitalic"/>
        </w:rPr>
        <w:t>Access arrangement submission</w:t>
      </w:r>
      <w:r w:rsidRPr="00121B1F">
        <w:t xml:space="preserve">, </w:t>
      </w:r>
      <w:r>
        <w:t xml:space="preserve">31 </w:t>
      </w:r>
      <w:r w:rsidRPr="00121B1F">
        <w:t>March 2012, p</w:t>
      </w:r>
      <w:r>
        <w:t>. 15.</w:t>
      </w:r>
    </w:p>
  </w:footnote>
  <w:footnote w:id="7">
    <w:p w:rsidR="00377B37" w:rsidRDefault="00377B37" w:rsidP="007C1F9F">
      <w:pPr>
        <w:pStyle w:val="FootnoteText"/>
      </w:pPr>
      <w:r>
        <w:rPr>
          <w:rStyle w:val="FootnoteReference"/>
        </w:rPr>
        <w:footnoteRef/>
      </w:r>
      <w:r>
        <w:t xml:space="preserve"> </w:t>
      </w:r>
      <w:r>
        <w:tab/>
        <w:t>NGR, r. 48(1)(c), NGR, r. 101(1).</w:t>
      </w:r>
    </w:p>
  </w:footnote>
  <w:footnote w:id="8">
    <w:p w:rsidR="00377B37" w:rsidRDefault="00377B37" w:rsidP="007C1F9F">
      <w:pPr>
        <w:pStyle w:val="FootnoteText"/>
      </w:pPr>
      <w:r>
        <w:rPr>
          <w:rStyle w:val="FootnoteReference"/>
        </w:rPr>
        <w:footnoteRef/>
      </w:r>
      <w:r>
        <w:t xml:space="preserve"> </w:t>
      </w:r>
      <w:r>
        <w:tab/>
        <w:t>NGR, r. 101(2).</w:t>
      </w:r>
    </w:p>
  </w:footnote>
  <w:footnote w:id="9">
    <w:p w:rsidR="00377B37" w:rsidRDefault="00377B37" w:rsidP="007C1F9F">
      <w:pPr>
        <w:pStyle w:val="FootnoteText"/>
      </w:pPr>
      <w:r>
        <w:rPr>
          <w:rStyle w:val="FootnoteReference"/>
        </w:rPr>
        <w:footnoteRef/>
      </w:r>
      <w:r>
        <w:t xml:space="preserve"> </w:t>
      </w:r>
      <w:r>
        <w:tab/>
        <w:t>NGL, s. 2.</w:t>
      </w:r>
    </w:p>
  </w:footnote>
  <w:footnote w:id="10">
    <w:p w:rsidR="00377B37" w:rsidRDefault="00377B37" w:rsidP="007C1F9F">
      <w:pPr>
        <w:pStyle w:val="FootnoteText"/>
      </w:pPr>
      <w:r>
        <w:rPr>
          <w:rStyle w:val="FootnoteReference"/>
        </w:rPr>
        <w:footnoteRef/>
      </w:r>
      <w:r>
        <w:t xml:space="preserve"> </w:t>
      </w:r>
      <w:r>
        <w:tab/>
        <w:t>NGR, r. 100(a).</w:t>
      </w:r>
    </w:p>
  </w:footnote>
  <w:footnote w:id="11">
    <w:p w:rsidR="00377B37" w:rsidRDefault="00377B37" w:rsidP="007C1F9F">
      <w:pPr>
        <w:pStyle w:val="FootnoteText"/>
      </w:pPr>
      <w:r>
        <w:rPr>
          <w:rStyle w:val="FootnoteReference"/>
        </w:rPr>
        <w:footnoteRef/>
      </w:r>
      <w:r>
        <w:t xml:space="preserve"> </w:t>
      </w:r>
      <w:r>
        <w:tab/>
      </w:r>
      <w:r w:rsidRPr="00A5030B">
        <w:rPr>
          <w:rFonts w:eastAsia="Calibri"/>
        </w:rPr>
        <w:t>Such as queuing requirements, extension and expansion requirements, and capacity trading requirements.</w:t>
      </w:r>
    </w:p>
  </w:footnote>
  <w:footnote w:id="12">
    <w:p w:rsidR="00377B37" w:rsidRDefault="00377B37" w:rsidP="007C1F9F">
      <w:pPr>
        <w:pStyle w:val="FootnoteText"/>
      </w:pPr>
      <w:r>
        <w:rPr>
          <w:rStyle w:val="FootnoteReference"/>
        </w:rPr>
        <w:footnoteRef/>
      </w:r>
      <w:r>
        <w:t xml:space="preserve"> </w:t>
      </w:r>
      <w:r>
        <w:tab/>
        <w:t>On 5 August 2011 the AER submitted a rule change proposal to amend the definition of a reference and rebateable service in the NGR. The AEMC released its draft decision on the proposed rule change in March 2012. On 27 July 2012, the AEMC extended the period of time for the making of the final rule determination to 1 November 2012.</w:t>
      </w:r>
    </w:p>
    <w:p w:rsidR="00377B37" w:rsidRDefault="00377B37" w:rsidP="007C1F9F">
      <w:pPr>
        <w:pStyle w:val="FootnoteText"/>
      </w:pPr>
    </w:p>
  </w:footnote>
  <w:footnote w:id="13">
    <w:p w:rsidR="00377B37" w:rsidRDefault="00377B37" w:rsidP="007C1F9F">
      <w:pPr>
        <w:pStyle w:val="FootnoteText"/>
      </w:pPr>
      <w:r>
        <w:rPr>
          <w:rStyle w:val="FootnoteReference"/>
        </w:rPr>
        <w:footnoteRef/>
      </w:r>
      <w:r>
        <w:t xml:space="preserve"> </w:t>
      </w:r>
      <w:r>
        <w:tab/>
        <w:t>NGR, r. 48(1)(a)</w:t>
      </w:r>
    </w:p>
  </w:footnote>
  <w:footnote w:id="14">
    <w:p w:rsidR="00377B37" w:rsidRDefault="00377B37" w:rsidP="007C1F9F">
      <w:pPr>
        <w:pStyle w:val="FootnoteText"/>
      </w:pPr>
      <w:r>
        <w:rPr>
          <w:rStyle w:val="FootnoteReference"/>
        </w:rPr>
        <w:footnoteRef/>
      </w:r>
      <w:r>
        <w:t xml:space="preserve"> </w:t>
      </w:r>
      <w:r>
        <w:tab/>
        <w:t>NGR, r. 48(1)(b).</w:t>
      </w:r>
    </w:p>
  </w:footnote>
  <w:footnote w:id="15">
    <w:p w:rsidR="00377B37" w:rsidRDefault="00377B37" w:rsidP="007C1F9F">
      <w:pPr>
        <w:pStyle w:val="FootnoteText"/>
      </w:pPr>
      <w:r>
        <w:rPr>
          <w:rStyle w:val="FootnoteReference"/>
        </w:rPr>
        <w:footnoteRef/>
      </w:r>
      <w:r>
        <w:t xml:space="preserve"> </w:t>
      </w:r>
      <w:r>
        <w:tab/>
      </w:r>
      <w:r w:rsidRPr="00514D97">
        <w:t xml:space="preserve">APA GasNet, </w:t>
      </w:r>
      <w:r w:rsidRPr="0077255B">
        <w:rPr>
          <w:rStyle w:val="AERtextitalic"/>
        </w:rPr>
        <w:t>Access arrangemen</w:t>
      </w:r>
      <w:r>
        <w:rPr>
          <w:rStyle w:val="AERtextitalic"/>
        </w:rPr>
        <w:t>t</w:t>
      </w:r>
      <w:r>
        <w:t>, 31 March 2012, p. 5.</w:t>
      </w:r>
    </w:p>
  </w:footnote>
  <w:footnote w:id="16">
    <w:p w:rsidR="00377B37" w:rsidRDefault="00377B37" w:rsidP="007C1F9F">
      <w:pPr>
        <w:pStyle w:val="FootnoteText"/>
      </w:pPr>
      <w:r>
        <w:rPr>
          <w:rStyle w:val="FootnoteReference"/>
        </w:rPr>
        <w:footnoteRef/>
      </w:r>
      <w:r>
        <w:t xml:space="preserve"> </w:t>
      </w:r>
      <w:r>
        <w:tab/>
      </w:r>
      <w:r w:rsidRPr="00514D97">
        <w:t xml:space="preserve">APA GasNet, </w:t>
      </w:r>
      <w:r w:rsidRPr="0077255B">
        <w:rPr>
          <w:rStyle w:val="AERtextitalic"/>
        </w:rPr>
        <w:t>Access arrangement</w:t>
      </w:r>
      <w:r w:rsidRPr="0077255B">
        <w:t xml:space="preserve">, 31 </w:t>
      </w:r>
      <w:r>
        <w:t>March 2012, p. 5.</w:t>
      </w:r>
    </w:p>
  </w:footnote>
  <w:footnote w:id="17">
    <w:p w:rsidR="00377B37" w:rsidRDefault="00377B37" w:rsidP="007C1F9F">
      <w:pPr>
        <w:pStyle w:val="FootnoteText"/>
      </w:pPr>
      <w:r>
        <w:rPr>
          <w:rStyle w:val="FootnoteReference"/>
        </w:rPr>
        <w:footnoteRef/>
      </w:r>
      <w:r>
        <w:t xml:space="preserve"> </w:t>
      </w:r>
      <w:r>
        <w:tab/>
      </w:r>
      <w:r w:rsidRPr="00514D97">
        <w:t xml:space="preserve">APA GasNet, </w:t>
      </w:r>
      <w:r w:rsidRPr="0077255B">
        <w:rPr>
          <w:rStyle w:val="AERtextitalic"/>
        </w:rPr>
        <w:t>Access arrangement</w:t>
      </w:r>
      <w:r w:rsidRPr="0077255B">
        <w:t xml:space="preserve">, 31 </w:t>
      </w:r>
      <w:r>
        <w:t xml:space="preserve">March 2012, </w:t>
      </w:r>
      <w:r w:rsidRPr="00125485">
        <w:rPr>
          <w:rFonts w:eastAsia="Calibri"/>
        </w:rPr>
        <w:t>Schedule</w:t>
      </w:r>
      <w:r>
        <w:t xml:space="preserve"> B, p. 38.</w:t>
      </w:r>
    </w:p>
  </w:footnote>
  <w:footnote w:id="18">
    <w:p w:rsidR="00377B37" w:rsidRDefault="00377B37" w:rsidP="007C1F9F">
      <w:pPr>
        <w:pStyle w:val="FootnoteText"/>
      </w:pPr>
      <w:r>
        <w:rPr>
          <w:rStyle w:val="FootnoteReference"/>
        </w:rPr>
        <w:footnoteRef/>
      </w:r>
      <w:r>
        <w:t xml:space="preserve"> </w:t>
      </w:r>
      <w:r>
        <w:tab/>
      </w:r>
      <w:r w:rsidRPr="00514D97">
        <w:t xml:space="preserve">APA GasNet, </w:t>
      </w:r>
      <w:r w:rsidRPr="0077255B">
        <w:rPr>
          <w:rStyle w:val="AERtextitalic"/>
        </w:rPr>
        <w:t>Access arrangement</w:t>
      </w:r>
      <w:r w:rsidRPr="0077255B">
        <w:t xml:space="preserve">, 31 </w:t>
      </w:r>
      <w:r>
        <w:t xml:space="preserve">March 2012, </w:t>
      </w:r>
      <w:r w:rsidRPr="00125485">
        <w:rPr>
          <w:rFonts w:eastAsia="Calibri"/>
        </w:rPr>
        <w:t>Schedule</w:t>
      </w:r>
      <w:r>
        <w:t xml:space="preserve"> B, p. 37.</w:t>
      </w:r>
    </w:p>
  </w:footnote>
  <w:footnote w:id="19">
    <w:p w:rsidR="00377B37" w:rsidRDefault="00377B37" w:rsidP="007C1F9F">
      <w:pPr>
        <w:pStyle w:val="FootnoteText"/>
      </w:pPr>
      <w:r>
        <w:rPr>
          <w:rStyle w:val="FootnoteReference"/>
        </w:rPr>
        <w:footnoteRef/>
      </w:r>
      <w:r>
        <w:t xml:space="preserve"> </w:t>
      </w:r>
      <w:r>
        <w:tab/>
      </w:r>
      <w:r w:rsidRPr="00514D97">
        <w:t xml:space="preserve">APA GasNet, </w:t>
      </w:r>
      <w:r w:rsidRPr="0077255B">
        <w:rPr>
          <w:rStyle w:val="AERtextitalic"/>
        </w:rPr>
        <w:t>Access arrangement</w:t>
      </w:r>
      <w:r w:rsidRPr="0077255B">
        <w:t xml:space="preserve">, 31 </w:t>
      </w:r>
      <w:r>
        <w:t>March 2012, Schedule B, p. 37.</w:t>
      </w:r>
    </w:p>
  </w:footnote>
  <w:footnote w:id="20">
    <w:p w:rsidR="00377B37" w:rsidRDefault="00377B37" w:rsidP="007C1F9F">
      <w:pPr>
        <w:pStyle w:val="FootnoteText"/>
      </w:pPr>
      <w:r>
        <w:rPr>
          <w:rStyle w:val="FootnoteReference"/>
        </w:rPr>
        <w:footnoteRef/>
      </w:r>
      <w:r>
        <w:t xml:space="preserve"> </w:t>
      </w:r>
      <w:r>
        <w:tab/>
      </w:r>
      <w:r w:rsidRPr="0077255B">
        <w:t>TRUenergy, Submission to the AER: APA GasNet access arrangement proposal, 22 June 2012</w:t>
      </w:r>
      <w:r>
        <w:t xml:space="preserve">, </w:t>
      </w:r>
      <w:r w:rsidRPr="00865D9F">
        <w:t>p. 2.</w:t>
      </w:r>
    </w:p>
  </w:footnote>
  <w:footnote w:id="21">
    <w:p w:rsidR="00377B37" w:rsidRDefault="00377B37" w:rsidP="007C1F9F">
      <w:pPr>
        <w:pStyle w:val="FootnoteText"/>
      </w:pPr>
      <w:r>
        <w:rPr>
          <w:rStyle w:val="FootnoteReference"/>
        </w:rPr>
        <w:footnoteRef/>
      </w:r>
      <w:r>
        <w:t xml:space="preserve"> </w:t>
      </w:r>
      <w:r>
        <w:tab/>
        <w:t>i.e. the replacement of VenCorp with AEMO.</w:t>
      </w:r>
    </w:p>
  </w:footnote>
  <w:footnote w:id="22">
    <w:p w:rsidR="00377B37" w:rsidRDefault="00377B37" w:rsidP="007C1F9F">
      <w:pPr>
        <w:pStyle w:val="FootnoteText"/>
      </w:pPr>
      <w:r>
        <w:rPr>
          <w:rStyle w:val="FootnoteReference"/>
        </w:rPr>
        <w:footnoteRef/>
      </w:r>
      <w:r>
        <w:t xml:space="preserve"> </w:t>
      </w:r>
      <w:r>
        <w:tab/>
      </w:r>
      <w:r w:rsidRPr="0077255B">
        <w:t>TRUenergy, Submission to the AER: APA GasNet access arrangement proposal, 22 June 2012</w:t>
      </w:r>
      <w:r>
        <w:t>, p. 2.</w:t>
      </w:r>
    </w:p>
  </w:footnote>
  <w:footnote w:id="23">
    <w:p w:rsidR="00377B37" w:rsidRDefault="00377B37" w:rsidP="007C1F9F">
      <w:pPr>
        <w:pStyle w:val="FootnoteText"/>
      </w:pPr>
      <w:r>
        <w:rPr>
          <w:rStyle w:val="FootnoteReference"/>
        </w:rPr>
        <w:footnoteRef/>
      </w:r>
      <w:r>
        <w:t xml:space="preserve"> </w:t>
      </w:r>
      <w:r>
        <w:tab/>
      </w:r>
      <w:r w:rsidRPr="00603A54">
        <w:t>AER, AER submission in response to the AEMC Draft Reference service and rebateable service definitions Rule change Determination, April 2012.</w:t>
      </w:r>
    </w:p>
  </w:footnote>
  <w:footnote w:id="24">
    <w:p w:rsidR="00377B37" w:rsidRDefault="00377B37" w:rsidP="007C1F9F">
      <w:pPr>
        <w:pStyle w:val="FootnoteText"/>
      </w:pPr>
      <w:r>
        <w:rPr>
          <w:rStyle w:val="FootnoteReference"/>
        </w:rPr>
        <w:footnoteRef/>
      </w:r>
      <w:r>
        <w:t xml:space="preserve"> </w:t>
      </w:r>
      <w:r>
        <w:tab/>
        <w:t xml:space="preserve">s. 2 of the NGL. </w:t>
      </w:r>
    </w:p>
  </w:footnote>
  <w:footnote w:id="25">
    <w:p w:rsidR="00377B37" w:rsidRDefault="00377B37" w:rsidP="007C1F9F">
      <w:pPr>
        <w:pStyle w:val="FootnoteText"/>
      </w:pPr>
      <w:r>
        <w:rPr>
          <w:rStyle w:val="FootnoteReference"/>
        </w:rPr>
        <w:footnoteRef/>
      </w:r>
      <w:r>
        <w:t xml:space="preserve"> </w:t>
      </w:r>
      <w:r>
        <w:tab/>
      </w:r>
      <w:r w:rsidRPr="00F079B0">
        <w:t xml:space="preserve">APA GasNet, </w:t>
      </w:r>
      <w:r w:rsidRPr="00825A6E">
        <w:rPr>
          <w:rStyle w:val="AERtextitalic"/>
        </w:rPr>
        <w:t>Access arrangement submission</w:t>
      </w:r>
      <w:r w:rsidRPr="00F079B0">
        <w:t>, March 2012, pp. 18–19.</w:t>
      </w:r>
    </w:p>
  </w:footnote>
  <w:footnote w:id="26">
    <w:p w:rsidR="00377B37" w:rsidRDefault="00377B37" w:rsidP="007C1F9F">
      <w:pPr>
        <w:pStyle w:val="FootnoteText"/>
      </w:pPr>
      <w:r>
        <w:rPr>
          <w:rStyle w:val="FootnoteReference"/>
        </w:rPr>
        <w:footnoteRef/>
      </w:r>
      <w:r>
        <w:t xml:space="preserve"> </w:t>
      </w:r>
      <w:r>
        <w:tab/>
      </w:r>
      <w:r w:rsidRPr="00BA5E4E">
        <w:t xml:space="preserve">APA Group, </w:t>
      </w:r>
      <w:r w:rsidRPr="00825A6E">
        <w:rPr>
          <w:rStyle w:val="AERtextitalic"/>
        </w:rPr>
        <w:t>Response to the Commission</w:t>
      </w:r>
      <w:r w:rsidRPr="00825A6E">
        <w:rPr>
          <w:rStyle w:val="AERtextitalic"/>
          <w:rFonts w:hint="eastAsia"/>
        </w:rPr>
        <w:t>’</w:t>
      </w:r>
      <w:r w:rsidRPr="00825A6E">
        <w:rPr>
          <w:rStyle w:val="AERtextitalic"/>
        </w:rPr>
        <w:t>s draft decision on proposed access arrangement for the Principal Transmission System</w:t>
      </w:r>
      <w:r w:rsidRPr="00BA5E4E">
        <w:t>, December</w:t>
      </w:r>
      <w:r>
        <w:t xml:space="preserve"> </w:t>
      </w:r>
      <w:r w:rsidRPr="00BA5E4E">
        <w:t>2007, p 51</w:t>
      </w:r>
      <w:r>
        <w:t>.</w:t>
      </w:r>
    </w:p>
  </w:footnote>
  <w:footnote w:id="27">
    <w:p w:rsidR="00377B37" w:rsidRDefault="00377B37" w:rsidP="007C1F9F">
      <w:pPr>
        <w:pStyle w:val="FootnoteText"/>
      </w:pPr>
      <w:r>
        <w:rPr>
          <w:rStyle w:val="FootnoteReference"/>
        </w:rPr>
        <w:footnoteRef/>
      </w:r>
      <w:r>
        <w:t xml:space="preserve"> </w:t>
      </w:r>
      <w:r>
        <w:tab/>
        <w:t xml:space="preserve">ACCC, </w:t>
      </w:r>
      <w:r w:rsidRPr="00825A6E">
        <w:rPr>
          <w:rStyle w:val="AERtextitalic"/>
        </w:rPr>
        <w:t>Draft decision, Revised access arrangement by GasNet Australia Ltd for the Principal Transmission System</w:t>
      </w:r>
      <w:r>
        <w:t xml:space="preserve">, November 2007, p. xxi. </w:t>
      </w:r>
    </w:p>
  </w:footnote>
  <w:footnote w:id="28">
    <w:p w:rsidR="00377B37" w:rsidRDefault="00377B37" w:rsidP="007C1F9F">
      <w:pPr>
        <w:pStyle w:val="FootnoteText"/>
      </w:pPr>
      <w:r>
        <w:rPr>
          <w:rStyle w:val="FootnoteReference"/>
        </w:rPr>
        <w:footnoteRef/>
      </w:r>
      <w:r>
        <w:t xml:space="preserve"> </w:t>
      </w:r>
      <w:r>
        <w:tab/>
        <w:t>See s. 2 of the NGL and section 10.2 of the Gas Code.</w:t>
      </w:r>
    </w:p>
  </w:footnote>
  <w:footnote w:id="29">
    <w:p w:rsidR="00377B37" w:rsidRDefault="00377B37" w:rsidP="007C1F9F">
      <w:pPr>
        <w:pStyle w:val="FootnoteText"/>
      </w:pPr>
      <w:r>
        <w:rPr>
          <w:rStyle w:val="FootnoteReference"/>
        </w:rPr>
        <w:footnoteRef/>
      </w:r>
      <w:r>
        <w:t xml:space="preserve"> </w:t>
      </w:r>
      <w:r>
        <w:tab/>
        <w:t xml:space="preserve">AER, </w:t>
      </w:r>
      <w:r w:rsidRPr="00D87F7F">
        <w:t>AER submis</w:t>
      </w:r>
      <w:r>
        <w:t>sion</w:t>
      </w:r>
      <w:r w:rsidRPr="00D87F7F">
        <w:t xml:space="preserve"> in respon</w:t>
      </w:r>
      <w:r>
        <w:t xml:space="preserve">se to the AEMC Draft </w:t>
      </w:r>
      <w:r w:rsidRPr="004E664A">
        <w:t>Reference service and rebateable service definitions</w:t>
      </w:r>
      <w:r>
        <w:t xml:space="preserve"> Rule change Deter</w:t>
      </w:r>
      <w:r w:rsidRPr="00D87F7F">
        <w:t>m</w:t>
      </w:r>
      <w:r>
        <w:t>i</w:t>
      </w:r>
      <w:r w:rsidRPr="00D87F7F">
        <w:t>nation</w:t>
      </w:r>
      <w:r>
        <w:t>, April 2012.</w:t>
      </w:r>
    </w:p>
  </w:footnote>
  <w:footnote w:id="30">
    <w:p w:rsidR="00377B37" w:rsidRDefault="00377B37" w:rsidP="007C1F9F">
      <w:pPr>
        <w:pStyle w:val="FootnoteText"/>
      </w:pPr>
      <w:r>
        <w:rPr>
          <w:rStyle w:val="FootnoteReference"/>
        </w:rPr>
        <w:footnoteRef/>
      </w:r>
      <w:r>
        <w:t xml:space="preserve"> </w:t>
      </w:r>
      <w:r>
        <w:tab/>
        <w:t>An amendment to the definition of reference and rebateable services in r. 101 is the subject of the AEMC's Draft Rule Determination, National Gas Amendment (Reference service and rebateable service definitions) Rule 2012,15 March 2012.</w:t>
      </w:r>
    </w:p>
  </w:footnote>
  <w:footnote w:id="31">
    <w:p w:rsidR="00377B37" w:rsidRDefault="00377B37" w:rsidP="007C1F9F">
      <w:pPr>
        <w:pStyle w:val="FootnoteText"/>
      </w:pPr>
      <w:r>
        <w:rPr>
          <w:rStyle w:val="FootnoteReference"/>
        </w:rPr>
        <w:footnoteRef/>
      </w:r>
      <w:r>
        <w:t xml:space="preserve"> </w:t>
      </w:r>
      <w:r>
        <w:tab/>
        <w:t>NGR, rr. 93(4)(a) and 93(4)(c)</w:t>
      </w:r>
    </w:p>
  </w:footnote>
  <w:footnote w:id="32">
    <w:p w:rsidR="00377B37" w:rsidRDefault="00377B37" w:rsidP="007C1F9F">
      <w:pPr>
        <w:pStyle w:val="FootnoteText"/>
      </w:pPr>
      <w:r>
        <w:rPr>
          <w:rStyle w:val="FootnoteReference"/>
        </w:rPr>
        <w:footnoteRef/>
      </w:r>
      <w:r>
        <w:t xml:space="preserve"> </w:t>
      </w:r>
      <w:r>
        <w:tab/>
        <w:t>The current total capacity contracted by AMDQ CC is 468 TJ. The total capacity over 10 days is 4680 TJ. Over the five years of the access arrangement period, the contracted volume is therefore 234000TJ. The estimated administrative cost is derived based on the base cost of $50 000 in real 2007 dollars escalated by CPI. A simple division of cost over contracted volume yields 0.0025 per GJ.</w:t>
      </w:r>
    </w:p>
  </w:footnote>
  <w:footnote w:id="33">
    <w:p w:rsidR="00377B37" w:rsidRDefault="00377B37" w:rsidP="007C1F9F">
      <w:pPr>
        <w:pStyle w:val="FootnoteText"/>
      </w:pPr>
      <w:r>
        <w:rPr>
          <w:rStyle w:val="FootnoteReference"/>
        </w:rPr>
        <w:footnoteRef/>
      </w:r>
      <w:r>
        <w:t xml:space="preserve"> </w:t>
      </w:r>
      <w:r>
        <w:tab/>
        <w:t>NGR, r. 77(2).</w:t>
      </w:r>
    </w:p>
  </w:footnote>
  <w:footnote w:id="34">
    <w:p w:rsidR="00377B37" w:rsidRPr="00970CDA" w:rsidRDefault="00377B37" w:rsidP="007C1F9F">
      <w:pPr>
        <w:pStyle w:val="FootnoteText"/>
      </w:pPr>
      <w:r>
        <w:rPr>
          <w:rStyle w:val="FootnoteReference"/>
        </w:rPr>
        <w:footnoteRef/>
      </w:r>
      <w:r>
        <w:t xml:space="preserve"> </w:t>
      </w:r>
      <w:r>
        <w:tab/>
        <w:t xml:space="preserve">APA GasNet, </w:t>
      </w:r>
      <w:r>
        <w:rPr>
          <w:rStyle w:val="AERtextitalic"/>
        </w:rPr>
        <w:t xml:space="preserve">Access arrangement submission, </w:t>
      </w:r>
      <w:r w:rsidRPr="00970CDA">
        <w:t>March 2012, p. 121.</w:t>
      </w:r>
    </w:p>
  </w:footnote>
  <w:footnote w:id="35">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Access arrangement submission, </w:t>
      </w:r>
      <w:r w:rsidRPr="00970CDA">
        <w:t>March 2012, p. 121.</w:t>
      </w:r>
    </w:p>
  </w:footnote>
  <w:footnote w:id="36">
    <w:p w:rsidR="00377B37" w:rsidRDefault="00377B37" w:rsidP="007C1F9F">
      <w:pPr>
        <w:pStyle w:val="FootnoteText"/>
      </w:pPr>
      <w:r>
        <w:rPr>
          <w:rStyle w:val="FootnoteReference"/>
        </w:rPr>
        <w:footnoteRef/>
      </w:r>
      <w:r>
        <w:t xml:space="preserve"> </w:t>
      </w:r>
      <w:r>
        <w:tab/>
        <w:t xml:space="preserve">APA GasNet, </w:t>
      </w:r>
      <w:r>
        <w:rPr>
          <w:i/>
        </w:rPr>
        <w:t xml:space="preserve">Access arrangement </w:t>
      </w:r>
      <w:r w:rsidRPr="00AB1416">
        <w:rPr>
          <w:rStyle w:val="AERtextitalic"/>
        </w:rPr>
        <w:t>submission</w:t>
      </w:r>
      <w:r>
        <w:rPr>
          <w:i/>
        </w:rPr>
        <w:t>,</w:t>
      </w:r>
      <w:r>
        <w:t xml:space="preserve"> March 2012, p. 125.</w:t>
      </w:r>
    </w:p>
  </w:footnote>
  <w:footnote w:id="37">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Roll forward model, </w:t>
      </w:r>
      <w:r w:rsidRPr="00970CDA">
        <w:t>March 2012</w:t>
      </w:r>
      <w:r>
        <w:t>.</w:t>
      </w:r>
    </w:p>
  </w:footnote>
  <w:footnote w:id="38">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Response to information request No. 3 follow-up, </w:t>
      </w:r>
      <w:r w:rsidRPr="00217DC6">
        <w:rPr>
          <w:rStyle w:val="AERtextitalic"/>
          <w:i w:val="0"/>
        </w:rPr>
        <w:t>19 June 2012, p.</w:t>
      </w:r>
      <w:r>
        <w:rPr>
          <w:rStyle w:val="AERtextitalic"/>
        </w:rPr>
        <w:t xml:space="preserve"> </w:t>
      </w:r>
      <w:r w:rsidRPr="00217DC6">
        <w:rPr>
          <w:rStyle w:val="AERtextitalic"/>
          <w:i w:val="0"/>
        </w:rPr>
        <w:t>1</w:t>
      </w:r>
      <w:r w:rsidRPr="00742763">
        <w:t>.</w:t>
      </w:r>
    </w:p>
  </w:footnote>
  <w:footnote w:id="39">
    <w:p w:rsidR="00377B37" w:rsidRDefault="00377B37" w:rsidP="007C1F9F">
      <w:pPr>
        <w:pStyle w:val="FootnoteText"/>
      </w:pPr>
      <w:r>
        <w:rPr>
          <w:rStyle w:val="FootnoteReference"/>
        </w:rPr>
        <w:footnoteRef/>
      </w:r>
      <w:r>
        <w:t xml:space="preserve"> </w:t>
      </w:r>
      <w:r>
        <w:tab/>
        <w:t xml:space="preserve">APA GasNet, </w:t>
      </w:r>
      <w:r w:rsidRPr="006303FF">
        <w:rPr>
          <w:rStyle w:val="AERtextitalic"/>
        </w:rPr>
        <w:t>Access arrangement submission</w:t>
      </w:r>
      <w:r>
        <w:t>, March 2012, p. 124.</w:t>
      </w:r>
    </w:p>
  </w:footnote>
  <w:footnote w:id="40">
    <w:p w:rsidR="00377B37" w:rsidRDefault="00377B37" w:rsidP="007C1F9F">
      <w:pPr>
        <w:pStyle w:val="FootnoteText"/>
      </w:pPr>
      <w:r>
        <w:rPr>
          <w:rStyle w:val="FootnoteReference"/>
        </w:rPr>
        <w:footnoteRef/>
      </w:r>
      <w:r>
        <w:t xml:space="preserve">  </w:t>
      </w:r>
      <w:r>
        <w:tab/>
        <w:t xml:space="preserve">APA GasNet, </w:t>
      </w:r>
      <w:r w:rsidRPr="006D5605">
        <w:rPr>
          <w:rStyle w:val="AERtextitalic"/>
        </w:rPr>
        <w:t>Access arrangement information</w:t>
      </w:r>
      <w:r>
        <w:t>, March 2012, p. 151.</w:t>
      </w:r>
    </w:p>
  </w:footnote>
  <w:footnote w:id="41">
    <w:p w:rsidR="00377B37" w:rsidRDefault="00377B37" w:rsidP="007C1F9F">
      <w:pPr>
        <w:pStyle w:val="FootnoteText"/>
      </w:pPr>
      <w:r>
        <w:rPr>
          <w:rStyle w:val="FootnoteReference"/>
        </w:rPr>
        <w:footnoteRef/>
      </w:r>
      <w:r>
        <w:t xml:space="preserve"> </w:t>
      </w:r>
      <w:r>
        <w:tab/>
        <w:t xml:space="preserve">APA GasNet, </w:t>
      </w:r>
      <w:r w:rsidRPr="00953C7D">
        <w:rPr>
          <w:rStyle w:val="AERtextitalic"/>
        </w:rPr>
        <w:t>Post tax revenue model</w:t>
      </w:r>
      <w:r>
        <w:t>, March 2012.</w:t>
      </w:r>
    </w:p>
  </w:footnote>
  <w:footnote w:id="42">
    <w:p w:rsidR="00377B37" w:rsidRDefault="00377B37" w:rsidP="007C1F9F">
      <w:pPr>
        <w:pStyle w:val="FootnoteText"/>
      </w:pPr>
      <w:r>
        <w:rPr>
          <w:rStyle w:val="FootnoteReference"/>
        </w:rPr>
        <w:footnoteRef/>
      </w:r>
      <w:r>
        <w:t xml:space="preserve"> </w:t>
      </w:r>
      <w:r>
        <w:tab/>
        <w:t xml:space="preserve">APA GasNet, </w:t>
      </w:r>
      <w:r w:rsidRPr="00612229">
        <w:rPr>
          <w:rStyle w:val="AERtextitalic"/>
        </w:rPr>
        <w:t>Access arrangement submission</w:t>
      </w:r>
      <w:r>
        <w:t>, March 2012, p. 127.</w:t>
      </w:r>
    </w:p>
  </w:footnote>
  <w:footnote w:id="43">
    <w:p w:rsidR="00377B37" w:rsidRDefault="00377B37" w:rsidP="007C1F9F">
      <w:pPr>
        <w:pStyle w:val="FootnoteText"/>
      </w:pPr>
      <w:r>
        <w:rPr>
          <w:rStyle w:val="FootnoteReference"/>
        </w:rPr>
        <w:footnoteRef/>
      </w:r>
      <w:r>
        <w:t xml:space="preserve"> </w:t>
      </w:r>
      <w:r>
        <w:tab/>
        <w:t xml:space="preserve">APA GasNet, </w:t>
      </w:r>
      <w:r w:rsidRPr="009E4BF2">
        <w:rPr>
          <w:rStyle w:val="AERtextitalic"/>
        </w:rPr>
        <w:t>Access arrangement revision proposal</w:t>
      </w:r>
      <w:r>
        <w:t>, March 2012, p. 8.</w:t>
      </w:r>
    </w:p>
  </w:footnote>
  <w:footnote w:id="44">
    <w:p w:rsidR="00377B37" w:rsidRDefault="00377B37" w:rsidP="007C1F9F">
      <w:pPr>
        <w:pStyle w:val="FootnoteText"/>
      </w:pPr>
      <w:r>
        <w:rPr>
          <w:rStyle w:val="FootnoteReference"/>
        </w:rPr>
        <w:footnoteRef/>
      </w:r>
      <w:r>
        <w:t xml:space="preserve"> </w:t>
      </w:r>
      <w:r>
        <w:tab/>
        <w:t>NGR, Schedule 1, clause 1(1)(a).</w:t>
      </w:r>
    </w:p>
  </w:footnote>
  <w:footnote w:id="45">
    <w:p w:rsidR="00377B37" w:rsidRDefault="00377B37" w:rsidP="007C1F9F">
      <w:pPr>
        <w:pStyle w:val="FootnoteText"/>
      </w:pPr>
      <w:r>
        <w:rPr>
          <w:rStyle w:val="FootnoteReference"/>
        </w:rPr>
        <w:footnoteRef/>
      </w:r>
      <w:r>
        <w:t xml:space="preserve"> </w:t>
      </w:r>
      <w:r>
        <w:tab/>
      </w:r>
      <w:r w:rsidRPr="000900BA">
        <w:rPr>
          <w:rFonts w:eastAsia="Calibri"/>
        </w:rPr>
        <w:t>NGR</w:t>
      </w:r>
      <w:r>
        <w:rPr>
          <w:rFonts w:eastAsia="Calibri"/>
        </w:rPr>
        <w:t>,</w:t>
      </w:r>
      <w:r w:rsidRPr="000900BA">
        <w:rPr>
          <w:rFonts w:eastAsia="Calibri"/>
        </w:rPr>
        <w:t xml:space="preserve"> Schedule 1</w:t>
      </w:r>
      <w:r>
        <w:rPr>
          <w:rFonts w:eastAsia="Calibri"/>
        </w:rPr>
        <w:t>, clause</w:t>
      </w:r>
      <w:r w:rsidRPr="000900BA">
        <w:rPr>
          <w:rFonts w:eastAsia="Calibri"/>
        </w:rPr>
        <w:t xml:space="preserve"> 3(2)(a)</w:t>
      </w:r>
      <w:r>
        <w:rPr>
          <w:rFonts w:eastAsia="Calibri"/>
        </w:rPr>
        <w:t>.</w:t>
      </w:r>
      <w:r w:rsidRPr="000900BA">
        <w:rPr>
          <w:rFonts w:eastAsia="Calibri"/>
        </w:rPr>
        <w:t xml:space="preserve"> </w:t>
      </w:r>
    </w:p>
  </w:footnote>
  <w:footnote w:id="46">
    <w:p w:rsidR="00377B37" w:rsidRDefault="00377B37" w:rsidP="007C1F9F">
      <w:pPr>
        <w:pStyle w:val="FootnoteText"/>
      </w:pPr>
      <w:r>
        <w:rPr>
          <w:rStyle w:val="FootnoteReference"/>
        </w:rPr>
        <w:footnoteRef/>
      </w:r>
      <w:r>
        <w:t xml:space="preserve"> </w:t>
      </w:r>
      <w:r>
        <w:tab/>
      </w:r>
      <w:r w:rsidRPr="00DB05B6">
        <w:rPr>
          <w:rFonts w:eastAsia="Calibri"/>
        </w:rPr>
        <w:t xml:space="preserve">AER, </w:t>
      </w:r>
      <w:r w:rsidRPr="00AF182D">
        <w:rPr>
          <w:rStyle w:val="AERtextitalic"/>
          <w:rFonts w:eastAsia="Calibri"/>
        </w:rPr>
        <w:t>Final decision: Jemena access arrangement</w:t>
      </w:r>
      <w:r w:rsidRPr="00DB05B6">
        <w:rPr>
          <w:rFonts w:eastAsia="Calibri"/>
        </w:rPr>
        <w:t xml:space="preserve">, June 2010; AER, </w:t>
      </w:r>
      <w:r w:rsidRPr="00AF182D">
        <w:rPr>
          <w:rStyle w:val="AERtextitalic"/>
          <w:rFonts w:eastAsia="Calibri"/>
        </w:rPr>
        <w:t>Fin</w:t>
      </w:r>
      <w:r w:rsidRPr="00AF182D">
        <w:rPr>
          <w:rStyle w:val="AERtextitalic"/>
        </w:rPr>
        <w:t xml:space="preserve">al decision: Country Energy Gas </w:t>
      </w:r>
      <w:r w:rsidRPr="00AF182D">
        <w:rPr>
          <w:rStyle w:val="AERtextitalic"/>
          <w:rFonts w:eastAsia="Calibri"/>
        </w:rPr>
        <w:t>access arrangement</w:t>
      </w:r>
      <w:r w:rsidRPr="00DB05B6">
        <w:rPr>
          <w:rFonts w:eastAsia="Calibri"/>
        </w:rPr>
        <w:t xml:space="preserve">, March 2010; AER, </w:t>
      </w:r>
      <w:r w:rsidRPr="00AF182D">
        <w:rPr>
          <w:rStyle w:val="AERtextitalic"/>
          <w:rFonts w:eastAsia="Calibri"/>
        </w:rPr>
        <w:t>Final decision: ActewAGL access arrangement</w:t>
      </w:r>
      <w:r w:rsidRPr="00DB05B6">
        <w:rPr>
          <w:rFonts w:eastAsia="Calibri"/>
        </w:rPr>
        <w:t xml:space="preserve">, March 2010; AER, </w:t>
      </w:r>
      <w:r w:rsidRPr="00AF182D">
        <w:rPr>
          <w:rStyle w:val="AERtextitalic"/>
          <w:rFonts w:eastAsia="Calibri"/>
        </w:rPr>
        <w:t>Final decision: Envestra arrangement proposal Qld</w:t>
      </w:r>
      <w:r w:rsidRPr="00DB05B6">
        <w:rPr>
          <w:rFonts w:eastAsia="Calibri"/>
        </w:rPr>
        <w:t xml:space="preserve">, June 2011; AER, </w:t>
      </w:r>
      <w:r w:rsidRPr="00AF182D">
        <w:rPr>
          <w:rStyle w:val="AERtextitalic"/>
          <w:rFonts w:eastAsia="Calibri"/>
        </w:rPr>
        <w:t>Final decision: Envestra Ltd access arrangement proposal for the SA gas network 2011–2016</w:t>
      </w:r>
      <w:r>
        <w:rPr>
          <w:rFonts w:eastAsia="Calibri"/>
        </w:rPr>
        <w:t>, June 2011 (</w:t>
      </w:r>
      <w:r w:rsidRPr="00DB05B6">
        <w:rPr>
          <w:rFonts w:eastAsia="Calibri"/>
        </w:rPr>
        <w:t xml:space="preserve">AER, </w:t>
      </w:r>
      <w:r w:rsidRPr="00AF182D">
        <w:rPr>
          <w:rStyle w:val="AERtextitalic"/>
          <w:rFonts w:eastAsia="Calibri"/>
        </w:rPr>
        <w:t>Final decision: Envestra access arrangement SA</w:t>
      </w:r>
      <w:r w:rsidRPr="00DB05B6">
        <w:rPr>
          <w:rFonts w:eastAsia="Calibri"/>
        </w:rPr>
        <w:t xml:space="preserve">, June 2011); AER, </w:t>
      </w:r>
      <w:r w:rsidRPr="00AF182D">
        <w:rPr>
          <w:rStyle w:val="AERtextitalic"/>
          <w:rFonts w:eastAsia="Calibri"/>
        </w:rPr>
        <w:t>Final decision: APT Allgas access arrangement</w:t>
      </w:r>
      <w:r w:rsidRPr="00DB05B6">
        <w:rPr>
          <w:rFonts w:eastAsia="Calibri"/>
        </w:rPr>
        <w:t xml:space="preserve">, June 2011; AER, </w:t>
      </w:r>
      <w:r w:rsidRPr="00AF182D">
        <w:rPr>
          <w:rStyle w:val="AERtextitalic"/>
          <w:rFonts w:eastAsia="Calibri"/>
        </w:rPr>
        <w:t>Final decision: NT Gas access arrangement</w:t>
      </w:r>
      <w:r w:rsidRPr="00DB05B6">
        <w:rPr>
          <w:rFonts w:eastAsia="Calibri"/>
        </w:rPr>
        <w:t xml:space="preserve">, July 2011. AER, </w:t>
      </w:r>
      <w:r w:rsidRPr="00AF182D">
        <w:rPr>
          <w:rStyle w:val="AERtextitalic"/>
          <w:rFonts w:eastAsia="Calibri"/>
        </w:rPr>
        <w:t>Final decision: Roma to Brisbane Pipeline 2012–13 to 2016</w:t>
      </w:r>
      <w:r>
        <w:rPr>
          <w:rStyle w:val="AERtextitalic"/>
          <w:rFonts w:eastAsia="Calibri"/>
        </w:rPr>
        <w:t>–</w:t>
      </w:r>
      <w:r w:rsidRPr="00AF182D">
        <w:rPr>
          <w:rStyle w:val="AERtextitalic"/>
          <w:rFonts w:eastAsia="Calibri"/>
        </w:rPr>
        <w:t>17</w:t>
      </w:r>
      <w:r w:rsidRPr="00DB05B6">
        <w:rPr>
          <w:rFonts w:eastAsia="Calibri"/>
        </w:rPr>
        <w:t>, April 2012</w:t>
      </w:r>
      <w:r>
        <w:rPr>
          <w:rFonts w:eastAsia="Calibri"/>
        </w:rPr>
        <w:t>.</w:t>
      </w:r>
    </w:p>
  </w:footnote>
  <w:footnote w:id="47">
    <w:p w:rsidR="00377B37" w:rsidRDefault="00377B37" w:rsidP="007C1F9F">
      <w:pPr>
        <w:pStyle w:val="FootnoteText"/>
      </w:pPr>
      <w:r>
        <w:rPr>
          <w:rStyle w:val="FootnoteReference"/>
        </w:rPr>
        <w:footnoteRef/>
      </w:r>
      <w:r>
        <w:t xml:space="preserve"> </w:t>
      </w:r>
      <w:r>
        <w:tab/>
      </w:r>
      <w:r w:rsidRPr="005819F1">
        <w:rPr>
          <w:rFonts w:eastAsia="Calibri"/>
        </w:rPr>
        <w:t>NGR</w:t>
      </w:r>
      <w:r>
        <w:rPr>
          <w:rFonts w:eastAsia="Calibri"/>
        </w:rPr>
        <w:t>,</w:t>
      </w:r>
      <w:r w:rsidRPr="005819F1">
        <w:rPr>
          <w:rFonts w:eastAsia="Calibri"/>
        </w:rPr>
        <w:t xml:space="preserve"> r. 77(2)</w:t>
      </w:r>
      <w:r>
        <w:rPr>
          <w:rFonts w:eastAsia="Calibri"/>
        </w:rPr>
        <w:t>.</w:t>
      </w:r>
    </w:p>
  </w:footnote>
  <w:footnote w:id="48">
    <w:p w:rsidR="00377B37" w:rsidRDefault="00377B37" w:rsidP="007C1F9F">
      <w:pPr>
        <w:pStyle w:val="FootnoteText"/>
      </w:pPr>
      <w:r>
        <w:rPr>
          <w:rStyle w:val="FootnoteReference"/>
        </w:rPr>
        <w:footnoteRef/>
      </w:r>
      <w:r>
        <w:t xml:space="preserve"> </w:t>
      </w:r>
      <w:r>
        <w:tab/>
      </w:r>
      <w:r w:rsidRPr="008C7C1B">
        <w:rPr>
          <w:rFonts w:eastAsia="Calibri"/>
        </w:rPr>
        <w:t>NGR</w:t>
      </w:r>
      <w:r>
        <w:rPr>
          <w:rFonts w:eastAsia="Calibri"/>
        </w:rPr>
        <w:t>,</w:t>
      </w:r>
      <w:r w:rsidRPr="008C7C1B">
        <w:rPr>
          <w:rFonts w:eastAsia="Calibri"/>
        </w:rPr>
        <w:t xml:space="preserve"> r. 78</w:t>
      </w:r>
      <w:r>
        <w:rPr>
          <w:rFonts w:eastAsia="Calibri"/>
        </w:rPr>
        <w:t>.</w:t>
      </w:r>
    </w:p>
  </w:footnote>
  <w:footnote w:id="49">
    <w:p w:rsidR="00377B37" w:rsidRDefault="00377B37" w:rsidP="007C1F9F">
      <w:pPr>
        <w:pStyle w:val="FootnoteText"/>
      </w:pPr>
      <w:r>
        <w:rPr>
          <w:rStyle w:val="FootnoteReference"/>
        </w:rPr>
        <w:footnoteRef/>
      </w:r>
      <w:r>
        <w:t xml:space="preserve"> </w:t>
      </w:r>
      <w:r>
        <w:tab/>
        <w:t xml:space="preserve">GasNet Australia, </w:t>
      </w:r>
      <w:r w:rsidRPr="00846685">
        <w:rPr>
          <w:rStyle w:val="AERtextitalic"/>
        </w:rPr>
        <w:t>Access arrangement</w:t>
      </w:r>
      <w:r>
        <w:t xml:space="preserve">, December 2003, p. 43.  </w:t>
      </w:r>
    </w:p>
  </w:footnote>
  <w:footnote w:id="50">
    <w:p w:rsidR="00377B37" w:rsidRDefault="00377B37" w:rsidP="007C1F9F">
      <w:pPr>
        <w:pStyle w:val="FootnoteText"/>
      </w:pPr>
      <w:r>
        <w:rPr>
          <w:rStyle w:val="FootnoteReference"/>
        </w:rPr>
        <w:footnoteRef/>
      </w:r>
      <w:r>
        <w:t xml:space="preserve"> </w:t>
      </w:r>
      <w:r>
        <w:tab/>
        <w:t xml:space="preserve">APA Group, </w:t>
      </w:r>
      <w:r w:rsidRPr="00EE66D0">
        <w:rPr>
          <w:rStyle w:val="AERtextitalic"/>
        </w:rPr>
        <w:t xml:space="preserve">GasNet Australia </w:t>
      </w:r>
      <w:r>
        <w:rPr>
          <w:rStyle w:val="AERtextitalic"/>
        </w:rPr>
        <w:t>a</w:t>
      </w:r>
      <w:r w:rsidRPr="00EE66D0">
        <w:rPr>
          <w:rStyle w:val="AERtextitalic"/>
        </w:rPr>
        <w:t>ccess arrangement</w:t>
      </w:r>
      <w:r>
        <w:t>, January 2008, p. 35.</w:t>
      </w:r>
    </w:p>
  </w:footnote>
  <w:footnote w:id="51">
    <w:p w:rsidR="00377B37" w:rsidRDefault="00377B37" w:rsidP="007C1F9F">
      <w:pPr>
        <w:pStyle w:val="FootnoteText"/>
      </w:pPr>
      <w:r>
        <w:rPr>
          <w:rStyle w:val="FootnoteReference"/>
        </w:rPr>
        <w:footnoteRef/>
      </w:r>
      <w:r>
        <w:t xml:space="preserve"> </w:t>
      </w:r>
      <w:r>
        <w:tab/>
        <w:t>APA GasNet's RFM included the correct actual inflation inputs for 2008–11 (with an estimate for 2012). These were calculated as the annual change in December–December CPI. The AER's final decision will update the RFM for the actual inflation input for 2012.</w:t>
      </w:r>
    </w:p>
  </w:footnote>
  <w:footnote w:id="52">
    <w:p w:rsidR="00377B37" w:rsidRDefault="00377B37" w:rsidP="007C1F9F">
      <w:pPr>
        <w:pStyle w:val="FootnoteText"/>
      </w:pPr>
      <w:r>
        <w:rPr>
          <w:rStyle w:val="FootnoteReference"/>
        </w:rPr>
        <w:footnoteRef/>
      </w:r>
      <w:r>
        <w:t xml:space="preserve"> </w:t>
      </w:r>
      <w:r>
        <w:tab/>
        <w:t>NGR, r. 77(2).</w:t>
      </w:r>
    </w:p>
  </w:footnote>
  <w:footnote w:id="53">
    <w:p w:rsidR="00377B37" w:rsidRDefault="00377B37" w:rsidP="007C1F9F">
      <w:pPr>
        <w:pStyle w:val="FootnoteText"/>
      </w:pPr>
      <w:r>
        <w:rPr>
          <w:rStyle w:val="FootnoteReference"/>
        </w:rPr>
        <w:footnoteRef/>
      </w:r>
      <w:r>
        <w:t xml:space="preserve"> </w:t>
      </w:r>
      <w:r>
        <w:tab/>
        <w:t>NGR, r. 77(2)(a).</w:t>
      </w:r>
    </w:p>
  </w:footnote>
  <w:footnote w:id="54">
    <w:p w:rsidR="00377B37" w:rsidRDefault="00377B37" w:rsidP="007C1F9F">
      <w:pPr>
        <w:pStyle w:val="FootnoteText"/>
      </w:pPr>
      <w:r>
        <w:rPr>
          <w:rStyle w:val="FootnoteReference"/>
        </w:rPr>
        <w:footnoteRef/>
      </w:r>
      <w:r>
        <w:t xml:space="preserve"> </w:t>
      </w:r>
      <w:r>
        <w:tab/>
        <w:t xml:space="preserve">APA GasNet, </w:t>
      </w:r>
      <w:r w:rsidRPr="00EE66D0">
        <w:rPr>
          <w:rStyle w:val="AERtextitalic"/>
        </w:rPr>
        <w:t>Response to AER information request 7</w:t>
      </w:r>
      <w:r>
        <w:t>, 6 June 2012.</w:t>
      </w:r>
    </w:p>
  </w:footnote>
  <w:footnote w:id="55">
    <w:p w:rsidR="00377B37" w:rsidRDefault="00377B37" w:rsidP="007C1F9F">
      <w:pPr>
        <w:pStyle w:val="FootnoteText"/>
      </w:pPr>
      <w:r>
        <w:rPr>
          <w:rStyle w:val="FootnoteReference"/>
        </w:rPr>
        <w:footnoteRef/>
      </w:r>
      <w:r>
        <w:t xml:space="preserve"> </w:t>
      </w:r>
      <w:r>
        <w:tab/>
        <w:t xml:space="preserve">APA GasNet, </w:t>
      </w:r>
      <w:r w:rsidRPr="00EE66D0">
        <w:rPr>
          <w:rStyle w:val="AERtextitalic"/>
        </w:rPr>
        <w:t>Proposed RFM</w:t>
      </w:r>
      <w:r>
        <w:t xml:space="preserve">, March 2012; APA GasNet, </w:t>
      </w:r>
      <w:r w:rsidRPr="00EE66D0">
        <w:rPr>
          <w:rStyle w:val="AERtextitalic"/>
        </w:rPr>
        <w:t>Response to AER information request 7</w:t>
      </w:r>
      <w:r>
        <w:t>, 6 June 2012.</w:t>
      </w:r>
    </w:p>
  </w:footnote>
  <w:footnote w:id="56">
    <w:p w:rsidR="00377B37" w:rsidRDefault="00377B37" w:rsidP="007C1F9F">
      <w:pPr>
        <w:pStyle w:val="FootnoteText"/>
      </w:pPr>
      <w:r>
        <w:rPr>
          <w:rStyle w:val="FootnoteReference"/>
        </w:rPr>
        <w:footnoteRef/>
      </w:r>
      <w:r>
        <w:t xml:space="preserve"> </w:t>
      </w:r>
      <w:r>
        <w:tab/>
        <w:t>The adjustment for any benefit or penalty associated with differences between actual and estimated values is intended to provide a neutral incentive to the estimation process so it removes the incentive to overestimate or underestimate the amount of capex for the final year of the access arrangement period.</w:t>
      </w:r>
    </w:p>
  </w:footnote>
  <w:footnote w:id="57">
    <w:p w:rsidR="00377B37" w:rsidRDefault="00377B37" w:rsidP="007C1F9F">
      <w:pPr>
        <w:pStyle w:val="FootnoteText"/>
      </w:pPr>
      <w:r>
        <w:rPr>
          <w:rStyle w:val="FootnoteReference"/>
        </w:rPr>
        <w:footnoteRef/>
      </w:r>
      <w:r>
        <w:t xml:space="preserve"> </w:t>
      </w:r>
      <w:r>
        <w:tab/>
        <w:t>Australian Competition Tribunal, Application by Jemena Gas Networks (NSW) Ltd (No 3) [2011] ACompT6, 25 February 2011.</w:t>
      </w:r>
    </w:p>
  </w:footnote>
  <w:footnote w:id="58">
    <w:p w:rsidR="00377B37" w:rsidRDefault="00377B37" w:rsidP="007C1F9F">
      <w:pPr>
        <w:pStyle w:val="FootnoteText"/>
      </w:pPr>
      <w:r>
        <w:rPr>
          <w:rStyle w:val="FootnoteReference"/>
        </w:rPr>
        <w:footnoteRef/>
      </w:r>
      <w:r>
        <w:t xml:space="preserve"> </w:t>
      </w:r>
      <w:r>
        <w:tab/>
        <w:t xml:space="preserve">Specifically, APA GasNet disposed of $87,000 of capex from the general building asset class in 2010. APA GasNet, </w:t>
      </w:r>
      <w:r w:rsidRPr="009B71F8">
        <w:rPr>
          <w:rStyle w:val="AERtextitalic"/>
        </w:rPr>
        <w:t>Response to AER information request 3</w:t>
      </w:r>
      <w:r w:rsidRPr="00F60284">
        <w:rPr>
          <w:rStyle w:val="AERtextitalic"/>
        </w:rPr>
        <w:t>—</w:t>
      </w:r>
      <w:r>
        <w:rPr>
          <w:rStyle w:val="AERtextitalic"/>
        </w:rPr>
        <w:t>Follow up number 1</w:t>
      </w:r>
      <w:r>
        <w:t>, 19 June 2012.</w:t>
      </w:r>
    </w:p>
  </w:footnote>
  <w:footnote w:id="59">
    <w:p w:rsidR="00377B37" w:rsidRDefault="00377B37" w:rsidP="007C1F9F">
      <w:pPr>
        <w:pStyle w:val="FootnoteText"/>
      </w:pPr>
      <w:r>
        <w:rPr>
          <w:rStyle w:val="FootnoteReference"/>
        </w:rPr>
        <w:footnoteRef/>
      </w:r>
      <w:r>
        <w:t xml:space="preserve"> </w:t>
      </w:r>
      <w:r>
        <w:tab/>
        <w:t xml:space="preserve">APA GasNet, </w:t>
      </w:r>
      <w:r w:rsidRPr="009B71F8">
        <w:rPr>
          <w:rStyle w:val="AERtextitalic"/>
        </w:rPr>
        <w:t>Response to AER information request 3</w:t>
      </w:r>
      <w:r w:rsidRPr="00F60284">
        <w:rPr>
          <w:rStyle w:val="AERtextitalic"/>
        </w:rPr>
        <w:t>—</w:t>
      </w:r>
      <w:r w:rsidRPr="009B71F8">
        <w:rPr>
          <w:rStyle w:val="AERtextitalic"/>
        </w:rPr>
        <w:t>Follow up number 3</w:t>
      </w:r>
      <w:r>
        <w:t>, 2 July 2012.</w:t>
      </w:r>
    </w:p>
  </w:footnote>
  <w:footnote w:id="60">
    <w:p w:rsidR="00377B37" w:rsidRDefault="00377B37" w:rsidP="007C1F9F">
      <w:pPr>
        <w:pStyle w:val="FootnoteText"/>
      </w:pPr>
      <w:r>
        <w:rPr>
          <w:rStyle w:val="FootnoteReference"/>
        </w:rPr>
        <w:footnoteRef/>
      </w:r>
      <w:r>
        <w:t xml:space="preserve"> </w:t>
      </w:r>
      <w:r>
        <w:tab/>
        <w:t xml:space="preserve">APA GasNet, </w:t>
      </w:r>
      <w:r w:rsidRPr="009B71F8">
        <w:rPr>
          <w:rStyle w:val="AERtextitalic"/>
        </w:rPr>
        <w:t>Response to AER information request</w:t>
      </w:r>
      <w:r w:rsidRPr="00F60284">
        <w:rPr>
          <w:rStyle w:val="AERtextitalic"/>
        </w:rPr>
        <w:t>—</w:t>
      </w:r>
      <w:r>
        <w:rPr>
          <w:rStyle w:val="AERtextitalic"/>
        </w:rPr>
        <w:t>revised models</w:t>
      </w:r>
      <w:r>
        <w:t>, 9 July 2012.</w:t>
      </w:r>
    </w:p>
  </w:footnote>
  <w:footnote w:id="61">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Access arrangement submission, </w:t>
      </w:r>
      <w:r w:rsidRPr="00970CDA">
        <w:t>March 2012, p. 121.</w:t>
      </w:r>
    </w:p>
  </w:footnote>
  <w:footnote w:id="62">
    <w:p w:rsidR="00377B37" w:rsidRDefault="00377B37" w:rsidP="007C1F9F">
      <w:pPr>
        <w:pStyle w:val="FootnoteText"/>
      </w:pPr>
      <w:r>
        <w:rPr>
          <w:rStyle w:val="FootnoteReference"/>
        </w:rPr>
        <w:footnoteRef/>
      </w:r>
      <w:r>
        <w:t xml:space="preserve"> </w:t>
      </w:r>
      <w:r>
        <w:tab/>
      </w:r>
      <w:r>
        <w:rPr>
          <w:rFonts w:eastAsia="Calibri"/>
        </w:rPr>
        <w:t xml:space="preserve">For example, </w:t>
      </w:r>
      <w:r w:rsidRPr="00370A36">
        <w:rPr>
          <w:rFonts w:eastAsia="Calibri"/>
        </w:rPr>
        <w:t xml:space="preserve">AER, </w:t>
      </w:r>
      <w:r w:rsidRPr="00370A36">
        <w:rPr>
          <w:rStyle w:val="AERtextitalic"/>
          <w:rFonts w:eastAsia="Calibri"/>
        </w:rPr>
        <w:t>Final decision: Jemena access arrangement proposal</w:t>
      </w:r>
      <w:r w:rsidRPr="00370A36">
        <w:rPr>
          <w:rFonts w:eastAsia="Calibri"/>
        </w:rPr>
        <w:t xml:space="preserve">, June 2010, p. 92; AER, Final decision: APT Allgas access arrangement, June 2011, p. 13; AER, </w:t>
      </w:r>
      <w:r w:rsidRPr="00370A36">
        <w:rPr>
          <w:rStyle w:val="AERtextitalic"/>
          <w:rFonts w:eastAsia="Calibri"/>
        </w:rPr>
        <w:t>Final decision: Envestra access arrangement Qld</w:t>
      </w:r>
      <w:r w:rsidRPr="00370A36">
        <w:rPr>
          <w:rFonts w:eastAsia="Calibri"/>
        </w:rPr>
        <w:t>, June 2011, p.</w:t>
      </w:r>
      <w:r>
        <w:rPr>
          <w:rFonts w:eastAsia="Calibri"/>
        </w:rPr>
        <w:t xml:space="preserve"> </w:t>
      </w:r>
      <w:r w:rsidRPr="00370A36">
        <w:rPr>
          <w:rFonts w:eastAsia="Calibri"/>
        </w:rPr>
        <w:t xml:space="preserve">25; AER, </w:t>
      </w:r>
      <w:r w:rsidRPr="00370A36">
        <w:rPr>
          <w:rStyle w:val="AERtextitalic"/>
          <w:rFonts w:eastAsia="Calibri"/>
        </w:rPr>
        <w:t>Final decision: Envestra access arrangement SA</w:t>
      </w:r>
      <w:r w:rsidRPr="00370A36">
        <w:rPr>
          <w:rFonts w:eastAsia="Calibri"/>
        </w:rPr>
        <w:t>, June 2011, p. 28.</w:t>
      </w:r>
    </w:p>
  </w:footnote>
  <w:footnote w:id="63">
    <w:p w:rsidR="00377B37" w:rsidRDefault="00377B37" w:rsidP="007C1F9F">
      <w:pPr>
        <w:pStyle w:val="FootnoteText"/>
      </w:pPr>
      <w:r>
        <w:rPr>
          <w:rStyle w:val="FootnoteReference"/>
        </w:rPr>
        <w:footnoteRef/>
      </w:r>
      <w:r>
        <w:t xml:space="preserve"> </w:t>
      </w:r>
      <w:r>
        <w:tab/>
        <w:t xml:space="preserve">NGR, </w:t>
      </w:r>
      <w:r w:rsidRPr="00051222">
        <w:rPr>
          <w:rFonts w:eastAsia="Calibri"/>
        </w:rPr>
        <w:t>r. 77(2)(d)</w:t>
      </w:r>
      <w:r>
        <w:rPr>
          <w:rFonts w:eastAsia="Calibri"/>
        </w:rPr>
        <w:t>.</w:t>
      </w:r>
    </w:p>
  </w:footnote>
  <w:footnote w:id="64">
    <w:p w:rsidR="00377B37" w:rsidRDefault="00377B37" w:rsidP="007C1F9F">
      <w:pPr>
        <w:pStyle w:val="FootnoteText"/>
      </w:pPr>
      <w:r>
        <w:rPr>
          <w:rStyle w:val="FootnoteReference"/>
        </w:rPr>
        <w:footnoteRef/>
      </w:r>
      <w:r>
        <w:t xml:space="preserve"> </w:t>
      </w:r>
      <w:r>
        <w:tab/>
        <w:t xml:space="preserve">ACCC, </w:t>
      </w:r>
      <w:r>
        <w:rPr>
          <w:rStyle w:val="AERtextitalic"/>
        </w:rPr>
        <w:t xml:space="preserve">Final decision: </w:t>
      </w:r>
      <w:r w:rsidRPr="004252EA">
        <w:rPr>
          <w:rStyle w:val="AERtextitalic"/>
        </w:rPr>
        <w:t>Revised access arrangement</w:t>
      </w:r>
      <w:r>
        <w:rPr>
          <w:rStyle w:val="AERtextitalic"/>
        </w:rPr>
        <w:t xml:space="preserve"> </w:t>
      </w:r>
      <w:r w:rsidRPr="004252EA">
        <w:rPr>
          <w:rStyle w:val="AERtextitalic"/>
        </w:rPr>
        <w:t>by GasNet Australia (Operations)</w:t>
      </w:r>
      <w:r>
        <w:rPr>
          <w:rStyle w:val="AERtextitalic"/>
        </w:rPr>
        <w:t xml:space="preserve"> </w:t>
      </w:r>
      <w:r w:rsidRPr="004252EA">
        <w:rPr>
          <w:rStyle w:val="AERtextitalic"/>
        </w:rPr>
        <w:t>Pty Ltd and GasNet (NSW) Pty Ltd</w:t>
      </w:r>
      <w:r>
        <w:rPr>
          <w:rStyle w:val="AERtextitalic"/>
        </w:rPr>
        <w:t xml:space="preserve"> </w:t>
      </w:r>
      <w:r w:rsidRPr="004252EA">
        <w:rPr>
          <w:rStyle w:val="AERtextitalic"/>
        </w:rPr>
        <w:t>for the</w:t>
      </w:r>
      <w:r>
        <w:rPr>
          <w:rStyle w:val="AERtextitalic"/>
        </w:rPr>
        <w:t xml:space="preserve"> </w:t>
      </w:r>
      <w:r w:rsidRPr="004252EA">
        <w:rPr>
          <w:rStyle w:val="AERtextitalic"/>
        </w:rPr>
        <w:t>Principal Transmission System</w:t>
      </w:r>
      <w:r>
        <w:t xml:space="preserve">, April 2008, p. 57. (ACCC, </w:t>
      </w:r>
      <w:r w:rsidRPr="004252EA">
        <w:rPr>
          <w:rStyle w:val="AERtextitalic"/>
        </w:rPr>
        <w:t>Final decision</w:t>
      </w:r>
      <w:r>
        <w:t>, April 2008).</w:t>
      </w:r>
    </w:p>
  </w:footnote>
  <w:footnote w:id="65">
    <w:p w:rsidR="00377B37" w:rsidRDefault="00377B37" w:rsidP="007C1F9F">
      <w:pPr>
        <w:pStyle w:val="FootnoteText"/>
      </w:pPr>
      <w:r>
        <w:rPr>
          <w:rStyle w:val="FootnoteReference"/>
        </w:rPr>
        <w:footnoteRef/>
      </w:r>
      <w:r>
        <w:t xml:space="preserve"> </w:t>
      </w:r>
      <w:r>
        <w:tab/>
        <w:t xml:space="preserve">NGR, </w:t>
      </w:r>
      <w:r w:rsidRPr="00097005">
        <w:t>r. 79(2)</w:t>
      </w:r>
      <w:r>
        <w:t>.</w:t>
      </w:r>
    </w:p>
  </w:footnote>
  <w:footnote w:id="66">
    <w:p w:rsidR="00377B37" w:rsidRDefault="00377B37" w:rsidP="007C1F9F">
      <w:pPr>
        <w:pStyle w:val="FootnoteText"/>
      </w:pPr>
      <w:r>
        <w:rPr>
          <w:rStyle w:val="FootnoteReference"/>
        </w:rPr>
        <w:footnoteRef/>
      </w:r>
      <w:r>
        <w:t xml:space="preserve"> </w:t>
      </w:r>
      <w:r>
        <w:tab/>
        <w:t xml:space="preserve">For example, see AER, </w:t>
      </w:r>
      <w:r w:rsidRPr="00BB056A">
        <w:rPr>
          <w:rStyle w:val="AERtextitalic"/>
        </w:rPr>
        <w:t>Draft Decision: Powerlink Queensland transmission network revenue cap 2007–08 to 2011–12</w:t>
      </w:r>
      <w:r>
        <w:t>, December 2006, pp. 23–25, 17.</w:t>
      </w:r>
    </w:p>
  </w:footnote>
  <w:footnote w:id="67">
    <w:p w:rsidR="00377B37" w:rsidRDefault="00377B37" w:rsidP="007C1F9F">
      <w:pPr>
        <w:pStyle w:val="FootnoteText"/>
      </w:pPr>
      <w:r>
        <w:rPr>
          <w:rStyle w:val="FootnoteReference"/>
        </w:rPr>
        <w:footnoteRef/>
      </w:r>
      <w:r>
        <w:t xml:space="preserve"> </w:t>
      </w:r>
      <w:r>
        <w:tab/>
        <w:t xml:space="preserve">NGR, </w:t>
      </w:r>
      <w:r w:rsidRPr="00051222">
        <w:rPr>
          <w:rFonts w:eastAsia="Calibri"/>
        </w:rPr>
        <w:t>r. 77(2</w:t>
      </w:r>
      <w:r>
        <w:rPr>
          <w:rFonts w:eastAsia="Calibri"/>
        </w:rPr>
        <w:t>).</w:t>
      </w:r>
    </w:p>
  </w:footnote>
  <w:footnote w:id="68">
    <w:p w:rsidR="00377B37" w:rsidRDefault="00377B37" w:rsidP="007C1F9F">
      <w:pPr>
        <w:pStyle w:val="FootnoteText"/>
      </w:pPr>
      <w:r>
        <w:rPr>
          <w:rStyle w:val="FootnoteReference"/>
        </w:rPr>
        <w:footnoteRef/>
      </w:r>
      <w:r>
        <w:t xml:space="preserve"> </w:t>
      </w:r>
      <w:r>
        <w:tab/>
      </w:r>
      <w:r w:rsidRPr="005B72D2">
        <w:rPr>
          <w:rFonts w:eastAsia="Calibri"/>
        </w:rPr>
        <w:t xml:space="preserve">AER, </w:t>
      </w:r>
      <w:r w:rsidRPr="005B72D2">
        <w:rPr>
          <w:rStyle w:val="AERtextitalic"/>
          <w:rFonts w:eastAsia="Calibri"/>
        </w:rPr>
        <w:t>Final decision: Jemena access arrangement proposal</w:t>
      </w:r>
      <w:r w:rsidRPr="005B72D2">
        <w:rPr>
          <w:rFonts w:eastAsia="Calibri"/>
        </w:rPr>
        <w:t xml:space="preserve">, June 2010, p. 92; AER, </w:t>
      </w:r>
      <w:r w:rsidRPr="005B72D2">
        <w:rPr>
          <w:rStyle w:val="AERtextitalic"/>
          <w:rFonts w:eastAsia="Calibri"/>
        </w:rPr>
        <w:t>Final decision: APT Allgas access arrangement</w:t>
      </w:r>
      <w:r w:rsidRPr="005B72D2">
        <w:rPr>
          <w:rFonts w:eastAsia="Calibri"/>
        </w:rPr>
        <w:t xml:space="preserve">, June 2011, p. 13; AER, </w:t>
      </w:r>
      <w:r w:rsidRPr="005B72D2">
        <w:rPr>
          <w:rStyle w:val="AERtextitalic"/>
          <w:rFonts w:eastAsia="Calibri"/>
        </w:rPr>
        <w:t>Final decision: Envestra access arrangement Qld</w:t>
      </w:r>
      <w:r w:rsidRPr="005B72D2">
        <w:rPr>
          <w:rFonts w:eastAsia="Calibri"/>
        </w:rPr>
        <w:t xml:space="preserve">, June 2011, p. 25; AER, </w:t>
      </w:r>
      <w:r w:rsidRPr="005B72D2">
        <w:rPr>
          <w:rStyle w:val="AERtextitalic"/>
          <w:rFonts w:eastAsia="Calibri"/>
        </w:rPr>
        <w:t>Final decision: Envestra access arrangement SA</w:t>
      </w:r>
      <w:r w:rsidRPr="005B72D2">
        <w:rPr>
          <w:rFonts w:eastAsia="Calibri"/>
        </w:rPr>
        <w:t>, June 2011, p. 28.</w:t>
      </w:r>
    </w:p>
  </w:footnote>
  <w:footnote w:id="69">
    <w:p w:rsidR="00377B37" w:rsidRDefault="00377B37" w:rsidP="007C1F9F">
      <w:pPr>
        <w:pStyle w:val="FootnoteText"/>
        <w:ind w:left="0" w:firstLine="0"/>
      </w:pPr>
      <w:r>
        <w:rPr>
          <w:rStyle w:val="FootnoteReference"/>
        </w:rPr>
        <w:footnoteRef/>
      </w:r>
      <w:r>
        <w:t xml:space="preserve"> </w:t>
      </w:r>
      <w:r>
        <w:tab/>
        <w:t xml:space="preserve">APA GasNet, </w:t>
      </w:r>
      <w:r w:rsidRPr="00630DB1">
        <w:rPr>
          <w:rStyle w:val="AERtextitalic"/>
        </w:rPr>
        <w:t>Access arrangement submission</w:t>
      </w:r>
      <w:r>
        <w:t>, March 2012, p. 124.</w:t>
      </w:r>
    </w:p>
  </w:footnote>
  <w:footnote w:id="70">
    <w:p w:rsidR="00377B37" w:rsidRDefault="00377B37" w:rsidP="007C1F9F">
      <w:pPr>
        <w:pStyle w:val="FootnoteText"/>
      </w:pPr>
      <w:r>
        <w:rPr>
          <w:rStyle w:val="FootnoteReference"/>
        </w:rPr>
        <w:footnoteRef/>
      </w:r>
      <w:r>
        <w:t xml:space="preserve"> </w:t>
      </w:r>
      <w:r>
        <w:tab/>
        <w:t xml:space="preserve">AER, </w:t>
      </w:r>
      <w:r w:rsidRPr="007814EE">
        <w:rPr>
          <w:rStyle w:val="AERtextitalic"/>
        </w:rPr>
        <w:t>Final access arrangement guideline</w:t>
      </w:r>
      <w:r>
        <w:t>, March 2009, pp. 65</w:t>
      </w:r>
      <w:r>
        <w:rPr>
          <w:rFonts w:cs="Gautami"/>
        </w:rPr>
        <w:t>–</w:t>
      </w:r>
      <w:r>
        <w:t>66.</w:t>
      </w:r>
    </w:p>
  </w:footnote>
  <w:footnote w:id="71">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73.</w:t>
      </w:r>
    </w:p>
  </w:footnote>
  <w:footnote w:id="72">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73. </w:t>
      </w:r>
    </w:p>
  </w:footnote>
  <w:footnote w:id="73">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74.</w:t>
      </w:r>
    </w:p>
  </w:footnote>
  <w:footnote w:id="74">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Response to AER information request 3, Part 2, </w:t>
      </w:r>
      <w:r w:rsidRPr="00CE7B4B">
        <w:rPr>
          <w:rStyle w:val="AERtextitalic"/>
          <w:i w:val="0"/>
        </w:rPr>
        <w:t>29 May 2012</w:t>
      </w:r>
      <w:r w:rsidRPr="0031158C">
        <w:rPr>
          <w:rStyle w:val="AERtextitalic"/>
          <w:i w:val="0"/>
        </w:rPr>
        <w:t>, pp.1-</w:t>
      </w:r>
      <w:r>
        <w:rPr>
          <w:rStyle w:val="AERtextitalic"/>
          <w:i w:val="0"/>
        </w:rPr>
        <w:t>2</w:t>
      </w:r>
      <w:r>
        <w:rPr>
          <w:rStyle w:val="AERtextitalic"/>
        </w:rPr>
        <w:t xml:space="preserve"> </w:t>
      </w:r>
      <w:r w:rsidRPr="002A607C">
        <w:rPr>
          <w:rStyle w:val="AERtextitalic"/>
          <w:i w:val="0"/>
        </w:rPr>
        <w:t>(confidential)</w:t>
      </w:r>
      <w:r w:rsidRPr="00742763">
        <w:t>.</w:t>
      </w:r>
    </w:p>
  </w:footnote>
  <w:footnote w:id="75">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74.</w:t>
      </w:r>
    </w:p>
  </w:footnote>
  <w:footnote w:id="76">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75.</w:t>
      </w:r>
    </w:p>
  </w:footnote>
  <w:footnote w:id="77">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74.</w:t>
      </w:r>
    </w:p>
  </w:footnote>
  <w:footnote w:id="78">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89.</w:t>
      </w:r>
    </w:p>
  </w:footnote>
  <w:footnote w:id="79">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89.</w:t>
      </w:r>
    </w:p>
  </w:footnote>
  <w:footnote w:id="80">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91.</w:t>
      </w:r>
    </w:p>
  </w:footnote>
  <w:footnote w:id="81">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91.</w:t>
      </w:r>
    </w:p>
  </w:footnote>
  <w:footnote w:id="82">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91.</w:t>
      </w:r>
    </w:p>
  </w:footnote>
  <w:footnote w:id="83">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89.</w:t>
      </w:r>
    </w:p>
  </w:footnote>
  <w:footnote w:id="84">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VTSAACapexForecastFINAL120706.xls</w:t>
      </w:r>
      <w:r>
        <w:t xml:space="preserve">, 6 July 2012. </w:t>
      </w:r>
    </w:p>
  </w:footnote>
  <w:footnote w:id="85">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103.</w:t>
      </w:r>
    </w:p>
  </w:footnote>
  <w:footnote w:id="86">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116-119.</w:t>
      </w:r>
    </w:p>
  </w:footnote>
  <w:footnote w:id="87">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93.</w:t>
      </w:r>
    </w:p>
  </w:footnote>
  <w:footnote w:id="88">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xml:space="preserve">, 31 March 2012, pp. 95-102.  </w:t>
      </w:r>
    </w:p>
  </w:footnote>
  <w:footnote w:id="89">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xml:space="preserve">, 31 March 2012, p. 95.  </w:t>
      </w:r>
    </w:p>
  </w:footnote>
  <w:footnote w:id="90">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xml:space="preserve">, 31 March 2012, pp. 95-96.  </w:t>
      </w:r>
    </w:p>
  </w:footnote>
  <w:footnote w:id="91">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xml:space="preserve">, 31 March 2012, p. 96.  </w:t>
      </w:r>
    </w:p>
  </w:footnote>
  <w:footnote w:id="92">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xml:space="preserve">, 31 March 2012, pp. 99-100.  </w:t>
      </w:r>
    </w:p>
  </w:footnote>
  <w:footnote w:id="93">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xml:space="preserve">, 31 March 2012, pp. 99-101.  </w:t>
      </w:r>
    </w:p>
  </w:footnote>
  <w:footnote w:id="94">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pp. 101-102.</w:t>
      </w:r>
    </w:p>
  </w:footnote>
  <w:footnote w:id="95">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pp. 95 and 102.</w:t>
      </w:r>
    </w:p>
  </w:footnote>
  <w:footnote w:id="96">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pp. 102-103.</w:t>
      </w:r>
    </w:p>
  </w:footnote>
  <w:footnote w:id="97">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pp. 94-95.</w:t>
      </w:r>
    </w:p>
  </w:footnote>
  <w:footnote w:id="98">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 102.</w:t>
      </w:r>
    </w:p>
  </w:footnote>
  <w:footnote w:id="99">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pp. 94-95 and p. 102.</w:t>
      </w:r>
    </w:p>
  </w:footnote>
  <w:footnote w:id="100">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VTSAACapexForecastFINAL120706.xls</w:t>
      </w:r>
      <w:r>
        <w:t>, 6 July 2012.</w:t>
      </w:r>
    </w:p>
  </w:footnote>
  <w:footnote w:id="101">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104.</w:t>
      </w:r>
    </w:p>
  </w:footnote>
  <w:footnote w:id="102">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94.</w:t>
      </w:r>
    </w:p>
  </w:footnote>
  <w:footnote w:id="103">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VTSAACapexForecastFINAL120706.xls</w:t>
      </w:r>
      <w:r>
        <w:t xml:space="preserve">, 6 July 2012. </w:t>
      </w:r>
      <w:r w:rsidRPr="007F0EC0">
        <w:t xml:space="preserve"> </w:t>
      </w:r>
    </w:p>
  </w:footnote>
  <w:footnote w:id="104">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117. </w:t>
      </w:r>
      <w:r w:rsidRPr="007F0EC0">
        <w:t xml:space="preserve"> </w:t>
      </w:r>
    </w:p>
  </w:footnote>
  <w:footnote w:id="105">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116-119. </w:t>
      </w:r>
      <w:r w:rsidRPr="007F0EC0">
        <w:t xml:space="preserve"> </w:t>
      </w:r>
    </w:p>
  </w:footnote>
  <w:footnote w:id="106">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118-119. </w:t>
      </w:r>
      <w:r w:rsidRPr="007F0EC0">
        <w:t xml:space="preserve"> </w:t>
      </w:r>
    </w:p>
  </w:footnote>
  <w:footnote w:id="107">
    <w:p w:rsidR="00377B37" w:rsidRDefault="00377B37" w:rsidP="007C1F9F">
      <w:pPr>
        <w:pStyle w:val="FootnoteText"/>
      </w:pPr>
      <w:r>
        <w:rPr>
          <w:rStyle w:val="FootnoteReference"/>
        </w:rPr>
        <w:footnoteRef/>
      </w:r>
      <w:r>
        <w:t xml:space="preserve"> </w:t>
      </w:r>
      <w:r>
        <w:tab/>
        <w:t>NGR, r. 74(2).</w:t>
      </w:r>
    </w:p>
  </w:footnote>
  <w:footnote w:id="108">
    <w:p w:rsidR="00377B37" w:rsidRDefault="00377B37" w:rsidP="007C1F9F">
      <w:pPr>
        <w:pStyle w:val="FootnoteText"/>
      </w:pPr>
      <w:r>
        <w:rPr>
          <w:rStyle w:val="FootnoteReference"/>
        </w:rPr>
        <w:footnoteRef/>
      </w:r>
      <w:r w:rsidRPr="00AA6157">
        <w:rPr>
          <w:rStyle w:val="FootnoteReference"/>
        </w:rPr>
        <w:t xml:space="preserve"> </w:t>
      </w:r>
      <w:r>
        <w:rPr>
          <w:rStyle w:val="FootnoteReference"/>
        </w:rPr>
        <w:tab/>
      </w:r>
      <w:r w:rsidRPr="00441940">
        <w:t>NGR, r</w:t>
      </w:r>
      <w:r>
        <w:t>r</w:t>
      </w:r>
      <w:r w:rsidRPr="00441940">
        <w:t>. 40(2) and 79(5).</w:t>
      </w:r>
    </w:p>
  </w:footnote>
  <w:footnote w:id="109">
    <w:p w:rsidR="00377B37" w:rsidRDefault="00377B37" w:rsidP="007C1F9F">
      <w:pPr>
        <w:pStyle w:val="FootnoteText"/>
      </w:pPr>
      <w:r>
        <w:rPr>
          <w:rStyle w:val="FootnoteReference"/>
        </w:rPr>
        <w:footnoteRef/>
      </w:r>
      <w:r w:rsidRPr="00AA6157">
        <w:rPr>
          <w:rStyle w:val="FootnoteReference"/>
        </w:rPr>
        <w:t xml:space="preserve"> </w:t>
      </w:r>
      <w:r>
        <w:tab/>
      </w:r>
      <w:r w:rsidRPr="00441940">
        <w:t>For instance, r. 74 of the NGR requires estimates and forecasts to be made on a reasonable basis, amongst other things.</w:t>
      </w:r>
    </w:p>
  </w:footnote>
  <w:footnote w:id="110">
    <w:p w:rsidR="00377B37" w:rsidRDefault="00377B37" w:rsidP="007C1F9F">
      <w:pPr>
        <w:pStyle w:val="FootnoteText"/>
      </w:pPr>
      <w:r>
        <w:rPr>
          <w:rStyle w:val="FootnoteReference"/>
        </w:rPr>
        <w:footnoteRef/>
      </w:r>
      <w:r>
        <w:t xml:space="preserve"> </w:t>
      </w:r>
      <w:r>
        <w:tab/>
        <w:t>NGL, s. 28(1).</w:t>
      </w:r>
    </w:p>
  </w:footnote>
  <w:footnote w:id="111">
    <w:p w:rsidR="00377B37" w:rsidRPr="002B360A" w:rsidRDefault="00377B37" w:rsidP="007C1F9F">
      <w:pPr>
        <w:pStyle w:val="FootnoteText"/>
        <w:rPr>
          <w:rStyle w:val="FootnoteReference"/>
          <w:vertAlign w:val="baseline"/>
        </w:rPr>
      </w:pPr>
      <w:r>
        <w:rPr>
          <w:rStyle w:val="FootnoteReference"/>
        </w:rPr>
        <w:footnoteRef/>
      </w:r>
      <w:r>
        <w:t xml:space="preserve"> </w:t>
      </w:r>
      <w:r>
        <w:tab/>
        <w:t xml:space="preserve">AGL, </w:t>
      </w:r>
      <w:r>
        <w:rPr>
          <w:rStyle w:val="AERtextitalic"/>
        </w:rPr>
        <w:t xml:space="preserve">Submission to the AER: APA GasNet access arrangement proposal, </w:t>
      </w:r>
      <w:r w:rsidRPr="00120034">
        <w:t>18 June 2012</w:t>
      </w:r>
      <w:r>
        <w:t>;</w:t>
      </w:r>
      <w:r>
        <w:rPr>
          <w:rStyle w:val="AERtextitalic"/>
        </w:rPr>
        <w:t xml:space="preserve"> </w:t>
      </w:r>
      <w:r>
        <w:t xml:space="preserve">Australian Power and Gas, </w:t>
      </w:r>
      <w:r>
        <w:rPr>
          <w:rStyle w:val="AERtextitalic"/>
        </w:rPr>
        <w:t xml:space="preserve">Submission to the AER: APA GasNet access arrangement proposal, </w:t>
      </w:r>
      <w:r>
        <w:t>15</w:t>
      </w:r>
      <w:r w:rsidRPr="00120034">
        <w:t xml:space="preserve"> June 2012</w:t>
      </w:r>
      <w:r>
        <w:t xml:space="preserve">; Energy Users Coalition of Victoria, </w:t>
      </w:r>
      <w:r>
        <w:rPr>
          <w:rStyle w:val="AERtextitalic"/>
        </w:rPr>
        <w:t xml:space="preserve">Submission to the AER: APA GasNet access arrangement proposal, </w:t>
      </w:r>
      <w:r w:rsidRPr="00120034">
        <w:t>18 June 2012</w:t>
      </w:r>
      <w:r>
        <w:rPr>
          <w:rStyle w:val="AERtextitalic"/>
        </w:rPr>
        <w:t xml:space="preserve">; </w:t>
      </w:r>
      <w:r w:rsidRPr="00896EFA">
        <w:t xml:space="preserve">Origin, </w:t>
      </w:r>
      <w:r w:rsidRPr="00A70169">
        <w:rPr>
          <w:rStyle w:val="AERtextitalic"/>
        </w:rPr>
        <w:t>Submission to the AER: APA GasNet access arrangement proposal</w:t>
      </w:r>
      <w:r w:rsidRPr="00896EFA">
        <w:t>, 21 June 2012</w:t>
      </w:r>
      <w:r>
        <w:t xml:space="preserve">; </w:t>
      </w:r>
      <w:r w:rsidRPr="00896EFA">
        <w:t xml:space="preserve">TRUenergy, </w:t>
      </w:r>
      <w:r w:rsidRPr="00A70169">
        <w:rPr>
          <w:rStyle w:val="AERtextitalic"/>
        </w:rPr>
        <w:t>Submission to the AER: APA GasNet access arrangement proposal</w:t>
      </w:r>
      <w:r w:rsidRPr="00896EFA">
        <w:t>, 22 June 2012</w:t>
      </w:r>
      <w:r>
        <w:t xml:space="preserve">; and </w:t>
      </w:r>
      <w:r w:rsidRPr="00896EFA">
        <w:t xml:space="preserve">BHP Billiton, </w:t>
      </w:r>
      <w:r w:rsidRPr="00A70169">
        <w:rPr>
          <w:rStyle w:val="AERtextitalic"/>
        </w:rPr>
        <w:t>Submission to the AER: APA GasNet access arrangement proposal</w:t>
      </w:r>
      <w:r w:rsidRPr="00896EFA">
        <w:t>, 29 June 2012</w:t>
      </w:r>
      <w:r>
        <w:t>.</w:t>
      </w:r>
    </w:p>
  </w:footnote>
  <w:footnote w:id="112">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76-78.</w:t>
      </w:r>
    </w:p>
  </w:footnote>
  <w:footnote w:id="113">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78-79.</w:t>
      </w:r>
    </w:p>
  </w:footnote>
  <w:footnote w:id="114">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74.</w:t>
      </w:r>
    </w:p>
  </w:footnote>
  <w:footnote w:id="115">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Response to AER information request 3, Part 2, </w:t>
      </w:r>
      <w:r w:rsidRPr="007650E6">
        <w:rPr>
          <w:rStyle w:val="AERtextitalic"/>
          <w:i w:val="0"/>
        </w:rPr>
        <w:t>29 May 2012, pp. 1-2</w:t>
      </w:r>
      <w:r>
        <w:rPr>
          <w:rStyle w:val="AERtextitalic"/>
        </w:rPr>
        <w:t xml:space="preserve"> </w:t>
      </w:r>
      <w:r>
        <w:rPr>
          <w:rStyle w:val="AERtextitalic"/>
          <w:i w:val="0"/>
        </w:rPr>
        <w:t>(confidential</w:t>
      </w:r>
      <w:r w:rsidRPr="00F141D2">
        <w:rPr>
          <w:rStyle w:val="AERtextitalic"/>
          <w:i w:val="0"/>
        </w:rPr>
        <w:t>)</w:t>
      </w:r>
      <w:r w:rsidRPr="00F141D2">
        <w:t>.</w:t>
      </w:r>
    </w:p>
  </w:footnote>
  <w:footnote w:id="116">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Response to AER information request 3, Part 2, </w:t>
      </w:r>
      <w:r w:rsidRPr="007650E6">
        <w:rPr>
          <w:rStyle w:val="AERtextitalic"/>
          <w:i w:val="0"/>
        </w:rPr>
        <w:t>29 May 2012, p. 2</w:t>
      </w:r>
      <w:r>
        <w:rPr>
          <w:rStyle w:val="AERtextitalic"/>
        </w:rPr>
        <w:t xml:space="preserve"> </w:t>
      </w:r>
      <w:r w:rsidRPr="00F141D2">
        <w:rPr>
          <w:rStyle w:val="AERtextitalic"/>
          <w:i w:val="0"/>
        </w:rPr>
        <w:t>(confidential)</w:t>
      </w:r>
      <w:r w:rsidRPr="00F141D2">
        <w:t>.</w:t>
      </w:r>
    </w:p>
  </w:footnote>
  <w:footnote w:id="117">
    <w:p w:rsidR="00377B37" w:rsidRPr="00795BF9" w:rsidRDefault="00377B37" w:rsidP="007C1F9F">
      <w:pPr>
        <w:pStyle w:val="FootnoteText"/>
      </w:pPr>
      <w:r>
        <w:rPr>
          <w:rStyle w:val="FootnoteReference"/>
        </w:rPr>
        <w:footnoteRef/>
      </w:r>
      <w:r>
        <w:t xml:space="preserve"> </w:t>
      </w:r>
      <w:r>
        <w:tab/>
        <w:t xml:space="preserve">APA GasNet, </w:t>
      </w:r>
      <w:r>
        <w:rPr>
          <w:rStyle w:val="AERtextitalic"/>
        </w:rPr>
        <w:t xml:space="preserve">Response to AER information request 3, Part 1, </w:t>
      </w:r>
      <w:r w:rsidRPr="007650E6">
        <w:rPr>
          <w:rStyle w:val="AERtextitalic"/>
          <w:i w:val="0"/>
        </w:rPr>
        <w:t xml:space="preserve">28 May 2012, </w:t>
      </w:r>
      <w:r>
        <w:rPr>
          <w:rStyle w:val="AERtextitalic"/>
          <w:i w:val="0"/>
        </w:rPr>
        <w:t xml:space="preserve">p. </w:t>
      </w:r>
      <w:r w:rsidRPr="002262DE">
        <w:rPr>
          <w:rStyle w:val="AERtextitalic"/>
          <w:i w:val="0"/>
        </w:rPr>
        <w:t>6</w:t>
      </w:r>
      <w:r>
        <w:rPr>
          <w:rStyle w:val="AERtextitalic"/>
        </w:rPr>
        <w:t xml:space="preserve"> </w:t>
      </w:r>
      <w:r w:rsidRPr="00742763">
        <w:rPr>
          <w:rStyle w:val="AERtextitalic"/>
          <w:i w:val="0"/>
        </w:rPr>
        <w:t>(confidential)</w:t>
      </w:r>
      <w:r w:rsidRPr="00742763">
        <w:t>.</w:t>
      </w:r>
    </w:p>
  </w:footnote>
  <w:footnote w:id="118">
    <w:p w:rsidR="00377B37" w:rsidRPr="00126AED" w:rsidRDefault="00377B37" w:rsidP="007C1F9F">
      <w:pPr>
        <w:pStyle w:val="FootnoteText"/>
        <w:rPr>
          <w:rStyle w:val="AERtextitalic"/>
          <w:i w:val="0"/>
        </w:rPr>
      </w:pPr>
      <w:r>
        <w:rPr>
          <w:rStyle w:val="FootnoteReference"/>
        </w:rPr>
        <w:footnoteRef/>
      </w:r>
      <w:r>
        <w:t xml:space="preserve"> </w:t>
      </w:r>
      <w:r>
        <w:tab/>
        <w:t xml:space="preserve">Energy Users Coalition of Victoria, </w:t>
      </w:r>
      <w:r>
        <w:rPr>
          <w:rStyle w:val="AERtextitalic"/>
        </w:rPr>
        <w:t xml:space="preserve">Submission to the AER: APA GasNet access arrangement proposal, </w:t>
      </w:r>
      <w:r>
        <w:t>18 </w:t>
      </w:r>
      <w:r w:rsidRPr="00120034">
        <w:t>June 2012</w:t>
      </w:r>
      <w:r w:rsidRPr="002B360A">
        <w:rPr>
          <w:rStyle w:val="AERtextitalic"/>
          <w:i w:val="0"/>
        </w:rPr>
        <w:t>, p. 20</w:t>
      </w:r>
      <w:r>
        <w:rPr>
          <w:rStyle w:val="AERtextitalic"/>
        </w:rPr>
        <w:t>.</w:t>
      </w:r>
    </w:p>
  </w:footnote>
  <w:footnote w:id="119">
    <w:p w:rsidR="00377B37" w:rsidRDefault="00377B37" w:rsidP="007C1F9F">
      <w:pPr>
        <w:pStyle w:val="FootnoteText"/>
      </w:pPr>
      <w:r>
        <w:rPr>
          <w:rStyle w:val="FootnoteReference"/>
        </w:rPr>
        <w:footnoteRef/>
      </w:r>
      <w:r>
        <w:t xml:space="preserve"> </w:t>
      </w:r>
      <w:r>
        <w:tab/>
        <w:t>NGR, r. 74(2).</w:t>
      </w:r>
    </w:p>
  </w:footnote>
  <w:footnote w:id="120">
    <w:p w:rsidR="00377B37" w:rsidRDefault="00377B37" w:rsidP="007C1F9F">
      <w:pPr>
        <w:pStyle w:val="FootnoteText"/>
      </w:pPr>
      <w:r>
        <w:rPr>
          <w:rStyle w:val="FootnoteReference"/>
        </w:rPr>
        <w:footnoteRef/>
      </w:r>
      <w:r>
        <w:t xml:space="preserve"> </w:t>
      </w:r>
      <w:r>
        <w:tab/>
        <w:t>NGR, r. 79(1)(a).</w:t>
      </w:r>
    </w:p>
  </w:footnote>
  <w:footnote w:id="121">
    <w:p w:rsidR="00377B37" w:rsidRDefault="00377B37" w:rsidP="007C1F9F">
      <w:pPr>
        <w:pStyle w:val="FootnoteText"/>
      </w:pPr>
      <w:r>
        <w:rPr>
          <w:rStyle w:val="FootnoteReference"/>
        </w:rPr>
        <w:footnoteRef/>
      </w:r>
      <w:r>
        <w:t xml:space="preserve"> </w:t>
      </w:r>
      <w:r>
        <w:tab/>
        <w:t>NGR, r. 79(2)(a).</w:t>
      </w:r>
    </w:p>
  </w:footnote>
  <w:footnote w:id="122">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BC175 - Gas to Culcairn Project Redacted</w:t>
      </w:r>
      <w:r>
        <w:t>, 14 May 2012, p. 2.</w:t>
      </w:r>
    </w:p>
  </w:footnote>
  <w:footnote w:id="123">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VTSAACapexForecastFINAL120706.xls</w:t>
      </w:r>
      <w:r>
        <w:t>, 6 July 2012.</w:t>
      </w:r>
    </w:p>
  </w:footnote>
  <w:footnote w:id="124">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Response to AER information request 3, </w:t>
      </w:r>
      <w:r w:rsidRPr="00224B1E">
        <w:rPr>
          <w:rStyle w:val="AERtextitalic"/>
        </w:rPr>
        <w:t>Part 2</w:t>
      </w:r>
      <w:r>
        <w:t>, 29 May 2012 (confidential).</w:t>
      </w:r>
    </w:p>
  </w:footnote>
  <w:footnote w:id="125">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Response to AER information request 3, </w:t>
      </w:r>
      <w:r w:rsidRPr="00224B1E">
        <w:rPr>
          <w:rStyle w:val="AERtextitalic"/>
        </w:rPr>
        <w:t>Part 2</w:t>
      </w:r>
      <w:r>
        <w:t xml:space="preserve">, 29 May 2012, C.2 (confidential); and APA GasNet, </w:t>
      </w:r>
      <w:r>
        <w:rPr>
          <w:rStyle w:val="AERtextitalic"/>
        </w:rPr>
        <w:t>Response to AER information request</w:t>
      </w:r>
      <w:r w:rsidRPr="00191A13">
        <w:rPr>
          <w:rStyle w:val="AERtextitalic"/>
        </w:rPr>
        <w:t xml:space="preserve"> 3 follow up</w:t>
      </w:r>
      <w:r>
        <w:t>, 19 June 2012, C.9 (confidential).</w:t>
      </w:r>
    </w:p>
  </w:footnote>
  <w:footnote w:id="126">
    <w:p w:rsidR="00377B37" w:rsidRDefault="00377B37" w:rsidP="007C1F9F">
      <w:pPr>
        <w:pStyle w:val="FootnoteText"/>
      </w:pPr>
      <w:r>
        <w:rPr>
          <w:rStyle w:val="FootnoteReference"/>
        </w:rPr>
        <w:footnoteRef/>
      </w:r>
      <w:r>
        <w:t xml:space="preserve"> </w:t>
      </w:r>
      <w:r>
        <w:tab/>
        <w:t xml:space="preserve">AGL, </w:t>
      </w:r>
      <w:r>
        <w:rPr>
          <w:rStyle w:val="AERtextitalic"/>
        </w:rPr>
        <w:t xml:space="preserve">Submission to the AER: APA GasNet access arrangement proposal, </w:t>
      </w:r>
      <w:r w:rsidRPr="00120034">
        <w:t>18 June 2012</w:t>
      </w:r>
      <w:r>
        <w:t>.</w:t>
      </w:r>
    </w:p>
  </w:footnote>
  <w:footnote w:id="127">
    <w:p w:rsidR="00377B37" w:rsidRDefault="00377B37" w:rsidP="007C1F9F">
      <w:pPr>
        <w:pStyle w:val="FootnoteText"/>
      </w:pPr>
      <w:r>
        <w:rPr>
          <w:rStyle w:val="FootnoteReference"/>
        </w:rPr>
        <w:footnoteRef/>
      </w:r>
      <w:r>
        <w:t xml:space="preserve"> </w:t>
      </w:r>
      <w:r>
        <w:tab/>
        <w:t xml:space="preserve">TRUenergy, </w:t>
      </w:r>
      <w:r>
        <w:rPr>
          <w:rStyle w:val="AERtextitalic"/>
        </w:rPr>
        <w:t xml:space="preserve">Submission to the AER: APA GasNet access arrangement proposal, </w:t>
      </w:r>
      <w:r>
        <w:t>22</w:t>
      </w:r>
      <w:r w:rsidRPr="00120034">
        <w:t xml:space="preserve"> June 2012</w:t>
      </w:r>
      <w:r>
        <w:t>.</w:t>
      </w:r>
    </w:p>
  </w:footnote>
  <w:footnote w:id="128">
    <w:p w:rsidR="00377B37" w:rsidRDefault="00377B37" w:rsidP="007C1F9F">
      <w:pPr>
        <w:pStyle w:val="FootnoteText"/>
      </w:pPr>
      <w:r>
        <w:rPr>
          <w:rStyle w:val="FootnoteReference"/>
        </w:rPr>
        <w:footnoteRef/>
      </w:r>
      <w:r>
        <w:t xml:space="preserve"> </w:t>
      </w:r>
      <w:r>
        <w:tab/>
        <w:t>NGR, r. 74(2).</w:t>
      </w:r>
    </w:p>
  </w:footnote>
  <w:footnote w:id="129">
    <w:p w:rsidR="00377B37" w:rsidRPr="00853A19" w:rsidRDefault="00377B37" w:rsidP="007C1F9F">
      <w:pPr>
        <w:pStyle w:val="FootnoteText"/>
      </w:pPr>
      <w:r>
        <w:rPr>
          <w:rStyle w:val="FootnoteReference"/>
        </w:rPr>
        <w:footnoteRef/>
      </w:r>
      <w:r>
        <w:t xml:space="preserve"> </w:t>
      </w:r>
      <w:r>
        <w:tab/>
      </w:r>
      <w:r w:rsidRPr="00853A19">
        <w:t xml:space="preserve">APA GasNet, </w:t>
      </w:r>
      <w:r w:rsidRPr="00853A19">
        <w:rPr>
          <w:rStyle w:val="AERtextitalic"/>
        </w:rPr>
        <w:t>B4 - VTS NPV analysis - Culcairn</w:t>
      </w:r>
      <w:r w:rsidRPr="00853A19">
        <w:t>, March 2012.</w:t>
      </w:r>
    </w:p>
  </w:footnote>
  <w:footnote w:id="130">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w:t>
      </w:r>
    </w:p>
  </w:footnote>
  <w:footnote w:id="131">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 3.</w:t>
      </w:r>
    </w:p>
  </w:footnote>
  <w:footnote w:id="132">
    <w:p w:rsidR="00377B37" w:rsidRDefault="00377B37" w:rsidP="007C1F9F">
      <w:pPr>
        <w:pStyle w:val="FootnoteText"/>
      </w:pPr>
      <w:r>
        <w:rPr>
          <w:rStyle w:val="FootnoteReference"/>
        </w:rPr>
        <w:footnoteRef/>
      </w:r>
      <w:r>
        <w:t xml:space="preserve"> </w:t>
      </w:r>
      <w:r>
        <w:tab/>
        <w:t xml:space="preserve">AGL, </w:t>
      </w:r>
      <w:r>
        <w:rPr>
          <w:rStyle w:val="AERtextitalic"/>
        </w:rPr>
        <w:t xml:space="preserve">Submission to the AER: APA GasNet access arrangement proposal, </w:t>
      </w:r>
      <w:r w:rsidRPr="00120034">
        <w:t>18 June 2012</w:t>
      </w:r>
      <w:r>
        <w:t xml:space="preserve">; and Sleeman Consulting, </w:t>
      </w:r>
      <w:r w:rsidRPr="0065784E">
        <w:rPr>
          <w:rStyle w:val="AERtextitalic"/>
        </w:rPr>
        <w:t>Review of Gas to Culcairn Project and Western Outer Ring Main Project</w:t>
      </w:r>
      <w:r>
        <w:t>, July 2012, p. 3.</w:t>
      </w:r>
    </w:p>
  </w:footnote>
  <w:footnote w:id="133">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pp. 25-26.</w:t>
      </w:r>
    </w:p>
  </w:footnote>
  <w:footnote w:id="134">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BC175 - Gas to Culcairn Project Redacted</w:t>
      </w:r>
      <w:r>
        <w:t>, 14 May 2012, p. 5.</w:t>
      </w:r>
    </w:p>
  </w:footnote>
  <w:footnote w:id="135">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pp. 11-12.</w:t>
      </w:r>
    </w:p>
  </w:footnote>
  <w:footnote w:id="136">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BC175 - Gas to Culcairn Project Redacted</w:t>
      </w:r>
      <w:r>
        <w:t>, 14 May 2012, p. 5.</w:t>
      </w:r>
    </w:p>
  </w:footnote>
  <w:footnote w:id="137">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 26.</w:t>
      </w:r>
    </w:p>
  </w:footnote>
  <w:footnote w:id="138">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 26.</w:t>
      </w:r>
    </w:p>
  </w:footnote>
  <w:footnote w:id="139">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BC175 - Gas to Culcairn Project Redacted</w:t>
      </w:r>
      <w:r>
        <w:t>, 14 May 2012, p. 4.</w:t>
      </w:r>
    </w:p>
  </w:footnote>
  <w:footnote w:id="140">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 19.</w:t>
      </w:r>
    </w:p>
  </w:footnote>
  <w:footnote w:id="141">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w:t>
      </w:r>
    </w:p>
  </w:footnote>
  <w:footnote w:id="142">
    <w:p w:rsidR="00377B37" w:rsidRDefault="00377B37" w:rsidP="007C1F9F">
      <w:pPr>
        <w:pStyle w:val="FootnoteText"/>
      </w:pPr>
      <w:r>
        <w:rPr>
          <w:rStyle w:val="FootnoteReference"/>
        </w:rPr>
        <w:footnoteRef/>
      </w:r>
      <w:r>
        <w:t xml:space="preserve"> </w:t>
      </w:r>
      <w:r>
        <w:tab/>
        <w:t xml:space="preserve">APA GasNet, </w:t>
      </w:r>
      <w:r>
        <w:rPr>
          <w:rStyle w:val="AERtextitalic"/>
        </w:rPr>
        <w:t>BC083</w:t>
      </w:r>
      <w:r w:rsidRPr="005C7F6C">
        <w:rPr>
          <w:rStyle w:val="AERtextitalic"/>
        </w:rPr>
        <w:t xml:space="preserve"> - Gas to Culcairn Project Redacted</w:t>
      </w:r>
      <w:r>
        <w:t>, 14 May 2012, p. 2.</w:t>
      </w:r>
    </w:p>
  </w:footnote>
  <w:footnote w:id="143">
    <w:p w:rsidR="00377B37" w:rsidRDefault="00377B37" w:rsidP="007C1F9F">
      <w:pPr>
        <w:pStyle w:val="FootnoteText"/>
      </w:pPr>
      <w:r>
        <w:rPr>
          <w:rStyle w:val="FootnoteReference"/>
        </w:rPr>
        <w:footnoteRef/>
      </w:r>
      <w:r>
        <w:t xml:space="preserve"> </w:t>
      </w:r>
      <w:r>
        <w:tab/>
        <w:t xml:space="preserve">R2A, </w:t>
      </w:r>
      <w:r w:rsidRPr="00280F2B">
        <w:rPr>
          <w:rStyle w:val="AERtextitalic"/>
        </w:rPr>
        <w:t>Effectiveness of the WORM project on security of supply of the VTS</w:t>
      </w:r>
      <w:r>
        <w:t>, March 2012, p. 11.</w:t>
      </w:r>
    </w:p>
  </w:footnote>
  <w:footnote w:id="144">
    <w:p w:rsidR="00377B37" w:rsidRDefault="00377B37" w:rsidP="007C1F9F">
      <w:pPr>
        <w:pStyle w:val="FootnoteText"/>
      </w:pPr>
      <w:r>
        <w:rPr>
          <w:rStyle w:val="FootnoteReference"/>
        </w:rPr>
        <w:footnoteRef/>
      </w:r>
      <w:r>
        <w:t xml:space="preserve"> </w:t>
      </w:r>
      <w:r>
        <w:tab/>
        <w:t xml:space="preserve">R2A, </w:t>
      </w:r>
      <w:r w:rsidRPr="00280F2B">
        <w:rPr>
          <w:rStyle w:val="AERtextitalic"/>
        </w:rPr>
        <w:t>Effectiveness of the WORM project on security of supply of the VTS</w:t>
      </w:r>
      <w:r>
        <w:t>, March 2012, p. 4.</w:t>
      </w:r>
    </w:p>
  </w:footnote>
  <w:footnote w:id="145">
    <w:p w:rsidR="00377B37" w:rsidRDefault="00377B37" w:rsidP="007C1F9F">
      <w:pPr>
        <w:pStyle w:val="FootnoteText"/>
      </w:pPr>
      <w:r>
        <w:rPr>
          <w:rStyle w:val="FootnoteReference"/>
        </w:rPr>
        <w:footnoteRef/>
      </w:r>
      <w:r>
        <w:t xml:space="preserve"> </w:t>
      </w:r>
      <w:r>
        <w:tab/>
        <w:t xml:space="preserve">APA GasNet, </w:t>
      </w:r>
      <w:r>
        <w:rPr>
          <w:rStyle w:val="AERtextitalic"/>
        </w:rPr>
        <w:t>BC083 - Western Outer Ring Main</w:t>
      </w:r>
      <w:r w:rsidRPr="005C7F6C">
        <w:rPr>
          <w:rStyle w:val="AERtextitalic"/>
        </w:rPr>
        <w:t xml:space="preserve"> Redacted</w:t>
      </w:r>
      <w:r>
        <w:t>, 14 May 2012, p. 17.</w:t>
      </w:r>
    </w:p>
  </w:footnote>
  <w:footnote w:id="146">
    <w:p w:rsidR="00377B37" w:rsidRDefault="00377B37" w:rsidP="007C1F9F">
      <w:pPr>
        <w:pStyle w:val="FootnoteText"/>
      </w:pPr>
      <w:r>
        <w:rPr>
          <w:rStyle w:val="FootnoteReference"/>
        </w:rPr>
        <w:footnoteRef/>
      </w:r>
      <w:r>
        <w:t xml:space="preserve"> </w:t>
      </w:r>
      <w:r>
        <w:tab/>
        <w:t xml:space="preserve">R2A, </w:t>
      </w:r>
      <w:r w:rsidRPr="00280F2B">
        <w:rPr>
          <w:rStyle w:val="AERtextitalic"/>
        </w:rPr>
        <w:t>Effectiveness of the WORM project on security of supply of the VTS</w:t>
      </w:r>
      <w:r>
        <w:t>, March 2012, Appendix B, pp. 6-9.</w:t>
      </w:r>
    </w:p>
  </w:footnote>
  <w:footnote w:id="147">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 4.</w:t>
      </w:r>
    </w:p>
  </w:footnote>
  <w:footnote w:id="148">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 33.</w:t>
      </w:r>
    </w:p>
  </w:footnote>
  <w:footnote w:id="149">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xml:space="preserve">, July 2012, p. 38; and Energy Users Coalition of Victoria, </w:t>
      </w:r>
      <w:r>
        <w:rPr>
          <w:rStyle w:val="AERtextitalic"/>
        </w:rPr>
        <w:t xml:space="preserve">Submission to the AER: APA GasNet access arrangement proposal, </w:t>
      </w:r>
      <w:r>
        <w:t>18 </w:t>
      </w:r>
      <w:r w:rsidRPr="00120034">
        <w:t>June 2012</w:t>
      </w:r>
      <w:r>
        <w:t>, p. 17.</w:t>
      </w:r>
    </w:p>
  </w:footnote>
  <w:footnote w:id="150">
    <w:p w:rsidR="00377B37" w:rsidRDefault="00377B37" w:rsidP="007C1F9F">
      <w:pPr>
        <w:pStyle w:val="FootnoteText"/>
      </w:pPr>
      <w:r>
        <w:rPr>
          <w:rStyle w:val="FootnoteReference"/>
        </w:rPr>
        <w:footnoteRef/>
      </w:r>
      <w:r>
        <w:t xml:space="preserve"> </w:t>
      </w:r>
      <w:r>
        <w:tab/>
        <w:t xml:space="preserve">APA GasNet, </w:t>
      </w:r>
      <w:r>
        <w:rPr>
          <w:rStyle w:val="AERtextitalic"/>
        </w:rPr>
        <w:t>BC083</w:t>
      </w:r>
      <w:r w:rsidRPr="005C7F6C">
        <w:rPr>
          <w:rStyle w:val="AERtextitalic"/>
        </w:rPr>
        <w:t xml:space="preserve"> - Gas to Culcairn Project Redacted</w:t>
      </w:r>
      <w:r>
        <w:t>, 14 May 2012, pp. 9-10 and 17.</w:t>
      </w:r>
    </w:p>
  </w:footnote>
  <w:footnote w:id="151">
    <w:p w:rsidR="00377B37" w:rsidRDefault="00377B37" w:rsidP="007C1F9F">
      <w:pPr>
        <w:pStyle w:val="FootnoteText"/>
      </w:pPr>
      <w:r>
        <w:rPr>
          <w:rStyle w:val="FootnoteReference"/>
        </w:rPr>
        <w:footnoteRef/>
      </w:r>
      <w:r>
        <w:t xml:space="preserve"> </w:t>
      </w:r>
      <w:r>
        <w:tab/>
        <w:t xml:space="preserve">APA GasNet, </w:t>
      </w:r>
      <w:r>
        <w:rPr>
          <w:rStyle w:val="AERtextitalic"/>
        </w:rPr>
        <w:t>BC083</w:t>
      </w:r>
      <w:r w:rsidRPr="005C7F6C">
        <w:rPr>
          <w:rStyle w:val="AERtextitalic"/>
        </w:rPr>
        <w:t xml:space="preserve"> - Gas to Culcairn Project Redacted</w:t>
      </w:r>
      <w:r>
        <w:t>, 14 May 2012, p. 9.</w:t>
      </w:r>
    </w:p>
  </w:footnote>
  <w:footnote w:id="152">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xml:space="preserve">, July 2012, p. 4; AEMO, </w:t>
      </w:r>
      <w:r w:rsidRPr="0048771C">
        <w:rPr>
          <w:rStyle w:val="AERtextitalic"/>
        </w:rPr>
        <w:t xml:space="preserve">RE: Responses to the AER's request on APA GasNet's access </w:t>
      </w:r>
      <w:r>
        <w:rPr>
          <w:rStyle w:val="AERtextitalic"/>
        </w:rPr>
        <w:t>arrangement proposal</w:t>
      </w:r>
      <w:r>
        <w:t>, 25 July 2012.</w:t>
      </w:r>
    </w:p>
  </w:footnote>
  <w:footnote w:id="153">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pp. 33-37 and 39.</w:t>
      </w:r>
    </w:p>
  </w:footnote>
  <w:footnote w:id="154">
    <w:p w:rsidR="00377B37" w:rsidRDefault="00377B37" w:rsidP="00186172">
      <w:pPr>
        <w:pStyle w:val="FootnoteText"/>
      </w:pPr>
      <w:r>
        <w:rPr>
          <w:rStyle w:val="FootnoteReference"/>
        </w:rPr>
        <w:footnoteRef/>
      </w:r>
      <w:r>
        <w:t xml:space="preserve"> </w:t>
      </w:r>
      <w:r>
        <w:tab/>
        <w:t>Installation of a bi-directional C50 compressor station on the South West Pipeline is part of the approved scope of the Gas to Culcairn project.</w:t>
      </w:r>
    </w:p>
  </w:footnote>
  <w:footnote w:id="155">
    <w:p w:rsidR="00377B37" w:rsidRDefault="00377B37" w:rsidP="00186172">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pp. 100-101.</w:t>
      </w:r>
    </w:p>
  </w:footnote>
  <w:footnote w:id="156">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xml:space="preserve">, July 2012, p. 38; AEMO, </w:t>
      </w:r>
      <w:r w:rsidRPr="0048771C">
        <w:rPr>
          <w:rStyle w:val="AERtextitalic"/>
        </w:rPr>
        <w:t xml:space="preserve">RE: Responses to the AER's request on APA GasNet's access </w:t>
      </w:r>
      <w:r>
        <w:rPr>
          <w:rStyle w:val="AERtextitalic"/>
        </w:rPr>
        <w:t>arrangement proposal</w:t>
      </w:r>
      <w:r>
        <w:t>, 25 July 2012.</w:t>
      </w:r>
    </w:p>
  </w:footnote>
  <w:footnote w:id="157">
    <w:p w:rsidR="00377B37" w:rsidRDefault="00377B37" w:rsidP="007C1F9F">
      <w:pPr>
        <w:pStyle w:val="FootnoteText"/>
      </w:pPr>
      <w:r>
        <w:rPr>
          <w:rStyle w:val="FootnoteReference"/>
        </w:rPr>
        <w:footnoteRef/>
      </w:r>
      <w:r>
        <w:t xml:space="preserve"> </w:t>
      </w:r>
      <w:r>
        <w:tab/>
        <w:t xml:space="preserve">Sleeman Consulting, </w:t>
      </w:r>
      <w:r w:rsidRPr="0065784E">
        <w:rPr>
          <w:rStyle w:val="AERtextitalic"/>
        </w:rPr>
        <w:t>Review of Gas to Culcairn Project and Western Outer Ring Main Project</w:t>
      </w:r>
      <w:r>
        <w:t>, July 2012, p. 37.</w:t>
      </w:r>
    </w:p>
  </w:footnote>
  <w:footnote w:id="158">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pp. 101-102.</w:t>
      </w:r>
    </w:p>
  </w:footnote>
  <w:footnote w:id="159">
    <w:p w:rsidR="00377B37" w:rsidRPr="00E2718F" w:rsidRDefault="00377B37" w:rsidP="007C1F9F">
      <w:pPr>
        <w:pStyle w:val="FootnoteText"/>
      </w:pPr>
      <w:r>
        <w:rPr>
          <w:rStyle w:val="FootnoteReference"/>
        </w:rPr>
        <w:footnoteRef/>
      </w:r>
      <w:r>
        <w:t xml:space="preserve"> </w:t>
      </w:r>
      <w:r>
        <w:tab/>
      </w:r>
      <w:r w:rsidRPr="00E2718F">
        <w:t xml:space="preserve">AER, </w:t>
      </w:r>
      <w:r w:rsidRPr="00120034">
        <w:rPr>
          <w:rStyle w:val="AERtextitalic"/>
        </w:rPr>
        <w:t>Draft decision - SP AusNet access arrangement review 2013-17</w:t>
      </w:r>
      <w:r w:rsidRPr="00E2718F">
        <w:t>, September 2012.</w:t>
      </w:r>
    </w:p>
  </w:footnote>
  <w:footnote w:id="160">
    <w:p w:rsidR="00377B37" w:rsidRDefault="00377B37" w:rsidP="007C1F9F">
      <w:pPr>
        <w:pStyle w:val="FootnoteText"/>
      </w:pPr>
      <w:r>
        <w:rPr>
          <w:rStyle w:val="FootnoteReference"/>
        </w:rPr>
        <w:footnoteRef/>
      </w:r>
      <w:r>
        <w:t xml:space="preserve"> </w:t>
      </w:r>
      <w:r>
        <w:tab/>
        <w:t xml:space="preserve">APA GasNet, </w:t>
      </w:r>
      <w:r>
        <w:rPr>
          <w:rStyle w:val="AERtextitalic"/>
        </w:rPr>
        <w:t>BC174</w:t>
      </w:r>
      <w:r w:rsidRPr="005C7F6C">
        <w:rPr>
          <w:rStyle w:val="AERtextitalic"/>
        </w:rPr>
        <w:t xml:space="preserve"> - </w:t>
      </w:r>
      <w:r>
        <w:rPr>
          <w:rStyle w:val="AERtextitalic"/>
        </w:rPr>
        <w:t>Anglesea Pipeline Extension</w:t>
      </w:r>
      <w:r>
        <w:t xml:space="preserve">, 3 March 2012; JP Kenny, </w:t>
      </w:r>
      <w:r w:rsidRPr="00971B6A">
        <w:rPr>
          <w:rStyle w:val="AERtextitalic"/>
        </w:rPr>
        <w:t>Access arrangement 2013-17 capex &amp; opex review (redacted)</w:t>
      </w:r>
      <w:r>
        <w:t xml:space="preserve">, 11 May 2012; and APA GasNet, </w:t>
      </w:r>
      <w:r w:rsidRPr="00224B1E">
        <w:rPr>
          <w:rStyle w:val="AERtextitalic"/>
        </w:rPr>
        <w:t xml:space="preserve">Response to </w:t>
      </w:r>
      <w:r>
        <w:rPr>
          <w:rStyle w:val="AERtextitalic"/>
        </w:rPr>
        <w:t>AER information request 3, Part 3</w:t>
      </w:r>
      <w:r>
        <w:t>, 29 May 2012 (confidential).</w:t>
      </w:r>
    </w:p>
  </w:footnote>
  <w:footnote w:id="161">
    <w:p w:rsidR="00377B37" w:rsidRDefault="00377B37" w:rsidP="007C1F9F">
      <w:pPr>
        <w:pStyle w:val="FootnoteText"/>
      </w:pPr>
      <w:r>
        <w:rPr>
          <w:rStyle w:val="FootnoteReference"/>
        </w:rPr>
        <w:footnoteRef/>
      </w:r>
      <w:r>
        <w:t xml:space="preserve"> </w:t>
      </w:r>
      <w:r>
        <w:tab/>
        <w:t xml:space="preserve">APA GasNet, </w:t>
      </w:r>
      <w:r w:rsidRPr="00224B1E">
        <w:rPr>
          <w:rStyle w:val="AERtextitalic"/>
        </w:rPr>
        <w:t xml:space="preserve">Response to </w:t>
      </w:r>
      <w:r>
        <w:rPr>
          <w:rStyle w:val="AERtextitalic"/>
        </w:rPr>
        <w:t>AER information request 3, Part 3</w:t>
      </w:r>
      <w:r>
        <w:t>, 29 May 2012 (confidential).</w:t>
      </w:r>
    </w:p>
  </w:footnote>
  <w:footnote w:id="162">
    <w:p w:rsidR="00377B37" w:rsidRDefault="00377B37" w:rsidP="007C1F9F">
      <w:pPr>
        <w:pStyle w:val="FootnoteText"/>
      </w:pPr>
      <w:r>
        <w:rPr>
          <w:rStyle w:val="FootnoteReference"/>
        </w:rPr>
        <w:footnoteRef/>
      </w:r>
      <w:r>
        <w:t xml:space="preserve"> </w:t>
      </w:r>
      <w:r>
        <w:tab/>
        <w:t xml:space="preserve">With the exception of labour cost escalation as discussed in section </w:t>
      </w:r>
      <w:r w:rsidR="00DE0D6A">
        <w:fldChar w:fldCharType="begin"/>
      </w:r>
      <w:r>
        <w:instrText xml:space="preserve"> REF _Ref331506796 \r \h </w:instrText>
      </w:r>
      <w:r w:rsidR="00DE0D6A">
        <w:fldChar w:fldCharType="separate"/>
      </w:r>
      <w:r>
        <w:t>3.4.3</w:t>
      </w:r>
      <w:r w:rsidR="00DE0D6A">
        <w:fldChar w:fldCharType="end"/>
      </w:r>
      <w:r>
        <w:t xml:space="preserve"> of this attachment.</w:t>
      </w:r>
    </w:p>
  </w:footnote>
  <w:footnote w:id="163">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 102.</w:t>
      </w:r>
    </w:p>
  </w:footnote>
  <w:footnote w:id="164">
    <w:p w:rsidR="00377B37" w:rsidRDefault="00377B37" w:rsidP="007C1F9F">
      <w:pPr>
        <w:pStyle w:val="FootnoteText"/>
      </w:pPr>
      <w:r>
        <w:rPr>
          <w:rStyle w:val="FootnoteReference"/>
        </w:rPr>
        <w:footnoteRef/>
      </w:r>
      <w:r>
        <w:t xml:space="preserve"> </w:t>
      </w:r>
      <w:r>
        <w:tab/>
        <w:t xml:space="preserve">APA GasNet, </w:t>
      </w:r>
      <w:r>
        <w:rPr>
          <w:rStyle w:val="AERtextitalic"/>
        </w:rPr>
        <w:t>BC173</w:t>
      </w:r>
      <w:r w:rsidRPr="005C7F6C">
        <w:rPr>
          <w:rStyle w:val="AERtextitalic"/>
        </w:rPr>
        <w:t xml:space="preserve"> - </w:t>
      </w:r>
      <w:r>
        <w:rPr>
          <w:rStyle w:val="AERtextitalic"/>
        </w:rPr>
        <w:t>Kalkallo</w:t>
      </w:r>
      <w:r>
        <w:t xml:space="preserve">, 3 March 2012; JP Kenny, </w:t>
      </w:r>
      <w:r w:rsidRPr="00971B6A">
        <w:rPr>
          <w:rStyle w:val="AERtextitalic"/>
        </w:rPr>
        <w:t>Access arrangement 2013-17 capex &amp; opex review (redacted)</w:t>
      </w:r>
      <w:r>
        <w:t xml:space="preserve">, 11 May 2012, p. 56; and APA GasNet, </w:t>
      </w:r>
      <w:r w:rsidRPr="00224B1E">
        <w:rPr>
          <w:rStyle w:val="AERtextitalic"/>
        </w:rPr>
        <w:t xml:space="preserve">Response to </w:t>
      </w:r>
      <w:r>
        <w:rPr>
          <w:rStyle w:val="AERtextitalic"/>
        </w:rPr>
        <w:t>AER information request 3, Part 3</w:t>
      </w:r>
      <w:r>
        <w:t>, 29 May 2012, pp. 7-9 (confidential).</w:t>
      </w:r>
    </w:p>
  </w:footnote>
  <w:footnote w:id="165">
    <w:p w:rsidR="00377B37" w:rsidRDefault="00377B37" w:rsidP="007C1F9F">
      <w:pPr>
        <w:pStyle w:val="FootnoteText"/>
      </w:pPr>
      <w:r>
        <w:rPr>
          <w:rStyle w:val="FootnoteReference"/>
        </w:rPr>
        <w:footnoteRef/>
      </w:r>
      <w:r>
        <w:t xml:space="preserve"> </w:t>
      </w:r>
      <w:r>
        <w:tab/>
        <w:t xml:space="preserve">APA GasNet, </w:t>
      </w:r>
      <w:r w:rsidRPr="00224B1E">
        <w:rPr>
          <w:rStyle w:val="AERtextitalic"/>
        </w:rPr>
        <w:t xml:space="preserve">Response to </w:t>
      </w:r>
      <w:r>
        <w:rPr>
          <w:rStyle w:val="AERtextitalic"/>
        </w:rPr>
        <w:t>AER information request 3, Part 3</w:t>
      </w:r>
      <w:r>
        <w:t xml:space="preserve">, 29 May 2012 (confidential); and APA GasNet, </w:t>
      </w:r>
      <w:r w:rsidRPr="005D52BA">
        <w:rPr>
          <w:rStyle w:val="AERtextitalic"/>
        </w:rPr>
        <w:t>Basis of estimation - growth projects</w:t>
      </w:r>
      <w:r>
        <w:t>, 29 May 2012 (confidential).</w:t>
      </w:r>
    </w:p>
  </w:footnote>
  <w:footnote w:id="166">
    <w:p w:rsidR="00377B37" w:rsidRDefault="00377B37" w:rsidP="007C1F9F">
      <w:pPr>
        <w:pStyle w:val="FootnoteText"/>
      </w:pPr>
      <w:r>
        <w:rPr>
          <w:rStyle w:val="FootnoteReference"/>
        </w:rPr>
        <w:footnoteRef/>
      </w:r>
      <w:r>
        <w:t xml:space="preserve"> </w:t>
      </w:r>
      <w:r>
        <w:tab/>
        <w:t xml:space="preserve">APA GasNet, </w:t>
      </w:r>
      <w:r>
        <w:rPr>
          <w:rStyle w:val="AERtextitalic"/>
        </w:rPr>
        <w:t>B-4 VTS NPV analysis - Kalkallo</w:t>
      </w:r>
      <w:r>
        <w:t>, 29 March 2012 (confidential).</w:t>
      </w:r>
    </w:p>
  </w:footnote>
  <w:footnote w:id="167">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 102.</w:t>
      </w:r>
    </w:p>
  </w:footnote>
  <w:footnote w:id="168">
    <w:p w:rsidR="00377B37" w:rsidRDefault="00377B37" w:rsidP="007C1F9F">
      <w:pPr>
        <w:pStyle w:val="FootnoteText"/>
      </w:pPr>
      <w:r>
        <w:rPr>
          <w:rStyle w:val="FootnoteReference"/>
        </w:rPr>
        <w:footnoteRef/>
      </w:r>
      <w:r>
        <w:t xml:space="preserve"> </w:t>
      </w:r>
      <w:r>
        <w:tab/>
        <w:t xml:space="preserve">ACCC, </w:t>
      </w:r>
      <w:r w:rsidRPr="00527995">
        <w:rPr>
          <w:rStyle w:val="AERtextitalic"/>
        </w:rPr>
        <w:t>Final decision - GasNet Australia - revised access arrangement 2008-12</w:t>
      </w:r>
      <w:r>
        <w:t>, 30 April 2008, pp. 44-45.</w:t>
      </w:r>
    </w:p>
  </w:footnote>
  <w:footnote w:id="169">
    <w:p w:rsidR="00377B37" w:rsidRDefault="00377B37" w:rsidP="007C1F9F">
      <w:pPr>
        <w:pStyle w:val="FootnoteText"/>
      </w:pPr>
      <w:r>
        <w:rPr>
          <w:rStyle w:val="FootnoteReference"/>
        </w:rPr>
        <w:footnoteRef/>
      </w:r>
      <w:r>
        <w:t xml:space="preserve"> </w:t>
      </w:r>
      <w:r>
        <w:tab/>
        <w:t xml:space="preserve">APA GasNet, </w:t>
      </w:r>
      <w:r w:rsidRPr="004957CF">
        <w:rPr>
          <w:rStyle w:val="AERtextitalic"/>
        </w:rPr>
        <w:t xml:space="preserve">Access </w:t>
      </w:r>
      <w:r>
        <w:rPr>
          <w:rStyle w:val="AERtextitalic"/>
        </w:rPr>
        <w:t>arrangement submission</w:t>
      </w:r>
      <w:r>
        <w:t>, 31 March 2012, p. 102.</w:t>
      </w:r>
    </w:p>
  </w:footnote>
  <w:footnote w:id="170">
    <w:p w:rsidR="00377B37" w:rsidRDefault="00377B37" w:rsidP="007C1F9F">
      <w:pPr>
        <w:pStyle w:val="FootnoteText"/>
      </w:pPr>
      <w:r>
        <w:rPr>
          <w:rStyle w:val="FootnoteReference"/>
        </w:rPr>
        <w:footnoteRef/>
      </w:r>
      <w:r>
        <w:t xml:space="preserve"> </w:t>
      </w:r>
      <w:r>
        <w:tab/>
      </w:r>
      <w:r>
        <w:rPr>
          <w:rStyle w:val="AERtextitalic"/>
        </w:rPr>
        <w:t>E</w:t>
      </w:r>
      <w:r w:rsidRPr="00E116A5">
        <w:rPr>
          <w:rStyle w:val="AERtextitalic"/>
        </w:rPr>
        <w:t>mail to the AER</w:t>
      </w:r>
      <w:r>
        <w:t>, 20 June 2012 (confidential).</w:t>
      </w:r>
    </w:p>
  </w:footnote>
  <w:footnote w:id="171">
    <w:p w:rsidR="00377B37" w:rsidRDefault="00377B37" w:rsidP="007C1F9F">
      <w:pPr>
        <w:pStyle w:val="FootnoteText"/>
      </w:pPr>
      <w:r>
        <w:rPr>
          <w:rStyle w:val="FootnoteReference"/>
        </w:rPr>
        <w:footnoteRef/>
      </w:r>
      <w:r>
        <w:t xml:space="preserve"> </w:t>
      </w:r>
      <w:r>
        <w:tab/>
        <w:t xml:space="preserve">APA GasNet, </w:t>
      </w:r>
      <w:r>
        <w:rPr>
          <w:rStyle w:val="AERtextitalic"/>
        </w:rPr>
        <w:t>BC172</w:t>
      </w:r>
      <w:r w:rsidRPr="005C7F6C">
        <w:rPr>
          <w:rStyle w:val="AERtextitalic"/>
        </w:rPr>
        <w:t xml:space="preserve"> - </w:t>
      </w:r>
      <w:r>
        <w:rPr>
          <w:rStyle w:val="AERtextitalic"/>
        </w:rPr>
        <w:t>Warragul Looping</w:t>
      </w:r>
      <w:r>
        <w:t xml:space="preserve">, 3 March 2012; JP Kenny, </w:t>
      </w:r>
      <w:r w:rsidRPr="00971B6A">
        <w:rPr>
          <w:rStyle w:val="AERtextitalic"/>
        </w:rPr>
        <w:t>Access arrangement 2013-17 capex &amp; opex review (redacted)</w:t>
      </w:r>
      <w:r>
        <w:t xml:space="preserve">, 11 May 2012, pp. 54-56; and APA GasNet, </w:t>
      </w:r>
      <w:r w:rsidRPr="00224B1E">
        <w:rPr>
          <w:rStyle w:val="AERtextitalic"/>
        </w:rPr>
        <w:t>Response to</w:t>
      </w:r>
      <w:r>
        <w:rPr>
          <w:rStyle w:val="AERtextitalic"/>
        </w:rPr>
        <w:t xml:space="preserve"> AER</w:t>
      </w:r>
      <w:r w:rsidRPr="00224B1E">
        <w:rPr>
          <w:rStyle w:val="AERtextitalic"/>
        </w:rPr>
        <w:t xml:space="preserve"> </w:t>
      </w:r>
      <w:r>
        <w:rPr>
          <w:rStyle w:val="AERtextitalic"/>
        </w:rPr>
        <w:t>information request 3, Part 3</w:t>
      </w:r>
      <w:r>
        <w:t>, 29 May 2012, pp. 1-4 (confidential).</w:t>
      </w:r>
    </w:p>
  </w:footnote>
  <w:footnote w:id="172">
    <w:p w:rsidR="00377B37" w:rsidRDefault="00377B37" w:rsidP="007C1F9F">
      <w:pPr>
        <w:pStyle w:val="FootnoteText"/>
      </w:pPr>
      <w:r>
        <w:rPr>
          <w:rStyle w:val="FootnoteReference"/>
        </w:rPr>
        <w:footnoteRef/>
      </w:r>
      <w:r>
        <w:t xml:space="preserve"> </w:t>
      </w:r>
      <w:r>
        <w:tab/>
        <w:t xml:space="preserve">APA GasNet, </w:t>
      </w:r>
      <w:r w:rsidRPr="00224B1E">
        <w:rPr>
          <w:rStyle w:val="AERtextitalic"/>
        </w:rPr>
        <w:t xml:space="preserve">Response to </w:t>
      </w:r>
      <w:r>
        <w:rPr>
          <w:rStyle w:val="AERtextitalic"/>
        </w:rPr>
        <w:t>AER information request 3, Part 3</w:t>
      </w:r>
      <w:r>
        <w:t xml:space="preserve">, 29 May 2012 (confidential); and APA GasNet, </w:t>
      </w:r>
      <w:r w:rsidRPr="005D52BA">
        <w:rPr>
          <w:rStyle w:val="AERtextitalic"/>
        </w:rPr>
        <w:t>Basis of estimation - growth projects</w:t>
      </w:r>
      <w:r>
        <w:t>, 29 May 2012 (confidential).</w:t>
      </w:r>
    </w:p>
  </w:footnote>
  <w:footnote w:id="173">
    <w:p w:rsidR="00377B37" w:rsidRDefault="00377B37" w:rsidP="007C1F9F">
      <w:pPr>
        <w:pStyle w:val="FootnoteText"/>
      </w:pPr>
      <w:r>
        <w:rPr>
          <w:rStyle w:val="FootnoteReference"/>
        </w:rPr>
        <w:footnoteRef/>
      </w:r>
      <w:r>
        <w:t xml:space="preserve"> </w:t>
      </w:r>
      <w:r>
        <w:tab/>
        <w:t xml:space="preserve">APA GasNet, </w:t>
      </w:r>
      <w:r w:rsidRPr="008E26A3">
        <w:rPr>
          <w:rStyle w:val="AERtextitalic"/>
        </w:rPr>
        <w:t>B-4 VTS NPV analysis - Warragul</w:t>
      </w:r>
      <w:r>
        <w:t>, 29 March 2012.</w:t>
      </w:r>
    </w:p>
  </w:footnote>
  <w:footnote w:id="174">
    <w:p w:rsidR="00377B37" w:rsidRDefault="00377B37" w:rsidP="007C1F9F">
      <w:pPr>
        <w:pStyle w:val="FootnoteText"/>
      </w:pPr>
      <w:r>
        <w:rPr>
          <w:rStyle w:val="FootnoteReference"/>
        </w:rPr>
        <w:footnoteRef/>
      </w:r>
      <w:r>
        <w:t xml:space="preserve"> </w:t>
      </w:r>
      <w:r>
        <w:tab/>
        <w:t xml:space="preserve">With the exception of labour cost escalation as discussed in section </w:t>
      </w:r>
      <w:r w:rsidR="00DE0D6A">
        <w:fldChar w:fldCharType="begin"/>
      </w:r>
      <w:r>
        <w:instrText xml:space="preserve"> REF _Ref331506796 \r \h </w:instrText>
      </w:r>
      <w:r w:rsidR="00DE0D6A">
        <w:fldChar w:fldCharType="separate"/>
      </w:r>
      <w:r>
        <w:t>3.4.3</w:t>
      </w:r>
      <w:r w:rsidR="00DE0D6A">
        <w:fldChar w:fldCharType="end"/>
      </w:r>
      <w:r>
        <w:t xml:space="preserve"> of this attachment.</w:t>
      </w:r>
    </w:p>
  </w:footnote>
  <w:footnote w:id="175">
    <w:p w:rsidR="00377B37" w:rsidRDefault="00377B37" w:rsidP="007C1F9F">
      <w:pPr>
        <w:pStyle w:val="FootnoteText"/>
      </w:pPr>
      <w:r>
        <w:rPr>
          <w:rStyle w:val="FootnoteReference"/>
        </w:rPr>
        <w:footnoteRef/>
      </w:r>
      <w:r>
        <w:t xml:space="preserve"> </w:t>
      </w:r>
      <w:r>
        <w:tab/>
        <w:t xml:space="preserve">APA GasNet, </w:t>
      </w:r>
      <w:r w:rsidRPr="005C7F6C">
        <w:rPr>
          <w:rStyle w:val="AERtextitalic"/>
        </w:rPr>
        <w:t>VTSAACapexForecastFINAL120706.xls</w:t>
      </w:r>
      <w:r>
        <w:t xml:space="preserve">, 6 July 2012. </w:t>
      </w:r>
    </w:p>
  </w:footnote>
  <w:footnote w:id="176">
    <w:p w:rsidR="00377B37" w:rsidRDefault="00377B37" w:rsidP="007C1F9F">
      <w:pPr>
        <w:pStyle w:val="FootnoteText"/>
      </w:pPr>
      <w:r>
        <w:rPr>
          <w:rStyle w:val="FootnoteReference"/>
        </w:rPr>
        <w:footnoteRef/>
      </w:r>
      <w:r>
        <w:t xml:space="preserve"> </w:t>
      </w:r>
      <w:r>
        <w:tab/>
        <w:t>NGR, r. 79(2)(c).</w:t>
      </w:r>
    </w:p>
  </w:footnote>
  <w:footnote w:id="177">
    <w:p w:rsidR="00377B37" w:rsidRDefault="00377B37" w:rsidP="007C1F9F">
      <w:pPr>
        <w:pStyle w:val="FootnoteText"/>
      </w:pPr>
      <w:r>
        <w:rPr>
          <w:rStyle w:val="FootnoteReference"/>
        </w:rPr>
        <w:footnoteRef/>
      </w:r>
      <w:r>
        <w:t xml:space="preserve"> </w:t>
      </w:r>
      <w:r>
        <w:tab/>
        <w:t>NGR, r. 79(1)(a).</w:t>
      </w:r>
    </w:p>
  </w:footnote>
  <w:footnote w:id="178">
    <w:p w:rsidR="00377B37" w:rsidRDefault="00377B37" w:rsidP="007C1F9F">
      <w:pPr>
        <w:pStyle w:val="FootnoteText"/>
      </w:pPr>
      <w:r>
        <w:rPr>
          <w:rStyle w:val="FootnoteReference"/>
        </w:rPr>
        <w:footnoteRef/>
      </w:r>
      <w:r>
        <w:t xml:space="preserve"> </w:t>
      </w:r>
      <w:r>
        <w:tab/>
        <w:t>NGR, r. 79(2)(c).</w:t>
      </w:r>
    </w:p>
  </w:footnote>
  <w:footnote w:id="179">
    <w:p w:rsidR="00377B37" w:rsidRDefault="00377B37" w:rsidP="007C1F9F">
      <w:pPr>
        <w:pStyle w:val="FootnoteText"/>
      </w:pPr>
      <w:r>
        <w:rPr>
          <w:rStyle w:val="FootnoteReference"/>
        </w:rPr>
        <w:footnoteRef/>
      </w:r>
      <w:r>
        <w:t xml:space="preserve"> </w:t>
      </w:r>
      <w:r>
        <w:tab/>
        <w:t xml:space="preserve">Energy Users Coalition of Victoria, </w:t>
      </w:r>
      <w:r>
        <w:rPr>
          <w:rStyle w:val="AERtextitalic"/>
        </w:rPr>
        <w:t xml:space="preserve">Submission to the AER: APA GasNet access arrangement proposal, </w:t>
      </w:r>
      <w:r>
        <w:t>18 </w:t>
      </w:r>
      <w:r w:rsidRPr="00120034">
        <w:t>June 2012</w:t>
      </w:r>
      <w:r w:rsidRPr="0074430C">
        <w:rPr>
          <w:rStyle w:val="AERtextitalic"/>
          <w:i w:val="0"/>
        </w:rPr>
        <w:t>, p. 19.</w:t>
      </w:r>
    </w:p>
  </w:footnote>
  <w:footnote w:id="180">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117.</w:t>
      </w:r>
    </w:p>
  </w:footnote>
  <w:footnote w:id="181">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117-118.</w:t>
      </w:r>
    </w:p>
  </w:footnote>
  <w:footnote w:id="182">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117-118.</w:t>
      </w:r>
    </w:p>
  </w:footnote>
  <w:footnote w:id="183">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118.</w:t>
      </w:r>
    </w:p>
  </w:footnote>
  <w:footnote w:id="184">
    <w:p w:rsidR="00377B37" w:rsidRDefault="00377B37" w:rsidP="007C1F9F">
      <w:pPr>
        <w:pStyle w:val="FootnoteText"/>
      </w:pPr>
      <w:r>
        <w:rPr>
          <w:rStyle w:val="FootnoteReference"/>
        </w:rPr>
        <w:footnoteRef/>
      </w:r>
      <w:r>
        <w:t xml:space="preserve"> </w:t>
      </w:r>
      <w:r>
        <w:tab/>
        <w:t>NGR, r. 79(2)(c)(ii).</w:t>
      </w:r>
    </w:p>
  </w:footnote>
  <w:footnote w:id="185">
    <w:p w:rsidR="00377B37" w:rsidRDefault="00377B37" w:rsidP="007C1F9F">
      <w:pPr>
        <w:pStyle w:val="FootnoteText"/>
      </w:pPr>
      <w:r>
        <w:rPr>
          <w:rStyle w:val="FootnoteReference"/>
        </w:rPr>
        <w:footnoteRef/>
      </w:r>
      <w:r>
        <w:t xml:space="preserve"> </w:t>
      </w:r>
      <w:r>
        <w:tab/>
        <w:t xml:space="preserve">APA GasNet, </w:t>
      </w:r>
      <w:r>
        <w:rPr>
          <w:rStyle w:val="AERtextitalic"/>
        </w:rPr>
        <w:t xml:space="preserve">Response to AER information request 3, Part 3, </w:t>
      </w:r>
      <w:r w:rsidRPr="00F26D36">
        <w:rPr>
          <w:rStyle w:val="AERtextitalic"/>
          <w:i w:val="0"/>
        </w:rPr>
        <w:t>1 June 2012, p. 30</w:t>
      </w:r>
      <w:r>
        <w:rPr>
          <w:rStyle w:val="AERtextitalic"/>
        </w:rPr>
        <w:t xml:space="preserve"> </w:t>
      </w:r>
      <w:r w:rsidRPr="00F141D2">
        <w:rPr>
          <w:rStyle w:val="AERtextitalic"/>
          <w:i w:val="0"/>
        </w:rPr>
        <w:t>(confidential)</w:t>
      </w:r>
      <w:r w:rsidRPr="00F141D2">
        <w:t>.</w:t>
      </w:r>
    </w:p>
  </w:footnote>
  <w:footnote w:id="186">
    <w:p w:rsidR="00377B37" w:rsidRDefault="00377B37" w:rsidP="007C1F9F">
      <w:pPr>
        <w:pStyle w:val="FootnoteText"/>
      </w:pPr>
      <w:r>
        <w:rPr>
          <w:rStyle w:val="FootnoteReference"/>
        </w:rPr>
        <w:footnoteRef/>
      </w:r>
      <w:r>
        <w:t xml:space="preserve"> </w:t>
      </w:r>
      <w:r>
        <w:tab/>
        <w:t xml:space="preserve">Energy Users Coalition of Victoria, </w:t>
      </w:r>
      <w:r>
        <w:rPr>
          <w:rStyle w:val="AERtextitalic"/>
        </w:rPr>
        <w:t xml:space="preserve">Submission to the AER: APA GasNet access arrangement proposal, </w:t>
      </w:r>
      <w:r>
        <w:t>18 </w:t>
      </w:r>
      <w:r w:rsidRPr="00120034">
        <w:t>June 2012</w:t>
      </w:r>
      <w:r w:rsidRPr="00195972">
        <w:rPr>
          <w:rStyle w:val="AERtextitalic"/>
          <w:i w:val="0"/>
        </w:rPr>
        <w:t>, p. 20.</w:t>
      </w:r>
    </w:p>
  </w:footnote>
  <w:footnote w:id="187">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pp. 118-119.</w:t>
      </w:r>
    </w:p>
  </w:footnote>
  <w:footnote w:id="188">
    <w:p w:rsidR="00377B37" w:rsidRPr="00665F37" w:rsidRDefault="00377B37" w:rsidP="007C1F9F">
      <w:pPr>
        <w:pStyle w:val="FootnoteText"/>
      </w:pPr>
      <w:r>
        <w:rPr>
          <w:rStyle w:val="FootnoteReference"/>
        </w:rPr>
        <w:footnoteRef/>
      </w:r>
      <w:r>
        <w:t xml:space="preserve"> </w:t>
      </w:r>
      <w:r>
        <w:tab/>
        <w:t xml:space="preserve">Energy Users Coalition of Victoria, </w:t>
      </w:r>
      <w:r>
        <w:rPr>
          <w:rStyle w:val="AERtextitalic"/>
        </w:rPr>
        <w:t xml:space="preserve">Submission to the AER: APA GasNet access arrangement proposal, </w:t>
      </w:r>
      <w:r>
        <w:t>18 </w:t>
      </w:r>
      <w:r w:rsidRPr="00120034">
        <w:t>June 2012</w:t>
      </w:r>
      <w:r w:rsidRPr="00665F37">
        <w:rPr>
          <w:rStyle w:val="AERtextitalic"/>
          <w:i w:val="0"/>
        </w:rPr>
        <w:t>, p. 20.</w:t>
      </w:r>
    </w:p>
  </w:footnote>
  <w:footnote w:id="189">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 xml:space="preserve">Access </w:t>
      </w:r>
      <w:r>
        <w:rPr>
          <w:rStyle w:val="AERtextitalic"/>
        </w:rPr>
        <w:t>arrangement submission</w:t>
      </w:r>
      <w:r w:rsidRPr="000326DB">
        <w:t>,</w:t>
      </w:r>
      <w:r>
        <w:t xml:space="preserve"> 31 March 2012, p 119.</w:t>
      </w:r>
    </w:p>
  </w:footnote>
  <w:footnote w:id="190">
    <w:p w:rsidR="00377B37" w:rsidRDefault="00377B37" w:rsidP="00186172">
      <w:pPr>
        <w:pStyle w:val="FootnoteText"/>
      </w:pPr>
      <w:r>
        <w:rPr>
          <w:rStyle w:val="FootnoteReference"/>
        </w:rPr>
        <w:footnoteRef/>
      </w:r>
      <w:r>
        <w:t xml:space="preserve">  </w:t>
      </w:r>
      <w:r>
        <w:tab/>
      </w:r>
      <w:r w:rsidRPr="00AE6662">
        <w:rPr>
          <w:rFonts w:eastAsia="Calibri"/>
        </w:rPr>
        <w:t xml:space="preserve">ACG, </w:t>
      </w:r>
      <w:r w:rsidRPr="00D930DF">
        <w:rPr>
          <w:rStyle w:val="AERtextitalic"/>
          <w:rFonts w:eastAsia="Calibri"/>
        </w:rPr>
        <w:t>Estimation of Powerlink’s SEO transaction cost allowance–Memorandum</w:t>
      </w:r>
      <w:r w:rsidRPr="00AE6662">
        <w:rPr>
          <w:rFonts w:eastAsia="Calibri"/>
        </w:rPr>
        <w:t>, 5 February 2007</w:t>
      </w:r>
      <w:r>
        <w:rPr>
          <w:rFonts w:eastAsia="Calibri"/>
        </w:rPr>
        <w:t>.</w:t>
      </w:r>
    </w:p>
  </w:footnote>
  <w:footnote w:id="191">
    <w:p w:rsidR="00377B37" w:rsidRDefault="00377B37" w:rsidP="007C1F9F">
      <w:pPr>
        <w:pStyle w:val="FootnoteText"/>
      </w:pPr>
      <w:r>
        <w:rPr>
          <w:rStyle w:val="FootnoteReference"/>
        </w:rPr>
        <w:footnoteRef/>
      </w:r>
      <w:r>
        <w:t xml:space="preserve">  </w:t>
      </w:r>
      <w:r>
        <w:tab/>
      </w:r>
      <w:r>
        <w:rPr>
          <w:szCs w:val="16"/>
        </w:rPr>
        <w:t xml:space="preserve">AER, </w:t>
      </w:r>
      <w:r>
        <w:rPr>
          <w:i/>
          <w:iCs/>
          <w:szCs w:val="16"/>
        </w:rPr>
        <w:t>Final decision, Australian Capital Territory distribution determination 2009–10 to 2013–14</w:t>
      </w:r>
      <w:r>
        <w:rPr>
          <w:szCs w:val="16"/>
        </w:rPr>
        <w:t xml:space="preserve">, April 2009, appendix H; AER, </w:t>
      </w:r>
      <w:r>
        <w:rPr>
          <w:i/>
          <w:iCs/>
          <w:szCs w:val="16"/>
        </w:rPr>
        <w:t>Final decision, New South Wales distribution determination 2009–10 to 2013–14</w:t>
      </w:r>
      <w:r>
        <w:rPr>
          <w:szCs w:val="16"/>
        </w:rPr>
        <w:t xml:space="preserve">, April 2009, appendix N; AER, </w:t>
      </w:r>
      <w:r>
        <w:rPr>
          <w:i/>
          <w:iCs/>
          <w:szCs w:val="16"/>
        </w:rPr>
        <w:t>Final decision, TransGrid transmission determination 2009–10 to 2013–14</w:t>
      </w:r>
      <w:r>
        <w:rPr>
          <w:szCs w:val="16"/>
        </w:rPr>
        <w:t xml:space="preserve">, April 2009, appendix E; AER, </w:t>
      </w:r>
      <w:r>
        <w:rPr>
          <w:i/>
          <w:iCs/>
          <w:szCs w:val="16"/>
        </w:rPr>
        <w:t>Final decision, Transend transmission determination 2009–10 to 2013–14</w:t>
      </w:r>
      <w:r>
        <w:rPr>
          <w:szCs w:val="16"/>
        </w:rPr>
        <w:t xml:space="preserve">, April 2009, appendix E. </w:t>
      </w:r>
      <w:r>
        <w:t xml:space="preserve"> </w:t>
      </w:r>
    </w:p>
  </w:footnote>
  <w:footnote w:id="192">
    <w:p w:rsidR="00377B37" w:rsidRDefault="00377B37" w:rsidP="007C1F9F">
      <w:pPr>
        <w:pStyle w:val="FootnoteText"/>
      </w:pPr>
      <w:r>
        <w:rPr>
          <w:rStyle w:val="FootnoteReference"/>
        </w:rPr>
        <w:footnoteRef/>
      </w:r>
      <w:r>
        <w:t xml:space="preserve"> </w:t>
      </w:r>
      <w:r>
        <w:tab/>
      </w:r>
      <w:r>
        <w:rPr>
          <w:szCs w:val="16"/>
        </w:rPr>
        <w:t xml:space="preserve">AER, </w:t>
      </w:r>
      <w:r>
        <w:rPr>
          <w:i/>
          <w:iCs/>
          <w:szCs w:val="16"/>
        </w:rPr>
        <w:t xml:space="preserve">Final decision, </w:t>
      </w:r>
      <w:r>
        <w:rPr>
          <w:szCs w:val="16"/>
        </w:rPr>
        <w:t>V</w:t>
      </w:r>
      <w:r>
        <w:rPr>
          <w:i/>
          <w:iCs/>
          <w:szCs w:val="16"/>
        </w:rPr>
        <w:t>ictorian electricity distribution network service providers, Distribution determination 2011–2015</w:t>
      </w:r>
      <w:r>
        <w:t>, October 2010</w:t>
      </w:r>
      <w:r>
        <w:rPr>
          <w:szCs w:val="16"/>
        </w:rPr>
        <w:t>;</w:t>
      </w:r>
      <w:r>
        <w:t xml:space="preserve"> and</w:t>
      </w:r>
      <w:r>
        <w:rPr>
          <w:szCs w:val="16"/>
        </w:rPr>
        <w:t xml:space="preserve"> AER, </w:t>
      </w:r>
      <w:r>
        <w:rPr>
          <w:i/>
          <w:iCs/>
          <w:szCs w:val="16"/>
        </w:rPr>
        <w:t>Final Decision, Jemena Gas Networks, Access arrangement proposal for the NSW gas networks ,1 July 2010 – 30 June 2015</w:t>
      </w:r>
      <w:r>
        <w:rPr>
          <w:szCs w:val="16"/>
        </w:rPr>
        <w:t xml:space="preserve">, June 2011. </w:t>
      </w:r>
      <w:r>
        <w:t xml:space="preserve"> </w:t>
      </w:r>
    </w:p>
  </w:footnote>
  <w:footnote w:id="193">
    <w:p w:rsidR="00377B37" w:rsidRPr="004B5FAE" w:rsidRDefault="00377B37" w:rsidP="007C1F9F">
      <w:pPr>
        <w:pStyle w:val="FootnoteText"/>
        <w:rPr>
          <w:i/>
        </w:rPr>
      </w:pPr>
      <w:r>
        <w:rPr>
          <w:rStyle w:val="FootnoteReference"/>
        </w:rPr>
        <w:footnoteRef/>
      </w:r>
      <w:r>
        <w:t xml:space="preserve"> </w:t>
      </w:r>
      <w:r>
        <w:tab/>
        <w:t xml:space="preserve">AER, </w:t>
      </w:r>
      <w:r w:rsidRPr="004B5FAE">
        <w:rPr>
          <w:i/>
        </w:rPr>
        <w:t>Final decision Powerlink Transmission determination 2012–13 to 2016–17</w:t>
      </w:r>
      <w:r>
        <w:t>, April 2012, pp. 151-2.</w:t>
      </w:r>
    </w:p>
  </w:footnote>
  <w:footnote w:id="194">
    <w:p w:rsidR="00377B37" w:rsidRDefault="00377B37" w:rsidP="007C1F9F">
      <w:pPr>
        <w:pStyle w:val="FootnoteText"/>
      </w:pPr>
      <w:r>
        <w:rPr>
          <w:rStyle w:val="FootnoteReference"/>
        </w:rPr>
        <w:footnoteRef/>
      </w:r>
      <w:r>
        <w:t xml:space="preserve">  </w:t>
      </w:r>
      <w:r>
        <w:tab/>
      </w:r>
      <w:r w:rsidRPr="00AE6662">
        <w:rPr>
          <w:rFonts w:eastAsia="Calibri"/>
        </w:rPr>
        <w:t xml:space="preserve">ACG, </w:t>
      </w:r>
      <w:r w:rsidRPr="00D930DF">
        <w:rPr>
          <w:rStyle w:val="AERtextitalic"/>
          <w:rFonts w:eastAsia="Calibri"/>
        </w:rPr>
        <w:t>Estimation of Powerlink’s SEO transaction cost allowance–Memorandum</w:t>
      </w:r>
      <w:r w:rsidRPr="00AE6662">
        <w:rPr>
          <w:rFonts w:eastAsia="Calibri"/>
        </w:rPr>
        <w:t>, 5 February 2007</w:t>
      </w:r>
    </w:p>
  </w:footnote>
  <w:footnote w:id="195">
    <w:p w:rsidR="00377B37" w:rsidRDefault="00377B37" w:rsidP="007C1F9F">
      <w:pPr>
        <w:pStyle w:val="FootnoteText"/>
      </w:pPr>
      <w:r>
        <w:rPr>
          <w:rStyle w:val="FootnoteReference"/>
        </w:rPr>
        <w:footnoteRef/>
      </w:r>
      <w:r>
        <w:t xml:space="preserve"> </w:t>
      </w:r>
      <w:r>
        <w:tab/>
      </w:r>
      <w:r w:rsidRPr="00D03E0F">
        <w:t xml:space="preserve">Final decision, </w:t>
      </w:r>
      <w:r w:rsidRPr="00D930DF">
        <w:rPr>
          <w:rStyle w:val="AERtextitalic"/>
        </w:rPr>
        <w:t>TransGrid transmission determination 2009–10 to 2013–14</w:t>
      </w:r>
      <w:r>
        <w:t xml:space="preserve">, April 2009, pp. 233–244. </w:t>
      </w:r>
    </w:p>
  </w:footnote>
  <w:footnote w:id="196">
    <w:p w:rsidR="00377B37" w:rsidRPr="00D930DF" w:rsidRDefault="00377B37" w:rsidP="007C1F9F">
      <w:pPr>
        <w:pStyle w:val="FootnoteText"/>
        <w:rPr>
          <w:rStyle w:val="AERtextitalic"/>
        </w:rPr>
      </w:pPr>
      <w:r>
        <w:rPr>
          <w:rStyle w:val="FootnoteReference"/>
        </w:rPr>
        <w:footnoteRef/>
      </w:r>
      <w:r>
        <w:t xml:space="preserve"> </w:t>
      </w:r>
      <w:r>
        <w:tab/>
        <w:t xml:space="preserve">ACG, </w:t>
      </w:r>
      <w:r w:rsidRPr="00D930DF">
        <w:rPr>
          <w:rStyle w:val="AERtextitalic"/>
        </w:rPr>
        <w:t>Debt and Equity Raising Transaction Costs, Final Report to the Australian Competition and</w:t>
      </w:r>
    </w:p>
    <w:p w:rsidR="00377B37" w:rsidRPr="00115A3E" w:rsidRDefault="00377B37" w:rsidP="007C1F9F">
      <w:pPr>
        <w:pStyle w:val="FootnoteText"/>
      </w:pPr>
      <w:r w:rsidRPr="00D930DF">
        <w:rPr>
          <w:rStyle w:val="AERtextitalic"/>
        </w:rPr>
        <w:tab/>
        <w:t>Consumer Commission</w:t>
      </w:r>
      <w:r w:rsidRPr="00115A3E">
        <w:t>, December 2004, p</w:t>
      </w:r>
      <w:r>
        <w:t>p.</w:t>
      </w:r>
      <w:r w:rsidRPr="00115A3E">
        <w:t xml:space="preserve"> xiii</w:t>
      </w:r>
      <w:r>
        <w:t xml:space="preserve"> and</w:t>
      </w:r>
      <w:r w:rsidRPr="00115A3E">
        <w:t xml:space="preserve"> 65.</w:t>
      </w:r>
    </w:p>
  </w:footnote>
  <w:footnote w:id="197">
    <w:p w:rsidR="00377B37" w:rsidRPr="008549B9" w:rsidRDefault="00377B37" w:rsidP="007C1F9F">
      <w:pPr>
        <w:pStyle w:val="FootnoteText"/>
      </w:pPr>
      <w:r>
        <w:rPr>
          <w:rStyle w:val="FootnoteReference"/>
        </w:rPr>
        <w:footnoteRef/>
      </w:r>
      <w:r>
        <w:t xml:space="preserve"> </w:t>
      </w:r>
      <w:r>
        <w:tab/>
        <w:t xml:space="preserve">Handley, </w:t>
      </w:r>
      <w:r>
        <w:rPr>
          <w:i/>
        </w:rPr>
        <w:t xml:space="preserve">A note on the cost of raising debt and equity capital, </w:t>
      </w:r>
      <w:r>
        <w:t>April 2009.</w:t>
      </w:r>
    </w:p>
  </w:footnote>
  <w:footnote w:id="198">
    <w:p w:rsidR="00377B37" w:rsidRDefault="00377B37" w:rsidP="007C1F9F">
      <w:pPr>
        <w:pStyle w:val="FootnoteText"/>
      </w:pPr>
      <w:r>
        <w:rPr>
          <w:rStyle w:val="FootnoteReference"/>
        </w:rPr>
        <w:footnoteRef/>
      </w:r>
      <w:r>
        <w:t xml:space="preserve"> </w:t>
      </w:r>
      <w:r>
        <w:tab/>
      </w:r>
      <w:r w:rsidRPr="00861920">
        <w:t xml:space="preserve">The costs were not proposed in APA </w:t>
      </w:r>
      <w:r>
        <w:t>GasNet</w:t>
      </w:r>
      <w:r w:rsidRPr="00861920">
        <w:t xml:space="preserve">’s Access Arrangement submission, and although the costs were calculated in the PTRM based on the 2004 ACG report method, APA </w:t>
      </w:r>
      <w:r>
        <w:t>GasNet</w:t>
      </w:r>
      <w:r w:rsidRPr="00861920">
        <w:t xml:space="preserve"> did not add the cost to its RAB.</w:t>
      </w:r>
    </w:p>
  </w:footnote>
  <w:footnote w:id="199">
    <w:p w:rsidR="00377B37" w:rsidRDefault="00377B37" w:rsidP="007C1F9F">
      <w:pPr>
        <w:pStyle w:val="FootnoteText"/>
      </w:pPr>
      <w:r>
        <w:rPr>
          <w:rStyle w:val="FootnoteReference"/>
        </w:rPr>
        <w:footnoteRef/>
      </w:r>
      <w:r>
        <w:t xml:space="preserve"> </w:t>
      </w:r>
      <w:r>
        <w:tab/>
        <w:t xml:space="preserve">APA GasNet, </w:t>
      </w:r>
      <w:r w:rsidRPr="00D930DF">
        <w:rPr>
          <w:rStyle w:val="AERtextitalic"/>
        </w:rPr>
        <w:t>response to Information Request No. 6</w:t>
      </w:r>
      <w:r>
        <w:t xml:space="preserve">, 8 June 2012. </w:t>
      </w:r>
    </w:p>
  </w:footnote>
  <w:footnote w:id="200">
    <w:p w:rsidR="00377B37" w:rsidRDefault="00377B37" w:rsidP="007C1F9F">
      <w:pPr>
        <w:pStyle w:val="FootnoteText"/>
      </w:pPr>
      <w:r>
        <w:rPr>
          <w:rStyle w:val="FootnoteReference"/>
        </w:rPr>
        <w:footnoteRef/>
      </w:r>
      <w:r>
        <w:t xml:space="preserve"> </w:t>
      </w:r>
      <w:r>
        <w:tab/>
        <w:t xml:space="preserve">APA GasNet, </w:t>
      </w:r>
      <w:r w:rsidRPr="00D930DF">
        <w:rPr>
          <w:rStyle w:val="AERtextitalic"/>
        </w:rPr>
        <w:t>response to Information Request No. 6 - followup</w:t>
      </w:r>
      <w:r>
        <w:t xml:space="preserve">, 6 July 2012; and </w:t>
      </w:r>
      <w:r w:rsidRPr="00D930DF">
        <w:rPr>
          <w:rStyle w:val="AERtextitalic"/>
        </w:rPr>
        <w:t>B-2 VTS Regulated R</w:t>
      </w:r>
      <w:r>
        <w:rPr>
          <w:rStyle w:val="AERtextitalic"/>
        </w:rPr>
        <w:t>evenue Model REVISED 120706.xls,</w:t>
      </w:r>
      <w:r>
        <w:t xml:space="preserve"> 9 July 2012.</w:t>
      </w:r>
    </w:p>
  </w:footnote>
  <w:footnote w:id="201">
    <w:p w:rsidR="00377B37" w:rsidRDefault="00377B37" w:rsidP="007C1F9F">
      <w:pPr>
        <w:pStyle w:val="FootnoteText"/>
      </w:pPr>
      <w:r>
        <w:rPr>
          <w:rStyle w:val="FootnoteReference"/>
        </w:rPr>
        <w:footnoteRef/>
      </w:r>
      <w:r>
        <w:t xml:space="preserve"> </w:t>
      </w:r>
      <w:r>
        <w:tab/>
        <w:t xml:space="preserve">APA GasNet, </w:t>
      </w:r>
      <w:r w:rsidRPr="00D930DF">
        <w:rPr>
          <w:rStyle w:val="AERtextitalic"/>
        </w:rPr>
        <w:t>response to Information Request No. 6 - followup</w:t>
      </w:r>
      <w:r>
        <w:t>, 6 July 2012</w:t>
      </w:r>
    </w:p>
  </w:footnote>
  <w:footnote w:id="202">
    <w:p w:rsidR="00377B37" w:rsidRDefault="00377B37" w:rsidP="007C1F9F">
      <w:pPr>
        <w:pStyle w:val="FootnoteText"/>
      </w:pPr>
      <w:r>
        <w:rPr>
          <w:rStyle w:val="FootnoteReference"/>
        </w:rPr>
        <w:footnoteRef/>
      </w:r>
      <w:r>
        <w:t xml:space="preserve"> </w:t>
      </w:r>
      <w:r>
        <w:tab/>
        <w:t xml:space="preserve">APA GasNet, </w:t>
      </w:r>
      <w:r w:rsidRPr="00D930DF">
        <w:rPr>
          <w:rStyle w:val="AERtextitalic"/>
        </w:rPr>
        <w:t>response to Information Request No. 6 - followup</w:t>
      </w:r>
      <w:r>
        <w:t>, 6 July 2012</w:t>
      </w:r>
    </w:p>
  </w:footnote>
  <w:footnote w:id="203">
    <w:p w:rsidR="00377B37" w:rsidRDefault="00377B37" w:rsidP="007C1F9F">
      <w:pPr>
        <w:pStyle w:val="FootnoteText"/>
      </w:pPr>
      <w:r>
        <w:rPr>
          <w:rStyle w:val="FootnoteReference"/>
        </w:rPr>
        <w:footnoteRef/>
      </w:r>
      <w:r>
        <w:t xml:space="preserve">  </w:t>
      </w:r>
      <w:r>
        <w:tab/>
        <w:t xml:space="preserve">In </w:t>
      </w:r>
      <w:r w:rsidRPr="004B5FAE">
        <w:t>contrast, the AER</w:t>
      </w:r>
      <w:r>
        <w:t>'s previous</w:t>
      </w:r>
      <w:r w:rsidRPr="004B5FAE">
        <w:t xml:space="preserve"> cash flow analysis calculated dividend assessments, cash flows and funding requirements in nominal dollar terms only. Based on these nominal values, the cash flow analysis determined annual dividend reinvestment plan and seasoned equity offering costs. The annual costs were converted into real dollar term (2011–12) estimates, and totalled to provide the equity raising cost allowance for the entire regulatory control period. For the refinements, see rows </w:t>
      </w:r>
      <w:r>
        <w:t xml:space="preserve">38 </w:t>
      </w:r>
      <w:r w:rsidRPr="004B5FAE">
        <w:t xml:space="preserve">to </w:t>
      </w:r>
      <w:r>
        <w:t>52</w:t>
      </w:r>
      <w:r w:rsidRPr="004B5FAE">
        <w:t xml:space="preserve"> of the 'Equity raising cost-capex' tab in the AER's final decision PTRM for </w:t>
      </w:r>
      <w:r>
        <w:t>APA GasNet</w:t>
      </w:r>
      <w:r w:rsidRPr="004B5FAE">
        <w:t>.</w:t>
      </w:r>
      <w:r>
        <w:rPr>
          <w:szCs w:val="16"/>
        </w:rPr>
        <w:t xml:space="preserve"> </w:t>
      </w:r>
      <w:r>
        <w:t xml:space="preserve"> </w:t>
      </w:r>
    </w:p>
  </w:footnote>
  <w:footnote w:id="204">
    <w:p w:rsidR="00377B37" w:rsidRPr="004B5FAE" w:rsidRDefault="00377B37" w:rsidP="007C1F9F">
      <w:pPr>
        <w:pStyle w:val="FootnoteText"/>
        <w:rPr>
          <w:i/>
        </w:rPr>
      </w:pPr>
      <w:r>
        <w:rPr>
          <w:rStyle w:val="FootnoteReference"/>
        </w:rPr>
        <w:footnoteRef/>
      </w:r>
      <w:r>
        <w:t xml:space="preserve"> </w:t>
      </w:r>
      <w:r>
        <w:tab/>
        <w:t xml:space="preserve">AER, </w:t>
      </w:r>
      <w:r w:rsidRPr="004B5FAE">
        <w:rPr>
          <w:i/>
        </w:rPr>
        <w:t>Final decision Powerlink Transmission determination 2012–13 to 2016–17</w:t>
      </w:r>
      <w:r>
        <w:t>, April 2012, pp. 151-2.</w:t>
      </w:r>
    </w:p>
  </w:footnote>
  <w:footnote w:id="205">
    <w:p w:rsidR="00377B37" w:rsidRDefault="00377B37" w:rsidP="007C1F9F">
      <w:pPr>
        <w:pStyle w:val="FootnoteText"/>
      </w:pPr>
      <w:r>
        <w:rPr>
          <w:rStyle w:val="FootnoteReference"/>
        </w:rPr>
        <w:footnoteRef/>
      </w:r>
      <w:r>
        <w:t xml:space="preserve"> </w:t>
      </w:r>
      <w:r>
        <w:tab/>
        <w:t xml:space="preserve">APA GasNet, </w:t>
      </w:r>
      <w:r w:rsidRPr="00E963E4">
        <w:rPr>
          <w:rStyle w:val="AERtextitalic"/>
        </w:rPr>
        <w:t xml:space="preserve">Access </w:t>
      </w:r>
      <w:r>
        <w:rPr>
          <w:rStyle w:val="AERtextitalic"/>
        </w:rPr>
        <w:t>a</w:t>
      </w:r>
      <w:r w:rsidRPr="00E963E4">
        <w:rPr>
          <w:rStyle w:val="AERtextitalic"/>
        </w:rPr>
        <w:t xml:space="preserve">rrangement </w:t>
      </w:r>
      <w:r>
        <w:rPr>
          <w:rStyle w:val="AERtextitalic"/>
        </w:rPr>
        <w:t>e</w:t>
      </w:r>
      <w:r w:rsidRPr="00E963E4">
        <w:rPr>
          <w:rStyle w:val="AERtextitalic"/>
        </w:rPr>
        <w:t>ffective 1 January 2013 to 31 December 2017</w:t>
      </w:r>
      <w:r>
        <w:t xml:space="preserve">, 31 March 2012, pp. 6-7; and APA GasNet, </w:t>
      </w:r>
      <w:r w:rsidRPr="00E963E4">
        <w:rPr>
          <w:rStyle w:val="AERtextitalic"/>
        </w:rPr>
        <w:t>Access arrangement submission</w:t>
      </w:r>
      <w:r>
        <w:t>, 31 March 2012, pp. 123, 126.</w:t>
      </w:r>
    </w:p>
  </w:footnote>
  <w:footnote w:id="206">
    <w:p w:rsidR="00377B37" w:rsidRDefault="00377B37" w:rsidP="007C1F9F">
      <w:pPr>
        <w:pStyle w:val="FootnoteText"/>
      </w:pPr>
      <w:r>
        <w:rPr>
          <w:rStyle w:val="FootnoteReference"/>
        </w:rPr>
        <w:footnoteRef/>
      </w:r>
      <w:r>
        <w:t xml:space="preserve"> </w:t>
      </w:r>
      <w:r>
        <w:tab/>
        <w:t xml:space="preserve">APA GasNet, </w:t>
      </w:r>
      <w:r w:rsidRPr="00E963E4">
        <w:rPr>
          <w:rStyle w:val="AERtextitalic"/>
        </w:rPr>
        <w:t>Access arrangement submission</w:t>
      </w:r>
      <w:r>
        <w:t>, 31 March 2012, p. 126.</w:t>
      </w:r>
    </w:p>
  </w:footnote>
  <w:footnote w:id="207">
    <w:p w:rsidR="00377B37" w:rsidRDefault="00377B37" w:rsidP="00231F3C">
      <w:pPr>
        <w:pStyle w:val="FootnoteText"/>
      </w:pPr>
      <w:r>
        <w:rPr>
          <w:rStyle w:val="FootnoteReference"/>
        </w:rPr>
        <w:footnoteRef/>
      </w:r>
      <w:r>
        <w:t xml:space="preserve"> </w:t>
      </w:r>
      <w:r>
        <w:tab/>
        <w:t>NGR, r. 79.</w:t>
      </w:r>
    </w:p>
  </w:footnote>
  <w:footnote w:id="208">
    <w:p w:rsidR="00377B37" w:rsidRDefault="00377B37" w:rsidP="007E742F">
      <w:pPr>
        <w:pStyle w:val="FootnoteText"/>
      </w:pPr>
      <w:r>
        <w:rPr>
          <w:rStyle w:val="FootnoteReference"/>
        </w:rPr>
        <w:footnoteRef/>
      </w:r>
      <w:r>
        <w:t xml:space="preserve"> </w:t>
      </w:r>
      <w:r>
        <w:tab/>
        <w:t>NGR, r. 87.</w:t>
      </w:r>
    </w:p>
  </w:footnote>
  <w:footnote w:id="209">
    <w:p w:rsidR="00377B37" w:rsidRDefault="00377B37" w:rsidP="007E742F">
      <w:pPr>
        <w:pStyle w:val="FootnoteText"/>
      </w:pPr>
      <w:r>
        <w:rPr>
          <w:rStyle w:val="FootnoteReference"/>
        </w:rPr>
        <w:footnoteRef/>
      </w:r>
      <w:r>
        <w:t xml:space="preserve"> </w:t>
      </w:r>
      <w:r>
        <w:tab/>
        <w:t xml:space="preserve">The AER's adoption of this rate is subject to the risk free rate and debt risk premium parameters being updated closer to the date of the final decision. </w:t>
      </w:r>
    </w:p>
  </w:footnote>
  <w:footnote w:id="210">
    <w:p w:rsidR="00377B37" w:rsidRDefault="00377B37" w:rsidP="007E742F">
      <w:pPr>
        <w:pStyle w:val="FootnoteText"/>
      </w:pPr>
      <w:r>
        <w:rPr>
          <w:rStyle w:val="FootnoteReference"/>
        </w:rPr>
        <w:footnoteRef/>
      </w:r>
      <w:r>
        <w:t xml:space="preserve"> </w:t>
      </w:r>
      <w:r>
        <w:tab/>
        <w:t xml:space="preserve">The paired bonds extrapolation method was determined by PwC, in a report commissioned by APA GasNet and the Victorian gas distribution service providers. However, PwC (and subsequently APA GasNet) appears to have incorrectly applied the selection criteria outlined in its proposal to select the relevant paired bonds. Accordingly, the AER has corrected this error in applying APA GasNet's proposed paired bonds extrapolation method. PwC, </w:t>
      </w:r>
      <w:r w:rsidRPr="00DE7C43">
        <w:rPr>
          <w:rStyle w:val="AERtextitalic"/>
        </w:rPr>
        <w:t>SP AusNet, Multinet Gas, Envestra and APA Group: Estimating the benchmark debt risk premium</w:t>
      </w:r>
      <w:r>
        <w:t>, March 2012.</w:t>
      </w:r>
    </w:p>
  </w:footnote>
  <w:footnote w:id="211">
    <w:p w:rsidR="00377B37" w:rsidRDefault="00377B37" w:rsidP="007E742F">
      <w:pPr>
        <w:pStyle w:val="FootnoteText"/>
      </w:pPr>
      <w:r>
        <w:rPr>
          <w:rStyle w:val="FootnoteReference"/>
        </w:rPr>
        <w:footnoteRef/>
      </w:r>
      <w:r>
        <w:t xml:space="preserve"> </w:t>
      </w:r>
      <w:r>
        <w:tab/>
      </w:r>
      <w:r w:rsidRPr="0043190C">
        <w:t xml:space="preserve">AER, </w:t>
      </w:r>
      <w:r w:rsidRPr="002B72AD">
        <w:rPr>
          <w:rStyle w:val="AERtextitalic"/>
        </w:rPr>
        <w:t>Final decision: APT Petroleum Pipeline Pty Ltd, Access arrangement final decision, Roma to Brisbane Pipeline 2012</w:t>
      </w:r>
      <w:r w:rsidRPr="002B72AD">
        <w:rPr>
          <w:rStyle w:val="AERtextitalic"/>
          <w:rFonts w:hint="eastAsia"/>
        </w:rPr>
        <w:t>–</w:t>
      </w:r>
      <w:r w:rsidRPr="002B72AD">
        <w:rPr>
          <w:rStyle w:val="AERtextitalic"/>
        </w:rPr>
        <w:t>13 to 2016</w:t>
      </w:r>
      <w:r w:rsidRPr="002B72AD">
        <w:rPr>
          <w:rStyle w:val="AERtextitalic"/>
          <w:rFonts w:hint="eastAsia"/>
        </w:rPr>
        <w:t>–</w:t>
      </w:r>
      <w:r w:rsidRPr="002B72AD">
        <w:rPr>
          <w:rStyle w:val="AERtextitalic"/>
        </w:rPr>
        <w:t>17</w:t>
      </w:r>
      <w:r w:rsidRPr="0043190C">
        <w:t>, August 2012</w:t>
      </w:r>
      <w:r>
        <w:t xml:space="preserve">, p.  </w:t>
      </w:r>
      <w:r w:rsidRPr="0043190C">
        <w:t xml:space="preserve">(AER, </w:t>
      </w:r>
      <w:r w:rsidRPr="002B72AD">
        <w:rPr>
          <w:rStyle w:val="AERtextitalic"/>
        </w:rPr>
        <w:t>Final decision: APTPPL access arrangement</w:t>
      </w:r>
      <w:r w:rsidRPr="0043190C">
        <w:t>, August 2012).</w:t>
      </w:r>
      <w:r>
        <w:t xml:space="preserve"> </w:t>
      </w:r>
    </w:p>
  </w:footnote>
  <w:footnote w:id="212">
    <w:p w:rsidR="00377B37" w:rsidRDefault="00377B37" w:rsidP="007E742F">
      <w:pPr>
        <w:pStyle w:val="FootnoteText"/>
      </w:pPr>
      <w:r>
        <w:rPr>
          <w:rStyle w:val="FootnoteReference"/>
        </w:rPr>
        <w:footnoteRef/>
      </w:r>
      <w:r>
        <w:t xml:space="preserve"> </w:t>
      </w:r>
      <w:r>
        <w:tab/>
        <w:t xml:space="preserve">AER, </w:t>
      </w:r>
      <w:r w:rsidRPr="002B72AD">
        <w:rPr>
          <w:rStyle w:val="AERtextitalic"/>
        </w:rPr>
        <w:t>Final distribution determination, Aurora Energy Pty Ltd 2012</w:t>
      </w:r>
      <w:r w:rsidRPr="002B72AD">
        <w:rPr>
          <w:rStyle w:val="AERtextitalic"/>
          <w:rFonts w:hint="eastAsia"/>
        </w:rPr>
        <w:t>–</w:t>
      </w:r>
      <w:r w:rsidRPr="002B72AD">
        <w:rPr>
          <w:rStyle w:val="AERtextitalic"/>
        </w:rPr>
        <w:t>13 to 2016</w:t>
      </w:r>
      <w:r w:rsidRPr="002B72AD">
        <w:rPr>
          <w:rStyle w:val="AERtextitalic"/>
          <w:rFonts w:hint="eastAsia"/>
        </w:rPr>
        <w:t>–</w:t>
      </w:r>
      <w:r w:rsidRPr="002B72AD">
        <w:rPr>
          <w:rStyle w:val="AERtextitalic"/>
        </w:rPr>
        <w:t>17</w:t>
      </w:r>
      <w:r>
        <w:t xml:space="preserve">, April 2012,  p. 29, </w:t>
      </w:r>
      <w:r w:rsidRPr="0043190C">
        <w:t xml:space="preserve">(AER, </w:t>
      </w:r>
      <w:r w:rsidRPr="002B72AD">
        <w:rPr>
          <w:rStyle w:val="AERtextitalic"/>
        </w:rPr>
        <w:t>Final decision: Aurora distribution determination</w:t>
      </w:r>
      <w:r w:rsidRPr="0043190C">
        <w:t>, April 2012)</w:t>
      </w:r>
    </w:p>
  </w:footnote>
  <w:footnote w:id="213">
    <w:p w:rsidR="00377B37" w:rsidRDefault="00377B37" w:rsidP="007E742F">
      <w:pPr>
        <w:pStyle w:val="FootnoteText"/>
      </w:pPr>
      <w:r>
        <w:rPr>
          <w:rStyle w:val="FootnoteReference"/>
        </w:rPr>
        <w:footnoteRef/>
      </w:r>
      <w:r>
        <w:t xml:space="preserve"> </w:t>
      </w:r>
      <w:r>
        <w:tab/>
        <w:t xml:space="preserve">Australian Competition Tribunal, </w:t>
      </w:r>
      <w:r w:rsidRPr="003C3376">
        <w:rPr>
          <w:i/>
        </w:rPr>
        <w:t>Application by WA Gas Network Pty Ltd (No 3) [2012] ACompT</w:t>
      </w:r>
      <w:r>
        <w:t xml:space="preserve">, 8 June 2012, paragraphs 61-66; see also </w:t>
      </w:r>
      <w:r w:rsidRPr="00537A64">
        <w:t xml:space="preserve">Australian Competition Tribunal, </w:t>
      </w:r>
      <w:r w:rsidRPr="00537A64">
        <w:rPr>
          <w:rStyle w:val="AERtextitalic"/>
        </w:rPr>
        <w:t>Application by DBNGP (WA) Transmission Pty Ltd (No 3) [2012] ACompT 14</w:t>
      </w:r>
      <w:r w:rsidRPr="00537A64">
        <w:t>, 26 July 2012</w:t>
      </w:r>
      <w:r>
        <w:t>, paragraphs 80–84, 100–103.</w:t>
      </w:r>
    </w:p>
  </w:footnote>
  <w:footnote w:id="214">
    <w:p w:rsidR="00377B37" w:rsidRDefault="00377B37" w:rsidP="007E742F">
      <w:pPr>
        <w:pStyle w:val="FootnoteText"/>
      </w:pPr>
      <w:r>
        <w:rPr>
          <w:rStyle w:val="FootnoteReference"/>
        </w:rPr>
        <w:footnoteRef/>
      </w:r>
      <w:r>
        <w:t xml:space="preserve"> </w:t>
      </w:r>
      <w:r>
        <w:tab/>
      </w:r>
      <w:r w:rsidRPr="0043190C">
        <w:t xml:space="preserve">AER, </w:t>
      </w:r>
      <w:r w:rsidRPr="0043190C">
        <w:rPr>
          <w:rStyle w:val="AERtextitalic"/>
        </w:rPr>
        <w:t>Final decision: APTPPL access arrangement</w:t>
      </w:r>
      <w:r w:rsidRPr="0043190C">
        <w:t>, August 2012</w:t>
      </w:r>
      <w:r>
        <w:t>, pp. 58-59.</w:t>
      </w:r>
    </w:p>
  </w:footnote>
  <w:footnote w:id="215">
    <w:p w:rsidR="00377B37" w:rsidRDefault="00377B37" w:rsidP="007E742F">
      <w:pPr>
        <w:pStyle w:val="FootnoteText"/>
      </w:pPr>
      <w:r>
        <w:rPr>
          <w:rStyle w:val="FootnoteReference"/>
        </w:rPr>
        <w:footnoteRef/>
      </w:r>
      <w:r>
        <w:t xml:space="preserve"> </w:t>
      </w:r>
      <w:r>
        <w:tab/>
        <w:t xml:space="preserve">BHP Billiton, </w:t>
      </w:r>
      <w:r w:rsidRPr="00D255EA">
        <w:rPr>
          <w:rStyle w:val="AERtextitalic"/>
        </w:rPr>
        <w:t>Submission to the AER: APA GasNet access arrangement proposal</w:t>
      </w:r>
      <w:r>
        <w:t xml:space="preserve">, 29 June 2012. </w:t>
      </w:r>
    </w:p>
  </w:footnote>
  <w:footnote w:id="216">
    <w:p w:rsidR="00377B37" w:rsidRDefault="00377B37" w:rsidP="007E742F">
      <w:pPr>
        <w:pStyle w:val="FootnoteText"/>
      </w:pPr>
      <w:r>
        <w:rPr>
          <w:rStyle w:val="FootnoteReference"/>
        </w:rPr>
        <w:footnoteRef/>
      </w:r>
      <w:r>
        <w:t xml:space="preserve"> </w:t>
      </w:r>
      <w:r>
        <w:tab/>
        <w:t xml:space="preserve">BHP Billiton, </w:t>
      </w:r>
      <w:r w:rsidRPr="00D255EA">
        <w:rPr>
          <w:rStyle w:val="AERtextitalic"/>
        </w:rPr>
        <w:t>Submission to the AER: APA GasNet access arrangement proposal</w:t>
      </w:r>
      <w:r>
        <w:t xml:space="preserve">, 29 June 2012, pp. 11-12. </w:t>
      </w:r>
    </w:p>
  </w:footnote>
  <w:footnote w:id="217">
    <w:p w:rsidR="00377B37" w:rsidRDefault="00377B37" w:rsidP="007E742F">
      <w:pPr>
        <w:pStyle w:val="FootnoteText"/>
      </w:pPr>
      <w:r>
        <w:rPr>
          <w:rStyle w:val="FootnoteReference"/>
        </w:rPr>
        <w:footnoteRef/>
      </w:r>
      <w:r>
        <w:t xml:space="preserve"> </w:t>
      </w:r>
      <w:r>
        <w:tab/>
        <w:t>NGR r. 99 (3).</w:t>
      </w:r>
    </w:p>
  </w:footnote>
  <w:footnote w:id="218">
    <w:p w:rsidR="00377B37" w:rsidRDefault="00377B37" w:rsidP="007E742F">
      <w:pPr>
        <w:pStyle w:val="FootnoteText"/>
      </w:pPr>
      <w:r>
        <w:rPr>
          <w:rStyle w:val="FootnoteReference"/>
        </w:rPr>
        <w:footnoteRef/>
      </w:r>
      <w:r>
        <w:t xml:space="preserve"> </w:t>
      </w:r>
      <w:r>
        <w:tab/>
        <w:t>NGR r. 64(2).</w:t>
      </w:r>
    </w:p>
  </w:footnote>
  <w:footnote w:id="219">
    <w:p w:rsidR="00377B37" w:rsidRDefault="00377B37" w:rsidP="007E742F">
      <w:pPr>
        <w:pStyle w:val="FootnoteText"/>
      </w:pPr>
      <w:r>
        <w:rPr>
          <w:rStyle w:val="FootnoteReference"/>
        </w:rPr>
        <w:footnoteRef/>
      </w:r>
      <w:r>
        <w:t xml:space="preserve"> </w:t>
      </w:r>
      <w:r>
        <w:tab/>
        <w:t>NGL s. 28(1).</w:t>
      </w:r>
    </w:p>
  </w:footnote>
  <w:footnote w:id="220">
    <w:p w:rsidR="00377B37" w:rsidRDefault="00377B37" w:rsidP="007E742F">
      <w:pPr>
        <w:pStyle w:val="FootnoteText"/>
      </w:pPr>
      <w:r>
        <w:rPr>
          <w:rStyle w:val="FootnoteReference"/>
        </w:rPr>
        <w:footnoteRef/>
      </w:r>
      <w:r>
        <w:t xml:space="preserve"> </w:t>
      </w:r>
      <w:r>
        <w:tab/>
        <w:t>NGL s. 28(2)(a)(i)</w:t>
      </w:r>
    </w:p>
  </w:footnote>
  <w:footnote w:id="221">
    <w:p w:rsidR="00377B37" w:rsidRDefault="00377B37" w:rsidP="007E742F">
      <w:pPr>
        <w:pStyle w:val="FootnoteText"/>
      </w:pPr>
      <w:r>
        <w:rPr>
          <w:rStyle w:val="FootnoteReference"/>
        </w:rPr>
        <w:footnoteRef/>
      </w:r>
      <w:r>
        <w:t xml:space="preserve"> </w:t>
      </w:r>
      <w:r>
        <w:tab/>
        <w:t>NGL, s. 24</w:t>
      </w:r>
    </w:p>
  </w:footnote>
  <w:footnote w:id="222">
    <w:p w:rsidR="00377B37" w:rsidRDefault="00377B37" w:rsidP="007E742F">
      <w:pPr>
        <w:pStyle w:val="FootnoteText"/>
      </w:pPr>
      <w:r>
        <w:rPr>
          <w:rStyle w:val="FootnoteReference"/>
        </w:rPr>
        <w:footnoteRef/>
      </w:r>
      <w:r>
        <w:t xml:space="preserve"> </w:t>
      </w:r>
      <w:r>
        <w:tab/>
        <w:t xml:space="preserve">Australian Competition Tribunal, </w:t>
      </w:r>
      <w:r w:rsidRPr="003C3376">
        <w:rPr>
          <w:i/>
        </w:rPr>
        <w:t>Application by WA Gas Network Pty Ltd (No 3) [2012] ACompT</w:t>
      </w:r>
      <w:r>
        <w:t xml:space="preserve">, 8 June 2012, paragraph 64. </w:t>
      </w:r>
    </w:p>
  </w:footnote>
  <w:footnote w:id="223">
    <w:p w:rsidR="00377B37" w:rsidRDefault="00377B37" w:rsidP="007E742F">
      <w:pPr>
        <w:pStyle w:val="FootnoteText"/>
      </w:pPr>
      <w:r>
        <w:rPr>
          <w:rStyle w:val="FootnoteReference"/>
        </w:rPr>
        <w:footnoteRef/>
      </w:r>
      <w:r>
        <w:tab/>
        <w:t xml:space="preserve">NGR, rule 87(1); Section </w:t>
      </w:r>
      <w:r w:rsidR="00DE0D6A">
        <w:fldChar w:fldCharType="begin"/>
      </w:r>
      <w:r>
        <w:instrText xml:space="preserve"> REF _Ref333916667 \r \h </w:instrText>
      </w:r>
      <w:r w:rsidR="00DE0D6A">
        <w:fldChar w:fldCharType="separate"/>
      </w:r>
      <w:r>
        <w:t>1.3.2</w:t>
      </w:r>
      <w:r w:rsidR="00DE0D6A">
        <w:fldChar w:fldCharType="end"/>
      </w:r>
      <w:r>
        <w:t xml:space="preserve"> below contains evidence for why this approach is consistent with the rules. </w:t>
      </w:r>
    </w:p>
  </w:footnote>
  <w:footnote w:id="224">
    <w:p w:rsidR="00377B37" w:rsidRPr="00B011B2" w:rsidRDefault="00377B37" w:rsidP="007E742F">
      <w:pPr>
        <w:pStyle w:val="FootnoteText"/>
      </w:pPr>
      <w:r>
        <w:rPr>
          <w:rStyle w:val="FootnoteReference"/>
        </w:rPr>
        <w:footnoteRef/>
      </w:r>
      <w:r>
        <w:t xml:space="preserve"> </w:t>
      </w:r>
      <w:r>
        <w:tab/>
      </w:r>
      <w:r w:rsidRPr="00B011B2">
        <w:t>See</w:t>
      </w:r>
      <w:r>
        <w:t>,</w:t>
      </w:r>
      <w:r w:rsidRPr="00B011B2">
        <w:t xml:space="preserve"> for example</w:t>
      </w:r>
      <w:r>
        <w:t>,</w:t>
      </w:r>
      <w:r w:rsidRPr="00B011B2">
        <w:t xml:space="preserve"> </w:t>
      </w:r>
      <w:r>
        <w:t>VAA</w:t>
      </w:r>
      <w:r w:rsidRPr="00B011B2">
        <w:t xml:space="preserve">, </w:t>
      </w:r>
      <w:r w:rsidRPr="00B011B2">
        <w:rPr>
          <w:i/>
        </w:rPr>
        <w:t>Market risk premium, a review paper</w:t>
      </w:r>
      <w:r w:rsidRPr="00B011B2">
        <w:t>, August 2008, pp. 3–4</w:t>
      </w:r>
      <w:r>
        <w:t>.</w:t>
      </w:r>
    </w:p>
  </w:footnote>
  <w:footnote w:id="225">
    <w:p w:rsidR="00377B37" w:rsidRDefault="00377B37" w:rsidP="007E742F">
      <w:pPr>
        <w:pStyle w:val="FootnoteText"/>
      </w:pPr>
      <w:r>
        <w:rPr>
          <w:rStyle w:val="FootnoteReference"/>
        </w:rPr>
        <w:footnoteRef/>
      </w:r>
      <w:r>
        <w:t xml:space="preserve"> </w:t>
      </w:r>
      <w:r>
        <w:tab/>
      </w:r>
      <w:r w:rsidRPr="008B0B7C">
        <w:t>See</w:t>
      </w:r>
      <w:r>
        <w:t>,</w:t>
      </w:r>
      <w:r w:rsidRPr="008B0B7C">
        <w:t xml:space="preserve"> for example</w:t>
      </w:r>
      <w:r>
        <w:t>,</w:t>
      </w:r>
      <w:r w:rsidRPr="008B0B7C">
        <w:t xml:space="preserve"> </w:t>
      </w:r>
      <w:r>
        <w:t xml:space="preserve">R. </w:t>
      </w:r>
      <w:r w:rsidRPr="008B0B7C">
        <w:t>Mehra and</w:t>
      </w:r>
      <w:r>
        <w:t xml:space="preserve"> E.C.</w:t>
      </w:r>
      <w:r w:rsidRPr="008B0B7C">
        <w:t xml:space="preserve"> Prescott,</w:t>
      </w:r>
      <w:r>
        <w:t xml:space="preserve"> </w:t>
      </w:r>
      <w:r w:rsidRPr="0066277B">
        <w:rPr>
          <w:rStyle w:val="AERtextitalic"/>
        </w:rPr>
        <w:t>Journal of Monetary Economics</w:t>
      </w:r>
      <w:r>
        <w:t>,</w:t>
      </w:r>
      <w:r w:rsidRPr="008B0B7C">
        <w:t xml:space="preserve"> </w:t>
      </w:r>
      <w:r>
        <w:t xml:space="preserve">The equity premium, a puzzle, </w:t>
      </w:r>
      <w:r w:rsidRPr="008B0B7C">
        <w:t>15, 1985, pp. 145–61;</w:t>
      </w:r>
      <w:r>
        <w:t xml:space="preserve"> A. </w:t>
      </w:r>
      <w:r w:rsidRPr="008B0B7C">
        <w:t xml:space="preserve">Damodoran, </w:t>
      </w:r>
      <w:r>
        <w:t>E</w:t>
      </w:r>
      <w:r w:rsidRPr="00524865">
        <w:t xml:space="preserve">quity </w:t>
      </w:r>
      <w:r>
        <w:t>r</w:t>
      </w:r>
      <w:r w:rsidRPr="00524865">
        <w:t xml:space="preserve">isk </w:t>
      </w:r>
      <w:r>
        <w:t>p</w:t>
      </w:r>
      <w:r w:rsidRPr="00524865">
        <w:t xml:space="preserve">remiums (ERP), </w:t>
      </w:r>
      <w:r>
        <w:t>d</w:t>
      </w:r>
      <w:r w:rsidRPr="00524865">
        <w:t xml:space="preserve">eterminants, </w:t>
      </w:r>
      <w:r>
        <w:t>e</w:t>
      </w:r>
      <w:r w:rsidRPr="00524865">
        <w:t xml:space="preserve">stimation and </w:t>
      </w:r>
      <w:r>
        <w:t>i</w:t>
      </w:r>
      <w:r w:rsidRPr="00524865">
        <w:t>mplications</w:t>
      </w:r>
      <w:r w:rsidRPr="008B0B7C">
        <w:t xml:space="preserve">, September 2008, p. 1; </w:t>
      </w:r>
      <w:r>
        <w:t xml:space="preserve">J.S. </w:t>
      </w:r>
      <w:r w:rsidRPr="008B0B7C">
        <w:t>Doran,</w:t>
      </w:r>
      <w:r>
        <w:t xml:space="preserve"> E.I.</w:t>
      </w:r>
      <w:r w:rsidRPr="008B0B7C">
        <w:t xml:space="preserve"> Ronn and</w:t>
      </w:r>
      <w:r>
        <w:t xml:space="preserve"> R.S.</w:t>
      </w:r>
      <w:r w:rsidRPr="008B0B7C">
        <w:t xml:space="preserve"> Goldberg, </w:t>
      </w:r>
      <w:r w:rsidRPr="00524865">
        <w:t>A simple model for time-varying expected returns on the S&amp;P 500 Index</w:t>
      </w:r>
      <w:r w:rsidRPr="008B0B7C">
        <w:t>, August 2005, pp. 2–3.</w:t>
      </w:r>
    </w:p>
  </w:footnote>
  <w:footnote w:id="226">
    <w:p w:rsidR="00377B37" w:rsidRDefault="00377B37" w:rsidP="007E742F">
      <w:pPr>
        <w:pStyle w:val="FootnoteText"/>
      </w:pPr>
      <w:r>
        <w:rPr>
          <w:rStyle w:val="FootnoteReference"/>
        </w:rPr>
        <w:footnoteRef/>
      </w:r>
      <w:r>
        <w:t xml:space="preserve"> </w:t>
      </w:r>
      <w:r>
        <w:tab/>
        <w:t xml:space="preserve">Australian Competition Tribunal, </w:t>
      </w:r>
      <w:r w:rsidRPr="007062F1">
        <w:rPr>
          <w:i/>
        </w:rPr>
        <w:t>Application by Envestra Ltd (No 2) [2012] ACompT</w:t>
      </w:r>
      <w:r>
        <w:rPr>
          <w:i/>
        </w:rPr>
        <w:t xml:space="preserve"> 4</w:t>
      </w:r>
      <w:r>
        <w:t>, 11 January 2012, paragraph 146.</w:t>
      </w:r>
    </w:p>
  </w:footnote>
  <w:footnote w:id="227">
    <w:p w:rsidR="00377B37" w:rsidRDefault="00377B37" w:rsidP="007E742F">
      <w:pPr>
        <w:pStyle w:val="FootnoteText"/>
      </w:pPr>
      <w:r>
        <w:rPr>
          <w:rStyle w:val="FootnoteReference"/>
        </w:rPr>
        <w:footnoteRef/>
      </w:r>
      <w:r>
        <w:t xml:space="preserve"> </w:t>
      </w:r>
      <w:r>
        <w:tab/>
      </w:r>
      <w:r w:rsidRPr="00524865">
        <w:t xml:space="preserve">AER, </w:t>
      </w:r>
      <w:r w:rsidRPr="002B72AD">
        <w:rPr>
          <w:rStyle w:val="AERtextitalic"/>
        </w:rPr>
        <w:t>Final decision: Electricity transmission and distribution network service providers: Review of the weighted average cost of capital (WACC) parameters</w:t>
      </w:r>
      <w:r w:rsidRPr="00524865">
        <w:t>, 1 May 2009</w:t>
      </w:r>
      <w:r>
        <w:t xml:space="preserve">, p. 216-217, </w:t>
      </w:r>
      <w:r w:rsidRPr="00524865">
        <w:t xml:space="preserve">(AER, </w:t>
      </w:r>
      <w:r w:rsidRPr="00524865">
        <w:rPr>
          <w:rStyle w:val="AERtextitalic"/>
        </w:rPr>
        <w:t>Final decision: WACC review</w:t>
      </w:r>
      <w:r w:rsidRPr="00524865">
        <w:t>, May 2009)</w:t>
      </w:r>
      <w:r>
        <w:t xml:space="preserve">. </w:t>
      </w:r>
    </w:p>
  </w:footnote>
  <w:footnote w:id="228">
    <w:p w:rsidR="00377B37" w:rsidRDefault="00377B37" w:rsidP="007E742F">
      <w:pPr>
        <w:pStyle w:val="FootnoteText"/>
      </w:pPr>
      <w:r>
        <w:rPr>
          <w:rStyle w:val="FootnoteReference"/>
        </w:rPr>
        <w:footnoteRef/>
      </w:r>
      <w:r>
        <w:t xml:space="preserve"> </w:t>
      </w:r>
      <w:r>
        <w:tab/>
      </w:r>
      <w:r w:rsidRPr="00C750D3">
        <w:t xml:space="preserve">M. McKenzie, and G. Partington, </w:t>
      </w:r>
      <w:r w:rsidRPr="00C750D3">
        <w:rPr>
          <w:rStyle w:val="AERtextitalic"/>
        </w:rPr>
        <w:t>Report to the AER:</w:t>
      </w:r>
      <w:r w:rsidRPr="00C750D3">
        <w:t xml:space="preserve"> </w:t>
      </w:r>
      <w:r w:rsidRPr="00C750D3">
        <w:rPr>
          <w:rStyle w:val="AERtextitalic"/>
        </w:rPr>
        <w:t>Estimation of the equity beta (conceptual and econometric issues) for a gas regulatory process in 2012,</w:t>
      </w:r>
      <w:r>
        <w:t xml:space="preserve"> 3 April 2012, </w:t>
      </w:r>
      <w:r w:rsidRPr="00C750D3">
        <w:t xml:space="preserve">(McKenzie and Partington, </w:t>
      </w:r>
      <w:r w:rsidRPr="00C750D3">
        <w:rPr>
          <w:rStyle w:val="AERtextitalic"/>
        </w:rPr>
        <w:t>Estimation of equity beta</w:t>
      </w:r>
      <w:r w:rsidRPr="00C750D3">
        <w:t>, April 2012)</w:t>
      </w:r>
      <w:r>
        <w:t>.</w:t>
      </w:r>
    </w:p>
  </w:footnote>
  <w:footnote w:id="229">
    <w:p w:rsidR="00377B37" w:rsidRDefault="00377B37" w:rsidP="007E742F">
      <w:pPr>
        <w:pStyle w:val="FootnoteText"/>
      </w:pPr>
      <w:r>
        <w:rPr>
          <w:rStyle w:val="FootnoteReference"/>
        </w:rPr>
        <w:footnoteRef/>
      </w:r>
      <w:r>
        <w:t xml:space="preserve"> </w:t>
      </w:r>
      <w:r>
        <w:tab/>
      </w:r>
      <w:r w:rsidRPr="0043190C">
        <w:t xml:space="preserve">AER, </w:t>
      </w:r>
      <w:r w:rsidRPr="0043190C">
        <w:rPr>
          <w:rStyle w:val="AERtextitalic"/>
        </w:rPr>
        <w:t>Final decision: APTPPL access arrangement</w:t>
      </w:r>
      <w:r w:rsidRPr="0043190C">
        <w:t>, August 2012</w:t>
      </w:r>
      <w:r>
        <w:t>. .</w:t>
      </w:r>
    </w:p>
  </w:footnote>
  <w:footnote w:id="230">
    <w:p w:rsidR="00377B37" w:rsidRDefault="00377B37" w:rsidP="007E742F">
      <w:pPr>
        <w:pStyle w:val="FootnoteText"/>
      </w:pPr>
      <w:r>
        <w:rPr>
          <w:rStyle w:val="FootnoteReference"/>
        </w:rPr>
        <w:footnoteRef/>
      </w:r>
      <w:r>
        <w:t xml:space="preserve"> </w:t>
      </w:r>
      <w:r>
        <w:tab/>
      </w:r>
      <w:r w:rsidRPr="009015EC">
        <w:t xml:space="preserve">AER, </w:t>
      </w:r>
      <w:r w:rsidRPr="00E20B11">
        <w:rPr>
          <w:rStyle w:val="AERtextitalic"/>
        </w:rPr>
        <w:t>Draft decision: Powerlink</w:t>
      </w:r>
      <w:r>
        <w:rPr>
          <w:rStyle w:val="AERtextitalic"/>
        </w:rPr>
        <w:t>;</w:t>
      </w:r>
      <w:r w:rsidRPr="00E20B11">
        <w:rPr>
          <w:rStyle w:val="AERtextitalic"/>
        </w:rPr>
        <w:t xml:space="preserve"> </w:t>
      </w:r>
      <w:r>
        <w:rPr>
          <w:rStyle w:val="AERtextitalic"/>
        </w:rPr>
        <w:t>T</w:t>
      </w:r>
      <w:r w:rsidRPr="00E20B11">
        <w:rPr>
          <w:rStyle w:val="AERtextitalic"/>
        </w:rPr>
        <w:t>ransmission determination</w:t>
      </w:r>
      <w:r w:rsidRPr="009015EC">
        <w:t>, November 2011, pp. 225–229.</w:t>
      </w:r>
    </w:p>
  </w:footnote>
  <w:footnote w:id="231">
    <w:p w:rsidR="00377B37" w:rsidRDefault="00377B37" w:rsidP="007E742F">
      <w:pPr>
        <w:pStyle w:val="FootnoteText"/>
      </w:pPr>
      <w:r>
        <w:rPr>
          <w:rStyle w:val="FootnoteReference"/>
        </w:rPr>
        <w:footnoteRef/>
      </w:r>
      <w:r>
        <w:t xml:space="preserve"> </w:t>
      </w:r>
      <w:r>
        <w:tab/>
      </w:r>
      <w:r w:rsidRPr="0058313B">
        <w:t xml:space="preserve">More specifically, the AER proposed to set the DRP as the average of nine bonds with characteristics that were similar to the benchmark (7–13 years maturity, BBB/BBB+/A- credit rating, fixed/floating, not callable or subordinated, Australian issuance). AER, </w:t>
      </w:r>
      <w:r w:rsidRPr="00E20B11">
        <w:rPr>
          <w:rStyle w:val="AERtextitalic"/>
        </w:rPr>
        <w:t>Draft decision: Aurora distribution determination</w:t>
      </w:r>
      <w:r w:rsidRPr="0058313B">
        <w:t>, November 2011, pp. 216–219, 238–253.</w:t>
      </w:r>
    </w:p>
  </w:footnote>
  <w:footnote w:id="232">
    <w:p w:rsidR="00377B37" w:rsidRDefault="00377B37" w:rsidP="007E742F">
      <w:pPr>
        <w:pStyle w:val="FootnoteText"/>
      </w:pPr>
      <w:r>
        <w:rPr>
          <w:rStyle w:val="FootnoteReference"/>
        </w:rPr>
        <w:footnoteRef/>
      </w:r>
      <w:r>
        <w:t xml:space="preserve"> </w:t>
      </w:r>
      <w:r>
        <w:tab/>
      </w:r>
      <w:r w:rsidRPr="005A29D7">
        <w:t xml:space="preserve">Australian Competition Tribunal, </w:t>
      </w:r>
      <w:r w:rsidRPr="00E20B11">
        <w:rPr>
          <w:rStyle w:val="AERtextitalic"/>
        </w:rPr>
        <w:t>Application by Envestra Limited (No 2)</w:t>
      </w:r>
      <w:r w:rsidRPr="005A29D7">
        <w:t xml:space="preserve"> [2012] ACompT 3, 11 January 2012; see also Australian Competition Tribunal, </w:t>
      </w:r>
      <w:r w:rsidRPr="00E20B11">
        <w:rPr>
          <w:rStyle w:val="AERtextitalic"/>
        </w:rPr>
        <w:t>Application by APT Allgas Energy Ltd</w:t>
      </w:r>
      <w:r w:rsidRPr="005A29D7">
        <w:t xml:space="preserve"> [2012] ACompT 5, 11</w:t>
      </w:r>
      <w:r>
        <w:t> </w:t>
      </w:r>
      <w:r w:rsidRPr="005A29D7">
        <w:t>January</w:t>
      </w:r>
      <w:r>
        <w:t> </w:t>
      </w:r>
      <w:r w:rsidRPr="005A29D7">
        <w:t>2012.</w:t>
      </w:r>
    </w:p>
  </w:footnote>
  <w:footnote w:id="233">
    <w:p w:rsidR="00377B37" w:rsidRDefault="00377B37" w:rsidP="007E742F">
      <w:pPr>
        <w:pStyle w:val="FootnoteText"/>
      </w:pPr>
      <w:r>
        <w:rPr>
          <w:rStyle w:val="FootnoteReference"/>
        </w:rPr>
        <w:footnoteRef/>
      </w:r>
      <w:r>
        <w:t xml:space="preserve"> </w:t>
      </w:r>
      <w:r>
        <w:tab/>
      </w:r>
      <w:r w:rsidRPr="0058313B">
        <w:t xml:space="preserve">Australian Competition Tribunal, </w:t>
      </w:r>
      <w:r w:rsidRPr="00E20B11">
        <w:rPr>
          <w:rStyle w:val="AERtextitalic"/>
        </w:rPr>
        <w:t xml:space="preserve">Application by Envestra Limited (No 2) </w:t>
      </w:r>
      <w:r w:rsidRPr="0058313B">
        <w:t xml:space="preserve">[2012] ACompT 3, 11 January 2012, paragraphs 95, 118, 120–121; see also Australian Competition Tribunal, </w:t>
      </w:r>
      <w:r w:rsidRPr="00E20B11">
        <w:rPr>
          <w:rStyle w:val="AERtextitalic"/>
        </w:rPr>
        <w:t xml:space="preserve">Application by APT Allgas Energy Ltd </w:t>
      </w:r>
      <w:r w:rsidRPr="0058313B">
        <w:t>[2012] ACompT 5, 11 January 2012.</w:t>
      </w:r>
    </w:p>
  </w:footnote>
  <w:footnote w:id="234">
    <w:p w:rsidR="00377B37" w:rsidRDefault="00377B37" w:rsidP="007E742F">
      <w:pPr>
        <w:pStyle w:val="FootnoteText"/>
      </w:pPr>
      <w:r>
        <w:rPr>
          <w:rStyle w:val="FootnoteReference"/>
        </w:rPr>
        <w:footnoteRef/>
      </w:r>
      <w:r>
        <w:t xml:space="preserve"> </w:t>
      </w:r>
      <w:r>
        <w:tab/>
      </w:r>
      <w:r w:rsidRPr="0058313B">
        <w:t xml:space="preserve">Specifically, for the West Australian gas distribution network owned by WA Gas Networks Pty Ltd (now known as ATCO Gas Australia), and for the Dampier to Bunbury Natural Gas Pipeline owned by DBNGP (WA) Transmission Pty Ltd. See Australian Competition Tribunal, </w:t>
      </w:r>
      <w:r w:rsidRPr="00E20B11">
        <w:rPr>
          <w:rStyle w:val="AERtextitalic"/>
        </w:rPr>
        <w:t>Application by WA Gas Networks Pty Ltd (No 3)</w:t>
      </w:r>
      <w:r w:rsidRPr="0058313B">
        <w:t xml:space="preserve"> [2012] ACompT 12, 8 June 2012; and Australian Competition Tribunal, </w:t>
      </w:r>
      <w:r w:rsidRPr="00E20B11">
        <w:rPr>
          <w:rStyle w:val="AERtextitalic"/>
        </w:rPr>
        <w:t>Application by DBNGP (WA) Transmission Pty Ltd (No 3)</w:t>
      </w:r>
      <w:r w:rsidRPr="0058313B">
        <w:t xml:space="preserve"> [2012] ACompT 14, 26 July 2012.</w:t>
      </w:r>
    </w:p>
  </w:footnote>
  <w:footnote w:id="235">
    <w:p w:rsidR="00377B37" w:rsidRDefault="00377B37" w:rsidP="007E742F">
      <w:pPr>
        <w:pStyle w:val="FootnoteText"/>
      </w:pPr>
      <w:r>
        <w:rPr>
          <w:rStyle w:val="FootnoteReference"/>
        </w:rPr>
        <w:footnoteRef/>
      </w:r>
      <w:r>
        <w:t xml:space="preserve"> </w:t>
      </w:r>
      <w:r>
        <w:tab/>
      </w:r>
      <w:r w:rsidRPr="0058313B">
        <w:t xml:space="preserve">Though the AER and ERA operate under different legislative instruments, the sections relevant to the determination of the rate of return are identical. Australian Competition Tribunal, </w:t>
      </w:r>
      <w:r w:rsidRPr="00E20B11">
        <w:rPr>
          <w:rStyle w:val="AERtextitalic"/>
        </w:rPr>
        <w:t>Application by WA Gas Networks Pty Ltd (No 3)</w:t>
      </w:r>
      <w:r w:rsidRPr="0058313B">
        <w:t xml:space="preserve"> [2012] ACompT 12, 8 June 2012, paragraphs 167, 180; and Australian Competition Tribunal, </w:t>
      </w:r>
      <w:r w:rsidRPr="00E20B11">
        <w:rPr>
          <w:rStyle w:val="AERtextitalic"/>
        </w:rPr>
        <w:t>Application by DBNGP (WA) Transmission Pty Ltd (No 3)</w:t>
      </w:r>
      <w:r w:rsidRPr="0058313B">
        <w:t xml:space="preserve"> [2012] ACompT 14, 26 July 2012, paragraphs 280–282, 287.</w:t>
      </w:r>
    </w:p>
  </w:footnote>
  <w:footnote w:id="236">
    <w:p w:rsidR="00377B37" w:rsidRDefault="00377B37" w:rsidP="007E742F">
      <w:pPr>
        <w:pStyle w:val="FootnoteText"/>
      </w:pPr>
      <w:r>
        <w:rPr>
          <w:rStyle w:val="FootnoteReference"/>
        </w:rPr>
        <w:footnoteRef/>
      </w:r>
      <w:r>
        <w:t xml:space="preserve"> </w:t>
      </w:r>
      <w:r>
        <w:tab/>
        <w:t>Specifically, a</w:t>
      </w:r>
      <w:r w:rsidRPr="0058313B">
        <w:t xml:space="preserve">ll bonds (sourced from Bloomberg) were </w:t>
      </w:r>
      <w:r>
        <w:t>from</w:t>
      </w:r>
      <w:r w:rsidRPr="0058313B">
        <w:t xml:space="preserve"> Australian companies, denominated in Australian </w:t>
      </w:r>
      <w:r>
        <w:t>dollars and issued in Australia.</w:t>
      </w:r>
      <w:r w:rsidRPr="0058313B">
        <w:t xml:space="preserve"> </w:t>
      </w:r>
      <w:r>
        <w:t xml:space="preserve">Further, </w:t>
      </w:r>
      <w:r w:rsidRPr="0058313B">
        <w:t>bonds could be either fixed or floating and either bullet</w:t>
      </w:r>
      <w:r>
        <w:t xml:space="preserve">, </w:t>
      </w:r>
      <w:r w:rsidRPr="0058313B">
        <w:t>callable</w:t>
      </w:r>
      <w:r>
        <w:t xml:space="preserve"> or </w:t>
      </w:r>
      <w:r w:rsidRPr="0058313B">
        <w:t>putable</w:t>
      </w:r>
      <w:r>
        <w:t>.</w:t>
      </w:r>
      <w:r w:rsidRPr="0058313B">
        <w:t xml:space="preserve"> Different scenarios used other slightly different criteria, such as a minimum term (</w:t>
      </w:r>
      <w:r>
        <w:t>two</w:t>
      </w:r>
      <w:r w:rsidRPr="0058313B">
        <w:t xml:space="preserve"> or </w:t>
      </w:r>
      <w:r>
        <w:t>five</w:t>
      </w:r>
      <w:r w:rsidRPr="0058313B">
        <w:t xml:space="preserve"> years), and </w:t>
      </w:r>
      <w:r>
        <w:t xml:space="preserve">a range of </w:t>
      </w:r>
      <w:r w:rsidRPr="0058313B">
        <w:t>credit rating</w:t>
      </w:r>
      <w:r>
        <w:t>s</w:t>
      </w:r>
      <w:r w:rsidRPr="0058313B">
        <w:t xml:space="preserve"> (BBB-/BBB/BBB+ or BBB/BBB+).</w:t>
      </w:r>
    </w:p>
  </w:footnote>
  <w:footnote w:id="237">
    <w:p w:rsidR="00377B37" w:rsidRDefault="00377B37" w:rsidP="007E742F">
      <w:pPr>
        <w:pStyle w:val="FootnoteText"/>
      </w:pPr>
      <w:r>
        <w:rPr>
          <w:rStyle w:val="FootnoteReference"/>
        </w:rPr>
        <w:footnoteRef/>
      </w:r>
      <w:r>
        <w:t xml:space="preserve"> </w:t>
      </w:r>
      <w:r>
        <w:tab/>
      </w:r>
      <w:r w:rsidRPr="0058313B">
        <w:t xml:space="preserve">Australian Competition Tribunal, </w:t>
      </w:r>
      <w:r w:rsidRPr="00E20B11">
        <w:rPr>
          <w:rStyle w:val="AERtextitalic"/>
        </w:rPr>
        <w:t>Application by WA Gas Networks Pty Ltd (No 3)</w:t>
      </w:r>
      <w:r w:rsidRPr="0058313B">
        <w:t xml:space="preserve"> [2012] ACompT 12, 8 June 2012, paragraphs 176, 180, 187; Australian Competition Tribunal, </w:t>
      </w:r>
      <w:r w:rsidRPr="00E20B11">
        <w:rPr>
          <w:rStyle w:val="AERtextitalic"/>
        </w:rPr>
        <w:t>Application by DBNGP (WA) Transmission Pty Ltd (No 3)</w:t>
      </w:r>
      <w:r w:rsidRPr="0058313B">
        <w:t xml:space="preserve"> [2012] ACompT 14, 26 July 2012, paragraphs 290, 310–313.</w:t>
      </w:r>
    </w:p>
  </w:footnote>
  <w:footnote w:id="238">
    <w:p w:rsidR="00377B37" w:rsidRDefault="00377B37" w:rsidP="007E742F">
      <w:pPr>
        <w:pStyle w:val="FootnoteText"/>
      </w:pPr>
      <w:r>
        <w:rPr>
          <w:rStyle w:val="FootnoteReference"/>
        </w:rPr>
        <w:footnoteRef/>
      </w:r>
      <w:r>
        <w:t xml:space="preserve"> </w:t>
      </w:r>
      <w:r>
        <w:tab/>
      </w:r>
      <w:r w:rsidRPr="0058313B">
        <w:t xml:space="preserve">More specifically, the Tribunal endorsed the use of the ERA’s ‘scenario 2’, which encompassed a minimum credit rating of BBB and a minimum term of </w:t>
      </w:r>
      <w:r>
        <w:t>two</w:t>
      </w:r>
      <w:r w:rsidRPr="0058313B">
        <w:t xml:space="preserve"> years. It also suggested that it would be appropriate to apportion weight by considering both term to maturity and issuance amount for the relevant bonds.</w:t>
      </w:r>
    </w:p>
  </w:footnote>
  <w:footnote w:id="239">
    <w:p w:rsidR="00377B37" w:rsidRDefault="00377B37" w:rsidP="007E742F">
      <w:pPr>
        <w:pStyle w:val="FootnoteText"/>
      </w:pPr>
      <w:r>
        <w:rPr>
          <w:rStyle w:val="FootnoteReference"/>
        </w:rPr>
        <w:footnoteRef/>
      </w:r>
      <w:r>
        <w:t xml:space="preserve"> </w:t>
      </w:r>
      <w:r>
        <w:tab/>
      </w:r>
      <w:r w:rsidRPr="0058313B">
        <w:t xml:space="preserve">ERA, </w:t>
      </w:r>
      <w:r w:rsidRPr="00F531F4">
        <w:rPr>
          <w:rStyle w:val="AERtextitalic"/>
        </w:rPr>
        <w:t>Revised decision</w:t>
      </w:r>
      <w:r>
        <w:rPr>
          <w:rStyle w:val="AERtextitalic"/>
        </w:rPr>
        <w:t>,</w:t>
      </w:r>
      <w:r w:rsidRPr="00F531F4">
        <w:rPr>
          <w:rStyle w:val="AERtextitalic"/>
        </w:rPr>
        <w:t xml:space="preserve"> </w:t>
      </w:r>
      <w:r>
        <w:rPr>
          <w:rStyle w:val="AERtextitalic"/>
        </w:rPr>
        <w:t>A</w:t>
      </w:r>
      <w:r w:rsidRPr="00F531F4">
        <w:rPr>
          <w:rStyle w:val="AERtextitalic"/>
        </w:rPr>
        <w:t>ccess arrangement revisions for the Mid-West and South-West Gas Distribution System</w:t>
      </w:r>
      <w:r w:rsidRPr="0058313B">
        <w:t>, 25 June 2012, pp.</w:t>
      </w:r>
      <w:r>
        <w:t> </w:t>
      </w:r>
      <w:r w:rsidRPr="0058313B">
        <w:t>5–12.</w:t>
      </w:r>
    </w:p>
  </w:footnote>
  <w:footnote w:id="240">
    <w:p w:rsidR="00377B37" w:rsidRDefault="00377B37" w:rsidP="007E742F">
      <w:pPr>
        <w:pStyle w:val="FootnoteText"/>
      </w:pPr>
      <w:r>
        <w:rPr>
          <w:rStyle w:val="FootnoteReference"/>
        </w:rPr>
        <w:footnoteRef/>
      </w:r>
      <w:r>
        <w:t xml:space="preserve"> </w:t>
      </w:r>
      <w:r>
        <w:tab/>
        <w:t>Based on APA GasNet's indicative averaging period, t</w:t>
      </w:r>
      <w:r w:rsidRPr="0058313B">
        <w:t xml:space="preserve">his ‘bond-yield approach’ </w:t>
      </w:r>
      <w:r w:rsidRPr="00C811BC">
        <w:t>estimate incorporates 60</w:t>
      </w:r>
      <w:r>
        <w:t> </w:t>
      </w:r>
      <w:r w:rsidRPr="00C811BC">
        <w:t>bonds with an average term to maturity of 5.94 years.</w:t>
      </w:r>
    </w:p>
  </w:footnote>
  <w:footnote w:id="241">
    <w:p w:rsidR="00377B37" w:rsidRDefault="00377B37" w:rsidP="007E742F">
      <w:pPr>
        <w:pStyle w:val="FootnoteText"/>
      </w:pPr>
      <w:r>
        <w:rPr>
          <w:rStyle w:val="FootnoteReference"/>
        </w:rPr>
        <w:footnoteRef/>
      </w:r>
      <w:r>
        <w:t xml:space="preserve"> </w:t>
      </w:r>
      <w:r>
        <w:tab/>
        <w:t>This estimate reflects the paired bonds extrapolation sample proposed by APA GasNet.</w:t>
      </w:r>
    </w:p>
  </w:footnote>
  <w:footnote w:id="242">
    <w:p w:rsidR="00377B37" w:rsidRDefault="00377B37" w:rsidP="007E742F">
      <w:pPr>
        <w:pStyle w:val="FootnoteText"/>
      </w:pPr>
      <w:r>
        <w:rPr>
          <w:rStyle w:val="FootnoteReference"/>
        </w:rPr>
        <w:footnoteRef/>
      </w:r>
      <w:r>
        <w:t xml:space="preserve"> </w:t>
      </w:r>
      <w:r>
        <w:tab/>
        <w:t>NGR, r. 87.</w:t>
      </w:r>
    </w:p>
  </w:footnote>
  <w:footnote w:id="243">
    <w:p w:rsidR="00377B37" w:rsidRDefault="00377B37" w:rsidP="007E742F">
      <w:pPr>
        <w:pStyle w:val="FootnoteText"/>
      </w:pPr>
      <w:r>
        <w:rPr>
          <w:rStyle w:val="FootnoteReference"/>
        </w:rPr>
        <w:footnoteRef/>
      </w:r>
      <w:r>
        <w:t xml:space="preserve"> </w:t>
      </w:r>
      <w:r>
        <w:tab/>
        <w:t>APA GasNet</w:t>
      </w:r>
      <w:r>
        <w:rPr>
          <w:rStyle w:val="AERtextitalic"/>
        </w:rPr>
        <w:t>, Access arrangement s</w:t>
      </w:r>
      <w:r w:rsidRPr="002B72AD">
        <w:rPr>
          <w:rStyle w:val="AERtextitalic"/>
        </w:rPr>
        <w:t>ubmission</w:t>
      </w:r>
      <w:r>
        <w:t xml:space="preserve">, 31 March 2012, p. 141.  </w:t>
      </w:r>
    </w:p>
  </w:footnote>
  <w:footnote w:id="244">
    <w:p w:rsidR="00377B37" w:rsidRDefault="00377B37" w:rsidP="007E742F">
      <w:pPr>
        <w:pStyle w:val="FootnoteText"/>
      </w:pPr>
      <w:r>
        <w:rPr>
          <w:rStyle w:val="FootnoteReference"/>
        </w:rPr>
        <w:footnoteRef/>
      </w:r>
      <w:r>
        <w:t xml:space="preserve"> </w:t>
      </w:r>
      <w:r>
        <w:tab/>
        <w:t xml:space="preserve">Envestra, Access arrangement information, 31 March 2012, p. 158; SP AusNet, </w:t>
      </w:r>
      <w:r w:rsidRPr="00D255EA">
        <w:rPr>
          <w:rStyle w:val="AERtextitalic"/>
        </w:rPr>
        <w:t>Access arrangement information</w:t>
      </w:r>
      <w:r>
        <w:t xml:space="preserve">, 30 March 2012, p. 189; Multinet, </w:t>
      </w:r>
      <w:r w:rsidRPr="00D255EA">
        <w:rPr>
          <w:rStyle w:val="AERtextitalic"/>
        </w:rPr>
        <w:t>Access arrangement information</w:t>
      </w:r>
      <w:r>
        <w:t>, 30 March 2012, p. 154</w:t>
      </w:r>
    </w:p>
  </w:footnote>
  <w:footnote w:id="245">
    <w:p w:rsidR="00377B37" w:rsidRDefault="00377B37" w:rsidP="007E742F">
      <w:pPr>
        <w:pStyle w:val="FootnoteText"/>
      </w:pPr>
      <w:r>
        <w:rPr>
          <w:rStyle w:val="FootnoteReference"/>
        </w:rPr>
        <w:footnoteRef/>
      </w:r>
      <w:r>
        <w:t xml:space="preserve"> </w:t>
      </w:r>
      <w:r>
        <w:tab/>
        <w:t xml:space="preserve">BHP Billiton, </w:t>
      </w:r>
      <w:r w:rsidRPr="00D255EA">
        <w:rPr>
          <w:rStyle w:val="AERtextitalic"/>
        </w:rPr>
        <w:t>Submission to the AER: APA GasNet access arrangement proposal</w:t>
      </w:r>
      <w:r>
        <w:t>, 29 June 2012, p. 9.</w:t>
      </w:r>
    </w:p>
  </w:footnote>
  <w:footnote w:id="246">
    <w:p w:rsidR="00377B37" w:rsidRDefault="00377B37" w:rsidP="007E742F">
      <w:pPr>
        <w:pStyle w:val="FootnoteText"/>
      </w:pPr>
      <w:r>
        <w:rPr>
          <w:rStyle w:val="FootnoteReference"/>
        </w:rPr>
        <w:footnoteRef/>
      </w:r>
      <w:r>
        <w:t xml:space="preserve"> </w:t>
      </w:r>
      <w:r>
        <w:tab/>
        <w:t xml:space="preserve">Energy Users Coalition of Victoria, </w:t>
      </w:r>
      <w:r w:rsidRPr="00D255EA">
        <w:rPr>
          <w:rStyle w:val="AERtextitalic"/>
        </w:rPr>
        <w:t>Submission to the AER: APA GasNet access arrangement proposal</w:t>
      </w:r>
      <w:r>
        <w:t>, 18 June 2012, pp. 57 -58</w:t>
      </w:r>
    </w:p>
  </w:footnote>
  <w:footnote w:id="247">
    <w:p w:rsidR="00377B37" w:rsidRDefault="00377B37" w:rsidP="007E742F">
      <w:pPr>
        <w:pStyle w:val="FootnoteText"/>
      </w:pPr>
      <w:r>
        <w:rPr>
          <w:rStyle w:val="FootnoteReference"/>
        </w:rPr>
        <w:footnoteRef/>
      </w:r>
      <w:r>
        <w:t xml:space="preserve"> </w:t>
      </w:r>
      <w:r>
        <w:tab/>
        <w:t xml:space="preserve">ERA, </w:t>
      </w:r>
      <w:r w:rsidRPr="002B72AD">
        <w:rPr>
          <w:rStyle w:val="AERtextitalic"/>
        </w:rPr>
        <w:t>Final Decision on Proposed Revisions to the Access Arrangement for the Dampier to Bunburry Natural Gas Pipeline</w:t>
      </w:r>
      <w:r>
        <w:t xml:space="preserve">, October 2011, pp. 130. </w:t>
      </w:r>
    </w:p>
  </w:footnote>
  <w:footnote w:id="248">
    <w:p w:rsidR="00377B37" w:rsidRDefault="00377B37" w:rsidP="007E742F">
      <w:pPr>
        <w:pStyle w:val="FootnoteText"/>
      </w:pPr>
      <w:r>
        <w:rPr>
          <w:rStyle w:val="FootnoteReference"/>
        </w:rPr>
        <w:footnoteRef/>
      </w:r>
      <w:r>
        <w:t xml:space="preserve"> </w:t>
      </w:r>
      <w:r>
        <w:tab/>
      </w:r>
      <w:r w:rsidRPr="0058313B">
        <w:t xml:space="preserve">Australian Competition Tribunal, </w:t>
      </w:r>
      <w:r w:rsidRPr="00F531F4">
        <w:rPr>
          <w:rStyle w:val="AERtextitalic"/>
        </w:rPr>
        <w:t>Application by DBNGP (WA) Transmission Pty Ltd (No 3)</w:t>
      </w:r>
      <w:r w:rsidRPr="0058313B">
        <w:t xml:space="preserve"> [2012] ACompT 14, 26 July 2012, </w:t>
      </w:r>
      <w:r>
        <w:t xml:space="preserve">paragraph 137. </w:t>
      </w:r>
    </w:p>
  </w:footnote>
  <w:footnote w:id="249">
    <w:p w:rsidR="00377B37" w:rsidRDefault="00377B37" w:rsidP="007E742F">
      <w:pPr>
        <w:pStyle w:val="FootnoteText"/>
      </w:pPr>
      <w:r>
        <w:rPr>
          <w:rStyle w:val="FootnoteReference"/>
        </w:rPr>
        <w:footnoteRef/>
      </w:r>
      <w:r>
        <w:t xml:space="preserve"> </w:t>
      </w:r>
      <w:r>
        <w:tab/>
        <w:t xml:space="preserve">APA GasNet, </w:t>
      </w:r>
      <w:r w:rsidRPr="00D255EA">
        <w:rPr>
          <w:rStyle w:val="AERtextitalic"/>
        </w:rPr>
        <w:t>Access arrangement submission</w:t>
      </w:r>
      <w:r>
        <w:t>, 31 March 2012, pp. 134-139.</w:t>
      </w:r>
    </w:p>
  </w:footnote>
  <w:footnote w:id="250">
    <w:p w:rsidR="00377B37" w:rsidRDefault="00377B37" w:rsidP="007E742F">
      <w:pPr>
        <w:pStyle w:val="FootnoteText"/>
      </w:pPr>
      <w:r>
        <w:rPr>
          <w:rStyle w:val="FootnoteReference"/>
        </w:rPr>
        <w:footnoteRef/>
      </w:r>
      <w:r>
        <w:t xml:space="preserve"> </w:t>
      </w:r>
      <w:r>
        <w:tab/>
        <w:t>This estimate reflects the paired bonds sample proposed by APA GasNet.</w:t>
      </w:r>
    </w:p>
  </w:footnote>
  <w:footnote w:id="251">
    <w:p w:rsidR="00377B37" w:rsidRDefault="00377B37" w:rsidP="007E742F">
      <w:pPr>
        <w:pStyle w:val="FootnoteText"/>
      </w:pPr>
      <w:r>
        <w:rPr>
          <w:rStyle w:val="FootnoteReference"/>
        </w:rPr>
        <w:footnoteRef/>
      </w:r>
      <w:r>
        <w:t xml:space="preserve"> </w:t>
      </w:r>
      <w:r>
        <w:tab/>
        <w:t xml:space="preserve">Envestra, </w:t>
      </w:r>
      <w:r w:rsidRPr="00D255EA">
        <w:rPr>
          <w:rStyle w:val="AERtextitalic"/>
        </w:rPr>
        <w:t xml:space="preserve">Access </w:t>
      </w:r>
      <w:r>
        <w:rPr>
          <w:rStyle w:val="AERtextitalic"/>
        </w:rPr>
        <w:t>a</w:t>
      </w:r>
      <w:r w:rsidRPr="00D255EA">
        <w:rPr>
          <w:rStyle w:val="AERtextitalic"/>
        </w:rPr>
        <w:t xml:space="preserve">rrangement </w:t>
      </w:r>
      <w:r>
        <w:rPr>
          <w:rStyle w:val="AERtextitalic"/>
        </w:rPr>
        <w:t>i</w:t>
      </w:r>
      <w:r w:rsidRPr="00D255EA">
        <w:rPr>
          <w:rStyle w:val="AERtextitalic"/>
        </w:rPr>
        <w:t>nformation</w:t>
      </w:r>
      <w:r>
        <w:t xml:space="preserve">, 30 March 2012, p. 160-161; SP AusNet, </w:t>
      </w:r>
      <w:r w:rsidRPr="00D255EA">
        <w:rPr>
          <w:rStyle w:val="AERtextitalic"/>
        </w:rPr>
        <w:t>Access arrangement information</w:t>
      </w:r>
      <w:r>
        <w:t xml:space="preserve">, 30 March 2012, pp. 185-186; Multinet, </w:t>
      </w:r>
      <w:r w:rsidRPr="00D255EA">
        <w:rPr>
          <w:rStyle w:val="AERtextitalic"/>
        </w:rPr>
        <w:t>Access arrangement information</w:t>
      </w:r>
      <w:r>
        <w:t>, 30 March 2012, p172-173.</w:t>
      </w:r>
    </w:p>
  </w:footnote>
  <w:footnote w:id="252">
    <w:p w:rsidR="00377B37" w:rsidRDefault="00377B37" w:rsidP="007E742F">
      <w:pPr>
        <w:pStyle w:val="FootnoteText"/>
      </w:pPr>
      <w:r>
        <w:rPr>
          <w:rStyle w:val="FootnoteReference"/>
        </w:rPr>
        <w:footnoteRef/>
      </w:r>
      <w:r>
        <w:t xml:space="preserve"> </w:t>
      </w:r>
      <w:r>
        <w:tab/>
        <w:t xml:space="preserve">BHP Billiton, </w:t>
      </w:r>
      <w:r w:rsidRPr="00D255EA">
        <w:rPr>
          <w:rStyle w:val="AERtextitalic"/>
        </w:rPr>
        <w:t>Submission to the AER: APA GasNet access arrangement proposal</w:t>
      </w:r>
      <w:r>
        <w:t>, 29 June 2012, p. 17.</w:t>
      </w:r>
    </w:p>
  </w:footnote>
  <w:footnote w:id="253">
    <w:p w:rsidR="00377B37" w:rsidRDefault="00377B37" w:rsidP="007E742F">
      <w:pPr>
        <w:pStyle w:val="FootnoteText"/>
      </w:pPr>
      <w:r>
        <w:rPr>
          <w:rStyle w:val="FootnoteReference"/>
        </w:rPr>
        <w:footnoteRef/>
      </w:r>
      <w:r>
        <w:t xml:space="preserve"> </w:t>
      </w:r>
      <w:r>
        <w:tab/>
        <w:t xml:space="preserve">EUCV, </w:t>
      </w:r>
      <w:r w:rsidRPr="00D255EA">
        <w:rPr>
          <w:rStyle w:val="AERtextitalic"/>
        </w:rPr>
        <w:t>Submission to the AER: APA GasNet access arrangement proposal</w:t>
      </w:r>
      <w:r>
        <w:t>,18 June 2012, p. 50.</w:t>
      </w:r>
    </w:p>
  </w:footnote>
  <w:footnote w:id="254">
    <w:p w:rsidR="00377B37" w:rsidRDefault="00377B37" w:rsidP="007E742F">
      <w:pPr>
        <w:pStyle w:val="FootnoteText"/>
      </w:pPr>
      <w:r>
        <w:rPr>
          <w:rStyle w:val="FootnoteReference"/>
        </w:rPr>
        <w:footnoteRef/>
      </w:r>
      <w:r>
        <w:t xml:space="preserve"> </w:t>
      </w:r>
      <w:r>
        <w:tab/>
      </w:r>
      <w:r w:rsidRPr="0058313B">
        <w:t xml:space="preserve">Though the AER and ERA operate under different legislative instruments, the sections relevant to the determination of the rate of return are identical. Australian Competition Tribunal, </w:t>
      </w:r>
      <w:r w:rsidRPr="00F531F4">
        <w:rPr>
          <w:rStyle w:val="AERtextitalic"/>
        </w:rPr>
        <w:t xml:space="preserve">Application by WA Gas Networks Pty Ltd (No 3) </w:t>
      </w:r>
      <w:r w:rsidRPr="0058313B">
        <w:t xml:space="preserve">[2012] ACompT 12, 8 June 2012, paragraphs 167, 180; and Australian Competition Tribunal, </w:t>
      </w:r>
      <w:r w:rsidRPr="00F531F4">
        <w:rPr>
          <w:rStyle w:val="AERtextitalic"/>
        </w:rPr>
        <w:t>Application by DBNGP (WA) Transmission Pty Ltd (No 3)</w:t>
      </w:r>
      <w:r w:rsidRPr="0058313B">
        <w:t xml:space="preserve"> [2012] ACompT 14, 26 July 2012, paragraphs 280–282, 287.</w:t>
      </w:r>
    </w:p>
  </w:footnote>
  <w:footnote w:id="255">
    <w:p w:rsidR="00377B37" w:rsidRDefault="00377B37" w:rsidP="007E742F">
      <w:pPr>
        <w:pStyle w:val="FootnoteText"/>
      </w:pPr>
      <w:r>
        <w:rPr>
          <w:rStyle w:val="FootnoteReference"/>
        </w:rPr>
        <w:footnoteRef/>
      </w:r>
      <w:r>
        <w:t xml:space="preserve"> </w:t>
      </w:r>
      <w:r>
        <w:tab/>
        <w:t>Specifically, a</w:t>
      </w:r>
      <w:r w:rsidRPr="0058313B">
        <w:t xml:space="preserve">ll bonds (sourced from Bloomberg) were </w:t>
      </w:r>
      <w:r>
        <w:t>from</w:t>
      </w:r>
      <w:r w:rsidRPr="0058313B">
        <w:t xml:space="preserve"> Australian companies, denominated in Australian </w:t>
      </w:r>
      <w:r>
        <w:t>dollars and issued in Australia.</w:t>
      </w:r>
      <w:r w:rsidRPr="0058313B">
        <w:t xml:space="preserve"> </w:t>
      </w:r>
      <w:r>
        <w:t xml:space="preserve">Further, </w:t>
      </w:r>
      <w:r w:rsidRPr="0058313B">
        <w:t>bonds could be either fixed or floating and either bullet</w:t>
      </w:r>
      <w:r>
        <w:t xml:space="preserve">, </w:t>
      </w:r>
      <w:r w:rsidRPr="0058313B">
        <w:t>callable</w:t>
      </w:r>
      <w:r>
        <w:t xml:space="preserve"> or </w:t>
      </w:r>
      <w:r w:rsidRPr="0058313B">
        <w:t>putable</w:t>
      </w:r>
      <w:r>
        <w:t>.</w:t>
      </w:r>
      <w:r w:rsidRPr="0058313B">
        <w:t xml:space="preserve"> Different scenarios used other slightly different criteria, such as a minimum term (</w:t>
      </w:r>
      <w:r>
        <w:t>two</w:t>
      </w:r>
      <w:r w:rsidRPr="0058313B">
        <w:t xml:space="preserve"> or </w:t>
      </w:r>
      <w:r>
        <w:t>five</w:t>
      </w:r>
      <w:r w:rsidRPr="0058313B">
        <w:t xml:space="preserve"> years), and </w:t>
      </w:r>
      <w:r>
        <w:t xml:space="preserve">a range of </w:t>
      </w:r>
      <w:r w:rsidRPr="0058313B">
        <w:t>credit rating</w:t>
      </w:r>
      <w:r>
        <w:t>s</w:t>
      </w:r>
      <w:r w:rsidRPr="0058313B">
        <w:t xml:space="preserve"> (BBB-/BBB/BBB+ or BBB/BBB+).</w:t>
      </w:r>
    </w:p>
  </w:footnote>
  <w:footnote w:id="256">
    <w:p w:rsidR="00377B37" w:rsidRDefault="00377B37" w:rsidP="007E742F">
      <w:pPr>
        <w:pStyle w:val="FootnoteText"/>
      </w:pPr>
      <w:r>
        <w:rPr>
          <w:rStyle w:val="FootnoteReference"/>
        </w:rPr>
        <w:footnoteRef/>
      </w:r>
      <w:r>
        <w:t xml:space="preserve"> </w:t>
      </w:r>
      <w:r>
        <w:tab/>
      </w:r>
      <w:r w:rsidRPr="0058313B">
        <w:t xml:space="preserve">Australian Competition Tribunal, </w:t>
      </w:r>
      <w:r w:rsidRPr="00F531F4">
        <w:rPr>
          <w:rStyle w:val="AERtextitalic"/>
        </w:rPr>
        <w:t>Application by WA Gas Networks Pty Ltd (No 3)</w:t>
      </w:r>
      <w:r w:rsidRPr="0058313B">
        <w:t xml:space="preserve"> [2012] ACompT 12, 8 June 2012, paragraphs 176, 180, 187; Australian Competition Tribunal, </w:t>
      </w:r>
      <w:r w:rsidRPr="00F531F4">
        <w:rPr>
          <w:rStyle w:val="AERtextitalic"/>
        </w:rPr>
        <w:t>Application by DBNGP (WA) Transmission Pty Ltd (No 3)</w:t>
      </w:r>
      <w:r w:rsidRPr="0058313B">
        <w:t xml:space="preserve"> [2012] ACompT 14, 26 July 2012, paragraphs 290, 310–313.</w:t>
      </w:r>
    </w:p>
  </w:footnote>
  <w:footnote w:id="257">
    <w:p w:rsidR="00377B37" w:rsidRDefault="00377B37" w:rsidP="007E742F">
      <w:pPr>
        <w:pStyle w:val="FootnoteText"/>
      </w:pPr>
      <w:r>
        <w:rPr>
          <w:rStyle w:val="FootnoteReference"/>
        </w:rPr>
        <w:footnoteRef/>
      </w:r>
      <w:r>
        <w:t xml:space="preserve"> </w:t>
      </w:r>
      <w:r>
        <w:tab/>
      </w:r>
      <w:r w:rsidRPr="0058313B">
        <w:t xml:space="preserve">More specifically, the Tribunal endorsed the use of the ERA’s ‘scenario 2’, which encompassed a minimum credit rating of BBB and a minimum term of </w:t>
      </w:r>
      <w:r>
        <w:t>two</w:t>
      </w:r>
      <w:r w:rsidRPr="0058313B">
        <w:t xml:space="preserve"> years. It also suggested that it would be appropriate to apportion weight by considering both term to maturity and issuance amount for the relevant bonds.</w:t>
      </w:r>
    </w:p>
  </w:footnote>
  <w:footnote w:id="258">
    <w:p w:rsidR="00377B37" w:rsidRDefault="00377B37" w:rsidP="007E742F">
      <w:pPr>
        <w:pStyle w:val="FootnoteText"/>
      </w:pPr>
      <w:r>
        <w:rPr>
          <w:rStyle w:val="FootnoteReference"/>
        </w:rPr>
        <w:footnoteRef/>
      </w:r>
      <w:r>
        <w:t xml:space="preserve"> </w:t>
      </w:r>
      <w:r>
        <w:tab/>
      </w:r>
      <w:r w:rsidRPr="0058313B">
        <w:t xml:space="preserve">ERA, </w:t>
      </w:r>
      <w:r w:rsidRPr="00F531F4">
        <w:rPr>
          <w:rStyle w:val="AERtextitalic"/>
        </w:rPr>
        <w:t>Revised decision</w:t>
      </w:r>
      <w:r>
        <w:rPr>
          <w:rStyle w:val="AERtextitalic"/>
        </w:rPr>
        <w:t>,</w:t>
      </w:r>
      <w:r w:rsidRPr="00F531F4">
        <w:rPr>
          <w:rStyle w:val="AERtextitalic"/>
        </w:rPr>
        <w:t xml:space="preserve"> </w:t>
      </w:r>
      <w:r>
        <w:rPr>
          <w:rStyle w:val="AERtextitalic"/>
        </w:rPr>
        <w:t>A</w:t>
      </w:r>
      <w:r w:rsidRPr="00F531F4">
        <w:rPr>
          <w:rStyle w:val="AERtextitalic"/>
        </w:rPr>
        <w:t>ccess arrangement revisions for the Mid-West and South-West Gas Distribution System</w:t>
      </w:r>
      <w:r w:rsidRPr="0058313B">
        <w:t>, 25 June 2012, pp.</w:t>
      </w:r>
      <w:r>
        <w:t> </w:t>
      </w:r>
      <w:r w:rsidRPr="0058313B">
        <w:t>5–12.</w:t>
      </w:r>
    </w:p>
  </w:footnote>
  <w:footnote w:id="259">
    <w:p w:rsidR="00377B37" w:rsidRDefault="00377B37" w:rsidP="007E742F">
      <w:pPr>
        <w:pStyle w:val="FootnoteText"/>
      </w:pPr>
      <w:r>
        <w:rPr>
          <w:rStyle w:val="FootnoteReference"/>
        </w:rPr>
        <w:footnoteRef/>
      </w:r>
      <w:r>
        <w:t xml:space="preserve"> </w:t>
      </w:r>
      <w:r>
        <w:tab/>
        <w:t>Based on APA GasNet's indicative averaging period, t</w:t>
      </w:r>
      <w:r w:rsidRPr="0058313B">
        <w:t xml:space="preserve">his ‘bond-yield approach’ estimate </w:t>
      </w:r>
      <w:r w:rsidRPr="00390C9B">
        <w:t xml:space="preserve">incorporates </w:t>
      </w:r>
      <w:r>
        <w:t>60 </w:t>
      </w:r>
      <w:r w:rsidRPr="00390C9B">
        <w:t>bonds with an average term to maturity of 5.94 years.</w:t>
      </w:r>
    </w:p>
  </w:footnote>
  <w:footnote w:id="260">
    <w:p w:rsidR="00377B37" w:rsidRDefault="00377B37" w:rsidP="007E742F">
      <w:pPr>
        <w:pStyle w:val="FootnoteText"/>
      </w:pPr>
      <w:r>
        <w:rPr>
          <w:rStyle w:val="FootnoteReference"/>
        </w:rPr>
        <w:footnoteRef/>
      </w:r>
      <w:r>
        <w:t xml:space="preserve"> </w:t>
      </w:r>
      <w:r>
        <w:tab/>
      </w:r>
      <w:r w:rsidRPr="00390C9B">
        <w:t xml:space="preserve">Australian Competition Tribunal, </w:t>
      </w:r>
      <w:r w:rsidRPr="00F531F4">
        <w:rPr>
          <w:rStyle w:val="AERtextitalic"/>
        </w:rPr>
        <w:t>Application by Envestra Limited (No 2)</w:t>
      </w:r>
      <w:r w:rsidRPr="00390C9B">
        <w:t xml:space="preserve"> [2012] ACompT 3, 11 January 2012, paragraphs 95, 118, 120–121; see also Australian Competition Tribunal, </w:t>
      </w:r>
      <w:r w:rsidRPr="00F531F4">
        <w:rPr>
          <w:rStyle w:val="AERtextitalic"/>
        </w:rPr>
        <w:t xml:space="preserve">Application by APT Allgas Energy Ltd </w:t>
      </w:r>
      <w:r w:rsidRPr="00390C9B">
        <w:t>[2012] ACompT 5, 11 January 2012.</w:t>
      </w:r>
    </w:p>
  </w:footnote>
  <w:footnote w:id="261">
    <w:p w:rsidR="00377B37" w:rsidRDefault="00377B37" w:rsidP="007E742F">
      <w:pPr>
        <w:pStyle w:val="FootnoteText"/>
      </w:pPr>
      <w:r>
        <w:rPr>
          <w:rStyle w:val="FootnoteReference"/>
        </w:rPr>
        <w:footnoteRef/>
      </w:r>
      <w:r>
        <w:t xml:space="preserve"> </w:t>
      </w:r>
      <w:r>
        <w:tab/>
        <w:t>This estimate reflects an adjustment to APA GasNet's proposed extrapolation approach. This adjustment is discussed in detail in attachment 4 of this draft decision.</w:t>
      </w:r>
    </w:p>
  </w:footnote>
  <w:footnote w:id="262">
    <w:p w:rsidR="00377B37" w:rsidRDefault="00377B37" w:rsidP="007E742F">
      <w:pPr>
        <w:pStyle w:val="FootnoteText"/>
      </w:pPr>
      <w:r>
        <w:rPr>
          <w:rStyle w:val="FootnoteReference"/>
        </w:rPr>
        <w:footnoteRef/>
      </w:r>
      <w:r>
        <w:t xml:space="preserve"> </w:t>
      </w:r>
      <w:r>
        <w:tab/>
        <w:t xml:space="preserve">AER, </w:t>
      </w:r>
      <w:r w:rsidRPr="002B72AD">
        <w:rPr>
          <w:rStyle w:val="AERtextitalic"/>
        </w:rPr>
        <w:t>Final decision - WACC Review</w:t>
      </w:r>
      <w:r>
        <w:t>, May 2009, p. 335.</w:t>
      </w:r>
    </w:p>
  </w:footnote>
  <w:footnote w:id="263">
    <w:p w:rsidR="00377B37" w:rsidRDefault="00377B37" w:rsidP="007E742F">
      <w:pPr>
        <w:pStyle w:val="FootnoteText"/>
      </w:pPr>
      <w:r>
        <w:rPr>
          <w:rStyle w:val="FootnoteReference"/>
        </w:rPr>
        <w:footnoteRef/>
      </w:r>
      <w:r>
        <w:t xml:space="preserve"> </w:t>
      </w:r>
      <w:r>
        <w:tab/>
      </w:r>
      <w:r w:rsidRPr="00C7488B">
        <w:t xml:space="preserve">APA </w:t>
      </w:r>
      <w:r>
        <w:t xml:space="preserve">GasNet, </w:t>
      </w:r>
      <w:r w:rsidRPr="002B72AD">
        <w:rPr>
          <w:rStyle w:val="AERtextitalic"/>
        </w:rPr>
        <w:t>Access arrangement submission</w:t>
      </w:r>
      <w:r>
        <w:t xml:space="preserve">, 31 </w:t>
      </w:r>
      <w:r w:rsidRPr="00C7488B">
        <w:t>March 2012</w:t>
      </w:r>
      <w:r>
        <w:t>, p. 152.</w:t>
      </w:r>
    </w:p>
  </w:footnote>
  <w:footnote w:id="264">
    <w:p w:rsidR="00377B37" w:rsidRDefault="00377B37" w:rsidP="007E742F">
      <w:pPr>
        <w:pStyle w:val="FootnoteText"/>
      </w:pPr>
      <w:r>
        <w:rPr>
          <w:rStyle w:val="FootnoteReference"/>
        </w:rPr>
        <w:footnoteRef/>
      </w:r>
      <w:r>
        <w:t xml:space="preserve"> </w:t>
      </w:r>
      <w:r>
        <w:tab/>
        <w:t xml:space="preserve">APA GasNet, </w:t>
      </w:r>
      <w:r w:rsidRPr="002B72AD">
        <w:rPr>
          <w:rStyle w:val="AERtextitalic"/>
        </w:rPr>
        <w:t>Access arrangement submission</w:t>
      </w:r>
      <w:r>
        <w:t xml:space="preserve">, 31 March 2012, p. 132-133. </w:t>
      </w:r>
    </w:p>
  </w:footnote>
  <w:footnote w:id="265">
    <w:p w:rsidR="00377B37" w:rsidRDefault="00377B37" w:rsidP="007E742F">
      <w:pPr>
        <w:pStyle w:val="FootnoteText"/>
      </w:pPr>
      <w:r>
        <w:rPr>
          <w:rStyle w:val="FootnoteReference"/>
        </w:rPr>
        <w:footnoteRef/>
      </w:r>
      <w:r>
        <w:t xml:space="preserve"> </w:t>
      </w:r>
      <w:r>
        <w:tab/>
        <w:t xml:space="preserve">Australian Treasury and Australian Office of Financial Management, </w:t>
      </w:r>
      <w:r w:rsidRPr="00D70DAA">
        <w:rPr>
          <w:rStyle w:val="AERtextitalic"/>
        </w:rPr>
        <w:t>Letter to the ACCC:</w:t>
      </w:r>
      <w:r>
        <w:t xml:space="preserve"> </w:t>
      </w:r>
      <w:r w:rsidRPr="00510FB0">
        <w:rPr>
          <w:rStyle w:val="AERtextitalic"/>
        </w:rPr>
        <w:t>The Commonwealth Government Securities Market</w:t>
      </w:r>
      <w:r>
        <w:t>, 18 July 2012, p. 2 (</w:t>
      </w:r>
      <w:r w:rsidRPr="00FF51E5">
        <w:t xml:space="preserve">Treasury and AOFM, </w:t>
      </w:r>
      <w:r w:rsidRPr="00D70DAA">
        <w:rPr>
          <w:rStyle w:val="AERtextitalic"/>
        </w:rPr>
        <w:t>Letter regarding the CGS Market</w:t>
      </w:r>
      <w:r w:rsidRPr="00FF51E5">
        <w:t>, July 2012</w:t>
      </w:r>
      <w:r>
        <w:t xml:space="preserve">). </w:t>
      </w:r>
    </w:p>
  </w:footnote>
  <w:footnote w:id="266">
    <w:p w:rsidR="00377B37" w:rsidRDefault="00377B37" w:rsidP="007E742F">
      <w:pPr>
        <w:pStyle w:val="FootnoteText"/>
      </w:pPr>
      <w:r>
        <w:rPr>
          <w:rStyle w:val="FootnoteReference"/>
        </w:rPr>
        <w:footnoteRef/>
      </w:r>
      <w:r>
        <w:t xml:space="preserve"> </w:t>
      </w:r>
      <w:r>
        <w:tab/>
      </w:r>
      <w:r w:rsidRPr="00AC391C">
        <w:t xml:space="preserve">Reserve Bank of Australia, </w:t>
      </w:r>
      <w:r w:rsidRPr="00D70DAA">
        <w:rPr>
          <w:rStyle w:val="AERtextitalic"/>
        </w:rPr>
        <w:t>Letter to the ACCC: The Commonwealth Government Securities Market</w:t>
      </w:r>
      <w:r w:rsidRPr="00AC391C">
        <w:t>, 16 July 2012</w:t>
      </w:r>
      <w:r>
        <w:t>, (</w:t>
      </w:r>
      <w:r w:rsidRPr="00AC391C">
        <w:t xml:space="preserve">RBA, </w:t>
      </w:r>
      <w:r w:rsidRPr="00D70DAA">
        <w:rPr>
          <w:rStyle w:val="AERtextitalic"/>
        </w:rPr>
        <w:t>Letter regarding the CGS market</w:t>
      </w:r>
      <w:r w:rsidRPr="00AC391C">
        <w:t>, July 2012</w:t>
      </w:r>
      <w:r>
        <w:t xml:space="preserve">). </w:t>
      </w:r>
    </w:p>
  </w:footnote>
  <w:footnote w:id="267">
    <w:p w:rsidR="00377B37" w:rsidRDefault="00377B37" w:rsidP="007E742F">
      <w:pPr>
        <w:pStyle w:val="FootnoteText"/>
      </w:pPr>
      <w:r>
        <w:rPr>
          <w:rStyle w:val="FootnoteReference"/>
        </w:rPr>
        <w:footnoteRef/>
      </w:r>
      <w:r>
        <w:t xml:space="preserve"> </w:t>
      </w:r>
      <w:r>
        <w:tab/>
        <w:t xml:space="preserve">Federal Court of Australia, ActewAGL Distribution v The Australian Energy Regulator [2011] FCA 639, 8 June 2011, paragraph 148. </w:t>
      </w:r>
    </w:p>
  </w:footnote>
  <w:footnote w:id="268">
    <w:p w:rsidR="00377B37" w:rsidRDefault="00377B37" w:rsidP="007E742F">
      <w:pPr>
        <w:pStyle w:val="FootnoteText"/>
      </w:pPr>
      <w:r>
        <w:rPr>
          <w:rStyle w:val="FootnoteReference"/>
        </w:rPr>
        <w:footnoteRef/>
      </w:r>
      <w:r>
        <w:t xml:space="preserve"> </w:t>
      </w:r>
      <w:r>
        <w:tab/>
      </w:r>
      <w:r w:rsidRPr="008C613D">
        <w:t xml:space="preserve">M. McKenzie, and G. Partington, </w:t>
      </w:r>
      <w:r w:rsidRPr="00096E65">
        <w:rPr>
          <w:rStyle w:val="AERtextitalic"/>
        </w:rPr>
        <w:t>Report to the AER: Supplementary report on the equity market risk premium</w:t>
      </w:r>
      <w:r w:rsidRPr="008C613D">
        <w:t>, 22 February 2012</w:t>
      </w:r>
      <w:r>
        <w:t>,  pp. 11–</w:t>
      </w:r>
      <w:r w:rsidDel="00A67F3B">
        <w:t>-</w:t>
      </w:r>
      <w:r>
        <w:t xml:space="preserve">12, (McKenzie and Partington, </w:t>
      </w:r>
      <w:r w:rsidRPr="00096E65">
        <w:rPr>
          <w:rStyle w:val="AERtextitalic"/>
        </w:rPr>
        <w:t>Supplementary report on the MRP</w:t>
      </w:r>
      <w:r w:rsidRPr="008C613D">
        <w:t>, February 2012)</w:t>
      </w:r>
      <w:r>
        <w:t xml:space="preserve">; M. Lally, </w:t>
      </w:r>
      <w:r w:rsidRPr="00096E65">
        <w:rPr>
          <w:rStyle w:val="AERtextitalic"/>
        </w:rPr>
        <w:t>The risk free rate and the present value principle</w:t>
      </w:r>
      <w:r>
        <w:t xml:space="preserve">, 22 August 2012,  p. 3  </w:t>
      </w:r>
      <w:r w:rsidRPr="008C613D">
        <w:t xml:space="preserve">(Lally, </w:t>
      </w:r>
      <w:r w:rsidRPr="00096E65">
        <w:rPr>
          <w:rStyle w:val="AERtextitalic"/>
        </w:rPr>
        <w:t>Risk free rate and present value</w:t>
      </w:r>
      <w:r w:rsidRPr="008C613D">
        <w:t xml:space="preserve">, August 2012). </w:t>
      </w:r>
      <w:r>
        <w:t xml:space="preserve"> </w:t>
      </w:r>
    </w:p>
  </w:footnote>
  <w:footnote w:id="269">
    <w:p w:rsidR="00377B37" w:rsidRDefault="00377B37" w:rsidP="007E742F">
      <w:pPr>
        <w:pStyle w:val="FootnoteText"/>
      </w:pPr>
      <w:r>
        <w:rPr>
          <w:rStyle w:val="FootnoteReference"/>
        </w:rPr>
        <w:footnoteRef/>
      </w:r>
      <w:r>
        <w:t xml:space="preserve"> </w:t>
      </w:r>
      <w:r>
        <w:tab/>
        <w:t xml:space="preserve">Australian Competition Tribunal, </w:t>
      </w:r>
      <w:r w:rsidRPr="004A3712">
        <w:rPr>
          <w:rStyle w:val="AERtextitalic"/>
        </w:rPr>
        <w:t>Telstra Corporation Limited ABN 33 051 775 556 [2010] ACompT 1</w:t>
      </w:r>
      <w:r>
        <w:t xml:space="preserve">, 10 May 2010, paragraph 417. </w:t>
      </w:r>
    </w:p>
  </w:footnote>
  <w:footnote w:id="270">
    <w:p w:rsidR="00377B37" w:rsidRPr="00E53F57" w:rsidRDefault="00377B37" w:rsidP="007E742F">
      <w:pPr>
        <w:pStyle w:val="FootnoteText"/>
      </w:pPr>
      <w:r>
        <w:rPr>
          <w:rStyle w:val="FootnoteReference"/>
        </w:rPr>
        <w:footnoteRef/>
      </w:r>
      <w:r>
        <w:t xml:space="preserve"> </w:t>
      </w:r>
      <w:r>
        <w:tab/>
        <w:t xml:space="preserve">Standard and Poor's, viewed 17 August 2012, </w:t>
      </w:r>
      <w:hyperlink r:id="rId1" w:history="1">
        <w:r w:rsidRPr="00731D50">
          <w:rPr>
            <w:rStyle w:val="Hyperlink"/>
          </w:rPr>
          <w:t>www.standardandpoors.com/prot/ratings/entity-ratings/en/au/?entityID=268976&amp;sectorCode=SOV</w:t>
        </w:r>
      </w:hyperlink>
      <w:r>
        <w:t xml:space="preserve">; Moody's, viewed 5 September 2012; </w:t>
      </w:r>
      <w:r w:rsidRPr="00E53F57">
        <w:t>Moody's, viewed 5 September 2012,</w:t>
      </w:r>
    </w:p>
    <w:p w:rsidR="00377B37" w:rsidRDefault="00377B37" w:rsidP="007E742F">
      <w:pPr>
        <w:pStyle w:val="FootnoteText"/>
      </w:pPr>
      <w:r w:rsidRPr="00E53F57">
        <w:tab/>
        <w:t xml:space="preserve">http://www.moodys.com/credit-ratings/Australia-Government-of-credit-rating-75300; </w:t>
      </w:r>
      <w:r>
        <w:t xml:space="preserve">Fitch Ratings, viewed 5 September 2012, </w:t>
      </w:r>
      <w:r w:rsidRPr="00450D9D">
        <w:t>http://www.fitchratings.com/gws/en/esp/issr/80442187</w:t>
      </w:r>
      <w:r>
        <w:t>.</w:t>
      </w:r>
    </w:p>
  </w:footnote>
  <w:footnote w:id="271">
    <w:p w:rsidR="00377B37" w:rsidRDefault="00377B37" w:rsidP="007E742F">
      <w:pPr>
        <w:pStyle w:val="FootnoteText"/>
      </w:pPr>
      <w:r>
        <w:rPr>
          <w:rStyle w:val="FootnoteReference"/>
        </w:rPr>
        <w:footnoteRef/>
      </w:r>
      <w:r>
        <w:t xml:space="preserve"> </w:t>
      </w:r>
      <w:r>
        <w:tab/>
      </w:r>
      <w:r w:rsidRPr="00AC391C">
        <w:t xml:space="preserve">RBA, </w:t>
      </w:r>
      <w:r w:rsidRPr="00D70DAA">
        <w:rPr>
          <w:rStyle w:val="AERtextitalic"/>
        </w:rPr>
        <w:t>Letter regarding the CGS market</w:t>
      </w:r>
      <w:r w:rsidRPr="00AC391C">
        <w:t>, July 2012</w:t>
      </w:r>
      <w:r>
        <w:t xml:space="preserve">, p. 1. </w:t>
      </w:r>
    </w:p>
  </w:footnote>
  <w:footnote w:id="272">
    <w:p w:rsidR="00377B37" w:rsidRDefault="00377B37" w:rsidP="007E742F">
      <w:pPr>
        <w:pStyle w:val="FootnoteText"/>
      </w:pPr>
      <w:r>
        <w:rPr>
          <w:rStyle w:val="FootnoteReference"/>
        </w:rPr>
        <w:footnoteRef/>
      </w:r>
      <w:r>
        <w:t xml:space="preserve"> </w:t>
      </w:r>
      <w:r>
        <w:tab/>
      </w:r>
      <w:r w:rsidRPr="00AC391C">
        <w:t xml:space="preserve">RBA, </w:t>
      </w:r>
      <w:r w:rsidRPr="00D70DAA">
        <w:rPr>
          <w:rStyle w:val="AERtextitalic"/>
        </w:rPr>
        <w:t>Letter regarding the CGS market</w:t>
      </w:r>
      <w:r w:rsidRPr="00AC391C">
        <w:t>, July 2012</w:t>
      </w:r>
      <w:r>
        <w:t xml:space="preserve">, p. 1. </w:t>
      </w:r>
    </w:p>
  </w:footnote>
  <w:footnote w:id="273">
    <w:p w:rsidR="00377B37" w:rsidRDefault="00377B37" w:rsidP="007E742F">
      <w:pPr>
        <w:pStyle w:val="FootnoteText"/>
      </w:pPr>
      <w:r>
        <w:rPr>
          <w:rStyle w:val="FootnoteReference"/>
        </w:rPr>
        <w:footnoteRef/>
      </w:r>
      <w:r>
        <w:t xml:space="preserve"> </w:t>
      </w:r>
      <w:r>
        <w:tab/>
        <w:t xml:space="preserve">Australian Competition Tribunal, </w:t>
      </w:r>
      <w:r w:rsidRPr="00E20B11">
        <w:rPr>
          <w:rStyle w:val="AERtextitalic"/>
        </w:rPr>
        <w:t>Application by DBNGP (WA) Transmission Pty Ltd (No 3) [2012] ACompT 14</w:t>
      </w:r>
      <w:r>
        <w:t xml:space="preserve">, 26 July 2012, paragraph 116. </w:t>
      </w:r>
    </w:p>
  </w:footnote>
  <w:footnote w:id="274">
    <w:p w:rsidR="00377B37" w:rsidRDefault="00377B37" w:rsidP="007E742F">
      <w:pPr>
        <w:pStyle w:val="FootnoteText"/>
      </w:pPr>
      <w:r>
        <w:rPr>
          <w:rStyle w:val="FootnoteReference"/>
        </w:rPr>
        <w:footnoteRef/>
      </w:r>
      <w:r>
        <w:t xml:space="preserve"> </w:t>
      </w:r>
      <w:r>
        <w:tab/>
        <w:t>'Liquidity means that you do not have to accept a discount from true value if you want to sell the asset quickly.' Brealey, R., Myers, S., Partington, G., and Robinson, D., Principles of Corporate Finance, The McGraw-Hill Companies, 2007, p. 1082.</w:t>
      </w:r>
    </w:p>
  </w:footnote>
  <w:footnote w:id="275">
    <w:p w:rsidR="00377B37" w:rsidRDefault="00377B37" w:rsidP="007E742F">
      <w:pPr>
        <w:pStyle w:val="FootnoteText"/>
      </w:pPr>
      <w:r>
        <w:rPr>
          <w:rStyle w:val="FootnoteReference"/>
        </w:rPr>
        <w:footnoteRef/>
      </w:r>
      <w:r>
        <w:t xml:space="preserve"> </w:t>
      </w:r>
      <w:r>
        <w:tab/>
        <w:t xml:space="preserve">RBA, </w:t>
      </w:r>
      <w:r w:rsidRPr="00F55E04">
        <w:rPr>
          <w:rStyle w:val="AERtextitalic"/>
        </w:rPr>
        <w:t>Letter to the AER</w:t>
      </w:r>
      <w:r>
        <w:t xml:space="preserve">, August 2007; Australian Treasury, </w:t>
      </w:r>
      <w:r w:rsidRPr="00F55E04">
        <w:rPr>
          <w:rStyle w:val="AERtextitalic"/>
        </w:rPr>
        <w:t>The Treasury Bond yield as a proxy for the CAPM risk-free rate</w:t>
      </w:r>
      <w:r>
        <w:t>, August 2007.</w:t>
      </w:r>
    </w:p>
  </w:footnote>
  <w:footnote w:id="276">
    <w:p w:rsidR="00377B37" w:rsidRDefault="00377B37" w:rsidP="007E742F">
      <w:pPr>
        <w:pStyle w:val="FootnoteText"/>
      </w:pPr>
      <w:r>
        <w:rPr>
          <w:rStyle w:val="FootnoteReference"/>
        </w:rPr>
        <w:footnoteRef/>
      </w:r>
      <w:r>
        <w:t xml:space="preserve"> </w:t>
      </w:r>
      <w:r>
        <w:tab/>
        <w:t xml:space="preserve">RBA, </w:t>
      </w:r>
      <w:r w:rsidRPr="00F55E04">
        <w:rPr>
          <w:rStyle w:val="AERtextitalic"/>
        </w:rPr>
        <w:t>Letter to the AER</w:t>
      </w:r>
      <w:r>
        <w:t xml:space="preserve">, August 2007, p. 1; Australian Treasury, </w:t>
      </w:r>
      <w:r w:rsidRPr="00F55E04">
        <w:rPr>
          <w:rStyle w:val="AERtextitalic"/>
        </w:rPr>
        <w:t>The Treasury Bond yield as a proxy for the CAPM risk-free rate</w:t>
      </w:r>
      <w:r>
        <w:t>, August 2007, p. 1.</w:t>
      </w:r>
    </w:p>
  </w:footnote>
  <w:footnote w:id="277">
    <w:p w:rsidR="00377B37" w:rsidRDefault="00377B37" w:rsidP="007E742F">
      <w:pPr>
        <w:pStyle w:val="FootnoteText"/>
      </w:pPr>
      <w:r>
        <w:rPr>
          <w:rStyle w:val="FootnoteReference"/>
        </w:rPr>
        <w:footnoteRef/>
      </w:r>
      <w:r>
        <w:t xml:space="preserve"> </w:t>
      </w:r>
      <w:r>
        <w:tab/>
        <w:t xml:space="preserve">RBA, </w:t>
      </w:r>
      <w:r w:rsidRPr="00F55E04">
        <w:rPr>
          <w:rStyle w:val="AERtextitalic"/>
        </w:rPr>
        <w:t>Letter to the AER</w:t>
      </w:r>
      <w:r>
        <w:t xml:space="preserve">, August 2007, p. 1; Australian Treasury, </w:t>
      </w:r>
      <w:r w:rsidRPr="00F55E04">
        <w:rPr>
          <w:rStyle w:val="AERtextitalic"/>
        </w:rPr>
        <w:t>The Treasury Bond yield as a proxy for the CAPM risk-free rate</w:t>
      </w:r>
      <w:r>
        <w:t>, August 2007, p. 1.</w:t>
      </w:r>
    </w:p>
  </w:footnote>
  <w:footnote w:id="278">
    <w:p w:rsidR="00377B37" w:rsidRDefault="00377B37" w:rsidP="007E742F">
      <w:pPr>
        <w:pStyle w:val="FootnoteText"/>
      </w:pPr>
      <w:r>
        <w:rPr>
          <w:rStyle w:val="FootnoteReference"/>
        </w:rPr>
        <w:footnoteRef/>
      </w:r>
      <w:r>
        <w:t xml:space="preserve"> </w:t>
      </w:r>
      <w:r>
        <w:tab/>
        <w:t xml:space="preserve">AER, </w:t>
      </w:r>
      <w:r w:rsidRPr="002B72AD">
        <w:rPr>
          <w:rStyle w:val="AERtextitalic"/>
        </w:rPr>
        <w:t>Final decision: SP AusNet Transmission determination - 2008-09 to 2013-14</w:t>
      </w:r>
      <w:r>
        <w:t>, January 2008, p. 12.</w:t>
      </w:r>
    </w:p>
  </w:footnote>
  <w:footnote w:id="279">
    <w:p w:rsidR="00377B37" w:rsidRDefault="00377B37" w:rsidP="007E742F">
      <w:pPr>
        <w:pStyle w:val="FootnoteText"/>
      </w:pPr>
      <w:r>
        <w:rPr>
          <w:rStyle w:val="FootnoteReference"/>
        </w:rPr>
        <w:footnoteRef/>
      </w:r>
      <w:r>
        <w:t xml:space="preserve"> </w:t>
      </w:r>
      <w:r>
        <w:tab/>
      </w:r>
      <w:r w:rsidRPr="00FF51E5">
        <w:t xml:space="preserve">Treasury and AOFM, </w:t>
      </w:r>
      <w:r w:rsidRPr="00D70DAA">
        <w:rPr>
          <w:rStyle w:val="AERtextitalic"/>
        </w:rPr>
        <w:t>Letter regarding the CGS Market</w:t>
      </w:r>
      <w:r w:rsidRPr="00FF51E5">
        <w:t>, July 2012</w:t>
      </w:r>
      <w:r>
        <w:t xml:space="preserve">, p. 2. </w:t>
      </w:r>
    </w:p>
  </w:footnote>
  <w:footnote w:id="280">
    <w:p w:rsidR="00377B37" w:rsidRDefault="00377B37" w:rsidP="007E742F">
      <w:pPr>
        <w:pStyle w:val="FootnoteText"/>
      </w:pPr>
      <w:r>
        <w:rPr>
          <w:rStyle w:val="FootnoteReference"/>
        </w:rPr>
        <w:footnoteRef/>
      </w:r>
      <w:r>
        <w:t xml:space="preserve"> </w:t>
      </w:r>
      <w:r>
        <w:tab/>
      </w:r>
      <w:r w:rsidRPr="00AC391C">
        <w:t xml:space="preserve">RBA, </w:t>
      </w:r>
      <w:r w:rsidRPr="00D70DAA">
        <w:rPr>
          <w:rStyle w:val="AERtextitalic"/>
        </w:rPr>
        <w:t>Letter regarding the CGS market</w:t>
      </w:r>
      <w:r w:rsidRPr="00AC391C">
        <w:t>, July 2012</w:t>
      </w:r>
      <w:r>
        <w:t xml:space="preserve">, p. 1. </w:t>
      </w:r>
    </w:p>
  </w:footnote>
  <w:footnote w:id="281">
    <w:p w:rsidR="00377B37" w:rsidRDefault="00377B37" w:rsidP="007E742F">
      <w:pPr>
        <w:pStyle w:val="FootnoteText"/>
      </w:pPr>
      <w:r>
        <w:rPr>
          <w:rStyle w:val="FootnoteReference"/>
        </w:rPr>
        <w:footnoteRef/>
      </w:r>
      <w:r>
        <w:t xml:space="preserve"> </w:t>
      </w:r>
      <w:r>
        <w:tab/>
        <w:t xml:space="preserve">Rob Nicholl, </w:t>
      </w:r>
      <w:r w:rsidRPr="00E20B11">
        <w:rPr>
          <w:rStyle w:val="AERtextitalic"/>
        </w:rPr>
        <w:t>After the Storm - Does it Get Easier?</w:t>
      </w:r>
      <w:r>
        <w:t xml:space="preserve">, Australian Business Economists Speech, Sydney, 22 May 2012.   </w:t>
      </w:r>
    </w:p>
  </w:footnote>
  <w:footnote w:id="282">
    <w:p w:rsidR="00377B37" w:rsidRDefault="00377B37" w:rsidP="007E742F">
      <w:pPr>
        <w:pStyle w:val="FootnoteText"/>
      </w:pPr>
      <w:r>
        <w:rPr>
          <w:rStyle w:val="FootnoteReference"/>
        </w:rPr>
        <w:footnoteRef/>
      </w:r>
      <w:r>
        <w:t xml:space="preserve"> </w:t>
      </w:r>
      <w:r>
        <w:tab/>
        <w:t xml:space="preserve">Rob Nicholl, </w:t>
      </w:r>
      <w:r w:rsidRPr="00772E0D">
        <w:rPr>
          <w:rStyle w:val="AERtextitalic"/>
        </w:rPr>
        <w:t>After the Storm - Does it Get Easier?</w:t>
      </w:r>
      <w:r>
        <w:t>, Australian Business Economists Speech, Sydney, 22 May 2012, p. 7.</w:t>
      </w:r>
    </w:p>
  </w:footnote>
  <w:footnote w:id="283">
    <w:p w:rsidR="00377B37" w:rsidRDefault="00377B37" w:rsidP="007E742F">
      <w:pPr>
        <w:pStyle w:val="FootnoteText"/>
      </w:pPr>
      <w:r>
        <w:rPr>
          <w:rStyle w:val="FootnoteReference"/>
        </w:rPr>
        <w:footnoteRef/>
      </w:r>
      <w:r>
        <w:t xml:space="preserve"> </w:t>
      </w:r>
      <w:r>
        <w:tab/>
        <w:t xml:space="preserve">Initially stated in 02-03 Budget, </w:t>
      </w:r>
      <w:hyperlink r:id="rId2" w:history="1">
        <w:r w:rsidRPr="001804A0">
          <w:rPr>
            <w:rStyle w:val="Hyperlink"/>
          </w:rPr>
          <w:t>www.budget.gov.au/2003-04/bp1/html/bst7.htm</w:t>
        </w:r>
      </w:hyperlink>
      <w:r>
        <w:t xml:space="preserve">; reaffirmed in 11-12 Budget, </w:t>
      </w:r>
      <w:hyperlink r:id="rId3" w:history="1">
        <w:r w:rsidRPr="001804A0">
          <w:rPr>
            <w:rStyle w:val="Hyperlink"/>
          </w:rPr>
          <w:t>www.budget.gov.au/2011-12/content/bp1/html/bp1_bst7-03.htm</w:t>
        </w:r>
      </w:hyperlink>
      <w:r>
        <w:t xml:space="preserve">  </w:t>
      </w:r>
    </w:p>
  </w:footnote>
  <w:footnote w:id="284">
    <w:p w:rsidR="00377B37" w:rsidRDefault="00377B37" w:rsidP="007E742F">
      <w:pPr>
        <w:pStyle w:val="FootnoteText"/>
      </w:pPr>
      <w:r>
        <w:rPr>
          <w:rStyle w:val="FootnoteReference"/>
        </w:rPr>
        <w:footnoteRef/>
      </w:r>
      <w:r>
        <w:t xml:space="preserve"> </w:t>
      </w:r>
      <w:r>
        <w:tab/>
      </w:r>
      <w:r w:rsidRPr="00FF51E5">
        <w:t xml:space="preserve">Treasury and AOFM, </w:t>
      </w:r>
      <w:r w:rsidRPr="00D70DAA">
        <w:rPr>
          <w:rStyle w:val="AERtextitalic"/>
        </w:rPr>
        <w:t>Letter regarding the CGS Market</w:t>
      </w:r>
      <w:r w:rsidRPr="00FF51E5">
        <w:t>, July 2012</w:t>
      </w:r>
      <w:r>
        <w:t xml:space="preserve">, p. 3. </w:t>
      </w:r>
    </w:p>
  </w:footnote>
  <w:footnote w:id="285">
    <w:p w:rsidR="00377B37" w:rsidRDefault="00377B37" w:rsidP="007E742F">
      <w:pPr>
        <w:pStyle w:val="FootnoteText"/>
      </w:pPr>
      <w:r>
        <w:rPr>
          <w:rStyle w:val="FootnoteReference"/>
        </w:rPr>
        <w:footnoteRef/>
      </w:r>
      <w:r>
        <w:t xml:space="preserve"> </w:t>
      </w:r>
      <w:r>
        <w:tab/>
        <w:t xml:space="preserve">The 'liquidity premium’ theory and the 'preferred habitat’ theory identify other important determinants of the term structure of debt. Elton et. al., </w:t>
      </w:r>
      <w:r w:rsidRPr="00014A76">
        <w:t xml:space="preserve">Modern Portfolio Theory and Investment Analysis </w:t>
      </w:r>
      <w:r>
        <w:t>8th ed. (2010), pp. 516–</w:t>
      </w:r>
      <w:r w:rsidDel="00384BB2">
        <w:t>-5</w:t>
      </w:r>
      <w:r>
        <w:t xml:space="preserve">21. These concepts are discussed further in Appendix B. </w:t>
      </w:r>
    </w:p>
  </w:footnote>
  <w:footnote w:id="286">
    <w:p w:rsidR="00377B37" w:rsidRDefault="00377B37" w:rsidP="007E742F">
      <w:pPr>
        <w:pStyle w:val="FootnoteText"/>
      </w:pPr>
      <w:r>
        <w:rPr>
          <w:rStyle w:val="FootnoteReference"/>
        </w:rPr>
        <w:footnoteRef/>
      </w:r>
      <w:r>
        <w:t xml:space="preserve"> </w:t>
      </w:r>
      <w:r>
        <w:tab/>
      </w:r>
      <w:r w:rsidRPr="00FF51E5">
        <w:t xml:space="preserve">Treasury and AOFM, </w:t>
      </w:r>
      <w:r w:rsidRPr="00D70DAA">
        <w:rPr>
          <w:rStyle w:val="AERtextitalic"/>
        </w:rPr>
        <w:t>Letter regarding the CGS Market</w:t>
      </w:r>
      <w:r w:rsidRPr="00FF51E5">
        <w:t>, July 2012</w:t>
      </w:r>
      <w:r>
        <w:t xml:space="preserve">, p. 1. </w:t>
      </w:r>
    </w:p>
  </w:footnote>
  <w:footnote w:id="287">
    <w:p w:rsidR="00377B37" w:rsidRDefault="00377B37" w:rsidP="007E742F">
      <w:pPr>
        <w:pStyle w:val="FootnoteText"/>
      </w:pPr>
      <w:r>
        <w:rPr>
          <w:rStyle w:val="FootnoteReference"/>
        </w:rPr>
        <w:footnoteRef/>
      </w:r>
      <w:r>
        <w:t xml:space="preserve"> </w:t>
      </w:r>
      <w:r>
        <w:tab/>
        <w:t xml:space="preserve">McKenzie and Partington, </w:t>
      </w:r>
      <w:r w:rsidRPr="00096E65">
        <w:rPr>
          <w:rStyle w:val="AERtextitalic"/>
        </w:rPr>
        <w:t>Supplementary report on the MRP</w:t>
      </w:r>
      <w:r w:rsidRPr="008C613D">
        <w:t>, February 2012</w:t>
      </w:r>
      <w:r>
        <w:t>, pp. 11–12. Note: The advice was provided for the AER's final determination on Aurora. Many of the contentions made in that process are also being made in this process.</w:t>
      </w:r>
    </w:p>
  </w:footnote>
  <w:footnote w:id="288">
    <w:p w:rsidR="00377B37" w:rsidRDefault="00377B37" w:rsidP="007E742F">
      <w:pPr>
        <w:pStyle w:val="FootnoteText"/>
      </w:pPr>
      <w:r>
        <w:rPr>
          <w:rStyle w:val="FootnoteReference"/>
        </w:rPr>
        <w:footnoteRef/>
      </w:r>
      <w:r>
        <w:t xml:space="preserve"> </w:t>
      </w:r>
      <w:r>
        <w:tab/>
        <w:t xml:space="preserve">McKenzie and Partington, </w:t>
      </w:r>
      <w:r w:rsidRPr="00096E65">
        <w:rPr>
          <w:rStyle w:val="AERtextitalic"/>
        </w:rPr>
        <w:t>Supplementary report on the MRP</w:t>
      </w:r>
      <w:r w:rsidRPr="008C613D">
        <w:t>, February 2012</w:t>
      </w:r>
      <w:r>
        <w:t xml:space="preserve">, p. 12. </w:t>
      </w:r>
    </w:p>
  </w:footnote>
  <w:footnote w:id="289">
    <w:p w:rsidR="00377B37" w:rsidRDefault="00377B37" w:rsidP="007E742F">
      <w:pPr>
        <w:pStyle w:val="FootnoteText"/>
      </w:pPr>
      <w:r>
        <w:rPr>
          <w:rStyle w:val="FootnoteReference"/>
        </w:rPr>
        <w:footnoteRef/>
      </w:r>
      <w:r>
        <w:t xml:space="preserve"> </w:t>
      </w:r>
      <w:r>
        <w:tab/>
        <w:t xml:space="preserve">Australian Competition Tribunal, </w:t>
      </w:r>
      <w:r w:rsidRPr="00E20B11">
        <w:rPr>
          <w:rStyle w:val="AERtextitalic"/>
        </w:rPr>
        <w:t>Telstra Corporation Limited ABN 33 051 775 556 [2010] ACompT 1</w:t>
      </w:r>
      <w:r>
        <w:t xml:space="preserve">, 10 May 2010, paragraph 417. </w:t>
      </w:r>
    </w:p>
  </w:footnote>
  <w:footnote w:id="290">
    <w:p w:rsidR="00377B37" w:rsidRDefault="00377B37" w:rsidP="007E742F">
      <w:pPr>
        <w:pStyle w:val="FootnoteText"/>
      </w:pPr>
      <w:r>
        <w:rPr>
          <w:rStyle w:val="FootnoteReference"/>
        </w:rPr>
        <w:footnoteRef/>
      </w:r>
      <w:r>
        <w:t xml:space="preserve"> </w:t>
      </w:r>
      <w:r>
        <w:tab/>
        <w:t>Discussed further in section 4.2.1</w:t>
      </w:r>
    </w:p>
  </w:footnote>
  <w:footnote w:id="291">
    <w:p w:rsidR="00377B37" w:rsidRDefault="00377B37" w:rsidP="007E742F">
      <w:pPr>
        <w:pStyle w:val="FootnoteText"/>
      </w:pPr>
      <w:r>
        <w:rPr>
          <w:rStyle w:val="FootnoteReference"/>
        </w:rPr>
        <w:footnoteRef/>
      </w:r>
      <w:r>
        <w:t xml:space="preserve"> </w:t>
      </w:r>
      <w:r>
        <w:tab/>
        <w:t xml:space="preserve">Federal Court of Australia, </w:t>
      </w:r>
      <w:r w:rsidRPr="002B72AD">
        <w:rPr>
          <w:rStyle w:val="AERtextitalic"/>
        </w:rPr>
        <w:t>ActewAGL Distribution v The Australian Energy Regulator [2011] FCA 639</w:t>
      </w:r>
      <w:r>
        <w:t xml:space="preserve">, 8 June 2011, paragraph 119. </w:t>
      </w:r>
    </w:p>
  </w:footnote>
  <w:footnote w:id="292">
    <w:p w:rsidR="00377B37" w:rsidRDefault="00377B37" w:rsidP="007E742F">
      <w:pPr>
        <w:pStyle w:val="FootnoteText"/>
      </w:pPr>
      <w:r>
        <w:rPr>
          <w:rStyle w:val="FootnoteReference"/>
        </w:rPr>
        <w:footnoteRef/>
      </w:r>
      <w:r>
        <w:t xml:space="preserve"> </w:t>
      </w:r>
      <w:r>
        <w:tab/>
        <w:t xml:space="preserve">Federal Court of Australia, </w:t>
      </w:r>
      <w:r w:rsidRPr="002B72AD">
        <w:rPr>
          <w:rStyle w:val="AERtextitalic"/>
        </w:rPr>
        <w:t>ActewAGL Distribution v The Australian Energy Regulator [2011] FCA 639,</w:t>
      </w:r>
      <w:r>
        <w:t xml:space="preserve"> 8 June 2011, paragraph 119. </w:t>
      </w:r>
    </w:p>
  </w:footnote>
  <w:footnote w:id="293">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xml:space="preserve">,  p. 3. </w:t>
      </w:r>
    </w:p>
  </w:footnote>
  <w:footnote w:id="294">
    <w:p w:rsidR="00377B37" w:rsidRDefault="00377B37" w:rsidP="007E742F">
      <w:pPr>
        <w:pStyle w:val="FootnoteText"/>
      </w:pPr>
      <w:r>
        <w:rPr>
          <w:rStyle w:val="FootnoteReference"/>
        </w:rPr>
        <w:footnoteRef/>
      </w:r>
      <w:r>
        <w:t xml:space="preserve"> </w:t>
      </w:r>
      <w:r>
        <w:tab/>
        <w:t xml:space="preserve">Biggar, D., </w:t>
      </w:r>
      <w:r w:rsidRPr="00E20B11">
        <w:rPr>
          <w:rStyle w:val="AERtextitalic"/>
        </w:rPr>
        <w:t>Public utility regulation in Australia: Where have we got to? Where should we be going, Working paper no. 4, ACCC/AER working paper series</w:t>
      </w:r>
      <w:r>
        <w:t xml:space="preserve">, July 2011. </w:t>
      </w:r>
    </w:p>
  </w:footnote>
  <w:footnote w:id="295">
    <w:p w:rsidR="00377B37" w:rsidRDefault="00377B37" w:rsidP="007E742F">
      <w:pPr>
        <w:pStyle w:val="FootnoteText"/>
      </w:pPr>
      <w:r>
        <w:rPr>
          <w:rStyle w:val="FootnoteReference"/>
        </w:rPr>
        <w:footnoteRef/>
      </w:r>
      <w:r>
        <w:t xml:space="preserve"> </w:t>
      </w:r>
      <w:r>
        <w:tab/>
      </w:r>
      <w:r w:rsidRPr="0076371A">
        <w:t xml:space="preserve">Biggar, D., </w:t>
      </w:r>
      <w:r w:rsidRPr="0076371A">
        <w:rPr>
          <w:rStyle w:val="AERtextitalic"/>
        </w:rPr>
        <w:t>Public utility regulation in Australia: Where have we got to? Where should we be going, Working paper no. 4, ACCC/AER working paper series</w:t>
      </w:r>
      <w:r w:rsidRPr="0076371A">
        <w:t xml:space="preserve">, July 2011, p. 58. A similar description of the building block model supported by more detailed analysis can be found in Biggar, D., </w:t>
      </w:r>
      <w:r w:rsidRPr="0076371A">
        <w:rPr>
          <w:rStyle w:val="AERtextitalic"/>
        </w:rPr>
        <w:t>Incentive regulation and teh building block model</w:t>
      </w:r>
      <w:r w:rsidRPr="0076371A">
        <w:t>, 28 May 2004, pp. 2-21, accessed on 27 August 2012, &lt;</w:t>
      </w:r>
      <w:hyperlink r:id="rId4" w:history="1">
        <w:r w:rsidRPr="0076371A">
          <w:rPr>
            <w:rStyle w:val="Hyperlink"/>
          </w:rPr>
          <w:t>http://editorialexpress.com/cgi-bin/conference/download.cgi?db_name=ACE2004&amp;paper_id=133</w:t>
        </w:r>
      </w:hyperlink>
      <w:r w:rsidRPr="0076371A">
        <w:t>&gt;.</w:t>
      </w:r>
    </w:p>
  </w:footnote>
  <w:footnote w:id="296">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pp. 5-6</w:t>
      </w:r>
    </w:p>
  </w:footnote>
  <w:footnote w:id="297">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p. 3</w:t>
      </w:r>
    </w:p>
  </w:footnote>
  <w:footnote w:id="298">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p. 3</w:t>
      </w:r>
    </w:p>
  </w:footnote>
  <w:footnote w:id="299">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p. 3</w:t>
      </w:r>
    </w:p>
  </w:footnote>
  <w:footnote w:id="300">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p. 7</w:t>
      </w:r>
    </w:p>
  </w:footnote>
  <w:footnote w:id="301">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p. 7</w:t>
      </w:r>
    </w:p>
  </w:footnote>
  <w:footnote w:id="302">
    <w:p w:rsidR="00377B37" w:rsidRDefault="00377B37" w:rsidP="007E742F">
      <w:pPr>
        <w:pStyle w:val="FootnoteText"/>
      </w:pPr>
      <w:r>
        <w:rPr>
          <w:rStyle w:val="FootnoteReference"/>
        </w:rPr>
        <w:footnoteRef/>
      </w:r>
      <w:r>
        <w:t xml:space="preserve"> </w:t>
      </w:r>
      <w:r>
        <w:tab/>
        <w:t xml:space="preserve">AER, </w:t>
      </w:r>
      <w:r w:rsidRPr="002B72AD">
        <w:rPr>
          <w:rStyle w:val="AERtextitalic"/>
        </w:rPr>
        <w:t>Final decision</w:t>
      </w:r>
      <w:r w:rsidRPr="002B72AD">
        <w:rPr>
          <w:rStyle w:val="AERtextitalic"/>
          <w:rFonts w:hint="eastAsia"/>
        </w:rPr>
        <w:t>—</w:t>
      </w:r>
      <w:r w:rsidRPr="002B72AD">
        <w:rPr>
          <w:rStyle w:val="AERtextitalic"/>
        </w:rPr>
        <w:t>WACC Review</w:t>
      </w:r>
      <w:r>
        <w:t>, May 2009, pp. 173-174</w:t>
      </w:r>
    </w:p>
  </w:footnote>
  <w:footnote w:id="303">
    <w:p w:rsidR="00377B37" w:rsidRDefault="00377B37" w:rsidP="007E742F">
      <w:pPr>
        <w:pStyle w:val="FootnoteText"/>
      </w:pPr>
      <w:r>
        <w:rPr>
          <w:rStyle w:val="FootnoteReference"/>
        </w:rPr>
        <w:footnoteRef/>
      </w:r>
      <w:r>
        <w:t xml:space="preserve"> </w:t>
      </w:r>
      <w:r>
        <w:tab/>
      </w:r>
      <w:r w:rsidRPr="008C613D">
        <w:t xml:space="preserve">Lally, </w:t>
      </w:r>
      <w:r w:rsidRPr="00096E65">
        <w:rPr>
          <w:rStyle w:val="AERtextitalic"/>
        </w:rPr>
        <w:t>Risk free rate and present value</w:t>
      </w:r>
      <w:r w:rsidRPr="008C613D">
        <w:t>, August 2012</w:t>
      </w:r>
      <w:r>
        <w:t xml:space="preserve">, p. 7. </w:t>
      </w:r>
    </w:p>
  </w:footnote>
  <w:footnote w:id="304">
    <w:p w:rsidR="00377B37" w:rsidRDefault="00377B37" w:rsidP="007E742F">
      <w:pPr>
        <w:pStyle w:val="FootnoteText"/>
      </w:pPr>
      <w:r>
        <w:rPr>
          <w:rStyle w:val="FootnoteReference"/>
        </w:rPr>
        <w:footnoteRef/>
      </w:r>
      <w:r>
        <w:t xml:space="preserve"> </w:t>
      </w:r>
      <w:r>
        <w:tab/>
        <w:t xml:space="preserve">M. Lally, </w:t>
      </w:r>
      <w:r w:rsidRPr="002B72AD">
        <w:rPr>
          <w:rStyle w:val="AERtextitalic"/>
        </w:rPr>
        <w:t>Expert Report of Martin Thomas Lally</w:t>
      </w:r>
      <w:r>
        <w:t xml:space="preserve">, February 2011, pp. 9-10. </w:t>
      </w:r>
      <w:r w:rsidRPr="0051523B">
        <w:t>Lally's comments in this report were made about a specific approach proposed in the relevant determination but are consistent with the approach taken by the AER in this decision.</w:t>
      </w:r>
    </w:p>
  </w:footnote>
  <w:footnote w:id="305">
    <w:p w:rsidR="00377B37" w:rsidRPr="007C2776" w:rsidRDefault="00377B37" w:rsidP="007E742F">
      <w:pPr>
        <w:pStyle w:val="FootnoteText"/>
      </w:pPr>
      <w:r>
        <w:rPr>
          <w:rStyle w:val="FootnoteReference"/>
        </w:rPr>
        <w:footnoteRef/>
      </w:r>
      <w:r>
        <w:t xml:space="preserve"> </w:t>
      </w:r>
      <w:r>
        <w:tab/>
        <w:t xml:space="preserve">NERA, </w:t>
      </w:r>
      <w:r>
        <w:rPr>
          <w:i/>
        </w:rPr>
        <w:t xml:space="preserve">Prevailing conditions and the market risk premium, </w:t>
      </w:r>
      <w:r>
        <w:t xml:space="preserve">March 2012; CEG, </w:t>
      </w:r>
      <w:r>
        <w:rPr>
          <w:i/>
        </w:rPr>
        <w:t xml:space="preserve">Internal consistency of risk free rate and MRP in the CAPM, </w:t>
      </w:r>
      <w:r>
        <w:t xml:space="preserve">March 2012; Capital Research, </w:t>
      </w:r>
      <w:r>
        <w:rPr>
          <w:i/>
        </w:rPr>
        <w:t xml:space="preserve">Forward </w:t>
      </w:r>
      <w:r>
        <w:t>e</w:t>
      </w:r>
      <w:r>
        <w:rPr>
          <w:i/>
        </w:rPr>
        <w:t xml:space="preserve">stimate of the market risk premium: update, </w:t>
      </w:r>
      <w:r>
        <w:t>March 2012.</w:t>
      </w:r>
    </w:p>
  </w:footnote>
  <w:footnote w:id="306">
    <w:p w:rsidR="00377B37" w:rsidRDefault="00377B37" w:rsidP="007E742F">
      <w:pPr>
        <w:pStyle w:val="FootnoteText"/>
      </w:pPr>
      <w:r>
        <w:rPr>
          <w:rStyle w:val="FootnoteReference"/>
        </w:rPr>
        <w:footnoteRef/>
      </w:r>
      <w:r>
        <w:t xml:space="preserve"> </w:t>
      </w:r>
      <w:r>
        <w:tab/>
        <w:t xml:space="preserve">APA GasNet, </w:t>
      </w:r>
      <w:r>
        <w:rPr>
          <w:i/>
        </w:rPr>
        <w:t xml:space="preserve">Access arrangement submission, </w:t>
      </w:r>
      <w:r>
        <w:t>31 March 2012, pp, 141–6.</w:t>
      </w:r>
    </w:p>
  </w:footnote>
  <w:footnote w:id="307">
    <w:p w:rsidR="00377B37" w:rsidRPr="00F55FDE" w:rsidRDefault="00377B37" w:rsidP="007E742F">
      <w:pPr>
        <w:pStyle w:val="FootnoteText"/>
      </w:pPr>
      <w:r>
        <w:rPr>
          <w:rStyle w:val="FootnoteReference"/>
        </w:rPr>
        <w:footnoteRef/>
      </w:r>
      <w:r>
        <w:t xml:space="preserve"> </w:t>
      </w:r>
      <w:r>
        <w:tab/>
        <w:t xml:space="preserve">APA GasNet, </w:t>
      </w:r>
      <w:r>
        <w:rPr>
          <w:i/>
        </w:rPr>
        <w:t xml:space="preserve">Access arrangement submission, </w:t>
      </w:r>
      <w:r>
        <w:t>31 March 2012, pp, 146–7.</w:t>
      </w:r>
    </w:p>
  </w:footnote>
  <w:footnote w:id="308">
    <w:p w:rsidR="00377B37" w:rsidRDefault="00377B37" w:rsidP="007E742F">
      <w:pPr>
        <w:pStyle w:val="FootnoteText"/>
      </w:pPr>
      <w:r>
        <w:rPr>
          <w:rStyle w:val="FootnoteReference"/>
        </w:rPr>
        <w:footnoteRef/>
      </w:r>
      <w:r>
        <w:t xml:space="preserve"> </w:t>
      </w:r>
      <w:r>
        <w:tab/>
        <w:t xml:space="preserve">Australian Competition Tribunal, </w:t>
      </w:r>
      <w:r w:rsidRPr="00702DD0">
        <w:rPr>
          <w:i/>
        </w:rPr>
        <w:t>Application by DBNGP (WA) Transmission Pty Ltd (No 3) [2012] ACompT 14,</w:t>
      </w:r>
      <w:r>
        <w:t xml:space="preserve"> 26 July 2012, paragraph 153.</w:t>
      </w:r>
    </w:p>
  </w:footnote>
  <w:footnote w:id="309">
    <w:p w:rsidR="00377B37" w:rsidRDefault="00377B37" w:rsidP="007E742F">
      <w:pPr>
        <w:pStyle w:val="FootnoteText"/>
      </w:pPr>
      <w:r>
        <w:rPr>
          <w:rStyle w:val="FootnoteReference"/>
        </w:rPr>
        <w:footnoteRef/>
      </w:r>
      <w:r>
        <w:t xml:space="preserve"> </w:t>
      </w:r>
      <w:r>
        <w:tab/>
      </w:r>
      <w:r w:rsidRPr="00E53F57">
        <w:t xml:space="preserve">M. McKenzie, and G. Partington, </w:t>
      </w:r>
      <w:r w:rsidRPr="00E53F57">
        <w:rPr>
          <w:rStyle w:val="AERtextitalic"/>
        </w:rPr>
        <w:t>Report to Corrs Chambers Westgarth: Equity market risk premium</w:t>
      </w:r>
      <w:r w:rsidRPr="00E53F57">
        <w:t>, 21 December 2011</w:t>
      </w:r>
      <w:r>
        <w:t>, pp. 5–6, (</w:t>
      </w:r>
      <w:r w:rsidRPr="00E53F57">
        <w:t xml:space="preserve">McKenzie and Partington, </w:t>
      </w:r>
      <w:r w:rsidRPr="00E53F57">
        <w:rPr>
          <w:rStyle w:val="AERtextitalic"/>
        </w:rPr>
        <w:t>Equity market risk premium</w:t>
      </w:r>
      <w:r w:rsidRPr="00E53F57">
        <w:t>, December 2011</w:t>
      </w:r>
      <w:r>
        <w:t>).</w:t>
      </w:r>
    </w:p>
  </w:footnote>
  <w:footnote w:id="310">
    <w:p w:rsidR="00377B37" w:rsidRPr="00F8041A" w:rsidRDefault="00377B37" w:rsidP="007E742F">
      <w:pPr>
        <w:pStyle w:val="FootnoteText"/>
        <w:rPr>
          <w:i/>
        </w:rPr>
      </w:pPr>
      <w:r>
        <w:rPr>
          <w:rStyle w:val="FootnoteReference"/>
        </w:rPr>
        <w:footnoteRef/>
      </w:r>
      <w:r>
        <w:t xml:space="preserve"> </w:t>
      </w:r>
      <w:r>
        <w:tab/>
        <w:t xml:space="preserve">Boudoukh, Richardson and Whitelaw, </w:t>
      </w:r>
      <w:r>
        <w:rPr>
          <w:i/>
        </w:rPr>
        <w:t>Myth of long-horizon predictability,</w:t>
      </w:r>
      <w:r w:rsidRPr="00F8041A">
        <w:t xml:space="preserve"> </w:t>
      </w:r>
      <w:r>
        <w:t xml:space="preserve">Review of financial studies, July 2008, vol. 21, no. 4, pp. 1577–605; Timmermann, </w:t>
      </w:r>
      <w:r>
        <w:rPr>
          <w:i/>
        </w:rPr>
        <w:t xml:space="preserve">Elusive return predictability, </w:t>
      </w:r>
      <w:r>
        <w:t xml:space="preserve">International journal of forecasting, January – March 2008, vol. 24, no. 1, pp. 1–18; Goyal and Welch, </w:t>
      </w:r>
      <w:r>
        <w:rPr>
          <w:i/>
        </w:rPr>
        <w:t>A comprehensive look at the empirical performance of equity premium,</w:t>
      </w:r>
      <w:r>
        <w:t xml:space="preserve"> Review of financial studies v, 2008, vol. 21 n, no. 4, pp. 1455–1508. </w:t>
      </w:r>
    </w:p>
  </w:footnote>
  <w:footnote w:id="311">
    <w:p w:rsidR="00377B37" w:rsidRPr="00F8041A" w:rsidRDefault="00377B37" w:rsidP="007E742F">
      <w:pPr>
        <w:pStyle w:val="FootnoteText"/>
      </w:pPr>
      <w:r>
        <w:rPr>
          <w:rStyle w:val="FootnoteReference"/>
        </w:rPr>
        <w:footnoteRef/>
      </w:r>
      <w:r>
        <w:t xml:space="preserve"> </w:t>
      </w:r>
      <w:r>
        <w:tab/>
        <w:t xml:space="preserve">Goyal and Welch, </w:t>
      </w:r>
      <w:r>
        <w:rPr>
          <w:i/>
        </w:rPr>
        <w:t>A comprehensive look at the empirical performance of equity premium,</w:t>
      </w:r>
      <w:r>
        <w:t xml:space="preserve"> Review of financial studies v, 2008, vol. 21 n, no. 4, p. 1504.</w:t>
      </w:r>
    </w:p>
  </w:footnote>
  <w:footnote w:id="312">
    <w:p w:rsidR="00377B37" w:rsidRPr="007062F1" w:rsidRDefault="00377B37" w:rsidP="007E742F">
      <w:pPr>
        <w:pStyle w:val="FootnoteText"/>
      </w:pPr>
      <w:r>
        <w:rPr>
          <w:rStyle w:val="FootnoteReference"/>
        </w:rPr>
        <w:footnoteRef/>
      </w:r>
      <w:r>
        <w:t xml:space="preserve"> </w:t>
      </w:r>
      <w:r>
        <w:tab/>
        <w:t xml:space="preserve">The 0.35 value for theta is consistent with the Australian Competition Tribunal's position in </w:t>
      </w:r>
      <w:r w:rsidRPr="007062F1">
        <w:rPr>
          <w:i/>
        </w:rPr>
        <w:t>Application by Energex Limited (Gamma) (No 5) [2011] ACompT9</w:t>
      </w:r>
      <w:r>
        <w:t>, November 2009.</w:t>
      </w:r>
    </w:p>
  </w:footnote>
  <w:footnote w:id="313">
    <w:p w:rsidR="00377B37" w:rsidRPr="006F6E10" w:rsidRDefault="00377B37" w:rsidP="007E742F">
      <w:pPr>
        <w:pStyle w:val="FootnoteText"/>
        <w:rPr>
          <w:rStyle w:val="AERtextitalic"/>
        </w:rPr>
      </w:pPr>
      <w:r>
        <w:rPr>
          <w:rStyle w:val="FootnoteReference"/>
        </w:rPr>
        <w:footnoteRef/>
      </w:r>
      <w:r>
        <w:t xml:space="preserve"> </w:t>
      </w:r>
      <w:r>
        <w:tab/>
        <w:t xml:space="preserve">Brailsford, Handley and Maheswaran, </w:t>
      </w:r>
      <w:r>
        <w:rPr>
          <w:rStyle w:val="AERtextitalic"/>
        </w:rPr>
        <w:t xml:space="preserve">Re-examination of the historical equity risk premium in Australia, </w:t>
      </w:r>
      <w:r>
        <w:t xml:space="preserve">Accounting and Finance, vol. 48, 2008, pp. 85-86. </w:t>
      </w:r>
    </w:p>
  </w:footnote>
  <w:footnote w:id="314">
    <w:p w:rsidR="00377B37" w:rsidRDefault="00377B37" w:rsidP="007E742F">
      <w:pPr>
        <w:pStyle w:val="FootnoteText"/>
      </w:pPr>
      <w:r>
        <w:rPr>
          <w:rStyle w:val="FootnoteReference"/>
        </w:rPr>
        <w:footnoteRef/>
      </w:r>
      <w:r>
        <w:t xml:space="preserve"> </w:t>
      </w:r>
      <w:r>
        <w:tab/>
        <w:t xml:space="preserve">Handley, </w:t>
      </w:r>
      <w:r w:rsidRPr="007062F1">
        <w:rPr>
          <w:i/>
        </w:rPr>
        <w:t>An estimate of the historical equity risk premium for the period 1883 to 2011</w:t>
      </w:r>
      <w:r>
        <w:t xml:space="preserve">, April 2012, p. 6. Handley's estimates of the arithmetic averages starting in 1883 and 1958, updated to 2011, are confirmed by the NERA report submitted by the Victorian distribution network service providers in Aurora's revised proposal submission. Handley's and NERA's updates of the geometric average over the periods 1883–2011 and 1958–2011 differ by one basis point. The reason for this difference is unclear to the AER, but the difference appears immaterial. See NERA, </w:t>
      </w:r>
      <w:r w:rsidRPr="007062F1">
        <w:rPr>
          <w:i/>
        </w:rPr>
        <w:t>The market risk premium,</w:t>
      </w:r>
      <w:r w:rsidRPr="0027123B">
        <w:t xml:space="preserve"> 20 February 2012, pp.</w:t>
      </w:r>
      <w:r>
        <w:t xml:space="preserve"> </w:t>
      </w:r>
      <w:r w:rsidRPr="0027123B">
        <w:t>8</w:t>
      </w:r>
      <w:r>
        <w:t>–</w:t>
      </w:r>
      <w:r w:rsidRPr="0027123B">
        <w:t>9.</w:t>
      </w:r>
      <w:r>
        <w:t xml:space="preserve"> </w:t>
      </w:r>
    </w:p>
  </w:footnote>
  <w:footnote w:id="315">
    <w:p w:rsidR="00377B37" w:rsidRDefault="00377B37" w:rsidP="007E742F">
      <w:pPr>
        <w:pStyle w:val="FootnoteText"/>
      </w:pPr>
      <w:r>
        <w:rPr>
          <w:rStyle w:val="FootnoteReference"/>
        </w:rPr>
        <w:footnoteRef/>
      </w:r>
      <w:r>
        <w:t xml:space="preserve"> </w:t>
      </w:r>
      <w:r>
        <w:tab/>
        <w:t xml:space="preserve">In its submission to Aurora's revised proposal, NERA raised the issue that the market excess returns were less volatile before the 1950s. See: NERA, </w:t>
      </w:r>
      <w:r w:rsidRPr="00D75B51">
        <w:rPr>
          <w:i/>
        </w:rPr>
        <w:t>Market risk premium</w:t>
      </w:r>
      <w:r>
        <w:t xml:space="preserve">, 20 February 2012, pp. 13–20. The lack of a well developed theory behind what drives the MRP makes the AER cautious of excluding large periods of data because it does not represent a forward looking MRP. Also, other evidence suggests the historical excess returns were too high before the 1950s. See: AER, </w:t>
      </w:r>
      <w:r w:rsidRPr="00C75CD7">
        <w:rPr>
          <w:i/>
        </w:rPr>
        <w:t>APTPPL access arrangement draft decision</w:t>
      </w:r>
      <w:r>
        <w:t>, April 2012, pp. 296297–7.</w:t>
      </w:r>
    </w:p>
    <w:p w:rsidR="00377B37" w:rsidRDefault="00377B37" w:rsidP="007E742F">
      <w:pPr>
        <w:pStyle w:val="FootnoteText"/>
      </w:pPr>
      <w:r>
        <w:tab/>
        <w:t>Further, the arithmetic averages of historical excess returns over 1883–2011 and 1958–2011 both produce a historical MRP of 6.1 per cent. The geometric averages are 4.7 and 3.0 respectively. Accordingly, even if the AER were to rely on only the post 1958 data, it would not change its position on the appropriate value of the MRP.</w:t>
      </w:r>
    </w:p>
  </w:footnote>
  <w:footnote w:id="316">
    <w:p w:rsidR="00377B37" w:rsidRDefault="00377B37" w:rsidP="007E742F">
      <w:pPr>
        <w:pStyle w:val="FootnoteText"/>
      </w:pPr>
      <w:r>
        <w:rPr>
          <w:rStyle w:val="FootnoteReference"/>
        </w:rPr>
        <w:footnoteRef/>
      </w:r>
      <w:r>
        <w:t xml:space="preserve"> </w:t>
      </w:r>
      <w:r>
        <w:tab/>
        <w:t xml:space="preserve">AER, </w:t>
      </w:r>
      <w:r w:rsidRPr="002B72AD">
        <w:rPr>
          <w:rStyle w:val="AERtextitalic"/>
        </w:rPr>
        <w:t>Final decision—WACC review</w:t>
      </w:r>
      <w:r>
        <w:rPr>
          <w:i/>
        </w:rPr>
        <w:t>,</w:t>
      </w:r>
      <w:r>
        <w:t xml:space="preserve"> May 2009, pp. 200, 204; Brailsford, Handley and Maheswaran, </w:t>
      </w:r>
      <w:r w:rsidRPr="00F8722F">
        <w:rPr>
          <w:i/>
        </w:rPr>
        <w:t>Re-examination of the historical equity risk premium in Australia,</w:t>
      </w:r>
      <w:r>
        <w:t xml:space="preserve"> </w:t>
      </w:r>
      <w:r w:rsidRPr="00DD69E7">
        <w:rPr>
          <w:i/>
        </w:rPr>
        <w:t>Accounting and Finance</w:t>
      </w:r>
      <w:r>
        <w:t>, 2008, vol. 48, pp. 78–82.</w:t>
      </w:r>
    </w:p>
  </w:footnote>
  <w:footnote w:id="317">
    <w:p w:rsidR="00377B37" w:rsidRDefault="00377B37" w:rsidP="007E742F">
      <w:pPr>
        <w:pStyle w:val="FootnoteText"/>
      </w:pPr>
      <w:r>
        <w:rPr>
          <w:rStyle w:val="FootnoteReference"/>
        </w:rPr>
        <w:footnoteRef/>
      </w:r>
      <w:r>
        <w:t xml:space="preserve"> </w:t>
      </w:r>
      <w:r>
        <w:tab/>
        <w:t>Appendix B discusses the details.</w:t>
      </w:r>
    </w:p>
  </w:footnote>
  <w:footnote w:id="318">
    <w:p w:rsidR="00377B37" w:rsidRDefault="00377B37" w:rsidP="007E742F">
      <w:pPr>
        <w:pStyle w:val="FootnoteText"/>
      </w:pPr>
      <w:r>
        <w:rPr>
          <w:rStyle w:val="FootnoteReference"/>
        </w:rPr>
        <w:footnoteRef/>
      </w:r>
      <w:r>
        <w:t xml:space="preserve"> </w:t>
      </w:r>
      <w:r>
        <w:tab/>
        <w:t xml:space="preserve">Australian Competition Tribunal, </w:t>
      </w:r>
      <w:r w:rsidRPr="003C3376">
        <w:rPr>
          <w:i/>
        </w:rPr>
        <w:t>Application by Envestra Ltd (No 2) [2012] ACompT</w:t>
      </w:r>
      <w:r>
        <w:rPr>
          <w:i/>
        </w:rPr>
        <w:t>4</w:t>
      </w:r>
      <w:r>
        <w:t>, 11 January 2012, paragraph 157.</w:t>
      </w:r>
    </w:p>
  </w:footnote>
  <w:footnote w:id="319">
    <w:p w:rsidR="00377B37" w:rsidRDefault="00377B37" w:rsidP="007E742F">
      <w:pPr>
        <w:pStyle w:val="FootnoteText"/>
      </w:pPr>
      <w:r>
        <w:rPr>
          <w:rStyle w:val="FootnoteReference"/>
        </w:rPr>
        <w:footnoteRef/>
      </w:r>
      <w:r>
        <w:t xml:space="preserve"> </w:t>
      </w:r>
      <w:r>
        <w:tab/>
      </w:r>
      <w:r w:rsidRPr="00E53F57">
        <w:t xml:space="preserve">McKenzie and Partington, </w:t>
      </w:r>
      <w:r w:rsidRPr="00E53F57">
        <w:rPr>
          <w:rStyle w:val="AERtextitalic"/>
        </w:rPr>
        <w:t>Equity market risk premium</w:t>
      </w:r>
      <w:r w:rsidRPr="00E53F57">
        <w:t>, December 2011</w:t>
      </w:r>
      <w:r>
        <w:t>, pp. 6–7.</w:t>
      </w:r>
    </w:p>
  </w:footnote>
  <w:footnote w:id="320">
    <w:p w:rsidR="00377B37" w:rsidRDefault="00377B37" w:rsidP="007E742F">
      <w:pPr>
        <w:pStyle w:val="FootnoteText"/>
      </w:pPr>
      <w:r>
        <w:rPr>
          <w:rStyle w:val="FootnoteReference"/>
        </w:rPr>
        <w:footnoteRef/>
      </w:r>
      <w:r>
        <w:t xml:space="preserve"> </w:t>
      </w:r>
      <w:r>
        <w:tab/>
        <w:t xml:space="preserve">Damodoran, A. </w:t>
      </w:r>
      <w:r w:rsidRPr="00C17C06">
        <w:rPr>
          <w:i/>
        </w:rPr>
        <w:t>Equity risk premiums: determinants, estimation and implications</w:t>
      </w:r>
      <w:r>
        <w:rPr>
          <w:i/>
        </w:rPr>
        <w:t>—</w:t>
      </w:r>
      <w:r w:rsidRPr="00C17C06">
        <w:rPr>
          <w:i/>
        </w:rPr>
        <w:t>the 201</w:t>
      </w:r>
      <w:r>
        <w:rPr>
          <w:i/>
        </w:rPr>
        <w:t>2</w:t>
      </w:r>
      <w:r w:rsidRPr="00C17C06">
        <w:rPr>
          <w:i/>
        </w:rPr>
        <w:t xml:space="preserve"> edition, </w:t>
      </w:r>
      <w:r>
        <w:t>Mach 2012, p. 24.</w:t>
      </w:r>
    </w:p>
  </w:footnote>
  <w:footnote w:id="321">
    <w:p w:rsidR="00377B37" w:rsidRPr="005B6F4C" w:rsidRDefault="00377B37" w:rsidP="007E742F">
      <w:pPr>
        <w:pStyle w:val="FootnoteText"/>
      </w:pPr>
      <w:r>
        <w:rPr>
          <w:rStyle w:val="FootnoteReference"/>
        </w:rPr>
        <w:footnoteRef/>
      </w:r>
      <w:r>
        <w:t xml:space="preserve"> </w:t>
      </w:r>
      <w:r>
        <w:tab/>
      </w:r>
      <w:r w:rsidRPr="004463B1">
        <w:t xml:space="preserve">M. McKenzie, and G. Partington, </w:t>
      </w:r>
      <w:r w:rsidRPr="004463B1">
        <w:rPr>
          <w:rStyle w:val="AERtextitalic"/>
        </w:rPr>
        <w:t>Report to the AER: Review of regime switching framework and critique of survey evidence,</w:t>
      </w:r>
      <w:r w:rsidRPr="004463B1">
        <w:t xml:space="preserve"> 27 August 2012</w:t>
      </w:r>
      <w:r>
        <w:t>, p. 19, (</w:t>
      </w:r>
      <w:r w:rsidRPr="004463B1">
        <w:t xml:space="preserve">McKenzie and Partington, </w:t>
      </w:r>
      <w:r w:rsidRPr="004463B1">
        <w:rPr>
          <w:rStyle w:val="AERtextitalic"/>
        </w:rPr>
        <w:t>MRP: regime switching framework and survey evidence</w:t>
      </w:r>
      <w:r w:rsidRPr="004463B1">
        <w:t>, August 2012</w:t>
      </w:r>
      <w:r>
        <w:t>)</w:t>
      </w:r>
    </w:p>
  </w:footnote>
  <w:footnote w:id="322">
    <w:p w:rsidR="00377B37" w:rsidRPr="005B6F4C" w:rsidRDefault="00377B37" w:rsidP="007E742F">
      <w:pPr>
        <w:pStyle w:val="FootnoteText"/>
      </w:pPr>
      <w:r>
        <w:rPr>
          <w:rStyle w:val="FootnoteReference"/>
        </w:rPr>
        <w:footnoteRef/>
      </w:r>
      <w:r>
        <w:t xml:space="preserve"> </w:t>
      </w:r>
      <w:r>
        <w:tab/>
        <w:t xml:space="preserve">Joye, C., </w:t>
      </w:r>
      <w:r>
        <w:rPr>
          <w:i/>
        </w:rPr>
        <w:t xml:space="preserve">Super funds miss mark in bias to equities, </w:t>
      </w:r>
      <w:r>
        <w:t>Australian Financial Review, 14 August 2012.</w:t>
      </w:r>
    </w:p>
  </w:footnote>
  <w:footnote w:id="323">
    <w:p w:rsidR="00377B37" w:rsidRDefault="00377B37" w:rsidP="007E742F">
      <w:pPr>
        <w:pStyle w:val="FootnoteText"/>
      </w:pPr>
      <w:r>
        <w:rPr>
          <w:rStyle w:val="FootnoteReference"/>
        </w:rPr>
        <w:footnoteRef/>
      </w:r>
      <w:r>
        <w:t xml:space="preserve"> </w:t>
      </w:r>
      <w:r>
        <w:tab/>
        <w:t xml:space="preserve">For example, the ASX All Ordinaries Index represents the 500 largest companies listed on the ASX. Market capitalisation is the only eligibility requirement. An underperforming stock that is losing its market share would </w:t>
      </w:r>
      <w:r w:rsidDel="00A42B1D">
        <w:t xml:space="preserve">be </w:t>
      </w:r>
      <w:r>
        <w:t xml:space="preserve">eventually be removed from the index. See: </w:t>
      </w:r>
      <w:r w:rsidRPr="00B43F25" w:rsidDel="00A42B1D">
        <w:t>http://</w:t>
      </w:r>
      <w:r w:rsidRPr="00B43F25">
        <w:t>www.asx.com.au/products/capitalisation-indices.htm#all_ordinaries_index</w:t>
      </w:r>
      <w:r>
        <w:t>.</w:t>
      </w:r>
    </w:p>
  </w:footnote>
  <w:footnote w:id="324">
    <w:p w:rsidR="00377B37" w:rsidRDefault="00377B37" w:rsidP="007E742F">
      <w:pPr>
        <w:pStyle w:val="FootnoteText"/>
      </w:pPr>
      <w:r>
        <w:rPr>
          <w:rStyle w:val="FootnoteReference"/>
        </w:rPr>
        <w:footnoteRef/>
      </w:r>
      <w:r>
        <w:t xml:space="preserve"> </w:t>
      </w:r>
      <w:r>
        <w:tab/>
        <w:t xml:space="preserve">Lally, </w:t>
      </w:r>
      <w:r w:rsidRPr="0028161D">
        <w:rPr>
          <w:i/>
        </w:rPr>
        <w:t>Cost of equity and the market risk premium</w:t>
      </w:r>
      <w:r>
        <w:t>, 25 July 2011, p. 8</w:t>
      </w:r>
    </w:p>
  </w:footnote>
  <w:footnote w:id="325">
    <w:p w:rsidR="00377B37" w:rsidRDefault="00377B37" w:rsidP="007E742F">
      <w:pPr>
        <w:pStyle w:val="FootnoteText"/>
      </w:pPr>
      <w:r>
        <w:rPr>
          <w:rStyle w:val="FootnoteReference"/>
        </w:rPr>
        <w:footnoteRef/>
      </w:r>
      <w:r>
        <w:t xml:space="preserve"> </w:t>
      </w:r>
      <w:r>
        <w:tab/>
      </w:r>
      <w:r w:rsidRPr="00E53F57">
        <w:t xml:space="preserve">McKenzie and Partington, </w:t>
      </w:r>
      <w:r w:rsidRPr="00E53F57">
        <w:rPr>
          <w:rStyle w:val="AERtextitalic"/>
        </w:rPr>
        <w:t>Equity market risk premium</w:t>
      </w:r>
      <w:r w:rsidRPr="00E53F57">
        <w:t>, December 2011</w:t>
      </w:r>
      <w:r>
        <w:t>, p. 7</w:t>
      </w:r>
    </w:p>
  </w:footnote>
  <w:footnote w:id="326">
    <w:p w:rsidR="00377B37" w:rsidRDefault="00377B37" w:rsidP="007E742F">
      <w:pPr>
        <w:pStyle w:val="FootnoteText"/>
      </w:pPr>
      <w:r>
        <w:rPr>
          <w:rStyle w:val="FootnoteReference"/>
        </w:rPr>
        <w:footnoteRef/>
      </w:r>
      <w:r>
        <w:t xml:space="preserve"> </w:t>
      </w:r>
      <w:r>
        <w:tab/>
        <w:t xml:space="preserve">Lally, </w:t>
      </w:r>
      <w:r w:rsidRPr="0028161D">
        <w:rPr>
          <w:i/>
        </w:rPr>
        <w:t>Cost of equity and the market risk premium</w:t>
      </w:r>
      <w:r>
        <w:t>, 25 July 2011, p. 24.</w:t>
      </w:r>
    </w:p>
  </w:footnote>
  <w:footnote w:id="327">
    <w:p w:rsidR="00377B37" w:rsidRDefault="00377B37" w:rsidP="007E742F">
      <w:pPr>
        <w:pStyle w:val="FootnoteText"/>
      </w:pPr>
      <w:r>
        <w:rPr>
          <w:rStyle w:val="FootnoteReference"/>
        </w:rPr>
        <w:footnoteRef/>
      </w:r>
      <w:r>
        <w:t xml:space="preserve"> </w:t>
      </w:r>
      <w:r>
        <w:tab/>
        <w:t xml:space="preserve">Lally, </w:t>
      </w:r>
      <w:r w:rsidRPr="0028161D">
        <w:rPr>
          <w:i/>
        </w:rPr>
        <w:t>Cost of equity and the market risk premium</w:t>
      </w:r>
      <w:r>
        <w:t>, 25 July 2011, p. 27.</w:t>
      </w:r>
    </w:p>
  </w:footnote>
  <w:footnote w:id="328">
    <w:p w:rsidR="00377B37" w:rsidRDefault="00377B37" w:rsidP="007E742F">
      <w:pPr>
        <w:pStyle w:val="FootnoteText"/>
      </w:pPr>
      <w:r>
        <w:rPr>
          <w:rStyle w:val="FootnoteReference"/>
        </w:rPr>
        <w:footnoteRef/>
      </w:r>
      <w:r>
        <w:t xml:space="preserve"> </w:t>
      </w:r>
      <w:r>
        <w:tab/>
      </w:r>
      <w:r w:rsidRPr="00EC0BE6">
        <w:t xml:space="preserve">ACCC, </w:t>
      </w:r>
      <w:r w:rsidRPr="00EC0BE6">
        <w:rPr>
          <w:i/>
        </w:rPr>
        <w:t>Australian Postal Corporation, 2010 Price Notification</w:t>
      </w:r>
      <w:r>
        <w:t>, May 2010 p. </w:t>
      </w:r>
      <w:r w:rsidRPr="00EC0BE6">
        <w:t>80–81</w:t>
      </w:r>
      <w:r>
        <w:t xml:space="preserve">; </w:t>
      </w:r>
      <w:r w:rsidRPr="00EC0BE6">
        <w:t>ACCC</w:t>
      </w:r>
      <w:r>
        <w:t>,</w:t>
      </w:r>
      <w:r w:rsidRPr="00EC0BE6">
        <w:t xml:space="preserve"> </w:t>
      </w:r>
      <w:r w:rsidRPr="00EC0BE6">
        <w:rPr>
          <w:i/>
        </w:rPr>
        <w:t>Position Paper in relation to the Australian Rail Track Corporation’s proposed Hunter Valley Rail network Access Undertaking</w:t>
      </w:r>
      <w:r>
        <w:t>, 21 December 2010, p. </w:t>
      </w:r>
      <w:r w:rsidRPr="00EC0BE6">
        <w:t>104</w:t>
      </w:r>
      <w:r>
        <w:t xml:space="preserve">; </w:t>
      </w:r>
      <w:r w:rsidRPr="00EC0BE6">
        <w:t xml:space="preserve">ACCC, </w:t>
      </w:r>
      <w:r w:rsidRPr="00EC0BE6">
        <w:rPr>
          <w:i/>
        </w:rPr>
        <w:t>Inquiry to make final access determinations for the declared fixed line services, Final Report</w:t>
      </w:r>
      <w:r w:rsidRPr="00EC0BE6">
        <w:t>, July 2011, p.</w:t>
      </w:r>
      <w:r>
        <w:t> </w:t>
      </w:r>
      <w:r w:rsidRPr="00EC0BE6">
        <w:t>63</w:t>
      </w:r>
      <w:r>
        <w:t xml:space="preserve">; </w:t>
      </w:r>
      <w:r w:rsidRPr="00EC0BE6">
        <w:t xml:space="preserve">ACCC, </w:t>
      </w:r>
      <w:r w:rsidRPr="00EC0BE6">
        <w:rPr>
          <w:i/>
        </w:rPr>
        <w:t>Pricing principles for price approvals and determinations under the Water Charge (Infrastructure) Rules 2010</w:t>
      </w:r>
      <w:r w:rsidRPr="00EC0BE6">
        <w:t>, July 2011, p</w:t>
      </w:r>
      <w:r>
        <w:t>p</w:t>
      </w:r>
      <w:r w:rsidRPr="00EC0BE6">
        <w:t>.</w:t>
      </w:r>
      <w:r>
        <w:t xml:space="preserve"> </w:t>
      </w:r>
      <w:r w:rsidRPr="00EC0BE6">
        <w:t>32–33</w:t>
      </w:r>
      <w:r>
        <w:t xml:space="preserve">; and </w:t>
      </w:r>
      <w:r w:rsidRPr="00EC0BE6">
        <w:t xml:space="preserve">ACCC, </w:t>
      </w:r>
      <w:r w:rsidRPr="00EC0BE6">
        <w:rPr>
          <w:i/>
        </w:rPr>
        <w:t>Airservices Australia price notification, Final decision</w:t>
      </w:r>
      <w:r>
        <w:t>, September 2011, p. 26, </w:t>
      </w:r>
      <w:r w:rsidRPr="00EC0BE6">
        <w:t>29</w:t>
      </w:r>
      <w:r>
        <w:t>.</w:t>
      </w:r>
    </w:p>
  </w:footnote>
  <w:footnote w:id="329">
    <w:p w:rsidR="00377B37" w:rsidRDefault="00377B37" w:rsidP="007E742F">
      <w:pPr>
        <w:pStyle w:val="FootnoteText"/>
      </w:pPr>
      <w:r>
        <w:rPr>
          <w:rStyle w:val="FootnoteReference"/>
        </w:rPr>
        <w:footnoteRef/>
      </w:r>
      <w:r>
        <w:t xml:space="preserve"> </w:t>
      </w:r>
      <w:r>
        <w:tab/>
        <w:t xml:space="preserve">ERA, </w:t>
      </w:r>
      <w:r w:rsidRPr="00091974">
        <w:rPr>
          <w:i/>
        </w:rPr>
        <w:t>Final decision on WA Gas Networks Pty Ltd proposed revised access arrangement for the Mid–West and South–West Gas Distribution systems</w:t>
      </w:r>
      <w:r>
        <w:t xml:space="preserve">, 28 February 2011, p. 103; ERAWA, </w:t>
      </w:r>
      <w:r w:rsidRPr="008808DB">
        <w:rPr>
          <w:rStyle w:val="AERtextitalic"/>
        </w:rPr>
        <w:t>Final Decision,</w:t>
      </w:r>
      <w:r>
        <w:t xml:space="preserve"> </w:t>
      </w:r>
      <w:r w:rsidRPr="00E36B46">
        <w:t>Access Arrangement Information for the Dampier to Bunbury Natural Gas Pipeline</w:t>
      </w:r>
      <w:r>
        <w:t xml:space="preserve">, December 2011, p.159; ERAWA, </w:t>
      </w:r>
      <w:r w:rsidRPr="008808DB">
        <w:rPr>
          <w:rStyle w:val="AERtextitalic"/>
        </w:rPr>
        <w:t>Draft Decision,</w:t>
      </w:r>
      <w:r>
        <w:t xml:space="preserve"> </w:t>
      </w:r>
      <w:r w:rsidRPr="00E36B46">
        <w:t>Draft Decision on Proposed Revisions to the Access Arrangement for the Western Power Network</w:t>
      </w:r>
      <w:r>
        <w:t>, March 2012, p 206.</w:t>
      </w:r>
    </w:p>
  </w:footnote>
  <w:footnote w:id="330">
    <w:p w:rsidR="00377B37" w:rsidRDefault="00377B37" w:rsidP="007E742F">
      <w:pPr>
        <w:pStyle w:val="FootnoteText"/>
      </w:pPr>
      <w:r>
        <w:rPr>
          <w:rStyle w:val="FootnoteReference"/>
        </w:rPr>
        <w:footnoteRef/>
      </w:r>
      <w:r>
        <w:t xml:space="preserve"> </w:t>
      </w:r>
      <w:r>
        <w:tab/>
        <w:t xml:space="preserve">ESCV, </w:t>
      </w:r>
      <w:r>
        <w:rPr>
          <w:i/>
        </w:rPr>
        <w:t>Metro proposed access arrangement, Final decision, August 2011</w:t>
      </w:r>
      <w:r>
        <w:t>, p. 85.</w:t>
      </w:r>
    </w:p>
  </w:footnote>
  <w:footnote w:id="331">
    <w:p w:rsidR="00377B37" w:rsidRDefault="00377B37" w:rsidP="007E742F">
      <w:pPr>
        <w:pStyle w:val="FootnoteText"/>
      </w:pPr>
      <w:r>
        <w:rPr>
          <w:rStyle w:val="FootnoteReference"/>
        </w:rPr>
        <w:footnoteRef/>
      </w:r>
      <w:r>
        <w:t xml:space="preserve"> </w:t>
      </w:r>
      <w:r>
        <w:tab/>
        <w:t xml:space="preserve">QCA, </w:t>
      </w:r>
      <w:r w:rsidRPr="00840822">
        <w:rPr>
          <w:i/>
        </w:rPr>
        <w:t xml:space="preserve">Final Report, </w:t>
      </w:r>
      <w:smartTag w:uri="urn:schemas-microsoft-com:office:smarttags" w:element="place">
        <w:smartTag w:uri="urn:schemas-microsoft-com:office:smarttags" w:element="City">
          <w:r w:rsidRPr="00840822">
            <w:rPr>
              <w:i/>
            </w:rPr>
            <w:t>Gladstone</w:t>
          </w:r>
        </w:smartTag>
      </w:smartTag>
      <w:r w:rsidRPr="00840822">
        <w:rPr>
          <w:i/>
        </w:rPr>
        <w:t xml:space="preserve"> Area Water Board: Investigation of Pricing Practices</w:t>
      </w:r>
      <w:r>
        <w:t xml:space="preserve">, June 2010, p. 124; QCA, Final decision, Dalrymple Bay Coal Terminal 2010 Draft Access Undertaking, September 2010, p. 8; QCA, </w:t>
      </w:r>
      <w:r>
        <w:rPr>
          <w:rStyle w:val="AERtextitalic"/>
        </w:rPr>
        <w:t>Draft Report -</w:t>
      </w:r>
      <w:r w:rsidRPr="008808DB">
        <w:rPr>
          <w:rStyle w:val="AERtextitalic"/>
        </w:rPr>
        <w:t>,</w:t>
      </w:r>
      <w:r>
        <w:t xml:space="preserve"> </w:t>
      </w:r>
      <w:r w:rsidRPr="00E36B46">
        <w:t>SunWater Irrigation Price Review: 2012-17</w:t>
      </w:r>
      <w:r>
        <w:t xml:space="preserve"> - Volume 1, November 2011, p. 392.</w:t>
      </w:r>
    </w:p>
  </w:footnote>
  <w:footnote w:id="332">
    <w:p w:rsidR="00377B37" w:rsidRDefault="00377B37" w:rsidP="007E742F">
      <w:pPr>
        <w:pStyle w:val="FootnoteText"/>
      </w:pPr>
      <w:r>
        <w:rPr>
          <w:rStyle w:val="FootnoteReference"/>
        </w:rPr>
        <w:footnoteRef/>
      </w:r>
      <w:r>
        <w:t xml:space="preserve"> </w:t>
      </w:r>
      <w:r>
        <w:tab/>
        <w:t xml:space="preserve">IPART, Final report, </w:t>
      </w:r>
      <w:r w:rsidRPr="00685577">
        <w:rPr>
          <w:rStyle w:val="AERtextitalic"/>
        </w:rPr>
        <w:t>Review of water prices for Sydney Desalination Plant Pty Limited</w:t>
      </w:r>
      <w:r>
        <w:t xml:space="preserve">, December 2011, p. 80; IPART, Final report, </w:t>
      </w:r>
      <w:r w:rsidRPr="00685577">
        <w:rPr>
          <w:rStyle w:val="AERtextitalic"/>
        </w:rPr>
        <w:t>Review of prices for Sydney Water Corporation’s water, sewerage, drainage and other services</w:t>
      </w:r>
      <w:r>
        <w:t xml:space="preserve">, June 2012, p. 87; IPART, Final report, </w:t>
      </w:r>
      <w:r w:rsidRPr="00685577">
        <w:rPr>
          <w:rStyle w:val="AERtextitalic"/>
        </w:rPr>
        <w:t>Review of prices for the Sydney Catchment Authority</w:t>
      </w:r>
      <w:r>
        <w:t xml:space="preserve">, June 2012, p. 90; IPART, Final report - </w:t>
      </w:r>
      <w:r w:rsidRPr="001A6CE6">
        <w:rPr>
          <w:rStyle w:val="AERtextitalic"/>
        </w:rPr>
        <w:t>Changes in regulated electricity retail prices from 1 July 2012</w:t>
      </w:r>
      <w:r>
        <w:t xml:space="preserve">, July 2012, p. 102. </w:t>
      </w:r>
    </w:p>
  </w:footnote>
  <w:footnote w:id="333">
    <w:p w:rsidR="00377B37" w:rsidRDefault="00377B37" w:rsidP="007E742F">
      <w:pPr>
        <w:pStyle w:val="FootnoteText"/>
      </w:pPr>
      <w:r>
        <w:rPr>
          <w:rStyle w:val="FootnoteReference"/>
        </w:rPr>
        <w:footnoteRef/>
      </w:r>
      <w:r>
        <w:t xml:space="preserve"> </w:t>
      </w:r>
      <w:r>
        <w:tab/>
        <w:t xml:space="preserve">ESCOSA, </w:t>
      </w:r>
      <w:r w:rsidRPr="00D23CA2">
        <w:rPr>
          <w:rStyle w:val="AERtextitalic"/>
        </w:rPr>
        <w:t>Final Advice, Advice on a Regulatory Rate of Return for SA Water – Final Advice</w:t>
      </w:r>
      <w:r>
        <w:t>, February 2012, p. 50</w:t>
      </w:r>
    </w:p>
  </w:footnote>
  <w:footnote w:id="334">
    <w:p w:rsidR="00377B37" w:rsidRDefault="00377B37" w:rsidP="007E742F">
      <w:pPr>
        <w:pStyle w:val="FootnoteText"/>
      </w:pPr>
      <w:r>
        <w:rPr>
          <w:rStyle w:val="FootnoteReference"/>
        </w:rPr>
        <w:footnoteRef/>
      </w:r>
      <w:r>
        <w:t xml:space="preserve"> </w:t>
      </w:r>
      <w:r>
        <w:tab/>
        <w:t xml:space="preserve">Australian Competition Tribunal, </w:t>
      </w:r>
      <w:r w:rsidRPr="00557F00">
        <w:rPr>
          <w:i/>
        </w:rPr>
        <w:t>Application by Envestra Limited (No 2) [2012] ACompT 4</w:t>
      </w:r>
      <w:r>
        <w:t>, 11 January 2012, paragraphs 145 and 148.</w:t>
      </w:r>
    </w:p>
  </w:footnote>
  <w:footnote w:id="335">
    <w:p w:rsidR="00377B37" w:rsidRDefault="00377B37" w:rsidP="007E742F">
      <w:pPr>
        <w:pStyle w:val="FootnoteText"/>
      </w:pPr>
      <w:r>
        <w:rPr>
          <w:rStyle w:val="FootnoteReference"/>
        </w:rPr>
        <w:footnoteRef/>
      </w:r>
      <w:r>
        <w:t xml:space="preserve"> </w:t>
      </w:r>
      <w:r>
        <w:tab/>
        <w:t xml:space="preserve">Australian Competition Tribunal, </w:t>
      </w:r>
      <w:r w:rsidRPr="00702DD0">
        <w:rPr>
          <w:i/>
        </w:rPr>
        <w:t xml:space="preserve">Application by </w:t>
      </w:r>
      <w:r>
        <w:rPr>
          <w:i/>
        </w:rPr>
        <w:t>WA Gas Networks Pty Ltd (No 3) ACompT 12</w:t>
      </w:r>
      <w:r w:rsidRPr="00702DD0">
        <w:rPr>
          <w:i/>
        </w:rPr>
        <w:t>,</w:t>
      </w:r>
      <w:r>
        <w:t xml:space="preserve"> 8 June 2012, paragraphs 105–8.</w:t>
      </w:r>
    </w:p>
    <w:p w:rsidR="00377B37" w:rsidRDefault="00377B37" w:rsidP="007E742F">
      <w:pPr>
        <w:pStyle w:val="FootnoteText"/>
      </w:pPr>
      <w:r>
        <w:tab/>
        <w:t xml:space="preserve">Australian Competition Tribunal, </w:t>
      </w:r>
      <w:r w:rsidRPr="00702DD0">
        <w:rPr>
          <w:i/>
        </w:rPr>
        <w:t>Application by DBNGP (WA) Transmission Pty Ltd (No 3) [2012] ACompT 14,</w:t>
      </w:r>
      <w:r>
        <w:t xml:space="preserve"> 26 July 2012, paragraphs 161–3.</w:t>
      </w:r>
    </w:p>
  </w:footnote>
  <w:footnote w:id="336">
    <w:p w:rsidR="00377B37" w:rsidRDefault="00377B37" w:rsidP="007E742F">
      <w:pPr>
        <w:pStyle w:val="FootnoteText"/>
      </w:pPr>
      <w:r>
        <w:rPr>
          <w:rStyle w:val="FootnoteReference"/>
        </w:rPr>
        <w:footnoteRef/>
      </w:r>
      <w:r>
        <w:t xml:space="preserve"> </w:t>
      </w:r>
      <w:r>
        <w:tab/>
        <w:t>Appendix B discusses this application in detail.</w:t>
      </w:r>
    </w:p>
  </w:footnote>
  <w:footnote w:id="337">
    <w:p w:rsidR="00377B37" w:rsidRDefault="00377B37" w:rsidP="007E742F">
      <w:pPr>
        <w:pStyle w:val="FootnoteText"/>
      </w:pPr>
      <w:r>
        <w:rPr>
          <w:rStyle w:val="FootnoteReference"/>
        </w:rPr>
        <w:footnoteRef/>
      </w:r>
      <w:r>
        <w:t xml:space="preserve"> </w:t>
      </w:r>
      <w:r>
        <w:tab/>
        <w:t xml:space="preserve">Australian Competition Tribunal, </w:t>
      </w:r>
      <w:r w:rsidRPr="00296AA8">
        <w:t>Application by Envestra</w:t>
      </w:r>
      <w:r>
        <w:t xml:space="preserve"> Limited (No 2) [2012] ACompT 3, </w:t>
      </w:r>
      <w:r w:rsidRPr="00296AA8">
        <w:t>11 January 2012</w:t>
      </w:r>
      <w:r>
        <w:t>, paragraphs 159–63.</w:t>
      </w:r>
    </w:p>
  </w:footnote>
  <w:footnote w:id="338">
    <w:p w:rsidR="00377B37" w:rsidRPr="00412936" w:rsidRDefault="00377B37" w:rsidP="007E742F">
      <w:pPr>
        <w:pStyle w:val="FootnoteText"/>
      </w:pPr>
      <w:r>
        <w:rPr>
          <w:rStyle w:val="FootnoteReference"/>
        </w:rPr>
        <w:footnoteRef/>
      </w:r>
      <w:r>
        <w:t xml:space="preserve"> </w:t>
      </w:r>
      <w:r>
        <w:tab/>
      </w:r>
      <w:r w:rsidRPr="00412936">
        <w:t xml:space="preserve">KPMG, </w:t>
      </w:r>
      <w:r w:rsidRPr="00412936">
        <w:rPr>
          <w:i/>
        </w:rPr>
        <w:t>Cost of capital</w:t>
      </w:r>
      <w:r>
        <w:rPr>
          <w:i/>
        </w:rPr>
        <w:t>—</w:t>
      </w:r>
      <w:r w:rsidRPr="00412936">
        <w:rPr>
          <w:i/>
        </w:rPr>
        <w:t>market practice in relation to imputation credits</w:t>
      </w:r>
      <w:r w:rsidRPr="00412936">
        <w:t>, August 2005, p.</w:t>
      </w:r>
      <w:r>
        <w:t xml:space="preserve"> </w:t>
      </w:r>
      <w:r w:rsidRPr="00412936">
        <w:t>15.</w:t>
      </w:r>
    </w:p>
  </w:footnote>
  <w:footnote w:id="339">
    <w:p w:rsidR="00377B37" w:rsidRPr="00412936" w:rsidRDefault="00377B37" w:rsidP="007E742F">
      <w:pPr>
        <w:pStyle w:val="FootnoteText"/>
        <w:rPr>
          <w:i/>
        </w:rPr>
      </w:pPr>
      <w:r>
        <w:rPr>
          <w:rStyle w:val="FootnoteReference"/>
        </w:rPr>
        <w:footnoteRef/>
      </w:r>
      <w:r>
        <w:t xml:space="preserve"> </w:t>
      </w:r>
      <w:r>
        <w:tab/>
        <w:t xml:space="preserve">Capital Research, </w:t>
      </w:r>
      <w:r w:rsidRPr="00412936">
        <w:rPr>
          <w:i/>
        </w:rPr>
        <w:t>Telstra’s WACC for network ULLS and the ULLS and SSS businesses</w:t>
      </w:r>
      <w:r>
        <w:rPr>
          <w:i/>
        </w:rPr>
        <w:t>—</w:t>
      </w:r>
      <w:r>
        <w:t>r</w:t>
      </w:r>
      <w:r w:rsidRPr="00412936">
        <w:rPr>
          <w:i/>
        </w:rPr>
        <w:t>eview</w:t>
      </w:r>
      <w:r>
        <w:rPr>
          <w:i/>
        </w:rPr>
        <w:t xml:space="preserve"> </w:t>
      </w:r>
      <w:r w:rsidRPr="00412936">
        <w:rPr>
          <w:i/>
        </w:rPr>
        <w:t>of reports by Prof. Bowman</w:t>
      </w:r>
      <w:r>
        <w:t>, March 2006, p. 17.</w:t>
      </w:r>
    </w:p>
  </w:footnote>
  <w:footnote w:id="340">
    <w:p w:rsidR="00377B37" w:rsidRPr="00412936" w:rsidRDefault="00377B37" w:rsidP="007E742F">
      <w:pPr>
        <w:pStyle w:val="FootnoteText"/>
      </w:pPr>
      <w:r>
        <w:rPr>
          <w:rStyle w:val="FootnoteReference"/>
        </w:rPr>
        <w:footnoteRef/>
      </w:r>
      <w:r>
        <w:t xml:space="preserve"> </w:t>
      </w:r>
      <w:r>
        <w:tab/>
      </w:r>
      <w:r w:rsidRPr="00412936">
        <w:t>Truong, G. Partington</w:t>
      </w:r>
      <w:r>
        <w:t>, G.</w:t>
      </w:r>
      <w:r w:rsidRPr="00412936">
        <w:t xml:space="preserve"> and Peat, </w:t>
      </w:r>
      <w:r>
        <w:t xml:space="preserve">M., </w:t>
      </w:r>
      <w:r w:rsidRPr="00412936">
        <w:rPr>
          <w:i/>
        </w:rPr>
        <w:t xml:space="preserve">Cost of capital estimation and capital budgeting practices in Australia, </w:t>
      </w:r>
      <w:r w:rsidRPr="003C3376">
        <w:t>Australian Journal of Management</w:t>
      </w:r>
      <w:r w:rsidRPr="00412936">
        <w:rPr>
          <w:i/>
        </w:rPr>
        <w:t>,</w:t>
      </w:r>
      <w:r w:rsidRPr="00E20B11">
        <w:rPr>
          <w:i/>
        </w:rPr>
        <w:t xml:space="preserve"> </w:t>
      </w:r>
      <w:r>
        <w:t>June 2008,</w:t>
      </w:r>
      <w:r w:rsidRPr="00412936">
        <w:rPr>
          <w:i/>
        </w:rPr>
        <w:t xml:space="preserve"> </w:t>
      </w:r>
      <w:r>
        <w:t>v</w:t>
      </w:r>
      <w:r w:rsidRPr="00412936">
        <w:t xml:space="preserve">ol. 33, </w:t>
      </w:r>
      <w:r>
        <w:t>n</w:t>
      </w:r>
      <w:r w:rsidRPr="00412936">
        <w:t>o. 1, p.</w:t>
      </w:r>
      <w:r>
        <w:t xml:space="preserve"> </w:t>
      </w:r>
      <w:r w:rsidRPr="00412936">
        <w:t>155.</w:t>
      </w:r>
    </w:p>
  </w:footnote>
  <w:footnote w:id="341">
    <w:p w:rsidR="00377B37" w:rsidRDefault="00377B37" w:rsidP="007E742F">
      <w:pPr>
        <w:pStyle w:val="FootnoteText"/>
      </w:pPr>
      <w:r>
        <w:rPr>
          <w:rStyle w:val="FootnoteReference"/>
        </w:rPr>
        <w:footnoteRef/>
      </w:r>
      <w:r>
        <w:t xml:space="preserve"> </w:t>
      </w:r>
      <w:r>
        <w:tab/>
        <w:t xml:space="preserve">Bishop, S., </w:t>
      </w:r>
      <w:r w:rsidRPr="003C3376">
        <w:rPr>
          <w:i/>
        </w:rPr>
        <w:t>A conservative and consistent approach to WACC estimation by valuers</w:t>
      </w:r>
      <w:r>
        <w:t>, Value Advisor Associates, 2009.</w:t>
      </w:r>
    </w:p>
  </w:footnote>
  <w:footnote w:id="342">
    <w:p w:rsidR="00377B37" w:rsidRDefault="00377B37" w:rsidP="007E742F">
      <w:pPr>
        <w:pStyle w:val="FootnoteText"/>
      </w:pPr>
      <w:r>
        <w:rPr>
          <w:rStyle w:val="FootnoteReference"/>
        </w:rPr>
        <w:footnoteRef/>
      </w:r>
      <w:r>
        <w:t xml:space="preserve"> </w:t>
      </w:r>
      <w:r>
        <w:tab/>
      </w:r>
      <w:r w:rsidRPr="002D1C9F">
        <w:t xml:space="preserve">Fernandez and </w:t>
      </w:r>
      <w:r>
        <w:t xml:space="preserve">Del Campo, </w:t>
      </w:r>
      <w:r w:rsidRPr="00FE2BB4">
        <w:rPr>
          <w:i/>
        </w:rPr>
        <w:t xml:space="preserve">Market Risk Premium used by Professors in 2008: A Survey with 1400 Answers, </w:t>
      </w:r>
      <w:smartTag w:uri="urn:schemas-microsoft-com:office:smarttags" w:element="place">
        <w:smartTag w:uri="urn:schemas-microsoft-com:office:smarttags" w:element="PlaceName">
          <w:r w:rsidRPr="00FE2BB4">
            <w:rPr>
              <w:i/>
            </w:rPr>
            <w:t>IESE</w:t>
          </w:r>
        </w:smartTag>
        <w:r w:rsidRPr="00FE2BB4">
          <w:rPr>
            <w:i/>
          </w:rPr>
          <w:t xml:space="preserve"> </w:t>
        </w:r>
        <w:smartTag w:uri="urn:schemas-microsoft-com:office:smarttags" w:element="PlaceName">
          <w:r w:rsidRPr="00FE2BB4">
            <w:rPr>
              <w:i/>
            </w:rPr>
            <w:t>Business</w:t>
          </w:r>
        </w:smartTag>
        <w:r w:rsidRPr="00FE2BB4">
          <w:rPr>
            <w:i/>
          </w:rPr>
          <w:t xml:space="preserve"> </w:t>
        </w:r>
        <w:smartTag w:uri="urn:schemas-microsoft-com:office:smarttags" w:element="PlaceType">
          <w:r w:rsidRPr="00FE2BB4">
            <w:rPr>
              <w:i/>
            </w:rPr>
            <w:t>School</w:t>
          </w:r>
        </w:smartTag>
      </w:smartTag>
      <w:r w:rsidRPr="00FE2BB4">
        <w:rPr>
          <w:i/>
        </w:rPr>
        <w:t xml:space="preserve"> Working Paper</w:t>
      </w:r>
      <w:r w:rsidRPr="002D1C9F">
        <w:t>, WP-796, May 2009, p. 7.</w:t>
      </w:r>
    </w:p>
  </w:footnote>
  <w:footnote w:id="343">
    <w:p w:rsidR="00377B37" w:rsidRDefault="00377B37" w:rsidP="007E742F">
      <w:pPr>
        <w:pStyle w:val="FootnoteText"/>
      </w:pPr>
      <w:r>
        <w:rPr>
          <w:rStyle w:val="FootnoteReference"/>
        </w:rPr>
        <w:footnoteRef/>
      </w:r>
      <w:r>
        <w:t xml:space="preserve"> </w:t>
      </w:r>
      <w:r>
        <w:tab/>
      </w:r>
      <w:r w:rsidRPr="009B7236">
        <w:t xml:space="preserve">Fernandez and Del Campo, </w:t>
      </w:r>
      <w:r w:rsidRPr="00FE2BB4">
        <w:rPr>
          <w:i/>
        </w:rPr>
        <w:t>Market Risk Premium Used in 2010 by Analysts and Companies: A Survey with 2400 Answers, IESE Business School</w:t>
      </w:r>
      <w:r w:rsidRPr="009B7236">
        <w:t>, May 2010, p. 4</w:t>
      </w:r>
      <w:r>
        <w:t>.</w:t>
      </w:r>
    </w:p>
  </w:footnote>
  <w:footnote w:id="344">
    <w:p w:rsidR="00377B37" w:rsidRDefault="00377B37" w:rsidP="007E742F">
      <w:pPr>
        <w:pStyle w:val="FootnoteText"/>
      </w:pPr>
      <w:r>
        <w:rPr>
          <w:rStyle w:val="FootnoteReference"/>
        </w:rPr>
        <w:footnoteRef/>
      </w:r>
      <w:r>
        <w:t xml:space="preserve"> </w:t>
      </w:r>
      <w:r>
        <w:tab/>
        <w:t xml:space="preserve">Fernandez, Arguirreamalloa and Corres, </w:t>
      </w:r>
      <w:r w:rsidRPr="00DD0DE9">
        <w:rPr>
          <w:i/>
        </w:rPr>
        <w:t xml:space="preserve">Market Risk Premium used </w:t>
      </w:r>
      <w:r>
        <w:rPr>
          <w:i/>
        </w:rPr>
        <w:t xml:space="preserve">in 56 Countries in 2011: A Survey with 6,014 Answers, </w:t>
      </w:r>
      <w:r>
        <w:t>IESE Business School Working Paper, WP-920, May 2011, p. 3.</w:t>
      </w:r>
    </w:p>
  </w:footnote>
  <w:footnote w:id="345">
    <w:p w:rsidR="00377B37" w:rsidRPr="00344A56" w:rsidRDefault="00377B37" w:rsidP="007E742F">
      <w:pPr>
        <w:pStyle w:val="FootnoteText"/>
      </w:pPr>
      <w:r>
        <w:rPr>
          <w:rStyle w:val="FootnoteReference"/>
        </w:rPr>
        <w:footnoteRef/>
      </w:r>
      <w:r>
        <w:t xml:space="preserve"> </w:t>
      </w:r>
      <w:r>
        <w:tab/>
      </w:r>
      <w:r w:rsidRPr="00344A56">
        <w:t xml:space="preserve">Asher, </w:t>
      </w:r>
      <w:r w:rsidRPr="003E641E">
        <w:rPr>
          <w:i/>
        </w:rPr>
        <w:t>Equity Risk Premium Survey</w:t>
      </w:r>
      <w:r>
        <w:t>—</w:t>
      </w:r>
      <w:r w:rsidRPr="003E641E">
        <w:rPr>
          <w:i/>
        </w:rPr>
        <w:t>results and comments</w:t>
      </w:r>
      <w:r>
        <w:t>,</w:t>
      </w:r>
      <w:r w:rsidRPr="00344A56">
        <w:t xml:space="preserve"> Actuary Australia</w:t>
      </w:r>
      <w:r>
        <w:t>, July</w:t>
      </w:r>
      <w:r w:rsidRPr="00344A56">
        <w:t xml:space="preserve"> 2011</w:t>
      </w:r>
      <w:r>
        <w:t xml:space="preserve">, no. 161, pp. 13–14. </w:t>
      </w:r>
    </w:p>
  </w:footnote>
  <w:footnote w:id="346">
    <w:p w:rsidR="00377B37" w:rsidRDefault="00377B37" w:rsidP="007E742F">
      <w:pPr>
        <w:pStyle w:val="FootnoteText"/>
      </w:pPr>
      <w:r>
        <w:rPr>
          <w:rStyle w:val="FootnoteReference"/>
        </w:rPr>
        <w:footnoteRef/>
      </w:r>
      <w:r>
        <w:t xml:space="preserve"> </w:t>
      </w:r>
      <w:r>
        <w:tab/>
        <w:t xml:space="preserve">McKenzie and Partington, </w:t>
      </w:r>
      <w:r w:rsidRPr="00096E65">
        <w:rPr>
          <w:rStyle w:val="AERtextitalic"/>
        </w:rPr>
        <w:t>Supplementary report on the MRP</w:t>
      </w:r>
      <w:r w:rsidRPr="008C613D">
        <w:t>, February 2012</w:t>
      </w:r>
      <w:r>
        <w:t>, p. 19</w:t>
      </w:r>
    </w:p>
    <w:p w:rsidR="00377B37" w:rsidRPr="00D97432" w:rsidRDefault="00377B37" w:rsidP="007E742F">
      <w:pPr>
        <w:pStyle w:val="FootnoteText"/>
      </w:pPr>
      <w:r>
        <w:tab/>
      </w:r>
      <w:r w:rsidRPr="004463B1">
        <w:t xml:space="preserve">McKenzie and Partington, </w:t>
      </w:r>
      <w:r w:rsidRPr="004463B1">
        <w:rPr>
          <w:rStyle w:val="AERtextitalic"/>
        </w:rPr>
        <w:t>MRP: regime switching framework and survey evidence</w:t>
      </w:r>
      <w:r w:rsidRPr="004463B1">
        <w:t>, August 2012</w:t>
      </w:r>
      <w:r>
        <w:t>, p. 28.</w:t>
      </w:r>
    </w:p>
  </w:footnote>
  <w:footnote w:id="347">
    <w:p w:rsidR="00377B37" w:rsidRDefault="00377B37" w:rsidP="007E742F">
      <w:pPr>
        <w:pStyle w:val="FootnoteText"/>
      </w:pPr>
      <w:r>
        <w:rPr>
          <w:rStyle w:val="FootnoteReference"/>
        </w:rPr>
        <w:footnoteRef/>
      </w:r>
      <w:r>
        <w:t xml:space="preserve"> </w:t>
      </w:r>
      <w:r>
        <w:tab/>
        <w:t xml:space="preserve">APA GasNet, </w:t>
      </w:r>
      <w:r>
        <w:rPr>
          <w:i/>
        </w:rPr>
        <w:t xml:space="preserve">Access arrangement submission, </w:t>
      </w:r>
      <w:r>
        <w:t>31 March 2012, pp, 141-146.</w:t>
      </w:r>
    </w:p>
  </w:footnote>
  <w:footnote w:id="348">
    <w:p w:rsidR="00377B37" w:rsidRDefault="00377B37" w:rsidP="007E742F">
      <w:pPr>
        <w:pStyle w:val="FootnoteText"/>
      </w:pPr>
      <w:r>
        <w:rPr>
          <w:rStyle w:val="FootnoteReference"/>
        </w:rPr>
        <w:footnoteRef/>
      </w:r>
      <w:r>
        <w:t xml:space="preserve"> </w:t>
      </w:r>
      <w:r>
        <w:tab/>
        <w:t xml:space="preserve">Australian Competition Tribunal, </w:t>
      </w:r>
      <w:r w:rsidRPr="003C3376">
        <w:rPr>
          <w:i/>
        </w:rPr>
        <w:t>Application by WA Gas Network Pty Ltd (No 3) [2012] ACompT</w:t>
      </w:r>
      <w:r>
        <w:t xml:space="preserve">, 8 June 2012, paragraphs 61–66; see also </w:t>
      </w:r>
      <w:r w:rsidRPr="00537A64">
        <w:t xml:space="preserve">Australian Competition Tribunal, </w:t>
      </w:r>
      <w:r w:rsidRPr="00537A64">
        <w:rPr>
          <w:rStyle w:val="AERtextitalic"/>
        </w:rPr>
        <w:t>Application by DBNGP (WA) Transmission Pty Ltd (No 3) [2012] ACompT 14</w:t>
      </w:r>
      <w:r w:rsidRPr="00537A64">
        <w:t>, 26 July 2012</w:t>
      </w:r>
      <w:r>
        <w:t>, paragraphs 80–84, 100–103.</w:t>
      </w:r>
    </w:p>
  </w:footnote>
  <w:footnote w:id="349">
    <w:p w:rsidR="00377B37" w:rsidRDefault="00377B37" w:rsidP="007E742F">
      <w:pPr>
        <w:pStyle w:val="FootnoteText"/>
      </w:pPr>
      <w:r>
        <w:rPr>
          <w:rStyle w:val="FootnoteReference"/>
        </w:rPr>
        <w:footnoteRef/>
      </w:r>
      <w:r>
        <w:t xml:space="preserve"> </w:t>
      </w:r>
      <w:r>
        <w:tab/>
        <w:t>S. 24 (5) of the NGL</w:t>
      </w:r>
    </w:p>
  </w:footnote>
  <w:footnote w:id="350">
    <w:p w:rsidR="00377B37" w:rsidRPr="000214CE" w:rsidRDefault="00377B37" w:rsidP="007E742F">
      <w:pPr>
        <w:pStyle w:val="FootnoteText"/>
      </w:pPr>
      <w:r>
        <w:rPr>
          <w:rStyle w:val="FootnoteReference"/>
        </w:rPr>
        <w:footnoteRef/>
      </w:r>
      <w:r>
        <w:t xml:space="preserve"> </w:t>
      </w:r>
      <w:r>
        <w:tab/>
        <w:t xml:space="preserve">Lally, </w:t>
      </w:r>
      <w:r w:rsidRPr="00C5128D">
        <w:rPr>
          <w:rStyle w:val="AERtextitalic"/>
        </w:rPr>
        <w:t>C</w:t>
      </w:r>
      <w:r>
        <w:rPr>
          <w:i/>
        </w:rPr>
        <w:t>ost of equity and the MRP,</w:t>
      </w:r>
      <w:r>
        <w:t xml:space="preserve"> July 2012, p. 22.</w:t>
      </w:r>
    </w:p>
  </w:footnote>
  <w:footnote w:id="351">
    <w:p w:rsidR="00377B37" w:rsidRDefault="00377B37" w:rsidP="007E742F">
      <w:pPr>
        <w:pStyle w:val="FootnoteText"/>
      </w:pPr>
      <w:r>
        <w:rPr>
          <w:rStyle w:val="FootnoteReference"/>
        </w:rPr>
        <w:footnoteRef/>
      </w:r>
      <w:r>
        <w:t xml:space="preserve"> </w:t>
      </w:r>
      <w:r>
        <w:tab/>
      </w:r>
      <w:r w:rsidRPr="00014A76">
        <w:t xml:space="preserve">APA GasNet, Access arrangement submission, </w:t>
      </w:r>
      <w:r>
        <w:t xml:space="preserve">31 </w:t>
      </w:r>
      <w:r w:rsidRPr="00014A76">
        <w:t>March 2012, p. 142.</w:t>
      </w:r>
    </w:p>
  </w:footnote>
  <w:footnote w:id="352">
    <w:p w:rsidR="00377B37" w:rsidRDefault="00377B37" w:rsidP="007E742F">
      <w:pPr>
        <w:pStyle w:val="FootnoteText"/>
      </w:pPr>
      <w:r>
        <w:rPr>
          <w:rStyle w:val="FootnoteReference"/>
        </w:rPr>
        <w:footnoteRef/>
      </w:r>
      <w:r>
        <w:t xml:space="preserve"> </w:t>
      </w:r>
      <w:r>
        <w:tab/>
      </w:r>
      <w:r w:rsidRPr="00014A76">
        <w:t xml:space="preserve">See section </w:t>
      </w:r>
      <w:r w:rsidR="00DE0D6A">
        <w:fldChar w:fldCharType="begin"/>
      </w:r>
      <w:r>
        <w:instrText xml:space="preserve"> REF _Ref333916667 \r \h </w:instrText>
      </w:r>
      <w:r w:rsidR="00DE0D6A">
        <w:fldChar w:fldCharType="separate"/>
      </w:r>
      <w:r>
        <w:t>1.3.2</w:t>
      </w:r>
      <w:r w:rsidR="00DE0D6A">
        <w:fldChar w:fldCharType="end"/>
      </w:r>
      <w:r w:rsidRPr="00014A76">
        <w:t xml:space="preserve"> for further discussion.</w:t>
      </w:r>
    </w:p>
  </w:footnote>
  <w:footnote w:id="353">
    <w:p w:rsidR="00377B37" w:rsidRDefault="00377B37" w:rsidP="007E742F">
      <w:pPr>
        <w:pStyle w:val="FootnoteText"/>
      </w:pPr>
      <w:r>
        <w:rPr>
          <w:rStyle w:val="FootnoteReference"/>
        </w:rPr>
        <w:footnoteRef/>
      </w:r>
      <w:r>
        <w:t xml:space="preserve"> </w:t>
      </w:r>
      <w:r>
        <w:tab/>
      </w:r>
      <w:r w:rsidRPr="00014A76">
        <w:t xml:space="preserve">AER, </w:t>
      </w:r>
      <w:r w:rsidRPr="002B72AD">
        <w:rPr>
          <w:rStyle w:val="AERtextitalic"/>
        </w:rPr>
        <w:t>Final decision: WACC review</w:t>
      </w:r>
      <w:r w:rsidRPr="00014A76">
        <w:t>, May 2009, pp. 72–7.</w:t>
      </w:r>
    </w:p>
  </w:footnote>
  <w:footnote w:id="354">
    <w:p w:rsidR="00377B37" w:rsidRDefault="00377B37" w:rsidP="007E742F">
      <w:pPr>
        <w:pStyle w:val="FootnoteText"/>
      </w:pPr>
      <w:r>
        <w:rPr>
          <w:rStyle w:val="FootnoteReference"/>
        </w:rPr>
        <w:footnoteRef/>
      </w:r>
      <w:r>
        <w:t xml:space="preserve"> </w:t>
      </w:r>
      <w:r>
        <w:tab/>
        <w:t xml:space="preserve">CGS prices are observable in a market; as CGS have promised future cash flows, the prevailing yield reflects market expectations for the future. Discussed further in section </w:t>
      </w:r>
      <w:r w:rsidR="00DE0D6A">
        <w:fldChar w:fldCharType="begin"/>
      </w:r>
      <w:r>
        <w:instrText xml:space="preserve"> REF _Ref333916667 \r \h </w:instrText>
      </w:r>
      <w:r w:rsidR="00DE0D6A">
        <w:fldChar w:fldCharType="separate"/>
      </w:r>
      <w:r>
        <w:t>1.3.2</w:t>
      </w:r>
      <w:r w:rsidR="00DE0D6A">
        <w:fldChar w:fldCharType="end"/>
      </w:r>
      <w:r>
        <w:t xml:space="preserve"> and Appendix B.</w:t>
      </w:r>
    </w:p>
  </w:footnote>
  <w:footnote w:id="355">
    <w:p w:rsidR="00377B37" w:rsidRDefault="00377B37" w:rsidP="007E742F">
      <w:pPr>
        <w:pStyle w:val="FootnoteText"/>
      </w:pPr>
      <w:r>
        <w:rPr>
          <w:rStyle w:val="FootnoteReference"/>
        </w:rPr>
        <w:footnoteRef/>
      </w:r>
      <w:r>
        <w:t xml:space="preserve"> </w:t>
      </w:r>
      <w:r>
        <w:tab/>
        <w:t xml:space="preserve">Equity prices are observable in a market; but as equities do not have promised future cash flows, it is not possible to observe a yield that accurately reflects market expectations and takes into account future cash flows. See section </w:t>
      </w:r>
      <w:r w:rsidR="00DE0D6A">
        <w:fldChar w:fldCharType="begin"/>
      </w:r>
      <w:r>
        <w:instrText xml:space="preserve"> REF _Ref333916669 \r \h </w:instrText>
      </w:r>
      <w:r w:rsidR="00DE0D6A">
        <w:fldChar w:fldCharType="separate"/>
      </w:r>
      <w:r>
        <w:t>1.3.3</w:t>
      </w:r>
      <w:r w:rsidR="00DE0D6A">
        <w:fldChar w:fldCharType="end"/>
      </w:r>
      <w:r>
        <w:t xml:space="preserve"> for further discussion.</w:t>
      </w:r>
    </w:p>
  </w:footnote>
  <w:footnote w:id="356">
    <w:p w:rsidR="00377B37" w:rsidRDefault="00377B37" w:rsidP="007E742F">
      <w:pPr>
        <w:pStyle w:val="FootnoteText"/>
      </w:pPr>
      <w:r>
        <w:rPr>
          <w:rStyle w:val="FootnoteReference"/>
        </w:rPr>
        <w:footnoteRef/>
      </w:r>
      <w:r>
        <w:t xml:space="preserve"> </w:t>
      </w:r>
      <w:r>
        <w:tab/>
        <w:t xml:space="preserve">APA GasNet, </w:t>
      </w:r>
      <w:r>
        <w:rPr>
          <w:i/>
        </w:rPr>
        <w:t>Access arrangement submission,</w:t>
      </w:r>
      <w:r w:rsidDel="00AF4A62">
        <w:t xml:space="preserve"> </w:t>
      </w:r>
      <w:r>
        <w:t>31</w:t>
      </w:r>
      <w:r>
        <w:rPr>
          <w:i/>
        </w:rPr>
        <w:t xml:space="preserve"> </w:t>
      </w:r>
      <w:r>
        <w:t>March 2012, pp. 143–</w:t>
      </w:r>
      <w:r w:rsidDel="00E83F96">
        <w:t>-14</w:t>
      </w:r>
      <w:r>
        <w:t>4.</w:t>
      </w:r>
    </w:p>
  </w:footnote>
  <w:footnote w:id="357">
    <w:p w:rsidR="00377B37" w:rsidRDefault="00377B37" w:rsidP="007E742F">
      <w:pPr>
        <w:pStyle w:val="FootnoteText"/>
      </w:pPr>
      <w:r>
        <w:rPr>
          <w:rStyle w:val="FootnoteReference"/>
        </w:rPr>
        <w:footnoteRef/>
      </w:r>
      <w:r>
        <w:t xml:space="preserve"> </w:t>
      </w:r>
      <w:r>
        <w:tab/>
        <w:t xml:space="preserve">Lally, </w:t>
      </w:r>
      <w:r w:rsidRPr="00C5128D">
        <w:rPr>
          <w:rStyle w:val="AERtextitalic"/>
        </w:rPr>
        <w:t>C</w:t>
      </w:r>
      <w:r>
        <w:rPr>
          <w:i/>
        </w:rPr>
        <w:t>ost of equity and the MRP,</w:t>
      </w:r>
      <w:r>
        <w:t xml:space="preserve"> July 2012, p. 7.</w:t>
      </w:r>
    </w:p>
  </w:footnote>
  <w:footnote w:id="358">
    <w:p w:rsidR="00377B37" w:rsidRDefault="00377B37" w:rsidP="007E742F">
      <w:pPr>
        <w:pStyle w:val="FootnoteText"/>
      </w:pPr>
      <w:r>
        <w:rPr>
          <w:rStyle w:val="FootnoteReference"/>
        </w:rPr>
        <w:footnoteRef/>
      </w:r>
      <w:r>
        <w:t xml:space="preserve"> </w:t>
      </w:r>
      <w:r>
        <w:tab/>
        <w:t xml:space="preserve">Lally, </w:t>
      </w:r>
      <w:r w:rsidRPr="00C5128D">
        <w:rPr>
          <w:rStyle w:val="AERtextitalic"/>
        </w:rPr>
        <w:t>C</w:t>
      </w:r>
      <w:r>
        <w:rPr>
          <w:i/>
        </w:rPr>
        <w:t>ost of equity and the MRP,</w:t>
      </w:r>
      <w:r>
        <w:t xml:space="preserve"> July 2012, p. 7.</w:t>
      </w:r>
    </w:p>
  </w:footnote>
  <w:footnote w:id="359">
    <w:p w:rsidR="00377B37" w:rsidRDefault="00377B37" w:rsidP="007E742F">
      <w:pPr>
        <w:pStyle w:val="FootnoteText"/>
      </w:pPr>
      <w:r>
        <w:rPr>
          <w:rStyle w:val="FootnoteReference"/>
        </w:rPr>
        <w:footnoteRef/>
      </w:r>
      <w:r>
        <w:t xml:space="preserve"> </w:t>
      </w:r>
      <w:r>
        <w:tab/>
        <w:t xml:space="preserve">McKenzie and Partington, </w:t>
      </w:r>
      <w:r w:rsidRPr="00096E65">
        <w:rPr>
          <w:rStyle w:val="AERtextitalic"/>
        </w:rPr>
        <w:t>Supplementary report on the MRP</w:t>
      </w:r>
      <w:r w:rsidRPr="008C613D">
        <w:t>, February 2012</w:t>
      </w:r>
      <w:r>
        <w:t>, p.10</w:t>
      </w:r>
    </w:p>
  </w:footnote>
  <w:footnote w:id="360">
    <w:p w:rsidR="00377B37" w:rsidRDefault="00377B37" w:rsidP="007E742F">
      <w:pPr>
        <w:pStyle w:val="FootnoteText"/>
      </w:pPr>
      <w:r>
        <w:rPr>
          <w:rStyle w:val="FootnoteReference"/>
        </w:rPr>
        <w:footnoteRef/>
      </w:r>
      <w:r>
        <w:t xml:space="preserve"> </w:t>
      </w:r>
      <w:r>
        <w:tab/>
        <w:t xml:space="preserve">Lally, </w:t>
      </w:r>
      <w:r w:rsidRPr="00C5128D">
        <w:rPr>
          <w:rStyle w:val="AERtextitalic"/>
        </w:rPr>
        <w:t>C</w:t>
      </w:r>
      <w:r>
        <w:rPr>
          <w:i/>
        </w:rPr>
        <w:t>ost of equity and the MRP,</w:t>
      </w:r>
      <w:r>
        <w:t xml:space="preserve"> July 2012, pp. 8-9.</w:t>
      </w:r>
    </w:p>
  </w:footnote>
  <w:footnote w:id="361">
    <w:p w:rsidR="00377B37" w:rsidRDefault="00377B37" w:rsidP="007E742F">
      <w:pPr>
        <w:pStyle w:val="FootnoteText"/>
      </w:pPr>
      <w:r>
        <w:rPr>
          <w:rStyle w:val="FootnoteReference"/>
        </w:rPr>
        <w:footnoteRef/>
      </w:r>
      <w:r>
        <w:t xml:space="preserve"> </w:t>
      </w:r>
      <w:r>
        <w:tab/>
        <w:t xml:space="preserve">See Damodaran, </w:t>
      </w:r>
      <w:r w:rsidRPr="00521BB4">
        <w:rPr>
          <w:rStyle w:val="AERtextitalic"/>
        </w:rPr>
        <w:t>Equity risk premiums</w:t>
      </w:r>
      <w:r>
        <w:rPr>
          <w:rStyle w:val="AERtextitalic"/>
        </w:rPr>
        <w:t>: determinants, estimation and implications—the 2012 edition</w:t>
      </w:r>
      <w:r>
        <w:t>, March 2012, pp. 77–9.</w:t>
      </w:r>
    </w:p>
  </w:footnote>
  <w:footnote w:id="362">
    <w:p w:rsidR="00377B37" w:rsidRDefault="00377B37" w:rsidP="007E742F">
      <w:pPr>
        <w:pStyle w:val="FootnoteText"/>
      </w:pPr>
      <w:r>
        <w:rPr>
          <w:rStyle w:val="FootnoteReference"/>
        </w:rPr>
        <w:footnoteRef/>
      </w:r>
      <w:r>
        <w:t xml:space="preserve"> </w:t>
      </w:r>
      <w:r>
        <w:tab/>
        <w:t xml:space="preserve">CEG, </w:t>
      </w:r>
      <w:r w:rsidRPr="00A2181E">
        <w:rPr>
          <w:i/>
        </w:rPr>
        <w:t>Internal consistency of risk free rate and MRP in the CAPM</w:t>
      </w:r>
      <w:r>
        <w:t>, March 2012, p. 17.</w:t>
      </w:r>
    </w:p>
  </w:footnote>
  <w:footnote w:id="363">
    <w:p w:rsidR="00377B37" w:rsidRDefault="00377B37" w:rsidP="007E742F">
      <w:pPr>
        <w:pStyle w:val="FootnoteText"/>
      </w:pPr>
      <w:r>
        <w:rPr>
          <w:rStyle w:val="FootnoteReference"/>
        </w:rPr>
        <w:footnoteRef/>
      </w:r>
      <w:r>
        <w:t xml:space="preserve"> </w:t>
      </w:r>
      <w:r>
        <w:tab/>
        <w:t>By applying the AMP method, CEG assumed the market cost of equity</w:t>
      </w:r>
      <w:r w:rsidRPr="004E7490">
        <w:t xml:space="preserve"> </w:t>
      </w:r>
      <w:r>
        <w:t>at any point in time is the same for all future years. If, for example, the current risk free rate were unusually low, then the MRP would assume to be unusually high by an exactly offsetting amount.</w:t>
      </w:r>
    </w:p>
  </w:footnote>
  <w:footnote w:id="364">
    <w:p w:rsidR="00377B37" w:rsidRDefault="00377B37" w:rsidP="007E742F">
      <w:pPr>
        <w:pStyle w:val="FootnoteText"/>
      </w:pPr>
      <w:r>
        <w:rPr>
          <w:rStyle w:val="FootnoteReference"/>
        </w:rPr>
        <w:footnoteRef/>
      </w:r>
      <w:r>
        <w:t xml:space="preserve"> </w:t>
      </w:r>
      <w:r>
        <w:tab/>
        <w:t xml:space="preserve">Lally, </w:t>
      </w:r>
      <w:r>
        <w:rPr>
          <w:i/>
        </w:rPr>
        <w:t>Cost of equity and the MRP,</w:t>
      </w:r>
      <w:r>
        <w:t xml:space="preserve"> July 2012, pp. 9–12, 15.</w:t>
      </w:r>
    </w:p>
  </w:footnote>
  <w:footnote w:id="365">
    <w:p w:rsidR="00377B37" w:rsidRDefault="00377B37" w:rsidP="007E742F">
      <w:pPr>
        <w:pStyle w:val="FootnoteText"/>
      </w:pPr>
      <w:r>
        <w:rPr>
          <w:rStyle w:val="FootnoteReference"/>
        </w:rPr>
        <w:footnoteRef/>
      </w:r>
      <w:r>
        <w:t xml:space="preserve"> </w:t>
      </w:r>
      <w:r>
        <w:tab/>
        <w:t xml:space="preserve">Lally, </w:t>
      </w:r>
      <w:r>
        <w:rPr>
          <w:i/>
        </w:rPr>
        <w:t>Cost of equity and the MRP,</w:t>
      </w:r>
      <w:r>
        <w:t xml:space="preserve"> July 2012, p. 11.</w:t>
      </w:r>
    </w:p>
  </w:footnote>
  <w:footnote w:id="366">
    <w:p w:rsidR="00377B37" w:rsidRDefault="00377B37" w:rsidP="007E742F">
      <w:pPr>
        <w:pStyle w:val="FootnoteText"/>
      </w:pPr>
      <w:r>
        <w:rPr>
          <w:rStyle w:val="FootnoteReference"/>
        </w:rPr>
        <w:footnoteRef/>
      </w:r>
      <w:r>
        <w:t xml:space="preserve"> </w:t>
      </w:r>
      <w:r>
        <w:tab/>
        <w:t xml:space="preserve">Lally, </w:t>
      </w:r>
      <w:r>
        <w:rPr>
          <w:i/>
        </w:rPr>
        <w:t>Cost of equity and the MRP,</w:t>
      </w:r>
      <w:r>
        <w:t xml:space="preserve"> July 2012, p. 15.</w:t>
      </w:r>
    </w:p>
  </w:footnote>
  <w:footnote w:id="367">
    <w:p w:rsidR="00377B37" w:rsidRPr="000225DF" w:rsidRDefault="00377B37" w:rsidP="007E742F">
      <w:pPr>
        <w:pStyle w:val="FootnoteText"/>
      </w:pPr>
      <w:r>
        <w:rPr>
          <w:rStyle w:val="FootnoteReference"/>
        </w:rPr>
        <w:footnoteRef/>
      </w:r>
      <w:r>
        <w:t xml:space="preserve"> </w:t>
      </w:r>
      <w:r>
        <w:tab/>
        <w:t xml:space="preserve">CEG, </w:t>
      </w:r>
      <w:r>
        <w:rPr>
          <w:i/>
        </w:rPr>
        <w:t>Internal consistency of risk free rate and MRP in the CAPM,</w:t>
      </w:r>
      <w:r>
        <w:t xml:space="preserve"> March 2012, pp. 33–40.</w:t>
      </w:r>
    </w:p>
  </w:footnote>
  <w:footnote w:id="368">
    <w:p w:rsidR="00377B37" w:rsidRDefault="00377B37" w:rsidP="007E742F">
      <w:pPr>
        <w:pStyle w:val="FootnoteText"/>
      </w:pPr>
      <w:r>
        <w:rPr>
          <w:rStyle w:val="FootnoteReference"/>
        </w:rPr>
        <w:footnoteRef/>
      </w:r>
      <w:r>
        <w:t xml:space="preserve"> </w:t>
      </w:r>
      <w:r>
        <w:tab/>
      </w:r>
      <w:r w:rsidRPr="00E912E7">
        <w:t>Rule 40 of the NGR sets out the AER’s discretion in deciding on an access arrangement proposal. When the NGL and NGR do not state the AER has 'limited' discretion in relation to a decision, the AER can withhold its approval of an element of an access arrangement proposal under rule 40(3) of the NGR.</w:t>
      </w:r>
    </w:p>
  </w:footnote>
  <w:footnote w:id="369">
    <w:p w:rsidR="00377B37" w:rsidRDefault="00377B37" w:rsidP="007E742F">
      <w:pPr>
        <w:pStyle w:val="FootnoteText"/>
      </w:pPr>
      <w:r>
        <w:rPr>
          <w:rStyle w:val="FootnoteReference"/>
        </w:rPr>
        <w:footnoteRef/>
      </w:r>
      <w:r>
        <w:t xml:space="preserve"> </w:t>
      </w:r>
      <w:r>
        <w:tab/>
      </w:r>
      <w:r w:rsidRPr="00445111">
        <w:t xml:space="preserve">Lally, </w:t>
      </w:r>
      <w:r w:rsidRPr="002B72AD">
        <w:rPr>
          <w:rStyle w:val="AERtextitalic"/>
        </w:rPr>
        <w:t>Cost of equity and the MRP</w:t>
      </w:r>
      <w:r w:rsidRPr="00445111">
        <w:t>,</w:t>
      </w:r>
      <w:r>
        <w:t xml:space="preserve"> July 2012, p. 14</w:t>
      </w:r>
      <w:r w:rsidRPr="00445111">
        <w:t>.</w:t>
      </w:r>
    </w:p>
  </w:footnote>
  <w:footnote w:id="370">
    <w:p w:rsidR="00377B37" w:rsidRDefault="00377B37" w:rsidP="007E742F">
      <w:pPr>
        <w:pStyle w:val="FootnoteText"/>
      </w:pPr>
      <w:r>
        <w:rPr>
          <w:rStyle w:val="FootnoteReference"/>
        </w:rPr>
        <w:footnoteRef/>
      </w:r>
      <w:r>
        <w:t xml:space="preserve"> </w:t>
      </w:r>
      <w:r>
        <w:tab/>
      </w:r>
      <w:r w:rsidRPr="00C7488B">
        <w:t xml:space="preserve">APA </w:t>
      </w:r>
      <w:r>
        <w:t>GasNet</w:t>
      </w:r>
      <w:r w:rsidRPr="00C7488B">
        <w:t xml:space="preserve"> </w:t>
      </w:r>
      <w:r>
        <w:t>,</w:t>
      </w:r>
      <w:r w:rsidRPr="00C7488B">
        <w:t xml:space="preserve">Access </w:t>
      </w:r>
      <w:r>
        <w:t>a</w:t>
      </w:r>
      <w:r w:rsidRPr="00C7488B">
        <w:t>rrangement</w:t>
      </w:r>
      <w:r>
        <w:t xml:space="preserve"> s</w:t>
      </w:r>
      <w:r w:rsidRPr="00C7488B">
        <w:t>ubmission</w:t>
      </w:r>
      <w:r>
        <w:t xml:space="preserve">, 31 </w:t>
      </w:r>
      <w:r w:rsidRPr="00C7488B">
        <w:t>March 2012</w:t>
      </w:r>
      <w:r>
        <w:t>, p. 148.</w:t>
      </w:r>
    </w:p>
  </w:footnote>
  <w:footnote w:id="371">
    <w:p w:rsidR="00377B37" w:rsidRDefault="00377B37" w:rsidP="007E742F">
      <w:pPr>
        <w:pStyle w:val="FootnoteText"/>
      </w:pPr>
      <w:r>
        <w:rPr>
          <w:rStyle w:val="FootnoteReference"/>
        </w:rPr>
        <w:footnoteRef/>
      </w:r>
      <w:r>
        <w:t xml:space="preserve"> </w:t>
      </w:r>
      <w:r>
        <w:tab/>
        <w:t>AER</w:t>
      </w:r>
      <w:r w:rsidRPr="00D12E79">
        <w:t xml:space="preserve">, </w:t>
      </w:r>
      <w:r w:rsidRPr="002B72AD">
        <w:rPr>
          <w:rStyle w:val="AERtextitalic"/>
        </w:rPr>
        <w:t>Final decision - WACC Review</w:t>
      </w:r>
      <w:r>
        <w:t xml:space="preserve">, </w:t>
      </w:r>
      <w:r w:rsidRPr="00D12E79">
        <w:t>1 May 2009, pp. 239–344, May 2009.</w:t>
      </w:r>
    </w:p>
  </w:footnote>
  <w:footnote w:id="372">
    <w:p w:rsidR="00377B37" w:rsidRPr="00D12E79" w:rsidRDefault="00377B37" w:rsidP="007E742F">
      <w:pPr>
        <w:pStyle w:val="FootnoteText"/>
      </w:pPr>
      <w:r>
        <w:rPr>
          <w:rStyle w:val="FootnoteReference"/>
        </w:rPr>
        <w:footnoteRef/>
      </w:r>
      <w:r>
        <w:t xml:space="preserve"> </w:t>
      </w:r>
      <w:r>
        <w:tab/>
      </w:r>
      <w:r w:rsidRPr="00D12E79">
        <w:t>Most Australian regulators had previously provided electricity and gas service providers with an equity beta of either 0.9 or 1.0. In its last decision on the RBP, the ACCC adopted an equity beta of 1.0.</w:t>
      </w:r>
    </w:p>
  </w:footnote>
  <w:footnote w:id="373">
    <w:p w:rsidR="00377B37" w:rsidRDefault="00377B37" w:rsidP="007E742F">
      <w:pPr>
        <w:pStyle w:val="FootnoteText"/>
      </w:pPr>
      <w:r>
        <w:rPr>
          <w:rStyle w:val="FootnoteReference"/>
        </w:rPr>
        <w:footnoteRef/>
      </w:r>
      <w:r>
        <w:t xml:space="preserve"> </w:t>
      </w:r>
      <w:r>
        <w:tab/>
      </w:r>
      <w:r w:rsidRPr="00D12E79">
        <w:t>AER, Final decision for Envestra Access arrangement proposal for the SA gas network, June 2011, 176-184</w:t>
      </w:r>
    </w:p>
  </w:footnote>
  <w:footnote w:id="374">
    <w:p w:rsidR="00377B37" w:rsidRDefault="00377B37" w:rsidP="007E742F">
      <w:pPr>
        <w:pStyle w:val="FootnoteText"/>
      </w:pPr>
      <w:r>
        <w:rPr>
          <w:rStyle w:val="FootnoteReference"/>
        </w:rPr>
        <w:footnoteRef/>
      </w:r>
      <w:r>
        <w:t xml:space="preserve"> </w:t>
      </w:r>
      <w:r>
        <w:tab/>
        <w:t>It is unclear how the EUCV has derived the  0.55 point estimate. The AER considers the empirical evidence from the WACC review suggested a range of 0.4-.07.</w:t>
      </w:r>
    </w:p>
  </w:footnote>
  <w:footnote w:id="375">
    <w:p w:rsidR="00377B37" w:rsidRDefault="00377B37" w:rsidP="007E742F">
      <w:pPr>
        <w:pStyle w:val="FootnoteText"/>
      </w:pPr>
      <w:r>
        <w:rPr>
          <w:rStyle w:val="FootnoteReference"/>
        </w:rPr>
        <w:footnoteRef/>
      </w:r>
      <w:r>
        <w:t xml:space="preserve"> </w:t>
      </w:r>
      <w:r>
        <w:tab/>
        <w:t>The AER notes that ESCV effectively provided an equity beta of 0.8 by making an</w:t>
      </w:r>
      <w:r w:rsidRPr="007A6376">
        <w:t xml:space="preserve"> allowance in</w:t>
      </w:r>
      <w:r>
        <w:t xml:space="preserve"> </w:t>
      </w:r>
      <w:r w:rsidRPr="007A6376">
        <w:t>Total Revenue to reflect the difference in revenue from using an</w:t>
      </w:r>
      <w:r>
        <w:t xml:space="preserve"> </w:t>
      </w:r>
      <w:r w:rsidRPr="007A6376">
        <w:t>equity beta of 0.8 compared to an equity beta of 0.7.</w:t>
      </w:r>
      <w:r>
        <w:t xml:space="preserve"> ESCV, </w:t>
      </w:r>
      <w:r w:rsidRPr="002B72AD">
        <w:rPr>
          <w:rStyle w:val="AERtextitalic"/>
        </w:rPr>
        <w:t>Gas access arrangement review 2008-2012 final decision – public version</w:t>
      </w:r>
      <w:r>
        <w:t xml:space="preserve">, </w:t>
      </w:r>
      <w:r w:rsidRPr="007A6376">
        <w:t xml:space="preserve">7 </w:t>
      </w:r>
      <w:r>
        <w:t>M</w:t>
      </w:r>
      <w:r w:rsidRPr="007A6376">
        <w:t>arch 2008</w:t>
      </w:r>
      <w:r>
        <w:t xml:space="preserve">, p. 13. </w:t>
      </w:r>
    </w:p>
  </w:footnote>
  <w:footnote w:id="376">
    <w:p w:rsidR="00377B37" w:rsidRDefault="00377B37" w:rsidP="007E742F">
      <w:pPr>
        <w:pStyle w:val="FootnoteText"/>
      </w:pPr>
      <w:r>
        <w:rPr>
          <w:rStyle w:val="FootnoteReference"/>
        </w:rPr>
        <w:footnoteRef/>
      </w:r>
      <w:r>
        <w:t xml:space="preserve"> </w:t>
      </w:r>
      <w:r>
        <w:tab/>
      </w:r>
      <w:r w:rsidRPr="00D12E79">
        <w:t xml:space="preserve">EUCV, </w:t>
      </w:r>
      <w:r w:rsidRPr="002B72AD">
        <w:rPr>
          <w:rStyle w:val="AERtextitalic"/>
        </w:rPr>
        <w:t>Application from APA GasNet, A response by EUC</w:t>
      </w:r>
      <w:r>
        <w:rPr>
          <w:rStyle w:val="AERtextitalic"/>
        </w:rPr>
        <w:t>V</w:t>
      </w:r>
      <w:r w:rsidRPr="00D12E79">
        <w:t>, June 2012, p. 4, 46-7.</w:t>
      </w:r>
    </w:p>
  </w:footnote>
  <w:footnote w:id="377">
    <w:p w:rsidR="00377B37" w:rsidRDefault="00377B37" w:rsidP="007E742F">
      <w:pPr>
        <w:pStyle w:val="FootnoteText"/>
      </w:pPr>
      <w:r>
        <w:rPr>
          <w:rStyle w:val="FootnoteReference"/>
        </w:rPr>
        <w:footnoteRef/>
      </w:r>
      <w:r>
        <w:t xml:space="preserve"> </w:t>
      </w:r>
      <w:r>
        <w:tab/>
        <w:t>S</w:t>
      </w:r>
      <w:r w:rsidRPr="00D12E79">
        <w:t>. 24(2)</w:t>
      </w:r>
      <w:r>
        <w:t xml:space="preserve"> of the NGL</w:t>
      </w:r>
      <w:r w:rsidRPr="00D12E79">
        <w:t>.</w:t>
      </w:r>
    </w:p>
  </w:footnote>
  <w:footnote w:id="378">
    <w:p w:rsidR="00377B37" w:rsidRDefault="00377B37" w:rsidP="007E742F">
      <w:pPr>
        <w:pStyle w:val="FootnoteText"/>
      </w:pPr>
      <w:r>
        <w:rPr>
          <w:rStyle w:val="FootnoteReference"/>
        </w:rPr>
        <w:footnoteRef/>
      </w:r>
      <w:r>
        <w:t xml:space="preserve"> </w:t>
      </w:r>
      <w:r>
        <w:tab/>
        <w:t>This estimate also reflects the AER's amendment to the bond sample used to extrapolate Bloomberg's seven year, BBB rated fair value curve. This amendment is discussed in detail further in this document.</w:t>
      </w:r>
    </w:p>
  </w:footnote>
  <w:footnote w:id="379">
    <w:p w:rsidR="00377B37" w:rsidRDefault="00377B37" w:rsidP="007E742F">
      <w:pPr>
        <w:pStyle w:val="FootnoteText"/>
      </w:pPr>
      <w:r>
        <w:rPr>
          <w:rStyle w:val="FootnoteReference"/>
        </w:rPr>
        <w:footnoteRef/>
      </w:r>
      <w:r>
        <w:t xml:space="preserve"> </w:t>
      </w:r>
      <w:r>
        <w:tab/>
        <w:t xml:space="preserve">APA GasNet, </w:t>
      </w:r>
      <w:r w:rsidRPr="00E20B11">
        <w:rPr>
          <w:rStyle w:val="AERtextitalic"/>
        </w:rPr>
        <w:t>Access arrangement submission</w:t>
      </w:r>
      <w:r>
        <w:t>, 31 March 2012, p. 139.</w:t>
      </w:r>
    </w:p>
  </w:footnote>
  <w:footnote w:id="380">
    <w:p w:rsidR="00377B37" w:rsidRDefault="00377B37" w:rsidP="007E742F">
      <w:pPr>
        <w:pStyle w:val="FootnoteText"/>
      </w:pPr>
      <w:r>
        <w:rPr>
          <w:rStyle w:val="FootnoteReference"/>
        </w:rPr>
        <w:footnoteRef/>
      </w:r>
      <w:r>
        <w:t xml:space="preserve"> </w:t>
      </w:r>
      <w:r>
        <w:tab/>
        <w:t xml:space="preserve">For example, see AER, </w:t>
      </w:r>
      <w:r w:rsidRPr="008808DB">
        <w:rPr>
          <w:rStyle w:val="AERtextitalic"/>
        </w:rPr>
        <w:t xml:space="preserve">Final </w:t>
      </w:r>
      <w:r>
        <w:rPr>
          <w:rStyle w:val="AERtextitalic"/>
        </w:rPr>
        <w:t>Decision: APT Petroleum Pipeline Pty Ltd access arrangement final decision Roma to Brisbane Pipeline</w:t>
      </w:r>
      <w:r>
        <w:t xml:space="preserve"> 2012-13 to 2016-17, August 2012.</w:t>
      </w:r>
    </w:p>
  </w:footnote>
  <w:footnote w:id="381">
    <w:p w:rsidR="00377B37" w:rsidRDefault="00377B37" w:rsidP="007E742F">
      <w:pPr>
        <w:pStyle w:val="FootnoteText"/>
      </w:pPr>
      <w:r>
        <w:rPr>
          <w:rStyle w:val="FootnoteReference"/>
        </w:rPr>
        <w:footnoteRef/>
      </w:r>
      <w:r>
        <w:t xml:space="preserve"> </w:t>
      </w:r>
      <w:r>
        <w:tab/>
        <w:t>Other factors—for example, industry type—may also be relevant in determining the level of risk involved in providing reference services.</w:t>
      </w:r>
    </w:p>
  </w:footnote>
  <w:footnote w:id="382">
    <w:p w:rsidR="00377B37" w:rsidRDefault="00377B37" w:rsidP="007E742F">
      <w:pPr>
        <w:pStyle w:val="FootnoteText"/>
      </w:pPr>
      <w:r>
        <w:rPr>
          <w:rStyle w:val="FootnoteReference"/>
        </w:rPr>
        <w:footnoteRef/>
      </w:r>
      <w:r>
        <w:t xml:space="preserve"> </w:t>
      </w:r>
      <w:r>
        <w:tab/>
      </w:r>
      <w:r w:rsidRPr="00390C9B">
        <w:t xml:space="preserve">Australian Competition Tribunal, </w:t>
      </w:r>
      <w:r w:rsidRPr="00E20B11">
        <w:rPr>
          <w:rStyle w:val="AERtextitalic"/>
        </w:rPr>
        <w:t xml:space="preserve">Application by Envestra Limited (No 2) </w:t>
      </w:r>
      <w:r w:rsidRPr="00390C9B">
        <w:t xml:space="preserve">[2012] ACompT 3, 11 January 2012, paragraphs 95, 118, 120–121; see also Australian Competition Tribunal, </w:t>
      </w:r>
      <w:r w:rsidRPr="00E20B11">
        <w:rPr>
          <w:rStyle w:val="AERtextitalic"/>
        </w:rPr>
        <w:t>Application by APT Allgas Energy Ltd</w:t>
      </w:r>
      <w:r w:rsidRPr="00390C9B">
        <w:t xml:space="preserve"> [2012] ACompT 5, 11 January 2012.</w:t>
      </w:r>
    </w:p>
  </w:footnote>
  <w:footnote w:id="383">
    <w:p w:rsidR="00377B37" w:rsidRDefault="00377B37" w:rsidP="007E742F">
      <w:pPr>
        <w:pStyle w:val="FootnoteText"/>
      </w:pPr>
      <w:r>
        <w:rPr>
          <w:rStyle w:val="FootnoteReference"/>
        </w:rPr>
        <w:footnoteRef/>
      </w:r>
      <w:r>
        <w:t xml:space="preserve"> </w:t>
      </w:r>
      <w:r>
        <w:tab/>
      </w:r>
      <w:r w:rsidRPr="00413264">
        <w:t xml:space="preserve">This is because seven years is the maximum term currently published for the </w:t>
      </w:r>
      <w:r>
        <w:t xml:space="preserve">Bloomberg </w:t>
      </w:r>
      <w:r w:rsidRPr="00413264">
        <w:t xml:space="preserve">BBB </w:t>
      </w:r>
      <w:r>
        <w:t>fair value curve</w:t>
      </w:r>
      <w:r w:rsidRPr="00413264">
        <w:t>.</w:t>
      </w:r>
    </w:p>
  </w:footnote>
  <w:footnote w:id="384">
    <w:p w:rsidR="00377B37" w:rsidRDefault="00377B37" w:rsidP="007E742F">
      <w:pPr>
        <w:pStyle w:val="FootnoteText"/>
      </w:pPr>
      <w:r>
        <w:rPr>
          <w:rStyle w:val="FootnoteReference"/>
        </w:rPr>
        <w:footnoteRef/>
      </w:r>
      <w:r>
        <w:t xml:space="preserve"> </w:t>
      </w:r>
      <w:r>
        <w:tab/>
        <w:t xml:space="preserve">PwC, </w:t>
      </w:r>
      <w:r w:rsidRPr="00E20B11">
        <w:rPr>
          <w:rStyle w:val="AERtextitalic"/>
        </w:rPr>
        <w:t>SP AusNet, MultiNet Gas, Envestra, and APA Group: Estimating the benchmark debt risk premium</w:t>
      </w:r>
      <w:r>
        <w:t>, March 2012, p. 22.</w:t>
      </w:r>
    </w:p>
  </w:footnote>
  <w:footnote w:id="385">
    <w:p w:rsidR="00377B37" w:rsidRDefault="00377B37" w:rsidP="007E742F">
      <w:pPr>
        <w:pStyle w:val="FootnoteText"/>
      </w:pPr>
      <w:r>
        <w:rPr>
          <w:rStyle w:val="FootnoteReference"/>
        </w:rPr>
        <w:footnoteRef/>
      </w:r>
      <w:r>
        <w:t xml:space="preserve"> </w:t>
      </w:r>
      <w:r>
        <w:tab/>
        <w:t xml:space="preserve">PwC, </w:t>
      </w:r>
      <w:r w:rsidRPr="00E20B11">
        <w:rPr>
          <w:rStyle w:val="AERtextitalic"/>
        </w:rPr>
        <w:t>SP AusNet, MultiNet Gas, Envestra, and APA Group: Estimating the benchmark debt risk premium</w:t>
      </w:r>
      <w:r>
        <w:t>, March 2012, p. 13.</w:t>
      </w:r>
    </w:p>
  </w:footnote>
  <w:footnote w:id="386">
    <w:p w:rsidR="00377B37" w:rsidRDefault="00377B37" w:rsidP="007E742F">
      <w:pPr>
        <w:pStyle w:val="FootnoteText"/>
      </w:pPr>
      <w:r>
        <w:rPr>
          <w:rStyle w:val="FootnoteReference"/>
        </w:rPr>
        <w:footnoteRef/>
      </w:r>
      <w:r>
        <w:t xml:space="preserve"> </w:t>
      </w:r>
      <w:r>
        <w:tab/>
        <w:t xml:space="preserve">EUCV, </w:t>
      </w:r>
      <w:r w:rsidRPr="00E20B11">
        <w:rPr>
          <w:rStyle w:val="AERtextitalic"/>
        </w:rPr>
        <w:t>Victorian gas transmission revenue reset, Application from APA Gasnet, A response by EUCV</w:t>
      </w:r>
      <w:r>
        <w:t>, June 2012.</w:t>
      </w:r>
    </w:p>
  </w:footnote>
  <w:footnote w:id="387">
    <w:p w:rsidR="00377B37" w:rsidRDefault="00377B37" w:rsidP="007E742F">
      <w:pPr>
        <w:pStyle w:val="FootnoteText"/>
      </w:pPr>
      <w:r>
        <w:rPr>
          <w:rStyle w:val="FootnoteReference"/>
        </w:rPr>
        <w:footnoteRef/>
      </w:r>
      <w:r>
        <w:t xml:space="preserve"> </w:t>
      </w:r>
      <w:r>
        <w:tab/>
        <w:t>For example, the DRP for seven year debt should be determined with reference to the seven year risk free rate.</w:t>
      </w:r>
    </w:p>
  </w:footnote>
  <w:footnote w:id="388">
    <w:p w:rsidR="00377B37" w:rsidRDefault="00377B37" w:rsidP="007E742F">
      <w:pPr>
        <w:pStyle w:val="FootnoteText"/>
      </w:pPr>
      <w:r>
        <w:rPr>
          <w:rStyle w:val="FootnoteReference"/>
        </w:rPr>
        <w:footnoteRef/>
      </w:r>
      <w:r>
        <w:t xml:space="preserve"> </w:t>
      </w:r>
      <w:r>
        <w:tab/>
      </w:r>
      <w:r w:rsidRPr="00390C9B">
        <w:t xml:space="preserve">Australian Competition Tribunal, </w:t>
      </w:r>
      <w:r w:rsidRPr="00E20B11">
        <w:rPr>
          <w:rStyle w:val="AERtextitalic"/>
        </w:rPr>
        <w:t>Application by Envestra Limited (No 2)</w:t>
      </w:r>
      <w:r w:rsidRPr="00390C9B">
        <w:t xml:space="preserve"> [2012] ACompT 3, 11 January 2012, paragraphs 95, 118, 120–121; see also Australian Competition Tribunal, </w:t>
      </w:r>
      <w:r w:rsidRPr="00E20B11">
        <w:rPr>
          <w:rStyle w:val="AERtextitalic"/>
        </w:rPr>
        <w:t>Application by APT Allgas Energy Ltd</w:t>
      </w:r>
      <w:r w:rsidRPr="00390C9B">
        <w:t xml:space="preserve"> [2012] ACompT 5, 11 January 2012.</w:t>
      </w:r>
    </w:p>
  </w:footnote>
  <w:footnote w:id="389">
    <w:p w:rsidR="00377B37" w:rsidRDefault="00377B37" w:rsidP="007E742F">
      <w:pPr>
        <w:pStyle w:val="FootnoteText"/>
      </w:pPr>
      <w:r>
        <w:rPr>
          <w:rStyle w:val="FootnoteReference"/>
        </w:rPr>
        <w:footnoteRef/>
      </w:r>
      <w:r>
        <w:t xml:space="preserve"> </w:t>
      </w:r>
      <w:r>
        <w:tab/>
      </w:r>
      <w:r w:rsidRPr="00C7488B">
        <w:t xml:space="preserve">APA </w:t>
      </w:r>
      <w:r>
        <w:t xml:space="preserve">GasNet, </w:t>
      </w:r>
      <w:r w:rsidRPr="002B72AD">
        <w:rPr>
          <w:rStyle w:val="AERtextitalic"/>
        </w:rPr>
        <w:t>Access arrangement submission</w:t>
      </w:r>
      <w:r>
        <w:t xml:space="preserve">, 31 </w:t>
      </w:r>
      <w:r w:rsidRPr="00C7488B">
        <w:t>March 2012</w:t>
      </w:r>
      <w:r>
        <w:t xml:space="preserve">, </w:t>
      </w:r>
      <w:r w:rsidRPr="00EC3FDD">
        <w:t>p</w:t>
      </w:r>
      <w:r>
        <w:t xml:space="preserve"> 133, 134.</w:t>
      </w:r>
    </w:p>
  </w:footnote>
  <w:footnote w:id="390">
    <w:p w:rsidR="00377B37" w:rsidRDefault="00377B37" w:rsidP="007E742F">
      <w:pPr>
        <w:pStyle w:val="FootnoteText"/>
      </w:pPr>
      <w:r>
        <w:rPr>
          <w:rStyle w:val="FootnoteReference"/>
        </w:rPr>
        <w:footnoteRef/>
      </w:r>
      <w:r>
        <w:t xml:space="preserve"> </w:t>
      </w:r>
      <w:r>
        <w:tab/>
        <w:t>AER</w:t>
      </w:r>
      <w:r w:rsidRPr="00D12E79">
        <w:t xml:space="preserve">, </w:t>
      </w:r>
      <w:r w:rsidRPr="002B72AD">
        <w:rPr>
          <w:rStyle w:val="AERtextitalic"/>
        </w:rPr>
        <w:t>Final decision - WACC Review</w:t>
      </w:r>
      <w:r w:rsidRPr="00D12E79">
        <w:t xml:space="preserve">, 1 May 2009, </w:t>
      </w:r>
      <w:r>
        <w:t>p. 126.</w:t>
      </w:r>
    </w:p>
  </w:footnote>
  <w:footnote w:id="391">
    <w:p w:rsidR="00377B37" w:rsidRDefault="00377B37" w:rsidP="007E742F">
      <w:pPr>
        <w:pStyle w:val="FootnoteText"/>
      </w:pPr>
      <w:r>
        <w:rPr>
          <w:rStyle w:val="FootnoteReference"/>
        </w:rPr>
        <w:footnoteRef/>
      </w:r>
      <w:r>
        <w:t xml:space="preserve"> </w:t>
      </w:r>
      <w:r>
        <w:tab/>
        <w:t xml:space="preserve">AER, </w:t>
      </w:r>
      <w:r w:rsidRPr="002B72AD">
        <w:rPr>
          <w:rStyle w:val="AERtextitalic"/>
        </w:rPr>
        <w:t>Draft decision:</w:t>
      </w:r>
      <w:r>
        <w:rPr>
          <w:rStyle w:val="AERtextitalic"/>
        </w:rPr>
        <w:t xml:space="preserve"> </w:t>
      </w:r>
      <w:r w:rsidRPr="002B72AD">
        <w:rPr>
          <w:rStyle w:val="AERtextitalic"/>
        </w:rPr>
        <w:t>Envestra Ltd Access arrangement proposal for the SA gas network 1 July 2011 – 30 June 2016</w:t>
      </w:r>
      <w:r>
        <w:t>, February</w:t>
      </w:r>
      <w:r w:rsidRPr="000742D2">
        <w:t xml:space="preserve"> 2011</w:t>
      </w:r>
      <w:r>
        <w:t>, p. 93.</w:t>
      </w:r>
    </w:p>
  </w:footnote>
  <w:footnote w:id="392">
    <w:p w:rsidR="00377B37" w:rsidRPr="00DB5E8B" w:rsidRDefault="00377B37" w:rsidP="007E742F">
      <w:pPr>
        <w:pStyle w:val="FootnoteText"/>
      </w:pPr>
      <w:r>
        <w:rPr>
          <w:rStyle w:val="FootnoteReference"/>
        </w:rPr>
        <w:footnoteRef/>
      </w:r>
      <w:r>
        <w:t xml:space="preserve"> </w:t>
      </w:r>
      <w:r>
        <w:tab/>
        <w:t xml:space="preserve">NGL, s23. </w:t>
      </w:r>
      <w:r w:rsidRPr="00DB5E8B">
        <w:t xml:space="preserve">AER, Final decision: Electricity transmission and distribution network service providers: Review of the weighted average cost of capital (WACC) parameters, 1 May 2009, p. </w:t>
      </w:r>
      <w:r>
        <w:t>116-126</w:t>
      </w:r>
      <w:r w:rsidRPr="00DB5E8B">
        <w:t>.</w:t>
      </w:r>
    </w:p>
    <w:p w:rsidR="00377B37" w:rsidRDefault="00377B37" w:rsidP="007E742F">
      <w:pPr>
        <w:pStyle w:val="FootnoteText"/>
      </w:pPr>
    </w:p>
  </w:footnote>
  <w:footnote w:id="393">
    <w:p w:rsidR="00377B37" w:rsidRDefault="00377B37" w:rsidP="007E742F">
      <w:pPr>
        <w:pStyle w:val="FootnoteText"/>
      </w:pPr>
      <w:r>
        <w:rPr>
          <w:rStyle w:val="FootnoteReference"/>
        </w:rPr>
        <w:footnoteRef/>
      </w:r>
      <w:r>
        <w:t xml:space="preserve"> </w:t>
      </w:r>
      <w:r>
        <w:tab/>
        <w:t>NGR, r. 84</w:t>
      </w:r>
    </w:p>
  </w:footnote>
  <w:footnote w:id="394">
    <w:p w:rsidR="00377B37" w:rsidRDefault="00377B37" w:rsidP="007E742F">
      <w:pPr>
        <w:pStyle w:val="FootnoteText"/>
      </w:pPr>
      <w:r>
        <w:rPr>
          <w:rStyle w:val="FootnoteReference"/>
        </w:rPr>
        <w:footnoteRef/>
      </w:r>
      <w:r>
        <w:tab/>
      </w:r>
      <w:r w:rsidRPr="00C7488B">
        <w:t xml:space="preserve">APA </w:t>
      </w:r>
      <w:r>
        <w:t xml:space="preserve">GasNet, </w:t>
      </w:r>
      <w:r w:rsidRPr="00C7488B">
        <w:t xml:space="preserve">Access </w:t>
      </w:r>
      <w:r>
        <w:t>a</w:t>
      </w:r>
      <w:r w:rsidRPr="00C7488B">
        <w:t>rrangement</w:t>
      </w:r>
      <w:r>
        <w:t xml:space="preserve"> s</w:t>
      </w:r>
      <w:r w:rsidRPr="00C7488B">
        <w:t>ubmission</w:t>
      </w:r>
      <w:r>
        <w:t xml:space="preserve">, 31 </w:t>
      </w:r>
      <w:r w:rsidRPr="00C7488B">
        <w:t>March 2012</w:t>
      </w:r>
      <w:r>
        <w:t xml:space="preserve">, p. 153. </w:t>
      </w:r>
    </w:p>
  </w:footnote>
  <w:footnote w:id="395">
    <w:p w:rsidR="00377B37" w:rsidRDefault="00377B37" w:rsidP="007E742F">
      <w:pPr>
        <w:pStyle w:val="FootnoteText"/>
      </w:pPr>
      <w:r>
        <w:rPr>
          <w:rStyle w:val="FootnoteReference"/>
        </w:rPr>
        <w:footnoteRef/>
      </w:r>
      <w:r>
        <w:t xml:space="preserve"> </w:t>
      </w:r>
      <w:r>
        <w:tab/>
        <w:t xml:space="preserve">EUCV, </w:t>
      </w:r>
      <w:r w:rsidRPr="002B72AD">
        <w:rPr>
          <w:rStyle w:val="AERtextitalic"/>
        </w:rPr>
        <w:t>A response by Energy Users Coalition of Victoria</w:t>
      </w:r>
      <w:r>
        <w:t xml:space="preserve">, </w:t>
      </w:r>
      <w:r w:rsidRPr="005A1BAC">
        <w:t>June 2012</w:t>
      </w:r>
      <w:r>
        <w:t>, p. 62.</w:t>
      </w:r>
    </w:p>
  </w:footnote>
  <w:footnote w:id="396">
    <w:p w:rsidR="00377B37" w:rsidRDefault="00377B37" w:rsidP="007E742F">
      <w:pPr>
        <w:pStyle w:val="FootnoteText"/>
      </w:pPr>
      <w:r>
        <w:rPr>
          <w:rStyle w:val="FootnoteReference"/>
        </w:rPr>
        <w:footnoteRef/>
      </w:r>
      <w:r>
        <w:t xml:space="preserve"> </w:t>
      </w:r>
      <w:r>
        <w:tab/>
        <w:t xml:space="preserve">BHPB, </w:t>
      </w:r>
      <w:r w:rsidRPr="002B72AD">
        <w:rPr>
          <w:rStyle w:val="AERtextitalic"/>
        </w:rPr>
        <w:t>Response to the Proposed Revisions to the Victorian Transmission System Access Arrangement</w:t>
      </w:r>
      <w:r>
        <w:t>, 29 June 2012, p. 18.</w:t>
      </w:r>
    </w:p>
  </w:footnote>
  <w:footnote w:id="397">
    <w:p w:rsidR="00377B37" w:rsidRDefault="00377B37" w:rsidP="007E742F">
      <w:pPr>
        <w:pStyle w:val="FootnoteText"/>
      </w:pPr>
      <w:r>
        <w:rPr>
          <w:rStyle w:val="FootnoteReference"/>
        </w:rPr>
        <w:footnoteRef/>
      </w:r>
      <w:r>
        <w:t xml:space="preserve"> </w:t>
      </w:r>
      <w:r>
        <w:tab/>
        <w:t xml:space="preserve">BHPB, </w:t>
      </w:r>
      <w:r w:rsidRPr="002B72AD">
        <w:rPr>
          <w:rStyle w:val="AERtextitalic"/>
        </w:rPr>
        <w:t>Response to the Proposed Revisions to the Victorian Transmission System Access Arrangement</w:t>
      </w:r>
      <w:r>
        <w:t>, 29 June 2012, p. 18.</w:t>
      </w:r>
    </w:p>
  </w:footnote>
  <w:footnote w:id="398">
    <w:p w:rsidR="00377B37" w:rsidRDefault="00377B37" w:rsidP="007E742F">
      <w:pPr>
        <w:pStyle w:val="FootnoteText"/>
      </w:pPr>
      <w:r>
        <w:rPr>
          <w:rStyle w:val="FootnoteReference"/>
        </w:rPr>
        <w:footnoteRef/>
      </w:r>
      <w:r>
        <w:t xml:space="preserve"> </w:t>
      </w:r>
      <w:r>
        <w:tab/>
        <w:t>NGL, s. 24.</w:t>
      </w:r>
    </w:p>
  </w:footnote>
  <w:footnote w:id="399">
    <w:p w:rsidR="00377B37" w:rsidRDefault="00377B37" w:rsidP="007E742F">
      <w:pPr>
        <w:pStyle w:val="FootnoteText"/>
      </w:pPr>
      <w:r>
        <w:rPr>
          <w:rStyle w:val="FootnoteReference"/>
        </w:rPr>
        <w:footnoteRef/>
      </w:r>
      <w:r>
        <w:t xml:space="preserve"> </w:t>
      </w:r>
      <w:r>
        <w:tab/>
      </w:r>
      <w:r w:rsidRPr="00C7488B">
        <w:t xml:space="preserve">APA </w:t>
      </w:r>
      <w:r>
        <w:t xml:space="preserve">GasNet, </w:t>
      </w:r>
      <w:r w:rsidRPr="002B72AD">
        <w:rPr>
          <w:rStyle w:val="AERtextitalic"/>
        </w:rPr>
        <w:t>Access arrangement submission</w:t>
      </w:r>
      <w:r>
        <w:t xml:space="preserve">, 31 </w:t>
      </w:r>
      <w:r w:rsidRPr="00C7488B">
        <w:t>March 2012</w:t>
      </w:r>
      <w:r>
        <w:t xml:space="preserve">, p. 153, 154. </w:t>
      </w:r>
    </w:p>
  </w:footnote>
  <w:footnote w:id="400">
    <w:p w:rsidR="00377B37" w:rsidRDefault="00377B37" w:rsidP="007E742F">
      <w:pPr>
        <w:pStyle w:val="FootnoteText"/>
      </w:pPr>
      <w:r>
        <w:rPr>
          <w:rStyle w:val="FootnoteReference"/>
        </w:rPr>
        <w:footnoteRef/>
      </w:r>
      <w:r>
        <w:t xml:space="preserve"> </w:t>
      </w:r>
      <w:r>
        <w:tab/>
      </w:r>
      <w:r w:rsidRPr="00C7488B">
        <w:t xml:space="preserve">APA </w:t>
      </w:r>
      <w:r>
        <w:t xml:space="preserve">GasNet, </w:t>
      </w:r>
      <w:r w:rsidRPr="002B72AD">
        <w:rPr>
          <w:rStyle w:val="AERtextitalic"/>
        </w:rPr>
        <w:t>Access arrangement submission</w:t>
      </w:r>
      <w:r>
        <w:t xml:space="preserve">, 31 </w:t>
      </w:r>
      <w:r w:rsidRPr="00C7488B">
        <w:t>March 2012</w:t>
      </w:r>
      <w:r>
        <w:t>, p. 148.</w:t>
      </w:r>
    </w:p>
  </w:footnote>
  <w:footnote w:id="401">
    <w:p w:rsidR="00377B37" w:rsidRDefault="00377B37" w:rsidP="007E742F">
      <w:pPr>
        <w:pStyle w:val="FootnoteText"/>
      </w:pPr>
      <w:r>
        <w:rPr>
          <w:rStyle w:val="FootnoteReference"/>
        </w:rPr>
        <w:footnoteRef/>
      </w:r>
      <w:r>
        <w:t xml:space="preserve"> </w:t>
      </w:r>
      <w:r>
        <w:tab/>
      </w:r>
      <w:r w:rsidRPr="00C7488B">
        <w:t xml:space="preserve">APA </w:t>
      </w:r>
      <w:r>
        <w:t>GasNet</w:t>
      </w:r>
      <w:r w:rsidRPr="002B72AD">
        <w:rPr>
          <w:rStyle w:val="AERtextitalic"/>
        </w:rPr>
        <w:t>, Access arrangement submission</w:t>
      </w:r>
      <w:r>
        <w:t xml:space="preserve">, 31 </w:t>
      </w:r>
      <w:r w:rsidRPr="00C7488B">
        <w:t>March 2012</w:t>
      </w:r>
      <w:r>
        <w:t xml:space="preserve">, p. 153. </w:t>
      </w:r>
    </w:p>
  </w:footnote>
  <w:footnote w:id="402">
    <w:p w:rsidR="00377B37" w:rsidRDefault="00377B37" w:rsidP="007E742F">
      <w:pPr>
        <w:pStyle w:val="FootnoteText"/>
      </w:pPr>
      <w:r>
        <w:rPr>
          <w:rStyle w:val="FootnoteReference"/>
        </w:rPr>
        <w:footnoteRef/>
      </w:r>
      <w:r>
        <w:t xml:space="preserve"> </w:t>
      </w:r>
      <w:r>
        <w:tab/>
        <w:t xml:space="preserve">NGL, section 23. </w:t>
      </w:r>
    </w:p>
  </w:footnote>
  <w:footnote w:id="403">
    <w:p w:rsidR="00377B37" w:rsidRDefault="00377B37" w:rsidP="007E742F">
      <w:pPr>
        <w:pStyle w:val="FootnoteText"/>
      </w:pPr>
      <w:r>
        <w:rPr>
          <w:rStyle w:val="FootnoteReference"/>
        </w:rPr>
        <w:footnoteRef/>
      </w:r>
      <w:r>
        <w:t xml:space="preserve"> </w:t>
      </w:r>
      <w:r>
        <w:tab/>
        <w:t xml:space="preserve">AER, </w:t>
      </w:r>
      <w:r w:rsidRPr="002B72AD">
        <w:rPr>
          <w:rStyle w:val="AERtextitalic"/>
        </w:rPr>
        <w:t>Explanatory statement</w:t>
      </w:r>
      <w:r>
        <w:rPr>
          <w:rStyle w:val="AERtextitalic"/>
        </w:rPr>
        <w:t>:</w:t>
      </w:r>
      <w:r w:rsidRPr="002B72AD">
        <w:rPr>
          <w:rStyle w:val="AERtextitalic"/>
        </w:rPr>
        <w:t xml:space="preserve"> WACC review final decision</w:t>
      </w:r>
      <w:r>
        <w:t>, December 2008, p. 194.</w:t>
      </w:r>
    </w:p>
  </w:footnote>
  <w:footnote w:id="404">
    <w:p w:rsidR="00377B37" w:rsidRDefault="00377B37" w:rsidP="007C1F9F">
      <w:pPr>
        <w:pStyle w:val="FootnoteText"/>
      </w:pPr>
      <w:r>
        <w:rPr>
          <w:rStyle w:val="FootnoteReference"/>
        </w:rPr>
        <w:footnoteRef/>
      </w:r>
      <w:r>
        <w:t xml:space="preserve"> </w:t>
      </w:r>
      <w:r>
        <w:tab/>
        <w:t>NGR, r. 76(b).</w:t>
      </w:r>
    </w:p>
  </w:footnote>
  <w:footnote w:id="405">
    <w:p w:rsidR="00377B37" w:rsidRDefault="00377B37" w:rsidP="007C1F9F">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406">
    <w:p w:rsidR="00377B37" w:rsidRDefault="00377B37" w:rsidP="007C1F9F">
      <w:pPr>
        <w:pStyle w:val="FootnoteText"/>
      </w:pPr>
      <w:r>
        <w:rPr>
          <w:rStyle w:val="FootnoteReference"/>
        </w:rPr>
        <w:footnoteRef/>
      </w:r>
      <w:r>
        <w:t xml:space="preserve"> </w:t>
      </w:r>
      <w:r>
        <w:tab/>
      </w:r>
      <w:r w:rsidRPr="003A447F">
        <w:t xml:space="preserve">APA GasNet, </w:t>
      </w:r>
      <w:r w:rsidRPr="00920AC6">
        <w:rPr>
          <w:rStyle w:val="AERtextitalic"/>
        </w:rPr>
        <w:t xml:space="preserve">Access arrangement </w:t>
      </w:r>
      <w:r>
        <w:rPr>
          <w:rStyle w:val="AERtextitalic"/>
        </w:rPr>
        <w:t>i</w:t>
      </w:r>
      <w:r w:rsidRPr="00920AC6">
        <w:rPr>
          <w:rStyle w:val="AERtextitalic"/>
        </w:rPr>
        <w:t>nformation</w:t>
      </w:r>
      <w:r w:rsidRPr="003A447F">
        <w:t>, March 2012, p. 10.</w:t>
      </w:r>
    </w:p>
  </w:footnote>
  <w:footnote w:id="407">
    <w:p w:rsidR="00377B37" w:rsidRDefault="00377B37" w:rsidP="007C1F9F">
      <w:pPr>
        <w:pStyle w:val="FootnoteText"/>
      </w:pPr>
      <w:r>
        <w:rPr>
          <w:rStyle w:val="FootnoteReference"/>
        </w:rPr>
        <w:footnoteRef/>
      </w:r>
      <w:r>
        <w:t xml:space="preserve"> </w:t>
      </w:r>
      <w:r>
        <w:tab/>
        <w:t>NGR, r. 89(1)(a).</w:t>
      </w:r>
    </w:p>
  </w:footnote>
  <w:footnote w:id="408">
    <w:p w:rsidR="00377B37" w:rsidRDefault="00377B37" w:rsidP="007C1F9F">
      <w:pPr>
        <w:pStyle w:val="FootnoteText"/>
      </w:pPr>
      <w:r>
        <w:rPr>
          <w:rStyle w:val="FootnoteReference"/>
        </w:rPr>
        <w:footnoteRef/>
      </w:r>
      <w:r>
        <w:t xml:space="preserve"> </w:t>
      </w:r>
      <w:r>
        <w:tab/>
        <w:t>APA GasNet</w:t>
      </w:r>
      <w:r w:rsidRPr="004D0422">
        <w:t xml:space="preserve">, </w:t>
      </w:r>
      <w:r w:rsidRPr="00920AC6">
        <w:rPr>
          <w:rStyle w:val="AERtextitalic"/>
        </w:rPr>
        <w:t>Access arrangement submission</w:t>
      </w:r>
      <w:r w:rsidRPr="004D0422">
        <w:t>,</w:t>
      </w:r>
      <w:r>
        <w:t xml:space="preserve"> March 2012, </w:t>
      </w:r>
      <w:r w:rsidRPr="004D0422">
        <w:t xml:space="preserve">p. </w:t>
      </w:r>
      <w:r>
        <w:t xml:space="preserve">127-129. </w:t>
      </w:r>
    </w:p>
  </w:footnote>
  <w:footnote w:id="409">
    <w:p w:rsidR="00377B37" w:rsidRDefault="00377B37" w:rsidP="007C1F9F">
      <w:pPr>
        <w:pStyle w:val="FootnoteText"/>
      </w:pPr>
      <w:r>
        <w:rPr>
          <w:rStyle w:val="FootnoteReference"/>
        </w:rPr>
        <w:footnoteRef/>
      </w:r>
      <w:r>
        <w:t xml:space="preserve"> </w:t>
      </w:r>
      <w:r>
        <w:tab/>
        <w:t xml:space="preserve">NGR, r. 72(1)(c)(ii). </w:t>
      </w:r>
    </w:p>
  </w:footnote>
  <w:footnote w:id="410">
    <w:p w:rsidR="00377B37" w:rsidRDefault="00377B37" w:rsidP="007C1F9F">
      <w:pPr>
        <w:pStyle w:val="FootnoteText"/>
      </w:pPr>
      <w:r>
        <w:rPr>
          <w:rStyle w:val="FootnoteReference"/>
        </w:rPr>
        <w:footnoteRef/>
      </w:r>
      <w:r>
        <w:t xml:space="preserve"> </w:t>
      </w:r>
      <w:r>
        <w:tab/>
      </w:r>
      <w:r w:rsidRPr="00CE74A3">
        <w:rPr>
          <w:rFonts w:eastAsia="Calibri"/>
        </w:rPr>
        <w:t>NGR, rr. 88(1) and 88(2).</w:t>
      </w:r>
    </w:p>
  </w:footnote>
  <w:footnote w:id="411">
    <w:p w:rsidR="00377B37" w:rsidRDefault="00377B37" w:rsidP="007C1F9F">
      <w:pPr>
        <w:pStyle w:val="FootnoteText"/>
      </w:pPr>
      <w:r>
        <w:rPr>
          <w:rStyle w:val="FootnoteReference"/>
        </w:rPr>
        <w:footnoteRef/>
      </w:r>
      <w:r>
        <w:t xml:space="preserve"> </w:t>
      </w:r>
      <w:r>
        <w:tab/>
        <w:t>NGR, r. 89.</w:t>
      </w:r>
    </w:p>
  </w:footnote>
  <w:footnote w:id="412">
    <w:p w:rsidR="00377B37" w:rsidRDefault="00377B37" w:rsidP="007C1F9F">
      <w:pPr>
        <w:pStyle w:val="FootnoteText"/>
      </w:pPr>
      <w:r>
        <w:rPr>
          <w:rStyle w:val="FootnoteReference"/>
        </w:rPr>
        <w:footnoteRef/>
      </w:r>
      <w:r>
        <w:t xml:space="preserve"> </w:t>
      </w:r>
      <w:r>
        <w:tab/>
        <w:t>NGR, s</w:t>
      </w:r>
      <w:r w:rsidRPr="00BA6F87">
        <w:t>chedule 1</w:t>
      </w:r>
      <w:r>
        <w:t xml:space="preserve">, </w:t>
      </w:r>
      <w:r w:rsidRPr="00BA6F87">
        <w:t>r. 5(1)(d)</w:t>
      </w:r>
      <w:r>
        <w:t>.</w:t>
      </w:r>
    </w:p>
  </w:footnote>
  <w:footnote w:id="413">
    <w:p w:rsidR="00377B37" w:rsidRDefault="00377B37" w:rsidP="007C1F9F">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principles are set out in NGL, s. 24.</w:t>
      </w:r>
    </w:p>
  </w:footnote>
  <w:footnote w:id="414">
    <w:p w:rsidR="00377B37" w:rsidRDefault="00377B37" w:rsidP="007C1F9F">
      <w:pPr>
        <w:pStyle w:val="FootnoteText"/>
      </w:pPr>
      <w:r>
        <w:rPr>
          <w:rStyle w:val="FootnoteReference"/>
        </w:rPr>
        <w:footnoteRef/>
      </w:r>
      <w:r>
        <w:t xml:space="preserve"> </w:t>
      </w:r>
      <w:r>
        <w:tab/>
      </w:r>
      <w:r w:rsidRPr="001E0177">
        <w:t xml:space="preserve">NGR, </w:t>
      </w:r>
      <w:r>
        <w:t>rr.</w:t>
      </w:r>
      <w:r w:rsidRPr="001E0177">
        <w:t xml:space="preserve"> 89(3) and 40(2).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415">
    <w:p w:rsidR="00377B37" w:rsidRDefault="00377B37" w:rsidP="007C1F9F">
      <w:pPr>
        <w:pStyle w:val="FootnoteText"/>
      </w:pPr>
      <w:r>
        <w:rPr>
          <w:rStyle w:val="FootnoteReference"/>
        </w:rPr>
        <w:footnoteRef/>
      </w:r>
      <w:r>
        <w:t xml:space="preserve"> </w:t>
      </w:r>
      <w:r>
        <w:tab/>
        <w:t>NGR, r. 89(1)(a).</w:t>
      </w:r>
    </w:p>
  </w:footnote>
  <w:footnote w:id="416">
    <w:p w:rsidR="00377B37" w:rsidRDefault="00377B37" w:rsidP="007C1F9F">
      <w:pPr>
        <w:pStyle w:val="FootnoteText"/>
      </w:pPr>
      <w:r>
        <w:rPr>
          <w:rStyle w:val="FootnoteReference"/>
        </w:rPr>
        <w:footnoteRef/>
      </w:r>
      <w:r>
        <w:t xml:space="preserve"> </w:t>
      </w:r>
      <w:r>
        <w:tab/>
        <w:t>NGR, r. 89(1)(b).</w:t>
      </w:r>
    </w:p>
  </w:footnote>
  <w:footnote w:id="417">
    <w:p w:rsidR="00377B37" w:rsidRDefault="00377B37" w:rsidP="007C1F9F">
      <w:pPr>
        <w:pStyle w:val="FootnoteText"/>
      </w:pPr>
      <w:r>
        <w:rPr>
          <w:rStyle w:val="FootnoteReference"/>
        </w:rPr>
        <w:footnoteRef/>
      </w:r>
      <w:r>
        <w:t xml:space="preserve"> </w:t>
      </w:r>
      <w:r>
        <w:tab/>
        <w:t>NGR, r. 89(1)(c).</w:t>
      </w:r>
    </w:p>
  </w:footnote>
  <w:footnote w:id="418">
    <w:p w:rsidR="00377B37" w:rsidRDefault="00377B37" w:rsidP="007C1F9F">
      <w:pPr>
        <w:pStyle w:val="FootnoteText"/>
      </w:pPr>
      <w:r>
        <w:rPr>
          <w:rStyle w:val="FootnoteReference"/>
        </w:rPr>
        <w:footnoteRef/>
      </w:r>
      <w:r>
        <w:t xml:space="preserve"> </w:t>
      </w:r>
      <w:r>
        <w:tab/>
        <w:t>NGR, r. 89(1)(d).</w:t>
      </w:r>
    </w:p>
  </w:footnote>
  <w:footnote w:id="419">
    <w:p w:rsidR="00377B37" w:rsidRDefault="00377B37" w:rsidP="007C1F9F">
      <w:pPr>
        <w:pStyle w:val="FootnoteText"/>
      </w:pPr>
      <w:r>
        <w:rPr>
          <w:rStyle w:val="FootnoteReference"/>
        </w:rPr>
        <w:footnoteRef/>
      </w:r>
      <w:r>
        <w:t xml:space="preserve"> </w:t>
      </w:r>
      <w:r>
        <w:tab/>
        <w:t>NGR, r. 89(1)(e).</w:t>
      </w:r>
    </w:p>
  </w:footnote>
  <w:footnote w:id="420">
    <w:p w:rsidR="00377B37" w:rsidRDefault="00377B37" w:rsidP="007C1F9F">
      <w:pPr>
        <w:pStyle w:val="FootnoteText"/>
      </w:pPr>
      <w:r>
        <w:rPr>
          <w:rStyle w:val="FootnoteReference"/>
        </w:rPr>
        <w:footnoteRef/>
      </w:r>
      <w:r>
        <w:t xml:space="preserve"> </w:t>
      </w:r>
      <w:r>
        <w:tab/>
      </w:r>
      <w:r w:rsidRPr="000106C6">
        <w:t>NGR, r. 89(2).</w:t>
      </w:r>
    </w:p>
  </w:footnote>
  <w:footnote w:id="421">
    <w:p w:rsidR="00377B37" w:rsidRDefault="00377B37" w:rsidP="007C1F9F">
      <w:pPr>
        <w:pStyle w:val="FootnoteText"/>
      </w:pPr>
      <w:r>
        <w:rPr>
          <w:rStyle w:val="FootnoteReference"/>
        </w:rPr>
        <w:footnoteRef/>
      </w:r>
      <w:r>
        <w:t xml:space="preserve"> </w:t>
      </w:r>
      <w:r>
        <w:tab/>
        <w:t xml:space="preserve">The AER’s PTRM was developed based on the post-tax building block approach set out in the National </w:t>
      </w:r>
      <w:smartTag w:uri="urn:schemas-microsoft-com:office:smarttags" w:element="PersonName">
        <w:r>
          <w:t>Electricity</w:t>
        </w:r>
      </w:smartTag>
      <w:r>
        <w:t xml:space="preserve"> Rules. Given that APA GasNet has proposed the post-tax building block approach for its access arrangement, the PTRM can be used to calculate the revenue requirement.</w:t>
      </w:r>
    </w:p>
  </w:footnote>
  <w:footnote w:id="422">
    <w:p w:rsidR="00377B37" w:rsidRDefault="00377B37" w:rsidP="007C1F9F">
      <w:pPr>
        <w:pStyle w:val="FootnoteText"/>
      </w:pPr>
      <w:r>
        <w:rPr>
          <w:rStyle w:val="FootnoteReference"/>
        </w:rPr>
        <w:footnoteRef/>
      </w:r>
      <w:r>
        <w:t xml:space="preserve"> </w:t>
      </w:r>
      <w:r>
        <w:tab/>
        <w:t>NGR, r. 89.</w:t>
      </w:r>
    </w:p>
  </w:footnote>
  <w:footnote w:id="423">
    <w:p w:rsidR="00377B37" w:rsidRDefault="00377B37" w:rsidP="007C1F9F">
      <w:pPr>
        <w:pStyle w:val="FootnoteText"/>
      </w:pPr>
      <w:r>
        <w:rPr>
          <w:rStyle w:val="FootnoteReference"/>
        </w:rPr>
        <w:footnoteRef/>
      </w:r>
      <w:r>
        <w:t xml:space="preserve"> </w:t>
      </w:r>
      <w:r>
        <w:tab/>
        <w:t>NGR, r. 89(1)(a).</w:t>
      </w:r>
    </w:p>
  </w:footnote>
  <w:footnote w:id="424">
    <w:p w:rsidR="00377B37" w:rsidRDefault="00377B37" w:rsidP="007C1F9F">
      <w:pPr>
        <w:pStyle w:val="FootnoteText"/>
      </w:pPr>
      <w:r>
        <w:rPr>
          <w:rStyle w:val="FootnoteReference"/>
        </w:rPr>
        <w:footnoteRef/>
      </w:r>
      <w:r>
        <w:t xml:space="preserve"> </w:t>
      </w:r>
      <w:r>
        <w:tab/>
        <w:t xml:space="preserve">The AER considers this depreciation method to be a generally superior approach. Its reasons were outlined in its decision on the RFM for electricity transmission network service providers. See AER, </w:t>
      </w:r>
      <w:r w:rsidRPr="00920AC6">
        <w:rPr>
          <w:rStyle w:val="AERtextitalic"/>
        </w:rPr>
        <w:t>Explanatory statement, Proposed amendment, Electricity transmission network service providers, Roll forward model</w:t>
      </w:r>
      <w:r>
        <w:t>, August 2010, pp.5–6.</w:t>
      </w:r>
    </w:p>
  </w:footnote>
  <w:footnote w:id="425">
    <w:p w:rsidR="00377B37" w:rsidRDefault="00377B37" w:rsidP="007C1F9F">
      <w:pPr>
        <w:pStyle w:val="FootnoteText"/>
      </w:pPr>
      <w:r>
        <w:rPr>
          <w:rStyle w:val="FootnoteReference"/>
        </w:rPr>
        <w:footnoteRef/>
      </w:r>
      <w:r>
        <w:t xml:space="preserve"> </w:t>
      </w:r>
      <w:r>
        <w:tab/>
        <w:t xml:space="preserve">NGR, r. 89(1)(a). </w:t>
      </w:r>
    </w:p>
  </w:footnote>
  <w:footnote w:id="426">
    <w:p w:rsidR="00377B37" w:rsidRDefault="00377B37" w:rsidP="007C1F9F">
      <w:pPr>
        <w:pStyle w:val="FootnoteText"/>
      </w:pPr>
      <w:r>
        <w:rPr>
          <w:rStyle w:val="FootnoteReference"/>
        </w:rPr>
        <w:footnoteRef/>
      </w:r>
      <w:r>
        <w:t xml:space="preserve"> </w:t>
      </w:r>
      <w:r>
        <w:tab/>
        <w:t xml:space="preserve">NGR, r. 89(1)(a). </w:t>
      </w:r>
    </w:p>
  </w:footnote>
  <w:footnote w:id="427">
    <w:p w:rsidR="00377B37" w:rsidRDefault="00377B37" w:rsidP="007C1F9F">
      <w:pPr>
        <w:pStyle w:val="FootnoteText"/>
      </w:pPr>
      <w:r>
        <w:rPr>
          <w:rStyle w:val="FootnoteReference"/>
        </w:rPr>
        <w:footnoteRef/>
      </w:r>
      <w:r>
        <w:t xml:space="preserve"> </w:t>
      </w:r>
      <w:r>
        <w:tab/>
        <w:t>NGR, r. 89(1)(e).</w:t>
      </w:r>
    </w:p>
  </w:footnote>
  <w:footnote w:id="428">
    <w:p w:rsidR="00377B37" w:rsidRDefault="00377B37" w:rsidP="007C1F9F">
      <w:pPr>
        <w:pStyle w:val="FootnoteText"/>
      </w:pPr>
      <w:r>
        <w:rPr>
          <w:rStyle w:val="FootnoteReference"/>
        </w:rPr>
        <w:footnoteRef/>
      </w:r>
      <w:r>
        <w:t xml:space="preserve"> </w:t>
      </w:r>
      <w:r>
        <w:tab/>
        <w:t>The costs of an asset over its useful life will include both the return on, and return of, capital.</w:t>
      </w:r>
    </w:p>
  </w:footnote>
  <w:footnote w:id="429">
    <w:p w:rsidR="00377B37" w:rsidRDefault="00377B37" w:rsidP="007C1F9F">
      <w:pPr>
        <w:pStyle w:val="FootnoteText"/>
      </w:pPr>
      <w:r>
        <w:rPr>
          <w:rStyle w:val="FootnoteReference"/>
        </w:rPr>
        <w:footnoteRef/>
      </w:r>
      <w:r>
        <w:t xml:space="preserve"> </w:t>
      </w:r>
      <w:r>
        <w:tab/>
        <w:t xml:space="preserve">APA GasNet, </w:t>
      </w:r>
      <w:r w:rsidRPr="00920AC6">
        <w:rPr>
          <w:rStyle w:val="AERtextitalic"/>
        </w:rPr>
        <w:t>Access arrangement submission</w:t>
      </w:r>
      <w:r>
        <w:t>, March 2012, p. 128.</w:t>
      </w:r>
    </w:p>
  </w:footnote>
  <w:footnote w:id="430">
    <w:p w:rsidR="00377B37" w:rsidRDefault="00377B37" w:rsidP="007C1F9F">
      <w:pPr>
        <w:pStyle w:val="FootnoteText"/>
      </w:pPr>
      <w:r>
        <w:rPr>
          <w:rStyle w:val="FootnoteReference"/>
        </w:rPr>
        <w:footnoteRef/>
      </w:r>
      <w:r>
        <w:t xml:space="preserve"> </w:t>
      </w:r>
      <w:r>
        <w:tab/>
        <w:t>NGR, rr. 73 and 88.</w:t>
      </w:r>
    </w:p>
  </w:footnote>
  <w:footnote w:id="431">
    <w:p w:rsidR="00377B37" w:rsidRDefault="00377B37" w:rsidP="007C1F9F">
      <w:pPr>
        <w:pStyle w:val="FootnoteText"/>
      </w:pPr>
      <w:r>
        <w:rPr>
          <w:rStyle w:val="FootnoteReference"/>
        </w:rPr>
        <w:footnoteRef/>
      </w:r>
      <w:r>
        <w:t xml:space="preserve"> </w:t>
      </w:r>
      <w:r>
        <w:tab/>
        <w:t xml:space="preserve">APA GasNet, </w:t>
      </w:r>
      <w:r w:rsidRPr="002F5B2B">
        <w:rPr>
          <w:rStyle w:val="AERtextitalic"/>
        </w:rPr>
        <w:t>Response to</w:t>
      </w:r>
      <w:r>
        <w:t xml:space="preserve"> </w:t>
      </w:r>
      <w:r w:rsidRPr="00920AC6">
        <w:rPr>
          <w:rStyle w:val="AERtextitalic"/>
        </w:rPr>
        <w:t>AER Information Request No. 12</w:t>
      </w:r>
      <w:r>
        <w:t>, 20 June 2012.</w:t>
      </w:r>
    </w:p>
  </w:footnote>
  <w:footnote w:id="432">
    <w:p w:rsidR="00377B37" w:rsidRDefault="00377B37" w:rsidP="007C1F9F">
      <w:pPr>
        <w:pStyle w:val="FootnoteText"/>
      </w:pPr>
      <w:r>
        <w:rPr>
          <w:rStyle w:val="FootnoteReference"/>
        </w:rPr>
        <w:footnoteRef/>
      </w:r>
      <w:r>
        <w:t xml:space="preserve"> </w:t>
      </w:r>
      <w:r>
        <w:tab/>
        <w:t>A meeting between AER and APA GasNet staff on 12 July 2012.</w:t>
      </w:r>
    </w:p>
  </w:footnote>
  <w:footnote w:id="433">
    <w:p w:rsidR="00377B37" w:rsidRDefault="00377B37" w:rsidP="007C1F9F">
      <w:pPr>
        <w:pStyle w:val="FootnoteText"/>
      </w:pPr>
      <w:r>
        <w:rPr>
          <w:rStyle w:val="FootnoteReference"/>
        </w:rPr>
        <w:footnoteRef/>
      </w:r>
      <w:r>
        <w:t xml:space="preserve"> </w:t>
      </w:r>
      <w:r>
        <w:tab/>
        <w:t>APA GasNet,</w:t>
      </w:r>
      <w:r w:rsidRPr="00753A0A">
        <w:t xml:space="preserve"> </w:t>
      </w:r>
      <w:r w:rsidRPr="00920AC6">
        <w:rPr>
          <w:rStyle w:val="AERtextitalic"/>
        </w:rPr>
        <w:t>E-mail, Vic GAAR - GasNet - 12 July meeting re depreciation profile</w:t>
      </w:r>
      <w:r>
        <w:t>, 31 July</w:t>
      </w:r>
      <w:r w:rsidRPr="00753A0A">
        <w:t xml:space="preserve"> 2012.</w:t>
      </w:r>
    </w:p>
  </w:footnote>
  <w:footnote w:id="434">
    <w:p w:rsidR="00377B37" w:rsidRDefault="00377B37" w:rsidP="007C1F9F">
      <w:pPr>
        <w:pStyle w:val="FootnoteText"/>
      </w:pPr>
      <w:r>
        <w:rPr>
          <w:rStyle w:val="FootnoteReference"/>
        </w:rPr>
        <w:footnoteRef/>
      </w:r>
      <w:r>
        <w:t xml:space="preserve"> </w:t>
      </w:r>
      <w:r>
        <w:tab/>
        <w:t>NGR, r. 89(1)(e).</w:t>
      </w:r>
    </w:p>
  </w:footnote>
  <w:footnote w:id="435">
    <w:p w:rsidR="00377B37" w:rsidRDefault="00377B37" w:rsidP="007C1F9F">
      <w:pPr>
        <w:pStyle w:val="FootnoteText"/>
      </w:pPr>
      <w:r>
        <w:rPr>
          <w:rStyle w:val="FootnoteReference"/>
        </w:rPr>
        <w:footnoteRef/>
      </w:r>
      <w:r>
        <w:t xml:space="preserve"> </w:t>
      </w:r>
      <w:r>
        <w:tab/>
        <w:t>NGR, r. 89(1)(a).</w:t>
      </w:r>
    </w:p>
  </w:footnote>
  <w:footnote w:id="436">
    <w:p w:rsidR="00377B37" w:rsidRDefault="00377B37" w:rsidP="007C1F9F">
      <w:pPr>
        <w:pStyle w:val="FootnoteText"/>
      </w:pPr>
      <w:r>
        <w:rPr>
          <w:rStyle w:val="FootnoteReference"/>
        </w:rPr>
        <w:footnoteRef/>
      </w:r>
      <w:r>
        <w:t xml:space="preserve"> </w:t>
      </w:r>
      <w:r>
        <w:tab/>
        <w:t>This observation is made from a business perspective. For customers the outcomes could be quite different in NPV terms if the customers of today are not the same as those in the future.</w:t>
      </w:r>
    </w:p>
  </w:footnote>
  <w:footnote w:id="437">
    <w:p w:rsidR="00377B37" w:rsidRDefault="00377B37" w:rsidP="007C1F9F">
      <w:pPr>
        <w:pStyle w:val="FootnoteText"/>
      </w:pPr>
      <w:r>
        <w:rPr>
          <w:rStyle w:val="FootnoteReference"/>
        </w:rPr>
        <w:footnoteRef/>
      </w:r>
      <w:r>
        <w:t xml:space="preserve"> </w:t>
      </w:r>
      <w:r>
        <w:tab/>
        <w:t>For example, IPART used this approach for its NSW Electricity Distribution Pricing for</w:t>
      </w:r>
    </w:p>
    <w:p w:rsidR="00377B37" w:rsidRDefault="00377B37" w:rsidP="007C1F9F">
      <w:pPr>
        <w:pStyle w:val="FootnoteText"/>
      </w:pPr>
      <w:r>
        <w:tab/>
        <w:t>2004/05 to 2008/09.</w:t>
      </w:r>
    </w:p>
  </w:footnote>
  <w:footnote w:id="438">
    <w:p w:rsidR="00377B37" w:rsidRDefault="00377B37" w:rsidP="007C1F9F">
      <w:pPr>
        <w:pStyle w:val="FootnoteText"/>
      </w:pPr>
      <w:r>
        <w:rPr>
          <w:rStyle w:val="FootnoteReference"/>
        </w:rPr>
        <w:footnoteRef/>
      </w:r>
      <w:r>
        <w:t xml:space="preserve"> </w:t>
      </w:r>
      <w:r>
        <w:tab/>
        <w:t>This assessment assumes inflation is positive.</w:t>
      </w:r>
    </w:p>
  </w:footnote>
  <w:footnote w:id="439">
    <w:p w:rsidR="00377B37" w:rsidRDefault="00377B37" w:rsidP="007C1F9F">
      <w:pPr>
        <w:pStyle w:val="FootnoteText"/>
      </w:pPr>
      <w:r>
        <w:rPr>
          <w:rStyle w:val="FootnoteReference"/>
        </w:rPr>
        <w:footnoteRef/>
      </w:r>
      <w:r>
        <w:t xml:space="preserve"> </w:t>
      </w:r>
      <w:r>
        <w:tab/>
        <w:t xml:space="preserve">APA GasNet, </w:t>
      </w:r>
      <w:r w:rsidRPr="00920AC6">
        <w:rPr>
          <w:rStyle w:val="AERtextitalic"/>
        </w:rPr>
        <w:t>Access arrangement submission</w:t>
      </w:r>
      <w:r>
        <w:t>, March 2012, p. 129.</w:t>
      </w:r>
    </w:p>
  </w:footnote>
  <w:footnote w:id="440">
    <w:p w:rsidR="00377B37" w:rsidRDefault="00377B37" w:rsidP="007C1F9F">
      <w:pPr>
        <w:pStyle w:val="FootnoteText"/>
      </w:pPr>
      <w:r>
        <w:rPr>
          <w:rStyle w:val="FootnoteReference"/>
        </w:rPr>
        <w:footnoteRef/>
      </w:r>
      <w:r>
        <w:t xml:space="preserve"> </w:t>
      </w:r>
      <w:r>
        <w:tab/>
        <w:t>NGR, r. 89(2).</w:t>
      </w:r>
    </w:p>
  </w:footnote>
  <w:footnote w:id="441">
    <w:p w:rsidR="00377B37" w:rsidRDefault="00377B37" w:rsidP="007C1F9F">
      <w:pPr>
        <w:pStyle w:val="FootnoteText"/>
      </w:pPr>
      <w:r>
        <w:rPr>
          <w:rStyle w:val="FootnoteReference"/>
        </w:rPr>
        <w:footnoteRef/>
      </w:r>
      <w:r>
        <w:t xml:space="preserve"> </w:t>
      </w:r>
      <w:r>
        <w:tab/>
        <w:t xml:space="preserve">AGL, Submission to the AER: APA GasNet </w:t>
      </w:r>
      <w:r w:rsidRPr="006150BF">
        <w:t>access arrangement proposal</w:t>
      </w:r>
      <w:r>
        <w:t>, 29 June 2012, p. 3.</w:t>
      </w:r>
    </w:p>
  </w:footnote>
  <w:footnote w:id="442">
    <w:p w:rsidR="00377B37" w:rsidRDefault="00377B37" w:rsidP="007C1F9F">
      <w:pPr>
        <w:pStyle w:val="FootnoteText"/>
      </w:pPr>
      <w:r>
        <w:rPr>
          <w:rStyle w:val="FootnoteReference"/>
        </w:rPr>
        <w:footnoteRef/>
      </w:r>
      <w:r>
        <w:t xml:space="preserve"> </w:t>
      </w:r>
      <w:r>
        <w:tab/>
        <w:t>All inputs, such as capex and opex, proposed by APA GasNet were maintained for this calculation. Inputs presented in nominal dollar terms were converted to real dollar terms as required for the AER’s PTRM. APA GasNet’s model also included an error that applied a half ‘nominal’ WACC to capex figures that were already in nominal end of year values. A half ‘real’ WACC should have been applied. This error is corrected by the adoption of the AER approach.</w:t>
      </w:r>
    </w:p>
  </w:footnote>
  <w:footnote w:id="443">
    <w:p w:rsidR="00377B37" w:rsidRDefault="00377B37" w:rsidP="007C1F9F">
      <w:pPr>
        <w:pStyle w:val="FootnoteText"/>
      </w:pPr>
      <w:r>
        <w:rPr>
          <w:rStyle w:val="FootnoteReference"/>
        </w:rPr>
        <w:footnoteRef/>
      </w:r>
      <w:r>
        <w:t xml:space="preserve"> </w:t>
      </w:r>
      <w:r>
        <w:tab/>
        <w:t>NGR, r. 89(1)(e).</w:t>
      </w:r>
    </w:p>
  </w:footnote>
  <w:footnote w:id="444">
    <w:p w:rsidR="00377B37" w:rsidRDefault="00377B37" w:rsidP="007C1F9F">
      <w:pPr>
        <w:pStyle w:val="FootnoteText"/>
      </w:pPr>
      <w:r>
        <w:rPr>
          <w:rStyle w:val="FootnoteReference"/>
        </w:rPr>
        <w:footnoteRef/>
      </w:r>
      <w:r>
        <w:t xml:space="preserve"> </w:t>
      </w:r>
      <w:r>
        <w:tab/>
        <w:t xml:space="preserve">AGL, Submission to the AER: APA GasNet </w:t>
      </w:r>
      <w:r w:rsidRPr="006150BF">
        <w:t>access arrangement proposal</w:t>
      </w:r>
      <w:r>
        <w:t>, 29 June 2012, p. 3.</w:t>
      </w:r>
    </w:p>
  </w:footnote>
  <w:footnote w:id="445">
    <w:p w:rsidR="00377B37" w:rsidRDefault="00377B37" w:rsidP="007C1F9F">
      <w:pPr>
        <w:pStyle w:val="FootnoteText"/>
      </w:pPr>
      <w:r>
        <w:rPr>
          <w:rStyle w:val="FootnoteReference"/>
        </w:rPr>
        <w:footnoteRef/>
      </w:r>
      <w:r>
        <w:t xml:space="preserve"> </w:t>
      </w:r>
      <w:r>
        <w:tab/>
        <w:t>This concern is reflected in a recent rule change proposal to the AEMC to require fully depreciated assets that are still useful to remain in service.</w:t>
      </w:r>
      <w:r w:rsidRPr="000258C4">
        <w:t xml:space="preserve"> </w:t>
      </w:r>
      <w:r>
        <w:t xml:space="preserve">AEMC reference: </w:t>
      </w:r>
      <w:r w:rsidRPr="000258C4">
        <w:t>ERC0136</w:t>
      </w:r>
      <w:r>
        <w:t>.</w:t>
      </w:r>
    </w:p>
  </w:footnote>
  <w:footnote w:id="446">
    <w:p w:rsidR="00377B37" w:rsidRDefault="00377B37" w:rsidP="007C1F9F">
      <w:pPr>
        <w:pStyle w:val="FootnoteText"/>
      </w:pPr>
      <w:r>
        <w:rPr>
          <w:rStyle w:val="FootnoteReference"/>
        </w:rPr>
        <w:footnoteRef/>
      </w:r>
      <w:r>
        <w:t xml:space="preserve"> </w:t>
      </w:r>
      <w:r>
        <w:tab/>
        <w:t xml:space="preserve">ACCC, </w:t>
      </w:r>
      <w:r w:rsidRPr="00661613">
        <w:rPr>
          <w:rStyle w:val="AERtextitalic"/>
        </w:rPr>
        <w:t>Final decision: GasNet Australia</w:t>
      </w:r>
      <w:r w:rsidRPr="00661613">
        <w:rPr>
          <w:rStyle w:val="AERtextitalic"/>
          <w:rFonts w:hint="eastAsia"/>
        </w:rPr>
        <w:t>—</w:t>
      </w:r>
      <w:r w:rsidRPr="00661613">
        <w:rPr>
          <w:rStyle w:val="AERtextitalic"/>
        </w:rPr>
        <w:t>revised access arrangement 2008</w:t>
      </w:r>
      <w:r w:rsidRPr="00661613">
        <w:rPr>
          <w:rStyle w:val="AERtextitalic"/>
          <w:rFonts w:hint="eastAsia"/>
        </w:rPr>
        <w:t>–</w:t>
      </w:r>
      <w:r w:rsidRPr="00661613">
        <w:rPr>
          <w:rStyle w:val="AERtextitalic"/>
        </w:rPr>
        <w:t>12</w:t>
      </w:r>
      <w:r>
        <w:t>, 30 April 2008, pp. 56-60.</w:t>
      </w:r>
    </w:p>
  </w:footnote>
  <w:footnote w:id="447">
    <w:p w:rsidR="00377B37" w:rsidRDefault="00377B37" w:rsidP="007C1F9F">
      <w:pPr>
        <w:pStyle w:val="FootnoteText"/>
      </w:pPr>
      <w:r>
        <w:rPr>
          <w:rStyle w:val="FootnoteReference"/>
        </w:rPr>
        <w:footnoteRef/>
      </w:r>
      <w:r>
        <w:t xml:space="preserve"> </w:t>
      </w:r>
      <w:r>
        <w:tab/>
      </w:r>
      <w:r w:rsidRPr="0094506A">
        <w:t>APA GasNet</w:t>
      </w:r>
      <w:r>
        <w:t xml:space="preserve"> </w:t>
      </w:r>
      <w:r w:rsidRPr="0094506A">
        <w:t xml:space="preserve">submitted a revised </w:t>
      </w:r>
      <w:r>
        <w:t>capital base</w:t>
      </w:r>
      <w:r w:rsidRPr="0094506A">
        <w:t xml:space="preserve"> roll forward</w:t>
      </w:r>
      <w:r>
        <w:t xml:space="preserve"> to the AER on 10 July 2012. However, it did not revise the </w:t>
      </w:r>
      <w:r w:rsidRPr="0094506A">
        <w:t xml:space="preserve">remaining </w:t>
      </w:r>
      <w:r>
        <w:t xml:space="preserve">economic </w:t>
      </w:r>
      <w:r w:rsidRPr="0094506A">
        <w:t>lives as at 1 January 2008</w:t>
      </w:r>
      <w:r>
        <w:t xml:space="preserve"> which are required inputs for the RFM.</w:t>
      </w:r>
      <w:r w:rsidRPr="0094506A">
        <w:t xml:space="preserve"> </w:t>
      </w:r>
      <w:r>
        <w:t xml:space="preserve">See </w:t>
      </w:r>
      <w:r w:rsidRPr="0094506A">
        <w:t xml:space="preserve">APA GasNet, </w:t>
      </w:r>
      <w:r w:rsidRPr="00661613">
        <w:rPr>
          <w:rStyle w:val="AERtextitalic"/>
        </w:rPr>
        <w:t>Response to AER information request</w:t>
      </w:r>
      <w:r>
        <w:rPr>
          <w:rStyle w:val="AERtextitalic"/>
        </w:rPr>
        <w:t xml:space="preserve"> </w:t>
      </w:r>
      <w:r w:rsidRPr="00661613">
        <w:rPr>
          <w:rStyle w:val="AERtextitalic"/>
        </w:rPr>
        <w:t>- Revised models</w:t>
      </w:r>
      <w:r>
        <w:t xml:space="preserve">, 6 July 2012, p.1; APA GasNet, </w:t>
      </w:r>
      <w:r w:rsidRPr="00661613">
        <w:rPr>
          <w:rStyle w:val="AERtextitalic"/>
        </w:rPr>
        <w:t>Revised RFM</w:t>
      </w:r>
      <w:r>
        <w:t xml:space="preserve">, 10 July 2012. </w:t>
      </w:r>
    </w:p>
  </w:footnote>
  <w:footnote w:id="448">
    <w:p w:rsidR="00377B37" w:rsidRDefault="00377B37" w:rsidP="007C1F9F">
      <w:pPr>
        <w:pStyle w:val="FootnoteText"/>
      </w:pPr>
      <w:r>
        <w:rPr>
          <w:rStyle w:val="FootnoteReference"/>
        </w:rPr>
        <w:footnoteRef/>
      </w:r>
      <w:r>
        <w:t xml:space="preserve"> </w:t>
      </w:r>
      <w:r>
        <w:tab/>
      </w:r>
      <w:r w:rsidRPr="0094506A">
        <w:t xml:space="preserve">APA GasNet, </w:t>
      </w:r>
      <w:r w:rsidRPr="00661613">
        <w:rPr>
          <w:rStyle w:val="AERtextitalic"/>
        </w:rPr>
        <w:t>Response to AER information request No. 7</w:t>
      </w:r>
      <w:r>
        <w:t>, 6 June 2012, p. 2 and '2006 RABv2 - weighted lives.xls' model.</w:t>
      </w:r>
    </w:p>
  </w:footnote>
  <w:footnote w:id="449">
    <w:p w:rsidR="00377B37" w:rsidRDefault="00377B37" w:rsidP="007C1F9F">
      <w:pPr>
        <w:pStyle w:val="FootnoteText"/>
      </w:pPr>
      <w:r>
        <w:rPr>
          <w:rStyle w:val="FootnoteReference"/>
        </w:rPr>
        <w:footnoteRef/>
      </w:r>
      <w:r>
        <w:t xml:space="preserve"> </w:t>
      </w:r>
      <w:r>
        <w:tab/>
      </w:r>
      <w:r w:rsidRPr="008914BF">
        <w:t>At the time of this draft decision the roll forward of APA GasNet's capital base includes capex</w:t>
      </w:r>
      <w:r>
        <w:t xml:space="preserve"> estimate</w:t>
      </w:r>
      <w:r w:rsidRPr="008914BF">
        <w:t xml:space="preserve"> for </w:t>
      </w:r>
      <w:r>
        <w:t xml:space="preserve">2011 and </w:t>
      </w:r>
      <w:r w:rsidRPr="008914BF">
        <w:t xml:space="preserve">2012. </w:t>
      </w:r>
      <w:r w:rsidRPr="00CA60AE">
        <w:t>The AER</w:t>
      </w:r>
      <w:r>
        <w:t xml:space="preserve"> requires APA GasNet's revised proposal to submit actual capex for 2011. APA GasNet</w:t>
      </w:r>
      <w:r w:rsidRPr="00CA60AE">
        <w:t xml:space="preserve"> may</w:t>
      </w:r>
      <w:r>
        <w:t xml:space="preserve"> also include an</w:t>
      </w:r>
      <w:r w:rsidRPr="00CA60AE">
        <w:t xml:space="preserve"> update</w:t>
      </w:r>
      <w:r>
        <w:t>d</w:t>
      </w:r>
      <w:r w:rsidRPr="00CA60AE">
        <w:t xml:space="preserve"> capex </w:t>
      </w:r>
      <w:r>
        <w:t>estimate for 2012 in its revised proposal</w:t>
      </w:r>
      <w:r w:rsidRPr="00CA60AE">
        <w:t xml:space="preserve">. </w:t>
      </w:r>
      <w:r w:rsidRPr="008914BF">
        <w:t>These capex figures are used to calculate the weighted average remaining tax asset lives of the assets. Therefore, the AER may recalculate APA GasNet's remaining tax asset lives using the method approved in thi</w:t>
      </w:r>
      <w:r>
        <w:t xml:space="preserve">s draft decision to reflect actual 2011 capex and updated </w:t>
      </w:r>
      <w:r w:rsidRPr="008914BF">
        <w:t>2012 capex</w:t>
      </w:r>
      <w:r>
        <w:t xml:space="preserve"> estimate</w:t>
      </w:r>
      <w:r w:rsidRPr="008914BF">
        <w:t xml:space="preserve"> for the final decision.</w:t>
      </w:r>
    </w:p>
    <w:p w:rsidR="00377B37" w:rsidRDefault="00377B37" w:rsidP="007C1F9F">
      <w:pPr>
        <w:pStyle w:val="FootnoteText"/>
      </w:pPr>
    </w:p>
  </w:footnote>
  <w:footnote w:id="450">
    <w:p w:rsidR="00377B37" w:rsidRDefault="00377B37" w:rsidP="007C1F9F">
      <w:pPr>
        <w:pStyle w:val="FootnoteText"/>
      </w:pPr>
      <w:r>
        <w:rPr>
          <w:rStyle w:val="FootnoteReference"/>
        </w:rPr>
        <w:footnoteRef/>
      </w:r>
      <w:r>
        <w:t xml:space="preserve"> </w:t>
      </w:r>
      <w:r>
        <w:tab/>
        <w:t>NGR, rr. 74, 91.</w:t>
      </w:r>
    </w:p>
  </w:footnote>
  <w:footnote w:id="451">
    <w:p w:rsidR="00377B37" w:rsidRDefault="00377B37" w:rsidP="007C1F9F">
      <w:pPr>
        <w:pStyle w:val="FootnoteText"/>
      </w:pPr>
      <w:r>
        <w:rPr>
          <w:rStyle w:val="FootnoteReference"/>
        </w:rPr>
        <w:footnoteRef/>
      </w:r>
      <w:r>
        <w:t xml:space="preserve"> </w:t>
      </w:r>
      <w:r>
        <w:tab/>
        <w:t>NGR, rr. 71, 91.</w:t>
      </w:r>
    </w:p>
  </w:footnote>
  <w:footnote w:id="452">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March 2012, tables 9.2 and 9.6.</w:t>
      </w:r>
    </w:p>
  </w:footnote>
  <w:footnote w:id="453">
    <w:p w:rsidR="00377B37" w:rsidRDefault="00377B37" w:rsidP="007C1F9F">
      <w:pPr>
        <w:pStyle w:val="FootnoteText"/>
      </w:pPr>
      <w:r>
        <w:rPr>
          <w:rStyle w:val="FootnoteReference"/>
        </w:rPr>
        <w:footnoteRef/>
      </w:r>
      <w:r>
        <w:t xml:space="preserve"> </w:t>
      </w:r>
      <w:r>
        <w:tab/>
        <w:t xml:space="preserve">In response to AER information request 6, APA GasNet acknowledged some errors in its submitted proposal. APA GasNet, </w:t>
      </w:r>
      <w:r w:rsidRPr="00E92403">
        <w:rPr>
          <w:rStyle w:val="AERtextitalic"/>
        </w:rPr>
        <w:t>Response to AER information request 6</w:t>
      </w:r>
      <w:r>
        <w:t xml:space="preserve">, 8 June 2012. </w:t>
      </w:r>
    </w:p>
  </w:footnote>
  <w:footnote w:id="454">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164.</w:t>
      </w:r>
    </w:p>
  </w:footnote>
  <w:footnote w:id="455">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163.</w:t>
      </w:r>
    </w:p>
  </w:footnote>
  <w:footnote w:id="456">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163.</w:t>
      </w:r>
    </w:p>
  </w:footnote>
  <w:footnote w:id="457">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164.</w:t>
      </w:r>
    </w:p>
  </w:footnote>
  <w:footnote w:id="458">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180.</w:t>
      </w:r>
    </w:p>
  </w:footnote>
  <w:footnote w:id="459">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166.</w:t>
      </w:r>
    </w:p>
  </w:footnote>
  <w:footnote w:id="460">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164.</w:t>
      </w:r>
    </w:p>
  </w:footnote>
  <w:footnote w:id="461">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164.</w:t>
      </w:r>
    </w:p>
  </w:footnote>
  <w:footnote w:id="462">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166.</w:t>
      </w:r>
    </w:p>
  </w:footnote>
  <w:footnote w:id="463">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C14C88">
        <w:rPr>
          <w:rFonts w:eastAsia="Calibri"/>
        </w:rPr>
        <w:t>p</w:t>
      </w:r>
      <w:r>
        <w:rPr>
          <w:rFonts w:eastAsia="Calibri"/>
        </w:rPr>
        <w:t>p</w:t>
      </w:r>
      <w:r w:rsidRPr="00C14C88">
        <w:rPr>
          <w:rFonts w:eastAsia="Calibri"/>
        </w:rPr>
        <w:t>. 176</w:t>
      </w:r>
      <w:r>
        <w:rPr>
          <w:rFonts w:eastAsia="Calibri"/>
        </w:rPr>
        <w:t>–</w:t>
      </w:r>
      <w:r w:rsidRPr="00C14C88">
        <w:rPr>
          <w:rFonts w:eastAsia="Calibri"/>
        </w:rPr>
        <w:t>7</w:t>
      </w:r>
      <w:r>
        <w:t>.</w:t>
      </w:r>
    </w:p>
  </w:footnote>
  <w:footnote w:id="464">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176.</w:t>
      </w:r>
    </w:p>
  </w:footnote>
  <w:footnote w:id="465">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177.</w:t>
      </w:r>
    </w:p>
  </w:footnote>
  <w:footnote w:id="466">
    <w:p w:rsidR="00377B37" w:rsidRDefault="00377B37" w:rsidP="007C1F9F">
      <w:pPr>
        <w:pStyle w:val="FootnoteText"/>
      </w:pPr>
      <w:r>
        <w:rPr>
          <w:rStyle w:val="FootnoteReference"/>
        </w:rPr>
        <w:footnoteRef/>
      </w:r>
      <w:r>
        <w:t xml:space="preserve"> </w:t>
      </w:r>
      <w:r>
        <w:tab/>
      </w:r>
      <w:r w:rsidRPr="006150BF">
        <w:t>Energy Users Coalition of Victoria, Submission to the AER: APA GasNet access arrangement proposal, 18</w:t>
      </w:r>
      <w:r>
        <w:t> </w:t>
      </w:r>
      <w:r w:rsidRPr="006150BF">
        <w:t>June 2012</w:t>
      </w:r>
      <w:r>
        <w:t>, p. 7.</w:t>
      </w:r>
    </w:p>
  </w:footnote>
  <w:footnote w:id="467">
    <w:p w:rsidR="00377B37" w:rsidRDefault="00377B37" w:rsidP="007C1F9F">
      <w:pPr>
        <w:pStyle w:val="FootnoteText"/>
      </w:pPr>
      <w:r>
        <w:rPr>
          <w:rStyle w:val="FootnoteReference"/>
        </w:rPr>
        <w:footnoteRef/>
      </w:r>
      <w:r>
        <w:t xml:space="preserve"> </w:t>
      </w:r>
      <w:r>
        <w:tab/>
      </w:r>
      <w:r w:rsidRPr="006150BF">
        <w:t>Energy Users Coalition of Victoria, Submission to the AER: APA GasNet access arrangement proposal, 18</w:t>
      </w:r>
      <w:r>
        <w:t> </w:t>
      </w:r>
      <w:r w:rsidRPr="006150BF">
        <w:t>June 2012</w:t>
      </w:r>
      <w:r>
        <w:t>, p. 27.</w:t>
      </w:r>
    </w:p>
  </w:footnote>
  <w:footnote w:id="468">
    <w:p w:rsidR="00377B37" w:rsidRDefault="00377B37" w:rsidP="007C1F9F">
      <w:pPr>
        <w:pStyle w:val="FootnoteText"/>
      </w:pPr>
      <w:r>
        <w:rPr>
          <w:rStyle w:val="FootnoteReference"/>
        </w:rPr>
        <w:footnoteRef/>
      </w:r>
      <w:r>
        <w:t xml:space="preserve"> </w:t>
      </w:r>
      <w:r>
        <w:tab/>
      </w:r>
      <w:r w:rsidRPr="006150BF">
        <w:t>Australian Power and Gas, Submission to the AER: APA GasNet access arrangement proposal, 15 June 2012</w:t>
      </w:r>
      <w:r>
        <w:t>, p. 5.</w:t>
      </w:r>
    </w:p>
  </w:footnote>
  <w:footnote w:id="469">
    <w:p w:rsidR="00377B37" w:rsidRDefault="00377B37" w:rsidP="007C1F9F">
      <w:pPr>
        <w:pStyle w:val="FootnoteText"/>
      </w:pPr>
      <w:r>
        <w:rPr>
          <w:rStyle w:val="FootnoteReference"/>
        </w:rPr>
        <w:footnoteRef/>
      </w:r>
      <w:r>
        <w:t xml:space="preserve"> </w:t>
      </w:r>
      <w:r>
        <w:tab/>
        <w:t>NGR, rr. 91(2) and 40(2).</w:t>
      </w:r>
    </w:p>
  </w:footnote>
  <w:footnote w:id="470">
    <w:p w:rsidR="00377B37" w:rsidRDefault="00377B37" w:rsidP="007C1F9F">
      <w:pPr>
        <w:pStyle w:val="FootnoteText"/>
        <w:ind w:left="0" w:firstLine="0"/>
      </w:pPr>
      <w:r>
        <w:rPr>
          <w:rStyle w:val="FootnoteReference"/>
        </w:rPr>
        <w:footnoteRef/>
      </w:r>
      <w:r>
        <w:t xml:space="preserve"> </w:t>
      </w:r>
      <w:r>
        <w:tab/>
        <w:t>NGR, rr. 91 and 40(2).</w:t>
      </w:r>
    </w:p>
  </w:footnote>
  <w:footnote w:id="471">
    <w:p w:rsidR="00377B37" w:rsidRDefault="00377B37" w:rsidP="007C1F9F">
      <w:pPr>
        <w:pStyle w:val="FootnoteText"/>
      </w:pPr>
      <w:r>
        <w:rPr>
          <w:rStyle w:val="FootnoteReference"/>
        </w:rPr>
        <w:footnoteRef/>
      </w:r>
      <w:r>
        <w:t xml:space="preserve"> </w:t>
      </w:r>
      <w:r>
        <w:tab/>
        <w:t>NGR, rr. 74(2) and 91(2).</w:t>
      </w:r>
    </w:p>
  </w:footnote>
  <w:footnote w:id="472">
    <w:p w:rsidR="00377B37" w:rsidRDefault="00377B37" w:rsidP="007C1F9F">
      <w:pPr>
        <w:pStyle w:val="FootnoteText"/>
      </w:pPr>
      <w:r>
        <w:rPr>
          <w:rStyle w:val="FootnoteReference"/>
        </w:rPr>
        <w:footnoteRef/>
      </w:r>
      <w:r>
        <w:t xml:space="preserve"> </w:t>
      </w:r>
      <w:r>
        <w:tab/>
        <w:t xml:space="preserve">NGL, </w:t>
      </w:r>
      <w:r w:rsidRPr="00391F14">
        <w:rPr>
          <w:rFonts w:eastAsia="Calibri"/>
        </w:rPr>
        <w:t>Schedule 3</w:t>
      </w:r>
      <w:r>
        <w:rPr>
          <w:rFonts w:eastAsia="Calibri"/>
        </w:rPr>
        <w:t xml:space="preserve"> </w:t>
      </w:r>
      <w:r w:rsidRPr="00391F14">
        <w:rPr>
          <w:rFonts w:eastAsia="Calibri"/>
        </w:rPr>
        <w:t>clause 3(1)(b</w:t>
      </w:r>
      <w:r>
        <w:rPr>
          <w:rFonts w:eastAsia="Calibri"/>
        </w:rPr>
        <w:t>).</w:t>
      </w:r>
    </w:p>
  </w:footnote>
  <w:footnote w:id="473">
    <w:p w:rsidR="00377B37" w:rsidRDefault="00377B37" w:rsidP="007C1F9F">
      <w:pPr>
        <w:pStyle w:val="FootnoteText"/>
      </w:pPr>
      <w:r>
        <w:rPr>
          <w:rStyle w:val="FootnoteReference"/>
        </w:rPr>
        <w:footnoteRef/>
      </w:r>
      <w:r>
        <w:t xml:space="preserve"> </w:t>
      </w:r>
      <w:r>
        <w:tab/>
        <w:t>NGR, rr. 91 and 74.</w:t>
      </w:r>
    </w:p>
  </w:footnote>
  <w:footnote w:id="474">
    <w:p w:rsidR="00377B37" w:rsidRDefault="00377B37" w:rsidP="007C1F9F">
      <w:pPr>
        <w:pStyle w:val="FootnoteText"/>
      </w:pPr>
      <w:r>
        <w:rPr>
          <w:rStyle w:val="FootnoteReference"/>
        </w:rPr>
        <w:footnoteRef/>
      </w:r>
      <w:r>
        <w:t xml:space="preserve"> </w:t>
      </w:r>
      <w:r>
        <w:tab/>
        <w:t>NGL</w:t>
      </w:r>
      <w:r w:rsidRPr="004E1E9E">
        <w:t xml:space="preserve"> Schedule 1 </w:t>
      </w:r>
      <w:r>
        <w:t>clause</w:t>
      </w:r>
      <w:r w:rsidRPr="004E1E9E">
        <w:t xml:space="preserve"> 5(1)(b)</w:t>
      </w:r>
      <w:r>
        <w:t>.</w:t>
      </w:r>
    </w:p>
  </w:footnote>
  <w:footnote w:id="475">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164.</w:t>
      </w:r>
    </w:p>
  </w:footnote>
  <w:footnote w:id="476">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164.</w:t>
      </w:r>
    </w:p>
  </w:footnote>
  <w:footnote w:id="477">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166.</w:t>
      </w:r>
    </w:p>
  </w:footnote>
  <w:footnote w:id="478">
    <w:p w:rsidR="00377B37" w:rsidRDefault="00377B37" w:rsidP="007C1F9F">
      <w:pPr>
        <w:pStyle w:val="FootnoteText"/>
      </w:pPr>
      <w:r>
        <w:rPr>
          <w:rStyle w:val="FootnoteReference"/>
        </w:rPr>
        <w:footnoteRef/>
      </w:r>
      <w:r>
        <w:t xml:space="preserve"> </w:t>
      </w:r>
      <w:r>
        <w:tab/>
      </w:r>
      <w:r w:rsidRPr="0072318D">
        <w:t xml:space="preserve">AASB, </w:t>
      </w:r>
      <w:r w:rsidRPr="0072318D">
        <w:rPr>
          <w:rStyle w:val="AERtextitalic"/>
        </w:rPr>
        <w:t>137: Provisions, contingent liabilities and contingent assets</w:t>
      </w:r>
      <w:r w:rsidRPr="0072318D">
        <w:t>, section 10.</w:t>
      </w:r>
    </w:p>
  </w:footnote>
  <w:footnote w:id="479">
    <w:p w:rsidR="00377B37" w:rsidRDefault="00377B37" w:rsidP="007C1F9F">
      <w:pPr>
        <w:pStyle w:val="FootnoteText"/>
      </w:pPr>
      <w:r>
        <w:rPr>
          <w:rStyle w:val="FootnoteReference"/>
        </w:rPr>
        <w:footnoteRef/>
      </w:r>
      <w:r>
        <w:t xml:space="preserve"> </w:t>
      </w:r>
      <w:r>
        <w:tab/>
        <w:t>NGR, r. 74(2).</w:t>
      </w:r>
    </w:p>
  </w:footnote>
  <w:footnote w:id="480">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 11.</w:t>
      </w:r>
    </w:p>
  </w:footnote>
  <w:footnote w:id="481">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w:t>
      </w:r>
      <w:r w:rsidRPr="00C14C88">
        <w:rPr>
          <w:rFonts w:eastAsia="Calibri"/>
        </w:rPr>
        <w:t>p. 176</w:t>
      </w:r>
      <w:r>
        <w:rPr>
          <w:rFonts w:eastAsia="Calibri"/>
        </w:rPr>
        <w:t>–</w:t>
      </w:r>
      <w:r w:rsidRPr="00C14C88">
        <w:rPr>
          <w:rFonts w:eastAsia="Calibri"/>
        </w:rPr>
        <w:t>7</w:t>
      </w:r>
      <w:r>
        <w:t>.</w:t>
      </w:r>
    </w:p>
  </w:footnote>
  <w:footnote w:id="482">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31 March 2012, p</w:t>
      </w:r>
      <w:r>
        <w:rPr>
          <w:rFonts w:eastAsia="Calibri"/>
        </w:rPr>
        <w:t>p. 166–</w:t>
      </w:r>
      <w:r w:rsidRPr="0047368D">
        <w:rPr>
          <w:rFonts w:eastAsia="Calibri"/>
        </w:rPr>
        <w:t>7</w:t>
      </w:r>
      <w:r>
        <w:t>.</w:t>
      </w:r>
    </w:p>
  </w:footnote>
  <w:footnote w:id="483">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47368D">
        <w:rPr>
          <w:rFonts w:eastAsia="Calibri"/>
        </w:rPr>
        <w:t>p. 16</w:t>
      </w:r>
      <w:r>
        <w:rPr>
          <w:rFonts w:eastAsia="Calibri"/>
        </w:rPr>
        <w:t>8.</w:t>
      </w:r>
    </w:p>
  </w:footnote>
  <w:footnote w:id="484">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47368D">
        <w:rPr>
          <w:rFonts w:eastAsia="Calibri"/>
        </w:rPr>
        <w:t>p</w:t>
      </w:r>
      <w:r>
        <w:rPr>
          <w:rFonts w:eastAsia="Calibri"/>
        </w:rPr>
        <w:t>p</w:t>
      </w:r>
      <w:r w:rsidRPr="0047368D">
        <w:rPr>
          <w:rFonts w:eastAsia="Calibri"/>
        </w:rPr>
        <w:t>. 16</w:t>
      </w:r>
      <w:r>
        <w:rPr>
          <w:rFonts w:eastAsia="Calibri"/>
        </w:rPr>
        <w:t>8–69.</w:t>
      </w:r>
    </w:p>
  </w:footnote>
  <w:footnote w:id="485">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Pr>
          <w:rFonts w:eastAsia="Calibri"/>
        </w:rPr>
        <w:t>p. 170.</w:t>
      </w:r>
    </w:p>
  </w:footnote>
  <w:footnote w:id="486">
    <w:p w:rsidR="00377B37" w:rsidRDefault="00377B37" w:rsidP="007C1F9F">
      <w:pPr>
        <w:pStyle w:val="FootnoteText"/>
        <w:tabs>
          <w:tab w:val="left" w:pos="5475"/>
        </w:tabs>
      </w:pPr>
      <w:r>
        <w:rPr>
          <w:rStyle w:val="FootnoteReference"/>
        </w:rPr>
        <w:footnoteRef/>
      </w:r>
      <w:r>
        <w:t xml:space="preserve"> </w:t>
      </w:r>
      <w:r>
        <w:tab/>
      </w:r>
      <w:r w:rsidRPr="008C363E">
        <w:t>NGR, r</w:t>
      </w:r>
      <w:r>
        <w:t>. 91(1)</w:t>
      </w:r>
      <w:r w:rsidRPr="008C363E">
        <w:t>.</w:t>
      </w:r>
      <w:r>
        <w:tab/>
      </w:r>
    </w:p>
  </w:footnote>
  <w:footnote w:id="487">
    <w:p w:rsidR="00377B37" w:rsidRDefault="00377B37" w:rsidP="007C1F9F">
      <w:pPr>
        <w:pStyle w:val="FootnoteText"/>
      </w:pPr>
      <w:r>
        <w:rPr>
          <w:rStyle w:val="FootnoteReference"/>
        </w:rPr>
        <w:footnoteRef/>
      </w:r>
      <w:r>
        <w:t xml:space="preserve"> </w:t>
      </w:r>
      <w:r>
        <w:tab/>
        <w:t xml:space="preserve">RBA, </w:t>
      </w:r>
      <w:r w:rsidRPr="00EE0005">
        <w:rPr>
          <w:rStyle w:val="AERtextitalic"/>
        </w:rPr>
        <w:t>Statement on Monetary Policy</w:t>
      </w:r>
      <w:r>
        <w:t>, May 2012, p. 67.</w:t>
      </w:r>
    </w:p>
  </w:footnote>
  <w:footnote w:id="488">
    <w:p w:rsidR="00377B37" w:rsidRDefault="00377B37" w:rsidP="007C1F9F">
      <w:pPr>
        <w:pStyle w:val="FootnoteText"/>
      </w:pPr>
      <w:r>
        <w:rPr>
          <w:rStyle w:val="FootnoteReference"/>
        </w:rPr>
        <w:footnoteRef/>
      </w:r>
      <w:r>
        <w:t xml:space="preserve"> </w:t>
      </w:r>
      <w:r>
        <w:tab/>
        <w:t xml:space="preserve">Australian Bureau of Statistics, </w:t>
      </w:r>
      <w:r w:rsidRPr="00EE0005">
        <w:rPr>
          <w:rStyle w:val="AERtextitalic"/>
        </w:rPr>
        <w:t>Consumer price index, 16th series weighting pattern</w:t>
      </w:r>
      <w:r w:rsidRPr="00435226">
        <w:t xml:space="preserve">, </w:t>
      </w:r>
      <w:r>
        <w:t xml:space="preserve">catalogue number </w:t>
      </w:r>
      <w:r w:rsidRPr="00435226">
        <w:t>6471.0</w:t>
      </w:r>
      <w:r>
        <w:t xml:space="preserve">, </w:t>
      </w:r>
      <w:r w:rsidRPr="00435226">
        <w:t>2011</w:t>
      </w:r>
      <w:r>
        <w:t>.</w:t>
      </w:r>
    </w:p>
  </w:footnote>
  <w:footnote w:id="489">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776C83">
        <w:rPr>
          <w:rFonts w:eastAsia="Calibri"/>
        </w:rPr>
        <w:t>p. 170.</w:t>
      </w:r>
    </w:p>
  </w:footnote>
  <w:footnote w:id="490">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E475BF">
        <w:rPr>
          <w:rFonts w:eastAsia="Calibri"/>
        </w:rPr>
        <w:t>p. 170.</w:t>
      </w:r>
    </w:p>
  </w:footnote>
  <w:footnote w:id="491">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Pr>
          <w:rFonts w:eastAsia="Calibri"/>
        </w:rPr>
        <w:t>p. 170</w:t>
      </w:r>
      <w:r w:rsidRPr="00B06B3A">
        <w:rPr>
          <w:rFonts w:eastAsia="Calibri"/>
        </w:rPr>
        <w:t>.</w:t>
      </w:r>
    </w:p>
  </w:footnote>
  <w:footnote w:id="492">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 1March 2012, </w:t>
      </w:r>
      <w:r w:rsidRPr="00B06B3A">
        <w:rPr>
          <w:rFonts w:eastAsia="Calibri"/>
        </w:rPr>
        <w:t>p.</w:t>
      </w:r>
      <w:r>
        <w:rPr>
          <w:rFonts w:eastAsia="Calibri"/>
        </w:rPr>
        <w:t xml:space="preserve"> 285.</w:t>
      </w:r>
    </w:p>
  </w:footnote>
  <w:footnote w:id="493">
    <w:p w:rsidR="00377B37" w:rsidRDefault="00377B37" w:rsidP="007C1F9F">
      <w:pPr>
        <w:pStyle w:val="FootnoteText"/>
      </w:pPr>
      <w:r>
        <w:rPr>
          <w:rStyle w:val="FootnoteReference"/>
        </w:rPr>
        <w:footnoteRef/>
      </w:r>
      <w:r>
        <w:t xml:space="preserve"> </w:t>
      </w:r>
      <w:r>
        <w:tab/>
        <w:t xml:space="preserve">APA GasNet, </w:t>
      </w:r>
      <w:r w:rsidRPr="00E92403">
        <w:rPr>
          <w:rStyle w:val="AERtextitalic"/>
        </w:rPr>
        <w:t>Response to AER information request 25</w:t>
      </w:r>
      <w:r>
        <w:t>, 25 July 2012.</w:t>
      </w:r>
    </w:p>
  </w:footnote>
  <w:footnote w:id="494">
    <w:p w:rsidR="00377B37" w:rsidRDefault="00377B37" w:rsidP="007C1F9F">
      <w:pPr>
        <w:pStyle w:val="FootnoteText"/>
      </w:pPr>
      <w:r>
        <w:rPr>
          <w:rStyle w:val="FootnoteReference"/>
        </w:rPr>
        <w:footnoteRef/>
      </w:r>
      <w:r>
        <w:t xml:space="preserve"> </w:t>
      </w:r>
      <w:r>
        <w:tab/>
      </w:r>
      <w:r w:rsidRPr="006150BF">
        <w:t>Energy Users Coalition of Victoria, Submission to the AER: APA GasNet access arrangement proposal, 18 June 2012</w:t>
      </w:r>
      <w:r w:rsidRPr="00E03772">
        <w:t xml:space="preserve">, p. </w:t>
      </w:r>
      <w:r>
        <w:t xml:space="preserve">26 and </w:t>
      </w:r>
      <w:r w:rsidRPr="006150BF">
        <w:t>Australian Power and Gas, Submission to the AER: APA GasNet access arrangement proposal, 15 June 2012</w:t>
      </w:r>
      <w:r>
        <w:t>. p. 5.</w:t>
      </w:r>
    </w:p>
  </w:footnote>
  <w:footnote w:id="495">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w:t>
      </w:r>
      <w:r>
        <w:rPr>
          <w:rFonts w:eastAsia="Calibri"/>
        </w:rPr>
        <w:t xml:space="preserve"> 171</w:t>
      </w:r>
      <w:r w:rsidRPr="0052105E">
        <w:rPr>
          <w:rFonts w:eastAsia="Calibri"/>
        </w:rPr>
        <w:t>.</w:t>
      </w:r>
    </w:p>
  </w:footnote>
  <w:footnote w:id="496">
    <w:p w:rsidR="00377B37" w:rsidRDefault="00377B37" w:rsidP="007C1F9F">
      <w:pPr>
        <w:pStyle w:val="FootnoteText"/>
      </w:pPr>
      <w:r>
        <w:rPr>
          <w:rStyle w:val="FootnoteReference"/>
        </w:rPr>
        <w:footnoteRef/>
      </w:r>
      <w:r>
        <w:t xml:space="preserve"> </w:t>
      </w:r>
      <w:r>
        <w:tab/>
      </w:r>
      <w:r w:rsidRPr="006150BF">
        <w:t>Energy Users Coalition of Victoria, Submission to the AER: APA GasNet access arrangement proposal, 18 June 2012</w:t>
      </w:r>
      <w:r>
        <w:t>, p. 27.</w:t>
      </w:r>
    </w:p>
  </w:footnote>
  <w:footnote w:id="497">
    <w:p w:rsidR="00377B37" w:rsidRDefault="00377B37" w:rsidP="007C1F9F">
      <w:pPr>
        <w:pStyle w:val="FootnoteText"/>
      </w:pPr>
      <w:r>
        <w:rPr>
          <w:rStyle w:val="FootnoteReference"/>
        </w:rPr>
        <w:footnoteRef/>
      </w:r>
      <w:r>
        <w:t xml:space="preserve"> </w:t>
      </w:r>
      <w:r>
        <w:tab/>
      </w:r>
      <w:r w:rsidRPr="008C363E">
        <w:t>NGR, r</w:t>
      </w:r>
      <w:r>
        <w:t>. 91(1).</w:t>
      </w:r>
    </w:p>
  </w:footnote>
  <w:footnote w:id="498">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w:t>
      </w:r>
      <w:r>
        <w:rPr>
          <w:rFonts w:eastAsia="Calibri"/>
        </w:rPr>
        <w:t>. 172</w:t>
      </w:r>
      <w:r>
        <w:t>.</w:t>
      </w:r>
    </w:p>
  </w:footnote>
  <w:footnote w:id="499">
    <w:p w:rsidR="00377B37" w:rsidRDefault="00377B37" w:rsidP="007C1F9F">
      <w:pPr>
        <w:pStyle w:val="FootnoteText"/>
      </w:pPr>
      <w:r>
        <w:rPr>
          <w:rStyle w:val="FootnoteReference"/>
        </w:rPr>
        <w:footnoteRef/>
      </w:r>
      <w:r>
        <w:t xml:space="preserve"> </w:t>
      </w:r>
      <w:r>
        <w:tab/>
        <w:t>APA GasNet, Response to information request 15, 27 June 2012, pp. 7–8.</w:t>
      </w:r>
    </w:p>
  </w:footnote>
  <w:footnote w:id="500">
    <w:p w:rsidR="00377B37" w:rsidRDefault="00377B37" w:rsidP="007C1F9F">
      <w:pPr>
        <w:pStyle w:val="FootnoteText"/>
      </w:pPr>
      <w:r>
        <w:rPr>
          <w:rStyle w:val="FootnoteReference"/>
        </w:rPr>
        <w:footnoteRef/>
      </w:r>
      <w:r>
        <w:t xml:space="preserve"> </w:t>
      </w:r>
      <w:r>
        <w:tab/>
        <w:t>NGR, r. 91(1).</w:t>
      </w:r>
    </w:p>
  </w:footnote>
  <w:footnote w:id="501">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w:t>
      </w:r>
      <w:r>
        <w:rPr>
          <w:rFonts w:eastAsia="Calibri"/>
        </w:rPr>
        <w:t>p</w:t>
      </w:r>
      <w:r w:rsidRPr="0052105E">
        <w:rPr>
          <w:rFonts w:eastAsia="Calibri"/>
        </w:rPr>
        <w:t xml:space="preserve">. </w:t>
      </w:r>
      <w:r>
        <w:rPr>
          <w:rFonts w:eastAsia="Calibri"/>
        </w:rPr>
        <w:t>172–174.</w:t>
      </w:r>
    </w:p>
  </w:footnote>
  <w:footnote w:id="502">
    <w:p w:rsidR="00377B37" w:rsidRDefault="00377B37" w:rsidP="007C1F9F">
      <w:pPr>
        <w:pStyle w:val="FootnoteText"/>
      </w:pPr>
      <w:r>
        <w:rPr>
          <w:rStyle w:val="FootnoteReference"/>
        </w:rPr>
        <w:footnoteRef/>
      </w:r>
      <w:r>
        <w:t xml:space="preserve"> </w:t>
      </w:r>
      <w:r>
        <w:tab/>
      </w:r>
      <w:r w:rsidRPr="006150BF">
        <w:t>Energy Users Coalition of Victoria, Submission to the AER: APA GasNet access arrangement proposal, 18 June 2012</w:t>
      </w:r>
      <w:r>
        <w:t>, p. 27.</w:t>
      </w:r>
    </w:p>
  </w:footnote>
  <w:footnote w:id="503">
    <w:p w:rsidR="00377B37" w:rsidRDefault="00377B37" w:rsidP="007C1F9F">
      <w:pPr>
        <w:pStyle w:val="FootnoteText"/>
      </w:pPr>
      <w:r>
        <w:rPr>
          <w:rStyle w:val="FootnoteReference"/>
        </w:rPr>
        <w:footnoteRef/>
      </w:r>
      <w:r>
        <w:t xml:space="preserve"> </w:t>
      </w:r>
      <w:r>
        <w:tab/>
        <w:t xml:space="preserve">APA GasNet, </w:t>
      </w:r>
      <w:r w:rsidRPr="00E92403">
        <w:rPr>
          <w:rStyle w:val="AERtextitalic"/>
        </w:rPr>
        <w:t>Re</w:t>
      </w:r>
      <w:r>
        <w:rPr>
          <w:rStyle w:val="AERtextitalic"/>
        </w:rPr>
        <w:t>sponse to information request</w:t>
      </w:r>
      <w:r w:rsidRPr="00E92403">
        <w:rPr>
          <w:rStyle w:val="AERtextitalic"/>
        </w:rPr>
        <w:t xml:space="preserve"> 6</w:t>
      </w:r>
      <w:r>
        <w:t>, June 8, p. 5.</w:t>
      </w:r>
    </w:p>
  </w:footnote>
  <w:footnote w:id="504">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 xml:space="preserve">p. </w:t>
      </w:r>
      <w:r>
        <w:rPr>
          <w:rFonts w:eastAsia="Calibri"/>
        </w:rPr>
        <w:t>176</w:t>
      </w:r>
      <w:r>
        <w:t>.</w:t>
      </w:r>
    </w:p>
  </w:footnote>
  <w:footnote w:id="505">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E475BF">
        <w:rPr>
          <w:rFonts w:eastAsia="Calibri"/>
        </w:rPr>
        <w:t>p. 174</w:t>
      </w:r>
      <w:r>
        <w:t xml:space="preserve">. </w:t>
      </w:r>
    </w:p>
  </w:footnote>
  <w:footnote w:id="506">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 xml:space="preserve">p. </w:t>
      </w:r>
      <w:r>
        <w:rPr>
          <w:rFonts w:eastAsia="Calibri"/>
        </w:rPr>
        <w:t>174</w:t>
      </w:r>
      <w:r>
        <w:t xml:space="preserve">. </w:t>
      </w:r>
    </w:p>
  </w:footnote>
  <w:footnote w:id="507">
    <w:p w:rsidR="00377B37" w:rsidRDefault="00377B37" w:rsidP="007C1F9F">
      <w:pPr>
        <w:pStyle w:val="FootnoteText"/>
      </w:pPr>
      <w:r>
        <w:rPr>
          <w:rStyle w:val="FootnoteReference"/>
        </w:rPr>
        <w:footnoteRef/>
      </w:r>
      <w:r>
        <w:t xml:space="preserve"> </w:t>
      </w:r>
      <w:r>
        <w:tab/>
      </w:r>
      <w:r w:rsidRPr="006150BF">
        <w:t>Energy Users Coalition of Victoria, Submission to the AER: APA GasNet access arrangement proposal, 18 June 2012</w:t>
      </w:r>
      <w:r>
        <w:t>, p. 27.</w:t>
      </w:r>
    </w:p>
  </w:footnote>
  <w:footnote w:id="508">
    <w:p w:rsidR="00377B37" w:rsidRDefault="00377B37" w:rsidP="007C1F9F">
      <w:pPr>
        <w:pStyle w:val="FootnoteText"/>
      </w:pPr>
      <w:r>
        <w:rPr>
          <w:rStyle w:val="FootnoteReference"/>
        </w:rPr>
        <w:footnoteRef/>
      </w:r>
      <w:r>
        <w:t xml:space="preserve"> </w:t>
      </w:r>
      <w:r>
        <w:tab/>
        <w:t>APA GasNet, B-1 VTS RIN Templates.xlsx.</w:t>
      </w:r>
    </w:p>
  </w:footnote>
  <w:footnote w:id="509">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447D63">
        <w:rPr>
          <w:rFonts w:eastAsia="Calibri"/>
        </w:rPr>
        <w:t xml:space="preserve">p. </w:t>
      </w:r>
      <w:r>
        <w:rPr>
          <w:rFonts w:eastAsia="Calibri"/>
        </w:rPr>
        <w:t>165</w:t>
      </w:r>
      <w:r>
        <w:t>.</w:t>
      </w:r>
    </w:p>
  </w:footnote>
  <w:footnote w:id="510">
    <w:p w:rsidR="00377B37" w:rsidRDefault="00377B37" w:rsidP="007C1F9F">
      <w:pPr>
        <w:pStyle w:val="FootnoteText"/>
      </w:pPr>
      <w:r>
        <w:rPr>
          <w:rStyle w:val="FootnoteReference"/>
        </w:rPr>
        <w:footnoteRef/>
      </w:r>
      <w:r>
        <w:t xml:space="preserve"> </w:t>
      </w:r>
      <w:r>
        <w:tab/>
        <w:t>NGR, r. 91(1).</w:t>
      </w:r>
    </w:p>
  </w:footnote>
  <w:footnote w:id="511">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447D63">
        <w:rPr>
          <w:rFonts w:eastAsia="Calibri"/>
        </w:rPr>
        <w:t xml:space="preserve">p. </w:t>
      </w:r>
      <w:r>
        <w:rPr>
          <w:rFonts w:eastAsia="Calibri"/>
        </w:rPr>
        <w:t>165</w:t>
      </w:r>
      <w:r>
        <w:t>.</w:t>
      </w:r>
    </w:p>
  </w:footnote>
  <w:footnote w:id="512">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447D63">
        <w:rPr>
          <w:rFonts w:eastAsia="Calibri"/>
        </w:rPr>
        <w:t xml:space="preserve">p. </w:t>
      </w:r>
      <w:r>
        <w:rPr>
          <w:rFonts w:eastAsia="Calibri"/>
        </w:rPr>
        <w:t>165</w:t>
      </w:r>
      <w:r>
        <w:t>.</w:t>
      </w:r>
    </w:p>
  </w:footnote>
  <w:footnote w:id="513">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4F39C7">
        <w:rPr>
          <w:rFonts w:eastAsia="Calibri"/>
        </w:rPr>
        <w:t>p. 165</w:t>
      </w:r>
      <w:r>
        <w:t>.</w:t>
      </w:r>
    </w:p>
  </w:footnote>
  <w:footnote w:id="514">
    <w:p w:rsidR="00377B37" w:rsidRDefault="00377B37" w:rsidP="007C1F9F">
      <w:pPr>
        <w:pStyle w:val="FootnoteText"/>
      </w:pPr>
      <w:r>
        <w:rPr>
          <w:rStyle w:val="FootnoteReference"/>
        </w:rPr>
        <w:footnoteRef/>
      </w:r>
      <w:r>
        <w:t xml:space="preserve"> </w:t>
      </w:r>
      <w:r>
        <w:tab/>
        <w:t>NGR, r. 91(1).</w:t>
      </w:r>
    </w:p>
  </w:footnote>
  <w:footnote w:id="515">
    <w:p w:rsidR="00377B37" w:rsidRDefault="00377B37" w:rsidP="007C1F9F">
      <w:pPr>
        <w:pStyle w:val="FootnoteText"/>
      </w:pPr>
      <w:r>
        <w:rPr>
          <w:rStyle w:val="FootnoteReference"/>
        </w:rPr>
        <w:footnoteRef/>
      </w:r>
      <w:r>
        <w:t xml:space="preserve"> </w:t>
      </w:r>
      <w:r>
        <w:tab/>
        <w:t>NGR, r. 74(2).</w:t>
      </w:r>
    </w:p>
  </w:footnote>
  <w:footnote w:id="516">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4527BC">
        <w:rPr>
          <w:rFonts w:eastAsia="Calibri"/>
        </w:rPr>
        <w:t>p</w:t>
      </w:r>
      <w:r>
        <w:rPr>
          <w:rFonts w:eastAsia="Calibri"/>
        </w:rPr>
        <w:t>p</w:t>
      </w:r>
      <w:r w:rsidRPr="004527BC">
        <w:rPr>
          <w:rFonts w:eastAsia="Calibri"/>
        </w:rPr>
        <w:t xml:space="preserve">. </w:t>
      </w:r>
      <w:r>
        <w:rPr>
          <w:rFonts w:eastAsia="Calibri"/>
        </w:rPr>
        <w:t>174–6</w:t>
      </w:r>
      <w:r>
        <w:t>.</w:t>
      </w:r>
    </w:p>
  </w:footnote>
  <w:footnote w:id="517">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832F75">
        <w:rPr>
          <w:rFonts w:eastAsia="Calibri"/>
        </w:rPr>
        <w:t>p</w:t>
      </w:r>
      <w:r>
        <w:rPr>
          <w:rFonts w:eastAsia="Calibri"/>
        </w:rPr>
        <w:t>. 185</w:t>
      </w:r>
      <w:r w:rsidRPr="00832F75">
        <w:rPr>
          <w:rFonts w:eastAsia="Calibri"/>
        </w:rPr>
        <w:t>.</w:t>
      </w:r>
    </w:p>
  </w:footnote>
  <w:footnote w:id="518">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w:t>
      </w:r>
      <w:r>
        <w:rPr>
          <w:rFonts w:eastAsia="Calibri"/>
        </w:rPr>
        <w:t>. 181.</w:t>
      </w:r>
    </w:p>
  </w:footnote>
  <w:footnote w:id="519">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 181</w:t>
      </w:r>
      <w:r>
        <w:rPr>
          <w:rFonts w:eastAsia="Calibri"/>
        </w:rPr>
        <w:t>.</w:t>
      </w:r>
    </w:p>
  </w:footnote>
  <w:footnote w:id="520">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 181</w:t>
      </w:r>
      <w:r>
        <w:rPr>
          <w:rFonts w:eastAsia="Calibri"/>
        </w:rPr>
        <w:t>.</w:t>
      </w:r>
    </w:p>
  </w:footnote>
  <w:footnote w:id="521">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 181</w:t>
      </w:r>
      <w:r>
        <w:rPr>
          <w:rFonts w:eastAsia="Calibri"/>
        </w:rPr>
        <w:t>.</w:t>
      </w:r>
    </w:p>
  </w:footnote>
  <w:footnote w:id="522">
    <w:p w:rsidR="00377B37" w:rsidRDefault="00377B37" w:rsidP="007C1F9F">
      <w:pPr>
        <w:pStyle w:val="FootnoteText"/>
      </w:pPr>
      <w:r>
        <w:rPr>
          <w:rStyle w:val="FootnoteReference"/>
        </w:rPr>
        <w:footnoteRef/>
      </w:r>
      <w:r>
        <w:t xml:space="preserve"> </w:t>
      </w:r>
      <w:r>
        <w:tab/>
        <w:t>Section</w:t>
      </w:r>
      <w:r w:rsidRPr="00062982">
        <w:t xml:space="preserve"> 26 of the </w:t>
      </w:r>
      <w:r w:rsidRPr="00532DFF">
        <w:rPr>
          <w:rStyle w:val="AERtextitalic"/>
        </w:rPr>
        <w:t>National Gas (Victoria) Act 2008</w:t>
      </w:r>
      <w:r>
        <w:rPr>
          <w:rStyle w:val="AERtextitalic"/>
        </w:rPr>
        <w:t>.</w:t>
      </w:r>
    </w:p>
  </w:footnote>
  <w:footnote w:id="523">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w:t>
      </w:r>
      <w:r>
        <w:rPr>
          <w:rFonts w:eastAsia="Calibri"/>
        </w:rPr>
        <w:t>. 174.</w:t>
      </w:r>
    </w:p>
  </w:footnote>
  <w:footnote w:id="524">
    <w:p w:rsidR="00377B37" w:rsidRDefault="00377B37" w:rsidP="007C1F9F">
      <w:pPr>
        <w:pStyle w:val="FootnoteText"/>
      </w:pPr>
      <w:r>
        <w:rPr>
          <w:rStyle w:val="FootnoteReference"/>
        </w:rPr>
        <w:footnoteRef/>
      </w:r>
      <w:r>
        <w:t xml:space="preserve"> </w:t>
      </w:r>
      <w:r>
        <w:tab/>
        <w:t xml:space="preserve">Simply because the report was written in 2004 does not make it obsolete, Australian Competition Tribunal, </w:t>
      </w:r>
      <w:r w:rsidRPr="005724C8">
        <w:t>Application by DBNGP (WA) Transmission Pty Ltd (No 3) [2012] ACompT 14 (26 July 2012)</w:t>
      </w:r>
      <w:r>
        <w:t>, paragraphs 314–330.</w:t>
      </w:r>
    </w:p>
  </w:footnote>
  <w:footnote w:id="525">
    <w:p w:rsidR="00377B37" w:rsidRDefault="00377B37" w:rsidP="007C1F9F">
      <w:pPr>
        <w:pStyle w:val="FootnoteText"/>
      </w:pPr>
      <w:r>
        <w:rPr>
          <w:rStyle w:val="FootnoteReference"/>
        </w:rPr>
        <w:footnoteRef/>
      </w:r>
      <w:r>
        <w:t xml:space="preserve"> </w:t>
      </w:r>
      <w:r>
        <w:tab/>
        <w:t>NEL, s. 24.</w:t>
      </w:r>
    </w:p>
  </w:footnote>
  <w:footnote w:id="526">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EC3FDD">
        <w:t xml:space="preserve">p. 184. </w:t>
      </w:r>
    </w:p>
    <w:p w:rsidR="00377B37" w:rsidRDefault="00377B37" w:rsidP="007C1F9F">
      <w:pPr>
        <w:pStyle w:val="FootnoteText"/>
      </w:pPr>
      <w:r>
        <w:tab/>
      </w:r>
      <w:r w:rsidRPr="00EC3FDD">
        <w:t xml:space="preserve">The AER considers that the figures in the PTRM do not exactly match the proposal. However, the AER understands that </w:t>
      </w:r>
      <w:r>
        <w:t>APA GasNet</w:t>
      </w:r>
      <w:r w:rsidRPr="00EC3FDD">
        <w:t xml:space="preserve"> is proposing to use the AER’s established method for determining DRC because it states ‘In calculating debt raising costs, APA </w:t>
      </w:r>
      <w:r>
        <w:t xml:space="preserve">GasNet </w:t>
      </w:r>
      <w:r w:rsidRPr="00EC3FDD">
        <w:t>has applied the same method and estimates as used by the AER, in its recently published decision for NT Gas’. That decision applied the AER’s standard DRC method.</w:t>
      </w:r>
    </w:p>
  </w:footnote>
  <w:footnote w:id="527">
    <w:p w:rsidR="00377B37" w:rsidRDefault="00377B37" w:rsidP="007C1F9F">
      <w:pPr>
        <w:pStyle w:val="FootnoteText"/>
      </w:pPr>
      <w:r>
        <w:rPr>
          <w:rStyle w:val="FootnoteReference"/>
        </w:rPr>
        <w:footnoteRef/>
      </w:r>
      <w:r>
        <w:t xml:space="preserve"> </w:t>
      </w:r>
      <w:r>
        <w:tab/>
        <w:t>NEL, s. 24.</w:t>
      </w:r>
    </w:p>
  </w:footnote>
  <w:footnote w:id="528">
    <w:p w:rsidR="00377B37" w:rsidRDefault="00377B37" w:rsidP="007C1F9F">
      <w:pPr>
        <w:pStyle w:val="FootnoteText"/>
      </w:pPr>
      <w:r>
        <w:rPr>
          <w:rStyle w:val="FootnoteReference"/>
        </w:rPr>
        <w:footnoteRef/>
      </w:r>
      <w:r>
        <w:t xml:space="preserve"> </w:t>
      </w:r>
      <w:r>
        <w:tab/>
        <w:t>NGR, r. 91.</w:t>
      </w:r>
    </w:p>
  </w:footnote>
  <w:footnote w:id="529">
    <w:p w:rsidR="00377B37" w:rsidRDefault="00377B37" w:rsidP="007C1F9F">
      <w:pPr>
        <w:pStyle w:val="FootnoteText"/>
      </w:pPr>
      <w:r>
        <w:rPr>
          <w:rStyle w:val="FootnoteReference"/>
        </w:rPr>
        <w:footnoteRef/>
      </w:r>
      <w:r>
        <w:t xml:space="preserve"> </w:t>
      </w:r>
      <w:r>
        <w:tab/>
        <w:t>APA GasNet,</w:t>
      </w:r>
      <w:r w:rsidRPr="00422AAD">
        <w:rPr>
          <w:rStyle w:val="AERtextitalic"/>
        </w:rPr>
        <w:t xml:space="preserve"> Access arrangement submission</w:t>
      </w:r>
      <w:r>
        <w:t xml:space="preserve">, 31 March 2012, </w:t>
      </w:r>
      <w:r w:rsidRPr="0052105E">
        <w:rPr>
          <w:rFonts w:eastAsia="Calibri"/>
        </w:rPr>
        <w:t>p</w:t>
      </w:r>
      <w:r>
        <w:rPr>
          <w:rFonts w:eastAsia="Calibri"/>
        </w:rPr>
        <w:t>. 182.</w:t>
      </w:r>
    </w:p>
  </w:footnote>
  <w:footnote w:id="530">
    <w:p w:rsidR="00377B37" w:rsidRDefault="00377B37" w:rsidP="007C1F9F">
      <w:pPr>
        <w:pStyle w:val="FootnoteText"/>
      </w:pPr>
      <w:r>
        <w:rPr>
          <w:rStyle w:val="FootnoteReference"/>
        </w:rPr>
        <w:footnoteRef/>
      </w:r>
      <w:r>
        <w:t xml:space="preserve"> </w:t>
      </w:r>
      <w:r>
        <w:tab/>
        <w:t xml:space="preserve">APA GasNet, </w:t>
      </w:r>
      <w:r w:rsidRPr="001335D7">
        <w:rPr>
          <w:rStyle w:val="AERtextitalic"/>
        </w:rPr>
        <w:t xml:space="preserve">Access </w:t>
      </w:r>
      <w:r>
        <w:rPr>
          <w:rStyle w:val="AERtextitalic"/>
        </w:rPr>
        <w:t>a</w:t>
      </w:r>
      <w:r w:rsidRPr="001335D7">
        <w:rPr>
          <w:rStyle w:val="AERtextitalic"/>
        </w:rPr>
        <w:t xml:space="preserve">rrangement </w:t>
      </w:r>
      <w:r>
        <w:rPr>
          <w:rStyle w:val="AERtextitalic"/>
        </w:rPr>
        <w:t>i</w:t>
      </w:r>
      <w:r w:rsidRPr="001335D7">
        <w:rPr>
          <w:rStyle w:val="AERtextitalic"/>
        </w:rPr>
        <w:t>nformation</w:t>
      </w:r>
      <w:r>
        <w:t xml:space="preserve">, </w:t>
      </w:r>
      <w:r w:rsidRPr="00F27D1B">
        <w:t>31 March 2012</w:t>
      </w:r>
      <w:r>
        <w:t>, p. 31.</w:t>
      </w:r>
    </w:p>
  </w:footnote>
  <w:footnote w:id="531">
    <w:p w:rsidR="00377B37" w:rsidRDefault="00377B37" w:rsidP="007C1F9F">
      <w:pPr>
        <w:pStyle w:val="FootnoteText"/>
      </w:pPr>
      <w:r>
        <w:rPr>
          <w:rStyle w:val="FootnoteReference"/>
        </w:rPr>
        <w:footnoteRef/>
      </w:r>
      <w:r>
        <w:t xml:space="preserve"> </w:t>
      </w:r>
      <w:r>
        <w:tab/>
        <w:t xml:space="preserve">APA GasNet, </w:t>
      </w:r>
      <w:r w:rsidRPr="001335D7">
        <w:rPr>
          <w:rStyle w:val="AERtextitalic"/>
        </w:rPr>
        <w:t xml:space="preserve">Access </w:t>
      </w:r>
      <w:r>
        <w:rPr>
          <w:rStyle w:val="AERtextitalic"/>
        </w:rPr>
        <w:t>a</w:t>
      </w:r>
      <w:r w:rsidRPr="001335D7">
        <w:rPr>
          <w:rStyle w:val="AERtextitalic"/>
        </w:rPr>
        <w:t>rrangement</w:t>
      </w:r>
      <w:r>
        <w:rPr>
          <w:rStyle w:val="AERtextitalic"/>
        </w:rPr>
        <w:t xml:space="preserve"> proposal</w:t>
      </w:r>
      <w:r>
        <w:t xml:space="preserve">, </w:t>
      </w:r>
      <w:r w:rsidRPr="00F27D1B">
        <w:t>31 March 2012</w:t>
      </w:r>
      <w:r>
        <w:t>, p. 22.</w:t>
      </w:r>
    </w:p>
  </w:footnote>
  <w:footnote w:id="532">
    <w:p w:rsidR="00377B37" w:rsidRDefault="00377B37" w:rsidP="007C1F9F">
      <w:pPr>
        <w:pStyle w:val="FootnoteText"/>
      </w:pPr>
      <w:r>
        <w:rPr>
          <w:rStyle w:val="FootnoteReference"/>
        </w:rPr>
        <w:footnoteRef/>
      </w:r>
      <w:r>
        <w:t xml:space="preserve"> </w:t>
      </w:r>
      <w:r>
        <w:tab/>
        <w:t xml:space="preserve">APA GasNet, </w:t>
      </w:r>
      <w:r w:rsidRPr="001335D7">
        <w:rPr>
          <w:rStyle w:val="AERtextitalic"/>
        </w:rPr>
        <w:t xml:space="preserve">Access </w:t>
      </w:r>
      <w:r>
        <w:rPr>
          <w:rStyle w:val="AERtextitalic"/>
        </w:rPr>
        <w:t>a</w:t>
      </w:r>
      <w:r w:rsidRPr="001335D7">
        <w:rPr>
          <w:rStyle w:val="AERtextitalic"/>
        </w:rPr>
        <w:t>rrangement</w:t>
      </w:r>
      <w:r>
        <w:rPr>
          <w:rStyle w:val="AERtextitalic"/>
        </w:rPr>
        <w:t xml:space="preserve"> proposal</w:t>
      </w:r>
      <w:r>
        <w:t xml:space="preserve">, </w:t>
      </w:r>
      <w:r w:rsidRPr="00F27D1B">
        <w:t>31 March 2012</w:t>
      </w:r>
      <w:r>
        <w:t>, p. 23.</w:t>
      </w:r>
    </w:p>
  </w:footnote>
  <w:footnote w:id="533">
    <w:p w:rsidR="00377B37" w:rsidRDefault="00377B37" w:rsidP="007C1F9F">
      <w:pPr>
        <w:pStyle w:val="FootnoteText"/>
      </w:pPr>
      <w:r>
        <w:rPr>
          <w:rStyle w:val="FootnoteReference"/>
        </w:rPr>
        <w:footnoteRef/>
      </w:r>
      <w:r>
        <w:t xml:space="preserve"> </w:t>
      </w:r>
      <w:r>
        <w:tab/>
        <w:t xml:space="preserve">APA GasNet, </w:t>
      </w:r>
      <w:r w:rsidRPr="001335D7">
        <w:rPr>
          <w:rStyle w:val="AERtextitalic"/>
        </w:rPr>
        <w:t xml:space="preserve">Access </w:t>
      </w:r>
      <w:r>
        <w:rPr>
          <w:rStyle w:val="AERtextitalic"/>
        </w:rPr>
        <w:t>a</w:t>
      </w:r>
      <w:r w:rsidRPr="001335D7">
        <w:rPr>
          <w:rStyle w:val="AERtextitalic"/>
        </w:rPr>
        <w:t>rrangement</w:t>
      </w:r>
      <w:r>
        <w:rPr>
          <w:rStyle w:val="AERtextitalic"/>
        </w:rPr>
        <w:t xml:space="preserve"> proposal</w:t>
      </w:r>
      <w:r>
        <w:t xml:space="preserve">, </w:t>
      </w:r>
      <w:r w:rsidRPr="00F27D1B">
        <w:t>31 March 2012</w:t>
      </w:r>
      <w:r>
        <w:t>, p. 23.</w:t>
      </w:r>
    </w:p>
  </w:footnote>
  <w:footnote w:id="534">
    <w:p w:rsidR="00377B37" w:rsidRDefault="00377B37" w:rsidP="007C1F9F">
      <w:pPr>
        <w:pStyle w:val="FootnoteText"/>
      </w:pPr>
      <w:r>
        <w:rPr>
          <w:rStyle w:val="FootnoteReference"/>
        </w:rPr>
        <w:footnoteRef/>
      </w:r>
      <w:r>
        <w:t xml:space="preserve"> </w:t>
      </w:r>
      <w:r>
        <w:tab/>
        <w:t>Transitional arrangements in the NGR require the AER to ensure revenue calculations made for the access arrangement period properly reflect the operation of any incentive mechanism approved under section 8.44 of the Gas Code in an earlier access arrangement period (NGR, Schedule 1, clause 5(1)(a)).</w:t>
      </w:r>
    </w:p>
  </w:footnote>
  <w:footnote w:id="535">
    <w:p w:rsidR="00377B37" w:rsidRDefault="00377B37" w:rsidP="007C1F9F">
      <w:pPr>
        <w:pStyle w:val="FootnoteText"/>
      </w:pPr>
      <w:r>
        <w:rPr>
          <w:rStyle w:val="FootnoteReference"/>
        </w:rPr>
        <w:footnoteRef/>
      </w:r>
      <w:r>
        <w:t xml:space="preserve"> </w:t>
      </w:r>
      <w:r>
        <w:tab/>
        <w:t xml:space="preserve">NGR, r. 98. </w:t>
      </w:r>
    </w:p>
  </w:footnote>
  <w:footnote w:id="536">
    <w:p w:rsidR="00377B37" w:rsidRDefault="00377B37" w:rsidP="007C1F9F">
      <w:pPr>
        <w:pStyle w:val="FootnoteText"/>
      </w:pPr>
      <w:r>
        <w:rPr>
          <w:rStyle w:val="FootnoteReference"/>
        </w:rPr>
        <w:footnoteRef/>
      </w:r>
      <w:r>
        <w:t xml:space="preserve"> </w:t>
      </w:r>
      <w:r>
        <w:tab/>
        <w:t>This is to ensure that the incentive mechanism provides effective incentives to encourage efficiency in the provision of reference services consistent with r. 98 of the NGR and the RPP (NGL, s. 24).</w:t>
      </w:r>
    </w:p>
  </w:footnote>
  <w:footnote w:id="537">
    <w:p w:rsidR="00377B37" w:rsidRDefault="00377B37" w:rsidP="007C1F9F">
      <w:pPr>
        <w:pStyle w:val="FootnoteText"/>
      </w:pPr>
      <w:r>
        <w:rPr>
          <w:rStyle w:val="FootnoteReference"/>
        </w:rPr>
        <w:footnoteRef/>
      </w:r>
      <w:r>
        <w:t xml:space="preserve"> </w:t>
      </w:r>
      <w:r>
        <w:tab/>
        <w:t xml:space="preserve">APA GasNet, </w:t>
      </w:r>
      <w:r w:rsidRPr="001335D7">
        <w:rPr>
          <w:rStyle w:val="AERtextitalic"/>
        </w:rPr>
        <w:t xml:space="preserve">Access </w:t>
      </w:r>
      <w:r>
        <w:rPr>
          <w:rStyle w:val="AERtextitalic"/>
        </w:rPr>
        <w:t>a</w:t>
      </w:r>
      <w:r w:rsidRPr="001335D7">
        <w:rPr>
          <w:rStyle w:val="AERtextitalic"/>
        </w:rPr>
        <w:t>rrangement 2008–12</w:t>
      </w:r>
      <w:r>
        <w:t>, pp. 10–11.</w:t>
      </w:r>
    </w:p>
  </w:footnote>
  <w:footnote w:id="538">
    <w:p w:rsidR="00377B37" w:rsidRDefault="00377B37" w:rsidP="007C1F9F">
      <w:pPr>
        <w:pStyle w:val="FootnoteText"/>
      </w:pPr>
      <w:r>
        <w:rPr>
          <w:rStyle w:val="FootnoteReference"/>
        </w:rPr>
        <w:footnoteRef/>
      </w:r>
      <w:r>
        <w:t xml:space="preserve"> </w:t>
      </w:r>
      <w:r>
        <w:tab/>
        <w:t>APA GasNet</w:t>
      </w:r>
      <w:r w:rsidRPr="003249C1">
        <w:t xml:space="preserve">, </w:t>
      </w:r>
      <w:r w:rsidRPr="003249C1">
        <w:rPr>
          <w:rStyle w:val="AERtextitalic"/>
        </w:rPr>
        <w:t>Access Arrangement 2008–2012</w:t>
      </w:r>
      <w:r>
        <w:t xml:space="preserve">, p. </w:t>
      </w:r>
      <w:r w:rsidRPr="003249C1">
        <w:t>11</w:t>
      </w:r>
      <w:r>
        <w:t>.</w:t>
      </w:r>
    </w:p>
  </w:footnote>
  <w:footnote w:id="539">
    <w:p w:rsidR="00377B37" w:rsidRDefault="00377B37" w:rsidP="007C1F9F">
      <w:pPr>
        <w:pStyle w:val="FootnoteText"/>
      </w:pPr>
      <w:r>
        <w:rPr>
          <w:rStyle w:val="FootnoteReference"/>
        </w:rPr>
        <w:footnoteRef/>
      </w:r>
      <w:r>
        <w:t xml:space="preserve"> </w:t>
      </w:r>
      <w:r>
        <w:tab/>
        <w:t xml:space="preserve">Table 3.6 of APA GasNet's </w:t>
      </w:r>
      <w:r w:rsidRPr="00F20931">
        <w:rPr>
          <w:rStyle w:val="AERtextitalic"/>
        </w:rPr>
        <w:t>Access arrangement information 2008–12</w:t>
      </w:r>
      <w:r>
        <w:t xml:space="preserve"> sets out the total forecast opex that fixed principle 7.2(f)(i)(B) requires the AER to use to calculate APA GasNet's efficiency carryover from the 2008–12 access arrangement period, subject to the amendments required by fixed principle 7.2(f).</w:t>
      </w:r>
    </w:p>
  </w:footnote>
  <w:footnote w:id="540">
    <w:p w:rsidR="00377B37" w:rsidRDefault="00377B37" w:rsidP="007C1F9F">
      <w:pPr>
        <w:pStyle w:val="FootnoteText"/>
      </w:pPr>
      <w:r>
        <w:rPr>
          <w:rStyle w:val="FootnoteReference"/>
        </w:rPr>
        <w:footnoteRef/>
      </w:r>
      <w:r>
        <w:t xml:space="preserve"> </w:t>
      </w:r>
      <w:r>
        <w:tab/>
        <w:t xml:space="preserve">The AER discussed the need to provide service providers with continuous incentives to reduce costs and gain efficiencies and the reasons for considering 5 years as the appropriate carryover period in AER, </w:t>
      </w:r>
      <w:r w:rsidRPr="00115C00">
        <w:rPr>
          <w:rStyle w:val="AERtextitalic"/>
        </w:rPr>
        <w:t>Final decision: Electricity distribution network service providers Efficiency benefit sharing scheme</w:t>
      </w:r>
      <w:r>
        <w:t>, June 2008.</w:t>
      </w:r>
    </w:p>
  </w:footnote>
  <w:footnote w:id="541">
    <w:p w:rsidR="00377B37" w:rsidRDefault="00377B37" w:rsidP="007C1F9F">
      <w:pPr>
        <w:pStyle w:val="FootnoteText"/>
      </w:pPr>
      <w:r>
        <w:rPr>
          <w:rStyle w:val="FootnoteReference"/>
        </w:rPr>
        <w:footnoteRef/>
      </w:r>
      <w:r>
        <w:t xml:space="preserve"> </w:t>
      </w:r>
      <w:r>
        <w:tab/>
        <w:t xml:space="preserve">The effects of shifting costs into the base year are modelled in AER, </w:t>
      </w:r>
      <w:r w:rsidRPr="00115C00">
        <w:rPr>
          <w:rStyle w:val="AERtextitalic"/>
        </w:rPr>
        <w:t>Final decision: Electricity distribution network service providers Efficiency benefit sharing scheme</w:t>
      </w:r>
      <w:r>
        <w:t>, June 2008, appendix B.</w:t>
      </w:r>
    </w:p>
  </w:footnote>
  <w:footnote w:id="542">
    <w:p w:rsidR="00377B37" w:rsidRDefault="00377B37" w:rsidP="007C1F9F">
      <w:pPr>
        <w:pStyle w:val="FootnoteText"/>
      </w:pPr>
      <w:r>
        <w:rPr>
          <w:rStyle w:val="FootnoteReference"/>
        </w:rPr>
        <w:footnoteRef/>
      </w:r>
      <w:r>
        <w:t xml:space="preserve"> </w:t>
      </w:r>
      <w:r>
        <w:tab/>
        <w:t>NGL, s. 23.</w:t>
      </w:r>
    </w:p>
  </w:footnote>
  <w:footnote w:id="543">
    <w:p w:rsidR="00377B37" w:rsidRDefault="00377B37" w:rsidP="007C1F9F">
      <w:pPr>
        <w:pStyle w:val="FootnoteText"/>
      </w:pPr>
      <w:r>
        <w:rPr>
          <w:rStyle w:val="FootnoteReference"/>
        </w:rPr>
        <w:footnoteRef/>
      </w:r>
      <w:r>
        <w:t xml:space="preserve"> </w:t>
      </w:r>
      <w:r>
        <w:tab/>
        <w:t>NGL, s. 24.</w:t>
      </w:r>
    </w:p>
  </w:footnote>
  <w:footnote w:id="544">
    <w:p w:rsidR="00377B37" w:rsidRDefault="00377B37" w:rsidP="007C1F9F">
      <w:pPr>
        <w:pStyle w:val="FootnoteText"/>
      </w:pPr>
      <w:r>
        <w:rPr>
          <w:rStyle w:val="FootnoteReference"/>
        </w:rPr>
        <w:footnoteRef/>
      </w:r>
      <w:r>
        <w:t xml:space="preserve"> </w:t>
      </w:r>
      <w:r>
        <w:tab/>
        <w:t xml:space="preserve">Fixed principle 8.2(e)(i), APA GasNet, </w:t>
      </w:r>
      <w:r w:rsidRPr="003249C1">
        <w:rPr>
          <w:rStyle w:val="AERtextitalic"/>
        </w:rPr>
        <w:t xml:space="preserve">Access </w:t>
      </w:r>
      <w:r>
        <w:rPr>
          <w:rStyle w:val="AERtextitalic"/>
        </w:rPr>
        <w:t>a</w:t>
      </w:r>
      <w:r w:rsidRPr="003249C1">
        <w:rPr>
          <w:rStyle w:val="AERtextitalic"/>
        </w:rPr>
        <w:t xml:space="preserve">rrangement </w:t>
      </w:r>
      <w:r>
        <w:rPr>
          <w:rStyle w:val="AERtextitalic"/>
        </w:rPr>
        <w:t>proposal</w:t>
      </w:r>
      <w:r w:rsidRPr="003249C1">
        <w:t>,</w:t>
      </w:r>
      <w:r>
        <w:t xml:space="preserve"> </w:t>
      </w:r>
      <w:r w:rsidRPr="006E66A8">
        <w:t>31 March 2012</w:t>
      </w:r>
      <w:r>
        <w:t>, p. 29.</w:t>
      </w:r>
    </w:p>
  </w:footnote>
  <w:footnote w:id="545">
    <w:p w:rsidR="00377B37" w:rsidRDefault="00377B37" w:rsidP="007C1F9F">
      <w:pPr>
        <w:pStyle w:val="FootnoteText"/>
      </w:pPr>
      <w:r>
        <w:rPr>
          <w:rStyle w:val="FootnoteReference"/>
        </w:rPr>
        <w:footnoteRef/>
      </w:r>
      <w:r>
        <w:t xml:space="preserve"> </w:t>
      </w:r>
      <w:r>
        <w:tab/>
        <w:t xml:space="preserve">Fixed principle 8.2(d), </w:t>
      </w:r>
      <w:r w:rsidRPr="00F20931">
        <w:rPr>
          <w:rStyle w:val="AERtextitalic"/>
        </w:rPr>
        <w:t xml:space="preserve">APA GasNet Access arrangement </w:t>
      </w:r>
      <w:r>
        <w:rPr>
          <w:rStyle w:val="AERtextitalic"/>
        </w:rPr>
        <w:t>proposal</w:t>
      </w:r>
      <w:r w:rsidRPr="003249C1">
        <w:t>,</w:t>
      </w:r>
      <w:r>
        <w:t xml:space="preserve"> </w:t>
      </w:r>
      <w:r w:rsidRPr="006E66A8">
        <w:t>31 March 2012</w:t>
      </w:r>
      <w:r>
        <w:t>, pp. 28–29.</w:t>
      </w:r>
    </w:p>
  </w:footnote>
  <w:footnote w:id="546">
    <w:p w:rsidR="00377B37" w:rsidRDefault="00377B37" w:rsidP="007C1F9F">
      <w:pPr>
        <w:pStyle w:val="FootnoteText"/>
      </w:pPr>
      <w:r>
        <w:rPr>
          <w:rStyle w:val="FootnoteReference"/>
        </w:rPr>
        <w:footnoteRef/>
      </w:r>
      <w:r>
        <w:t xml:space="preserve"> </w:t>
      </w:r>
      <w:r>
        <w:tab/>
        <w:t xml:space="preserve">This is discussed in further detail in AER, </w:t>
      </w:r>
      <w:r w:rsidRPr="006B12D1">
        <w:rPr>
          <w:rStyle w:val="AERtextitalic"/>
        </w:rPr>
        <w:t>Final decision Electricity transmission network service providers Efficiency benefit sharing scheme</w:t>
      </w:r>
      <w:r>
        <w:t>, September 2007, pp. 18</w:t>
      </w:r>
      <w:r>
        <w:softHyphen/>
        <w:t>–19.</w:t>
      </w:r>
    </w:p>
  </w:footnote>
  <w:footnote w:id="547">
    <w:p w:rsidR="00377B37" w:rsidRDefault="00377B37" w:rsidP="007C1F9F">
      <w:pPr>
        <w:pStyle w:val="FootnoteText"/>
      </w:pPr>
      <w:r>
        <w:rPr>
          <w:rStyle w:val="FootnoteReference"/>
        </w:rPr>
        <w:footnoteRef/>
      </w:r>
      <w:r>
        <w:t xml:space="preserve"> </w:t>
      </w:r>
      <w:r>
        <w:tab/>
        <w:t>NGR, r. 76(c).</w:t>
      </w:r>
    </w:p>
  </w:footnote>
  <w:footnote w:id="548">
    <w:p w:rsidR="00377B37" w:rsidRDefault="00377B37" w:rsidP="007C1F9F">
      <w:pPr>
        <w:pStyle w:val="FootnoteText"/>
      </w:pPr>
      <w:r>
        <w:rPr>
          <w:rStyle w:val="FootnoteReference"/>
        </w:rPr>
        <w:footnoteRef/>
      </w:r>
      <w:r>
        <w:t xml:space="preserve"> </w:t>
      </w:r>
      <w:r>
        <w:tab/>
      </w:r>
      <w:r w:rsidRPr="001A6E43">
        <w:t>APA GasNet,</w:t>
      </w:r>
      <w:r>
        <w:t xml:space="preserve"> </w:t>
      </w:r>
      <w:r w:rsidRPr="00757F15">
        <w:rPr>
          <w:rStyle w:val="AERtextitalic"/>
        </w:rPr>
        <w:t>Post tax revenue model</w:t>
      </w:r>
      <w:r>
        <w:t>, March 2012.</w:t>
      </w:r>
    </w:p>
  </w:footnote>
  <w:footnote w:id="549">
    <w:p w:rsidR="00377B37" w:rsidRDefault="00377B37" w:rsidP="007C1F9F">
      <w:pPr>
        <w:pStyle w:val="FootnoteText"/>
      </w:pPr>
      <w:r>
        <w:rPr>
          <w:rStyle w:val="FootnoteReference"/>
        </w:rPr>
        <w:footnoteRef/>
      </w:r>
      <w:r>
        <w:t xml:space="preserve"> </w:t>
      </w:r>
      <w:r>
        <w:tab/>
        <w:t xml:space="preserve">All dollar amounts are in nominal dollar terms in this attachment because corporate income tax is an output of the post-tax revenue model (PTRM). The output of the PTRM such as the tax allowance and regulatory depreciation are expressed in nominal dollar terms, whereas the inputs of the PTRM such as forecast opex and capex are expressed in real dollar terms. </w:t>
      </w:r>
    </w:p>
  </w:footnote>
  <w:footnote w:id="550">
    <w:p w:rsidR="00377B37" w:rsidRDefault="00377B37" w:rsidP="007C1F9F">
      <w:pPr>
        <w:pStyle w:val="FootnoteText"/>
      </w:pPr>
      <w:r>
        <w:rPr>
          <w:rStyle w:val="FootnoteReference"/>
        </w:rPr>
        <w:footnoteRef/>
      </w:r>
      <w:r>
        <w:t xml:space="preserve"> </w:t>
      </w:r>
      <w:r>
        <w:tab/>
        <w:t xml:space="preserve">ACCC, </w:t>
      </w:r>
      <w:r w:rsidRPr="00757F15">
        <w:rPr>
          <w:rStyle w:val="AERtextitalic"/>
        </w:rPr>
        <w:t>2006 Regulated asset base model v2</w:t>
      </w:r>
      <w:r>
        <w:t>, 2006.</w:t>
      </w:r>
    </w:p>
  </w:footnote>
  <w:footnote w:id="551">
    <w:p w:rsidR="00377B37" w:rsidRDefault="00377B37" w:rsidP="007C1F9F">
      <w:pPr>
        <w:pStyle w:val="FootnoteText"/>
      </w:pPr>
      <w:r>
        <w:rPr>
          <w:rStyle w:val="FootnoteReference"/>
        </w:rPr>
        <w:footnoteRef/>
      </w:r>
      <w:r>
        <w:t xml:space="preserve"> </w:t>
      </w:r>
      <w:r>
        <w:tab/>
        <w:t>NGL, s</w:t>
      </w:r>
      <w:r w:rsidRPr="007A4984">
        <w:rPr>
          <w:rFonts w:eastAsia="Calibri"/>
        </w:rPr>
        <w:t xml:space="preserve"> 28</w:t>
      </w:r>
      <w:r>
        <w:rPr>
          <w:rFonts w:eastAsia="Calibri"/>
        </w:rPr>
        <w:t>; NGR r. 100(1)</w:t>
      </w:r>
      <w:r w:rsidRPr="007A4984">
        <w:rPr>
          <w:rFonts w:eastAsia="Calibri"/>
        </w:rPr>
        <w:t xml:space="preserve">. The </w:t>
      </w:r>
      <w:r>
        <w:rPr>
          <w:rFonts w:eastAsia="Calibri"/>
        </w:rPr>
        <w:t xml:space="preserve">NGO is set out in NGL, s. 23. The </w:t>
      </w:r>
      <w:r w:rsidRPr="007A4984">
        <w:rPr>
          <w:rFonts w:eastAsia="Calibri"/>
        </w:rPr>
        <w:t>revenue and pricing principles are set out in NGL, s. 24.</w:t>
      </w:r>
      <w:r>
        <w:rPr>
          <w:rFonts w:eastAsia="Calibri"/>
        </w:rPr>
        <w:t xml:space="preserve"> </w:t>
      </w:r>
    </w:p>
  </w:footnote>
  <w:footnote w:id="552">
    <w:p w:rsidR="00377B37" w:rsidRDefault="00377B37" w:rsidP="007C1F9F">
      <w:pPr>
        <w:pStyle w:val="FootnoteText"/>
      </w:pPr>
      <w:r>
        <w:rPr>
          <w:rStyle w:val="FootnoteReference"/>
        </w:rPr>
        <w:footnoteRef/>
      </w:r>
      <w:r>
        <w:t xml:space="preserve"> </w:t>
      </w:r>
      <w:r>
        <w:tab/>
        <w:t>NGR, r. 76(c).</w:t>
      </w:r>
    </w:p>
  </w:footnote>
  <w:footnote w:id="553">
    <w:p w:rsidR="00377B37" w:rsidRDefault="00377B37" w:rsidP="007C1F9F">
      <w:pPr>
        <w:pStyle w:val="FootnoteText"/>
      </w:pPr>
      <w:r>
        <w:rPr>
          <w:rStyle w:val="FootnoteReference"/>
        </w:rPr>
        <w:footnoteRef/>
      </w:r>
      <w:r>
        <w:t xml:space="preserve"> </w:t>
      </w:r>
      <w:r>
        <w:tab/>
      </w:r>
      <w:r w:rsidRPr="00B077E0">
        <w:t>NGL, s</w:t>
      </w:r>
      <w:r w:rsidRPr="00B077E0">
        <w:rPr>
          <w:rFonts w:eastAsia="Calibri"/>
        </w:rPr>
        <w:t xml:space="preserve"> 28; NGR r. 100(1). The NGO is set out in NGL, s. 23. The revenue and pricing principles are set out in NGL, s. 24.</w:t>
      </w:r>
    </w:p>
  </w:footnote>
  <w:footnote w:id="554">
    <w:p w:rsidR="00377B37" w:rsidRDefault="00377B37" w:rsidP="007C1F9F">
      <w:pPr>
        <w:pStyle w:val="FootnoteText"/>
      </w:pPr>
      <w:r>
        <w:rPr>
          <w:rStyle w:val="FootnoteReference"/>
        </w:rPr>
        <w:footnoteRef/>
      </w:r>
      <w:r>
        <w:t xml:space="preserve"> </w:t>
      </w:r>
      <w:r>
        <w:tab/>
        <w:t>The asset classes differ between the capital base roll forward and the tax asset base roll forward. However, the total values of annual capex in the 2008–12 access arrangement period will be consistent.</w:t>
      </w:r>
    </w:p>
  </w:footnote>
  <w:footnote w:id="555">
    <w:p w:rsidR="00377B37" w:rsidRDefault="00377B37" w:rsidP="007C1F9F">
      <w:pPr>
        <w:pStyle w:val="FootnoteText"/>
      </w:pPr>
      <w:r>
        <w:rPr>
          <w:rStyle w:val="FootnoteReference"/>
        </w:rPr>
        <w:footnoteRef/>
      </w:r>
      <w:r>
        <w:t xml:space="preserve"> </w:t>
      </w:r>
      <w:r>
        <w:tab/>
        <w:t xml:space="preserve">APA GasNet, </w:t>
      </w:r>
      <w:r w:rsidRPr="00757F15">
        <w:rPr>
          <w:rStyle w:val="AERtextitalic"/>
        </w:rPr>
        <w:t>Response to AER information request No. 7</w:t>
      </w:r>
      <w:r>
        <w:t>, 6 June 2012, p. 3.</w:t>
      </w:r>
    </w:p>
  </w:footnote>
  <w:footnote w:id="556">
    <w:p w:rsidR="00377B37" w:rsidRDefault="00377B37" w:rsidP="007C1F9F">
      <w:pPr>
        <w:pStyle w:val="FootnoteText"/>
      </w:pPr>
      <w:r>
        <w:rPr>
          <w:rStyle w:val="FootnoteReference"/>
        </w:rPr>
        <w:footnoteRef/>
      </w:r>
      <w:r>
        <w:t xml:space="preserve"> </w:t>
      </w:r>
      <w:r>
        <w:tab/>
      </w:r>
      <w:r w:rsidRPr="00CA60AE">
        <w:t xml:space="preserve">At the time of this draft decision the roll forward of </w:t>
      </w:r>
      <w:r>
        <w:t>APA GasNet</w:t>
      </w:r>
      <w:r w:rsidRPr="00CA60AE">
        <w:t>’s tax asset base</w:t>
      </w:r>
      <w:r>
        <w:t xml:space="preserve"> includes capex estimates for 2011 and 20</w:t>
      </w:r>
      <w:r w:rsidRPr="00CA60AE">
        <w:t>12. The AER</w:t>
      </w:r>
      <w:r>
        <w:t xml:space="preserve"> requires APA GasNet's revised proposal to submit actual capex for 2011. APA GasNet</w:t>
      </w:r>
      <w:r w:rsidRPr="00CA60AE">
        <w:t xml:space="preserve"> may</w:t>
      </w:r>
      <w:r>
        <w:t xml:space="preserve"> also include an</w:t>
      </w:r>
      <w:r w:rsidRPr="00CA60AE">
        <w:t xml:space="preserve"> update</w:t>
      </w:r>
      <w:r>
        <w:t>d</w:t>
      </w:r>
      <w:r w:rsidRPr="00CA60AE">
        <w:t xml:space="preserve"> capex </w:t>
      </w:r>
      <w:r>
        <w:t>estimate for 2012 in its revised proposal</w:t>
      </w:r>
      <w:r w:rsidRPr="00CA60AE">
        <w:t xml:space="preserve">. </w:t>
      </w:r>
      <w:r>
        <w:t>These</w:t>
      </w:r>
      <w:r w:rsidRPr="00CA60AE">
        <w:t xml:space="preserve"> capex </w:t>
      </w:r>
      <w:r>
        <w:t>amounts would then be</w:t>
      </w:r>
      <w:r w:rsidRPr="00CA60AE">
        <w:t xml:space="preserve"> used to </w:t>
      </w:r>
      <w:r>
        <w:t>update</w:t>
      </w:r>
      <w:r w:rsidRPr="00CA60AE">
        <w:t xml:space="preserve"> the opening tax asset base</w:t>
      </w:r>
      <w:r>
        <w:t xml:space="preserve"> </w:t>
      </w:r>
      <w:r w:rsidRPr="00CA60AE">
        <w:t>and the weighted average remaining tax asset lives</w:t>
      </w:r>
      <w:r w:rsidRPr="00096F98">
        <w:t xml:space="preserve"> </w:t>
      </w:r>
      <w:r>
        <w:t>as at 1 January 2013</w:t>
      </w:r>
      <w:r w:rsidRPr="00CA60AE">
        <w:t xml:space="preserve">. </w:t>
      </w:r>
    </w:p>
  </w:footnote>
  <w:footnote w:id="557">
    <w:p w:rsidR="00377B37" w:rsidRDefault="00377B37" w:rsidP="007C1F9F">
      <w:pPr>
        <w:pStyle w:val="FootnoteText"/>
      </w:pPr>
      <w:r>
        <w:rPr>
          <w:rStyle w:val="FootnoteReference"/>
        </w:rPr>
        <w:footnoteRef/>
      </w:r>
      <w:r>
        <w:t xml:space="preserve"> </w:t>
      </w:r>
      <w:r>
        <w:tab/>
      </w:r>
      <w:r w:rsidRPr="0019550D">
        <w:rPr>
          <w:rStyle w:val="AERtextitalic"/>
          <w:i w:val="0"/>
        </w:rPr>
        <w:t>ITAA</w:t>
      </w:r>
      <w:r w:rsidRPr="0019550D">
        <w:t xml:space="preserve"> </w:t>
      </w:r>
      <w:r w:rsidRPr="0019550D">
        <w:rPr>
          <w:rStyle w:val="AERtextitalic"/>
          <w:i w:val="0"/>
        </w:rPr>
        <w:t>1997</w:t>
      </w:r>
      <w:r w:rsidRPr="0019550D">
        <w:t>, s. 40.102(5).</w:t>
      </w:r>
    </w:p>
  </w:footnote>
  <w:footnote w:id="558">
    <w:p w:rsidR="00377B37" w:rsidRDefault="00377B37" w:rsidP="007C1F9F">
      <w:pPr>
        <w:pStyle w:val="FootnoteText"/>
      </w:pPr>
      <w:r>
        <w:rPr>
          <w:rStyle w:val="FootnoteReference"/>
        </w:rPr>
        <w:footnoteRef/>
      </w:r>
      <w:r>
        <w:t xml:space="preserve"> </w:t>
      </w:r>
      <w:r>
        <w:tab/>
      </w:r>
      <w:r w:rsidRPr="001A6E43">
        <w:t xml:space="preserve">ACCC, </w:t>
      </w:r>
      <w:r w:rsidRPr="00757F15">
        <w:rPr>
          <w:rStyle w:val="AERtextitalic"/>
        </w:rPr>
        <w:t>2006 Regulated asset base model v2</w:t>
      </w:r>
      <w:r w:rsidRPr="001A6E43">
        <w:t>, 2006.</w:t>
      </w:r>
    </w:p>
  </w:footnote>
  <w:footnote w:id="559">
    <w:p w:rsidR="00377B37" w:rsidRDefault="00377B37" w:rsidP="007C1F9F">
      <w:pPr>
        <w:pStyle w:val="FootnoteText"/>
      </w:pPr>
      <w:r>
        <w:rPr>
          <w:rStyle w:val="FootnoteReference"/>
        </w:rPr>
        <w:footnoteRef/>
      </w:r>
      <w:r>
        <w:t xml:space="preserve"> </w:t>
      </w:r>
      <w:r>
        <w:tab/>
      </w:r>
      <w:r w:rsidRPr="008914BF">
        <w:t>At the time of this draft decision the roll forward of APA GasNet's capital base includes forecast capex for 2012. The AER may update this capex figure for its final decision. These capex figures are used to calculate the weighted average remaining tax asset lives of the assets. Therefore, the AER may recalculate APA GasNet's remaining tax asset lives using the method approved in this draft decision to reflect the updated 2012 capex for the final decision.</w:t>
      </w:r>
    </w:p>
  </w:footnote>
  <w:footnote w:id="560">
    <w:p w:rsidR="00377B37" w:rsidRDefault="00377B37" w:rsidP="007C1F9F">
      <w:pPr>
        <w:pStyle w:val="FootnoteText"/>
      </w:pPr>
      <w:r>
        <w:rPr>
          <w:rStyle w:val="FootnoteReference"/>
        </w:rPr>
        <w:footnoteRef/>
      </w:r>
      <w:r>
        <w:t xml:space="preserve"> </w:t>
      </w:r>
      <w:r>
        <w:tab/>
      </w:r>
      <w:r w:rsidRPr="0094506A">
        <w:t>APA GasNet</w:t>
      </w:r>
      <w:r>
        <w:t xml:space="preserve"> </w:t>
      </w:r>
      <w:r w:rsidRPr="0094506A">
        <w:t xml:space="preserve">submitted a revised tax </w:t>
      </w:r>
      <w:r>
        <w:t>asset base</w:t>
      </w:r>
      <w:r w:rsidRPr="0094506A">
        <w:t xml:space="preserve"> roll forward with 2007 actual capex and revised remaining tax asset lives as at 1 January 2008 which t</w:t>
      </w:r>
      <w:r>
        <w:t>ook</w:t>
      </w:r>
      <w:r w:rsidRPr="0094506A">
        <w:t xml:space="preserve"> into</w:t>
      </w:r>
      <w:r>
        <w:t xml:space="preserve"> account the 2007 actual capex.</w:t>
      </w:r>
      <w:r w:rsidRPr="0094506A">
        <w:t xml:space="preserve"> </w:t>
      </w:r>
      <w:r>
        <w:t xml:space="preserve">See </w:t>
      </w:r>
      <w:r w:rsidRPr="0094506A">
        <w:t xml:space="preserve">APA GasNet, </w:t>
      </w:r>
      <w:r w:rsidRPr="00834A83">
        <w:rPr>
          <w:rStyle w:val="AERtextitalic"/>
        </w:rPr>
        <w:t>Response to AER information request No. 7</w:t>
      </w:r>
      <w:r w:rsidRPr="0094506A">
        <w:t>,</w:t>
      </w:r>
      <w:r>
        <w:t xml:space="preserve"> 6 June</w:t>
      </w:r>
      <w:r w:rsidRPr="0094506A">
        <w:t xml:space="preserve"> 2012, p. </w:t>
      </w:r>
      <w:r>
        <w:t xml:space="preserve">3; APA GasNet, </w:t>
      </w:r>
      <w:r w:rsidRPr="00834A83">
        <w:rPr>
          <w:rStyle w:val="AERtextitalic"/>
        </w:rPr>
        <w:t>Revised RFM</w:t>
      </w:r>
      <w:r>
        <w:t xml:space="preserve">, 10 July 2012. </w:t>
      </w:r>
      <w:r w:rsidRPr="00DE1C9D">
        <w:t xml:space="preserve">The AER </w:t>
      </w:r>
      <w:r>
        <w:t>notes that there is an error i</w:t>
      </w:r>
      <w:r w:rsidRPr="00DE1C9D">
        <w:t xml:space="preserve">n APA GasNet's </w:t>
      </w:r>
      <w:r>
        <w:t>formula used to calculate</w:t>
      </w:r>
      <w:r w:rsidRPr="00DE1C9D">
        <w:t xml:space="preserve"> the </w:t>
      </w:r>
      <w:r>
        <w:t xml:space="preserve">revised </w:t>
      </w:r>
      <w:r w:rsidRPr="00DE1C9D">
        <w:t>remaining tax asset lives as at 1 January 2008.</w:t>
      </w:r>
      <w:r>
        <w:t xml:space="preserve"> The AER has corrected the error to account for one year of roll forward of the remaining tax asset lives from 1 January 2007 to 1 January 2008. This results in slightly shorter remaining tax asset lives as at </w:t>
      </w:r>
      <w:r w:rsidRPr="00F35BE4">
        <w:t>1 January 2008</w:t>
      </w:r>
      <w:r>
        <w:t xml:space="preserve"> compared to </w:t>
      </w:r>
      <w:r w:rsidRPr="00F35BE4">
        <w:t>APA GasNet</w:t>
      </w:r>
      <w:r>
        <w:t xml:space="preserve">'s revised figures. </w:t>
      </w:r>
    </w:p>
  </w:footnote>
  <w:footnote w:id="561">
    <w:p w:rsidR="00377B37" w:rsidRDefault="00377B37" w:rsidP="007C1F9F">
      <w:pPr>
        <w:pStyle w:val="FootnoteText"/>
      </w:pPr>
      <w:r>
        <w:rPr>
          <w:rStyle w:val="FootnoteReference"/>
        </w:rPr>
        <w:footnoteRef/>
      </w:r>
      <w:r>
        <w:t xml:space="preserve"> </w:t>
      </w:r>
      <w:r>
        <w:tab/>
        <w:t xml:space="preserve">Australian Competition Tribunal, </w:t>
      </w:r>
      <w:r w:rsidRPr="00380D4D">
        <w:rPr>
          <w:i/>
        </w:rPr>
        <w:t>Application by Energex Limited (Gamma) (No. 5)[2011] ACompT 9</w:t>
      </w:r>
      <w:r>
        <w:t>, 12 May 2011, paragraph 42.</w:t>
      </w:r>
    </w:p>
  </w:footnote>
  <w:footnote w:id="562">
    <w:p w:rsidR="00377B37" w:rsidRDefault="00377B37" w:rsidP="007C1F9F">
      <w:pPr>
        <w:pStyle w:val="FootnoteText"/>
      </w:pPr>
      <w:r>
        <w:rPr>
          <w:rStyle w:val="FootnoteReference"/>
        </w:rPr>
        <w:footnoteRef/>
      </w:r>
      <w:r>
        <w:t xml:space="preserve"> </w:t>
      </w:r>
      <w:r>
        <w:tab/>
        <w:t xml:space="preserve">AER, </w:t>
      </w:r>
      <w:r w:rsidRPr="00834A83">
        <w:rPr>
          <w:rStyle w:val="AERtextitalic"/>
        </w:rPr>
        <w:t>Roma to Brisbane Pipeline final decision</w:t>
      </w:r>
      <w:r>
        <w:t>, August 2012, p. 20.</w:t>
      </w:r>
    </w:p>
  </w:footnote>
  <w:footnote w:id="563">
    <w:p w:rsidR="00377B37" w:rsidRDefault="00377B37" w:rsidP="007C1F9F">
      <w:pPr>
        <w:pStyle w:val="FootnoteText"/>
      </w:pPr>
      <w:r>
        <w:rPr>
          <w:rStyle w:val="FootnoteReference"/>
        </w:rPr>
        <w:footnoteRef/>
      </w:r>
      <w:r>
        <w:t xml:space="preserve"> </w:t>
      </w:r>
      <w:r>
        <w:tab/>
        <w:t>NGR, r. 72(1)(d).</w:t>
      </w:r>
    </w:p>
  </w:footnote>
  <w:footnote w:id="564">
    <w:p w:rsidR="00377B37" w:rsidRDefault="00377B37" w:rsidP="007C1F9F">
      <w:pPr>
        <w:pStyle w:val="FootnoteText"/>
      </w:pPr>
      <w:r>
        <w:rPr>
          <w:rStyle w:val="FootnoteReference"/>
        </w:rPr>
        <w:footnoteRef/>
      </w:r>
      <w:r>
        <w:t xml:space="preserve"> </w:t>
      </w:r>
      <w:r>
        <w:tab/>
        <w:t xml:space="preserve">APA GasNet, </w:t>
      </w:r>
      <w:r w:rsidRPr="00CB2BCD">
        <w:rPr>
          <w:rStyle w:val="AERtextitalic"/>
        </w:rPr>
        <w:t xml:space="preserve">Access </w:t>
      </w:r>
      <w:r>
        <w:rPr>
          <w:rStyle w:val="AERtextitalic"/>
        </w:rPr>
        <w:t>a</w:t>
      </w:r>
      <w:r w:rsidRPr="00CB2BCD">
        <w:rPr>
          <w:rStyle w:val="AERtextitalic"/>
        </w:rPr>
        <w:t xml:space="preserve">rrangement </w:t>
      </w:r>
      <w:r>
        <w:rPr>
          <w:rStyle w:val="AERtextitalic"/>
        </w:rPr>
        <w:t>submission</w:t>
      </w:r>
      <w:r>
        <w:t>, 31 March 2012, pp. 60–61.</w:t>
      </w:r>
    </w:p>
  </w:footnote>
  <w:footnote w:id="565">
    <w:p w:rsidR="00377B37" w:rsidRDefault="00377B37" w:rsidP="007C1F9F">
      <w:pPr>
        <w:pStyle w:val="FootnoteText"/>
      </w:pPr>
      <w:r>
        <w:rPr>
          <w:rStyle w:val="FootnoteReference"/>
        </w:rPr>
        <w:footnoteRef/>
      </w:r>
      <w:r>
        <w:t xml:space="preserve"> </w:t>
      </w:r>
      <w:r>
        <w:tab/>
        <w:t xml:space="preserve">APA GasNet, </w:t>
      </w:r>
      <w:r w:rsidRPr="00CB2BCD">
        <w:rPr>
          <w:rStyle w:val="AERtextitalic"/>
        </w:rPr>
        <w:t xml:space="preserve">Access </w:t>
      </w:r>
      <w:r>
        <w:rPr>
          <w:rStyle w:val="AERtextitalic"/>
        </w:rPr>
        <w:t>a</w:t>
      </w:r>
      <w:r w:rsidRPr="00CB2BCD">
        <w:rPr>
          <w:rStyle w:val="AERtextitalic"/>
        </w:rPr>
        <w:t xml:space="preserve">rrangement </w:t>
      </w:r>
      <w:r>
        <w:rPr>
          <w:rStyle w:val="AERtextitalic"/>
        </w:rPr>
        <w:t>submission</w:t>
      </w:r>
      <w:r>
        <w:t>, 31 March 2012, pp. 61–62.</w:t>
      </w:r>
    </w:p>
  </w:footnote>
  <w:footnote w:id="566">
    <w:p w:rsidR="00377B37" w:rsidRDefault="00377B37" w:rsidP="007C1F9F">
      <w:pPr>
        <w:pStyle w:val="FootnoteText"/>
      </w:pPr>
      <w:r>
        <w:rPr>
          <w:rStyle w:val="FootnoteReference"/>
        </w:rPr>
        <w:footnoteRef/>
      </w:r>
      <w:r>
        <w:t xml:space="preserve"> </w:t>
      </w:r>
      <w:r>
        <w:tab/>
        <w:t xml:space="preserve">APA GasNet, </w:t>
      </w:r>
      <w:r w:rsidRPr="00CB2BCD">
        <w:rPr>
          <w:rStyle w:val="AERtextitalic"/>
        </w:rPr>
        <w:t xml:space="preserve">Access </w:t>
      </w:r>
      <w:r>
        <w:rPr>
          <w:rStyle w:val="AERtextitalic"/>
        </w:rPr>
        <w:t>a</w:t>
      </w:r>
      <w:r w:rsidRPr="00CB2BCD">
        <w:rPr>
          <w:rStyle w:val="AERtextitalic"/>
        </w:rPr>
        <w:t xml:space="preserve">rrangement </w:t>
      </w:r>
      <w:r>
        <w:rPr>
          <w:rStyle w:val="AERtextitalic"/>
        </w:rPr>
        <w:t>submission</w:t>
      </w:r>
      <w:r>
        <w:t>, 31 March 2012, p. 62.</w:t>
      </w:r>
    </w:p>
  </w:footnote>
  <w:footnote w:id="567">
    <w:p w:rsidR="00377B37" w:rsidRDefault="00377B37" w:rsidP="007C1F9F">
      <w:pPr>
        <w:pStyle w:val="FootnoteText"/>
      </w:pPr>
      <w:r>
        <w:rPr>
          <w:rStyle w:val="FootnoteReference"/>
        </w:rPr>
        <w:footnoteRef/>
      </w:r>
      <w:r>
        <w:t xml:space="preserve"> </w:t>
      </w:r>
      <w:r>
        <w:tab/>
        <w:t xml:space="preserve">APA GasNet, </w:t>
      </w:r>
      <w:r w:rsidRPr="00CB2BCD">
        <w:rPr>
          <w:rStyle w:val="AERtextitalic"/>
        </w:rPr>
        <w:t xml:space="preserve">Access </w:t>
      </w:r>
      <w:r>
        <w:rPr>
          <w:rStyle w:val="AERtextitalic"/>
        </w:rPr>
        <w:t>a</w:t>
      </w:r>
      <w:r w:rsidRPr="00CB2BCD">
        <w:rPr>
          <w:rStyle w:val="AERtextitalic"/>
        </w:rPr>
        <w:t xml:space="preserve">rrangement </w:t>
      </w:r>
      <w:r>
        <w:rPr>
          <w:rStyle w:val="AERtextitalic"/>
        </w:rPr>
        <w:t>submission</w:t>
      </w:r>
      <w:r>
        <w:t>, 31 March 2012, p. 63.</w:t>
      </w:r>
    </w:p>
  </w:footnote>
  <w:footnote w:id="568">
    <w:p w:rsidR="00377B37" w:rsidRDefault="00377B37" w:rsidP="007C1F9F">
      <w:pPr>
        <w:pStyle w:val="FootnoteText"/>
      </w:pPr>
      <w:r>
        <w:rPr>
          <w:rStyle w:val="FootnoteReference"/>
        </w:rPr>
        <w:footnoteRef/>
      </w:r>
      <w:r>
        <w:t xml:space="preserve"> </w:t>
      </w:r>
      <w:r>
        <w:tab/>
        <w:t xml:space="preserve">APA GasNet, </w:t>
      </w:r>
      <w:r w:rsidRPr="00CB2BCD">
        <w:rPr>
          <w:rStyle w:val="AERtextitalic"/>
        </w:rPr>
        <w:t xml:space="preserve">Access </w:t>
      </w:r>
      <w:r>
        <w:rPr>
          <w:rStyle w:val="AERtextitalic"/>
        </w:rPr>
        <w:t>a</w:t>
      </w:r>
      <w:r w:rsidRPr="00CB2BCD">
        <w:rPr>
          <w:rStyle w:val="AERtextitalic"/>
        </w:rPr>
        <w:t xml:space="preserve">rrangement </w:t>
      </w:r>
      <w:r>
        <w:rPr>
          <w:rStyle w:val="AERtextitalic"/>
        </w:rPr>
        <w:t>submission</w:t>
      </w:r>
      <w:r>
        <w:t>, 31 March 2012, pp. 63–64.</w:t>
      </w:r>
    </w:p>
  </w:footnote>
  <w:footnote w:id="569">
    <w:p w:rsidR="00377B37" w:rsidRDefault="00377B37" w:rsidP="007C1F9F">
      <w:pPr>
        <w:pStyle w:val="FootnoteText"/>
      </w:pPr>
      <w:r>
        <w:rPr>
          <w:rStyle w:val="FootnoteReference"/>
        </w:rPr>
        <w:footnoteRef/>
      </w:r>
      <w:r>
        <w:t xml:space="preserve"> </w:t>
      </w:r>
      <w:r>
        <w:tab/>
        <w:t xml:space="preserve">APA GasNet, </w:t>
      </w:r>
      <w:r w:rsidRPr="00CB2BCD">
        <w:rPr>
          <w:rStyle w:val="AERtextitalic"/>
        </w:rPr>
        <w:t xml:space="preserve">Access </w:t>
      </w:r>
      <w:r>
        <w:rPr>
          <w:rStyle w:val="AERtextitalic"/>
        </w:rPr>
        <w:t>a</w:t>
      </w:r>
      <w:r w:rsidRPr="00CB2BCD">
        <w:rPr>
          <w:rStyle w:val="AERtextitalic"/>
        </w:rPr>
        <w:t xml:space="preserve">rrangement </w:t>
      </w:r>
      <w:r>
        <w:rPr>
          <w:rStyle w:val="AERtextitalic"/>
        </w:rPr>
        <w:t>information</w:t>
      </w:r>
      <w:r>
        <w:t>, 31 March 2012, p. 14.</w:t>
      </w:r>
    </w:p>
  </w:footnote>
  <w:footnote w:id="570">
    <w:p w:rsidR="00377B37" w:rsidRDefault="00377B37" w:rsidP="007C1F9F">
      <w:pPr>
        <w:pStyle w:val="FootnoteText"/>
      </w:pPr>
      <w:r>
        <w:rPr>
          <w:rStyle w:val="FootnoteReference"/>
        </w:rPr>
        <w:footnoteRef/>
      </w:r>
      <w:r>
        <w:t xml:space="preserve"> </w:t>
      </w:r>
      <w:r>
        <w:tab/>
        <w:t>NGR, r. 72(1)(d).</w:t>
      </w:r>
    </w:p>
  </w:footnote>
  <w:footnote w:id="571">
    <w:p w:rsidR="00377B37" w:rsidRDefault="00377B37" w:rsidP="007C1F9F">
      <w:pPr>
        <w:pStyle w:val="FootnoteText"/>
      </w:pPr>
      <w:r>
        <w:rPr>
          <w:rStyle w:val="FootnoteReference"/>
        </w:rPr>
        <w:footnoteRef/>
      </w:r>
      <w:r>
        <w:t xml:space="preserve"> </w:t>
      </w:r>
      <w:r>
        <w:tab/>
        <w:t>NGR, r. 74.</w:t>
      </w:r>
    </w:p>
  </w:footnote>
  <w:footnote w:id="572">
    <w:p w:rsidR="00377B37" w:rsidRDefault="00377B37" w:rsidP="007C1F9F">
      <w:pPr>
        <w:pStyle w:val="FootnoteText"/>
      </w:pPr>
      <w:r>
        <w:rPr>
          <w:rStyle w:val="FootnoteReference"/>
        </w:rPr>
        <w:footnoteRef/>
      </w:r>
      <w:r>
        <w:t xml:space="preserve"> </w:t>
      </w:r>
      <w:r>
        <w:tab/>
        <w:t xml:space="preserve">ACIL Tasman, </w:t>
      </w:r>
      <w:r w:rsidRPr="00407C47">
        <w:rPr>
          <w:rStyle w:val="AERtextitalic"/>
        </w:rPr>
        <w:t>Review of Demand Forecasts for APA GasNet</w:t>
      </w:r>
      <w:r>
        <w:t>, July 2012.</w:t>
      </w:r>
    </w:p>
  </w:footnote>
  <w:footnote w:id="573">
    <w:p w:rsidR="00377B37" w:rsidRDefault="00377B37" w:rsidP="007C1F9F">
      <w:pPr>
        <w:pStyle w:val="FootnoteText"/>
      </w:pPr>
      <w:r>
        <w:rPr>
          <w:rStyle w:val="FootnoteReference"/>
        </w:rPr>
        <w:footnoteRef/>
      </w:r>
      <w:r>
        <w:t xml:space="preserve"> </w:t>
      </w:r>
      <w:r>
        <w:tab/>
        <w:t xml:space="preserve">APA GasNet, </w:t>
      </w:r>
      <w:r>
        <w:rPr>
          <w:rStyle w:val="AERtextitalic"/>
        </w:rPr>
        <w:t>Access a</w:t>
      </w:r>
      <w:r w:rsidRPr="004B49AF">
        <w:rPr>
          <w:rStyle w:val="AERtextitalic"/>
        </w:rPr>
        <w:t xml:space="preserve">rrangement </w:t>
      </w:r>
      <w:r>
        <w:rPr>
          <w:rStyle w:val="AERtextitalic"/>
        </w:rPr>
        <w:t>submission</w:t>
      </w:r>
      <w:r>
        <w:t>, 31 March 2012, pp. 95–96.</w:t>
      </w:r>
    </w:p>
  </w:footnote>
  <w:footnote w:id="574">
    <w:p w:rsidR="00377B37" w:rsidRDefault="00377B37" w:rsidP="007C1F9F">
      <w:pPr>
        <w:pStyle w:val="FootnoteText"/>
      </w:pPr>
      <w:r>
        <w:rPr>
          <w:rStyle w:val="FootnoteReference"/>
        </w:rPr>
        <w:footnoteRef/>
      </w:r>
      <w:r>
        <w:t xml:space="preserve"> </w:t>
      </w:r>
      <w:r>
        <w:tab/>
        <w:t>Origin, Submission to the AER: APA GasNet access arrangement proposal, 21 June 2012, p. 3.</w:t>
      </w:r>
    </w:p>
  </w:footnote>
  <w:footnote w:id="575">
    <w:p w:rsidR="00377B37" w:rsidRDefault="00377B37" w:rsidP="007C1F9F">
      <w:pPr>
        <w:pStyle w:val="FootnoteText"/>
      </w:pPr>
      <w:r>
        <w:rPr>
          <w:rStyle w:val="FootnoteReference"/>
        </w:rPr>
        <w:footnoteRef/>
      </w:r>
      <w:r>
        <w:t xml:space="preserve"> </w:t>
      </w:r>
      <w:r>
        <w:tab/>
        <w:t>TRUenergy, Submission to the AER: APA GasNet access arrangement proposal, 22 June 2012, p. 5.</w:t>
      </w:r>
    </w:p>
  </w:footnote>
  <w:footnote w:id="576">
    <w:p w:rsidR="00377B37" w:rsidRDefault="00377B37" w:rsidP="007C1F9F">
      <w:pPr>
        <w:pStyle w:val="FootnoteText"/>
      </w:pPr>
      <w:r>
        <w:rPr>
          <w:rStyle w:val="FootnoteReference"/>
        </w:rPr>
        <w:footnoteRef/>
      </w:r>
      <w:r>
        <w:t xml:space="preserve"> </w:t>
      </w:r>
      <w:r>
        <w:tab/>
        <w:t>AGL, Submission to the AER: APA GasNet access arrangement proposal, 18 June 2012, pp. 2–3.</w:t>
      </w:r>
    </w:p>
  </w:footnote>
  <w:footnote w:id="577">
    <w:p w:rsidR="00377B37" w:rsidRDefault="00377B37" w:rsidP="007C1F9F">
      <w:pPr>
        <w:pStyle w:val="FootnoteText"/>
      </w:pPr>
      <w:r>
        <w:rPr>
          <w:rStyle w:val="FootnoteReference"/>
        </w:rPr>
        <w:footnoteRef/>
      </w:r>
      <w:r>
        <w:t xml:space="preserve"> </w:t>
      </w:r>
      <w:r>
        <w:tab/>
        <w:t>AGL, Submission to the AER: APA GasNet access arrangement proposal (confidential), 18 June 2012.</w:t>
      </w:r>
    </w:p>
  </w:footnote>
  <w:footnote w:id="578">
    <w:p w:rsidR="00377B37" w:rsidRDefault="00377B37" w:rsidP="007C1F9F">
      <w:pPr>
        <w:pStyle w:val="FootnoteText"/>
      </w:pPr>
      <w:r>
        <w:rPr>
          <w:rStyle w:val="FootnoteReference"/>
        </w:rPr>
        <w:footnoteRef/>
      </w:r>
      <w:r>
        <w:t xml:space="preserve"> </w:t>
      </w:r>
      <w:r>
        <w:tab/>
        <w:t>See the attachment 3 - capital expenditure, of this decision.</w:t>
      </w:r>
    </w:p>
  </w:footnote>
  <w:footnote w:id="579">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pp. 11-12.</w:t>
      </w:r>
    </w:p>
  </w:footnote>
  <w:footnote w:id="580">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pp. 11-12.</w:t>
      </w:r>
    </w:p>
  </w:footnote>
  <w:footnote w:id="581">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 31.</w:t>
      </w:r>
    </w:p>
  </w:footnote>
  <w:footnote w:id="582">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pp. 12–13.</w:t>
      </w:r>
    </w:p>
  </w:footnote>
  <w:footnote w:id="583">
    <w:p w:rsidR="00377B37" w:rsidRDefault="00377B37" w:rsidP="007C1F9F">
      <w:pPr>
        <w:pStyle w:val="FootnoteText"/>
      </w:pPr>
      <w:r>
        <w:rPr>
          <w:rStyle w:val="FootnoteReference"/>
        </w:rPr>
        <w:footnoteRef/>
      </w:r>
      <w:r>
        <w:t xml:space="preserve"> </w:t>
      </w:r>
      <w:r>
        <w:tab/>
        <w:t xml:space="preserve">NIEIR, </w:t>
      </w:r>
      <w:r w:rsidRPr="002865E2">
        <w:rPr>
          <w:rStyle w:val="AERtextitalic"/>
        </w:rPr>
        <w:t>Natural gas forecasts and customer number forecasts for the Multinet distribution region to 2021</w:t>
      </w:r>
      <w:r>
        <w:t>, December 2011, p. 35.</w:t>
      </w:r>
    </w:p>
  </w:footnote>
  <w:footnote w:id="584">
    <w:p w:rsidR="00377B37" w:rsidRDefault="00377B37" w:rsidP="007C1F9F">
      <w:pPr>
        <w:pStyle w:val="FootnoteText"/>
      </w:pPr>
      <w:r>
        <w:rPr>
          <w:rStyle w:val="FootnoteReference"/>
        </w:rPr>
        <w:footnoteRef/>
      </w:r>
      <w:r>
        <w:t xml:space="preserve"> </w:t>
      </w:r>
      <w:r>
        <w:tab/>
        <w:t>Energy Users Coalition of Victoria, Submission to the AER: APA GasNet access arrangement proposal, 18 June 2012, p. 34.</w:t>
      </w:r>
    </w:p>
  </w:footnote>
  <w:footnote w:id="585">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 31.</w:t>
      </w:r>
    </w:p>
  </w:footnote>
  <w:footnote w:id="586">
    <w:p w:rsidR="00377B37" w:rsidRDefault="00377B37" w:rsidP="007C1F9F">
      <w:pPr>
        <w:pStyle w:val="FootnoteText"/>
      </w:pPr>
      <w:r>
        <w:rPr>
          <w:rStyle w:val="FootnoteReference"/>
        </w:rPr>
        <w:footnoteRef/>
      </w:r>
      <w:r>
        <w:t xml:space="preserve"> </w:t>
      </w:r>
      <w:r>
        <w:tab/>
        <w:t xml:space="preserve">AEMO, </w:t>
      </w:r>
      <w:r w:rsidRPr="00D00E4C">
        <w:rPr>
          <w:rStyle w:val="AERtextitalic"/>
        </w:rPr>
        <w:t>Gas Statement of Opportunities 2011</w:t>
      </w:r>
      <w:r>
        <w:t>, December 2011, p. A1-2.</w:t>
      </w:r>
    </w:p>
  </w:footnote>
  <w:footnote w:id="587">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 34.</w:t>
      </w:r>
    </w:p>
  </w:footnote>
  <w:footnote w:id="588">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 12.</w:t>
      </w:r>
    </w:p>
  </w:footnote>
  <w:footnote w:id="589">
    <w:p w:rsidR="00377B37" w:rsidRDefault="00377B37" w:rsidP="007C1F9F">
      <w:pPr>
        <w:pStyle w:val="FootnoteText"/>
      </w:pPr>
      <w:r>
        <w:rPr>
          <w:rStyle w:val="FootnoteReference"/>
        </w:rPr>
        <w:footnoteRef/>
      </w:r>
      <w:r>
        <w:t xml:space="preserve"> </w:t>
      </w:r>
      <w:r>
        <w:tab/>
        <w:t>NGR, r. 74(2).</w:t>
      </w:r>
    </w:p>
  </w:footnote>
  <w:footnote w:id="590">
    <w:p w:rsidR="00377B37" w:rsidRDefault="00377B37" w:rsidP="007C1F9F">
      <w:pPr>
        <w:pStyle w:val="FootnoteText"/>
      </w:pPr>
      <w:r>
        <w:rPr>
          <w:rStyle w:val="FootnoteReference"/>
        </w:rPr>
        <w:footnoteRef/>
      </w:r>
      <w:r>
        <w:t xml:space="preserve"> </w:t>
      </w:r>
      <w:r>
        <w:tab/>
        <w:t xml:space="preserve">AEMO, </w:t>
      </w:r>
      <w:r w:rsidRPr="00C73E96">
        <w:rPr>
          <w:rStyle w:val="AERtextitalic"/>
        </w:rPr>
        <w:t>Electricity Statement of Opportunities 2010</w:t>
      </w:r>
      <w:r>
        <w:t>, August 2010, pp. 158 and 164.</w:t>
      </w:r>
    </w:p>
  </w:footnote>
  <w:footnote w:id="591">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pp. 26–27.</w:t>
      </w:r>
    </w:p>
  </w:footnote>
  <w:footnote w:id="592">
    <w:p w:rsidR="00377B37" w:rsidRDefault="00377B37" w:rsidP="007C1F9F">
      <w:pPr>
        <w:pStyle w:val="FootnoteText"/>
      </w:pPr>
      <w:r>
        <w:rPr>
          <w:rStyle w:val="FootnoteReference"/>
        </w:rPr>
        <w:footnoteRef/>
      </w:r>
      <w:r>
        <w:t xml:space="preserve"> </w:t>
      </w:r>
      <w:r>
        <w:tab/>
        <w:t xml:space="preserve">APA GasNet, </w:t>
      </w:r>
      <w:r w:rsidRPr="004B49AF">
        <w:rPr>
          <w:rStyle w:val="AERtextitalic"/>
        </w:rPr>
        <w:t xml:space="preserve">Access </w:t>
      </w:r>
      <w:r>
        <w:rPr>
          <w:rStyle w:val="AERtextitalic"/>
        </w:rPr>
        <w:t>a</w:t>
      </w:r>
      <w:r w:rsidRPr="004B49AF">
        <w:rPr>
          <w:rStyle w:val="AERtextitalic"/>
        </w:rPr>
        <w:t xml:space="preserve">rrangement </w:t>
      </w:r>
      <w:r>
        <w:rPr>
          <w:rStyle w:val="AERtextitalic"/>
        </w:rPr>
        <w:t>submission</w:t>
      </w:r>
      <w:r>
        <w:t>, 31 March 2012, p. 64.</w:t>
      </w:r>
    </w:p>
  </w:footnote>
  <w:footnote w:id="593">
    <w:p w:rsidR="00377B37" w:rsidRDefault="00377B37" w:rsidP="007C1F9F">
      <w:pPr>
        <w:pStyle w:val="FootnoteText"/>
      </w:pPr>
      <w:r>
        <w:rPr>
          <w:rStyle w:val="FootnoteReference"/>
        </w:rPr>
        <w:footnoteRef/>
      </w:r>
      <w:r>
        <w:t xml:space="preserve"> </w:t>
      </w:r>
      <w:r>
        <w:tab/>
        <w:t>Energy Users Coalition of Victoria, Submission to the AER: APA GasNet access arrangement proposal, 18 June 2012, p. 35.</w:t>
      </w:r>
    </w:p>
  </w:footnote>
  <w:footnote w:id="594">
    <w:p w:rsidR="00377B37" w:rsidRDefault="00377B37" w:rsidP="007C1F9F">
      <w:pPr>
        <w:pStyle w:val="FootnoteText"/>
      </w:pPr>
      <w:r>
        <w:rPr>
          <w:rStyle w:val="FootnoteReference"/>
        </w:rPr>
        <w:footnoteRef/>
      </w:r>
      <w:r>
        <w:t xml:space="preserve"> </w:t>
      </w:r>
      <w:r>
        <w:tab/>
        <w:t xml:space="preserve">Treasury, </w:t>
      </w:r>
      <w:r w:rsidRPr="00615181">
        <w:rPr>
          <w:rStyle w:val="AERtextitalic"/>
        </w:rPr>
        <w:t>Strong Growth, Low Pollution: Modelling a Carbon Price</w:t>
      </w:r>
      <w:r>
        <w:t>, July 2011, p. 119.</w:t>
      </w:r>
    </w:p>
  </w:footnote>
  <w:footnote w:id="595">
    <w:p w:rsidR="00377B37" w:rsidRDefault="00377B37" w:rsidP="007C1F9F">
      <w:pPr>
        <w:pStyle w:val="FootnoteText"/>
      </w:pPr>
      <w:r>
        <w:rPr>
          <w:rStyle w:val="FootnoteReference"/>
        </w:rPr>
        <w:footnoteRef/>
      </w:r>
      <w:r>
        <w:t xml:space="preserve"> </w:t>
      </w:r>
      <w:r>
        <w:tab/>
        <w:t xml:space="preserve">AEMO, </w:t>
      </w:r>
      <w:r w:rsidRPr="00550623">
        <w:rPr>
          <w:rStyle w:val="AERtextitalic"/>
        </w:rPr>
        <w:t>GSOO 2011</w:t>
      </w:r>
      <w:r>
        <w:t>, December 2011, p. A1-11.</w:t>
      </w:r>
    </w:p>
  </w:footnote>
  <w:footnote w:id="596">
    <w:p w:rsidR="00377B37" w:rsidRDefault="00377B37" w:rsidP="007C1F9F">
      <w:pPr>
        <w:pStyle w:val="FootnoteText"/>
      </w:pPr>
      <w:r>
        <w:rPr>
          <w:rStyle w:val="FootnoteReference"/>
        </w:rPr>
        <w:footnoteRef/>
      </w:r>
      <w:r>
        <w:t xml:space="preserve"> </w:t>
      </w:r>
      <w:r>
        <w:tab/>
      </w:r>
      <w:r w:rsidRPr="0016669A">
        <w:t xml:space="preserve">AEMO, </w:t>
      </w:r>
      <w:r w:rsidRPr="00550623">
        <w:rPr>
          <w:rStyle w:val="AERtextitalic"/>
        </w:rPr>
        <w:t>GSOO 2011</w:t>
      </w:r>
      <w:r w:rsidRPr="0016669A">
        <w:t xml:space="preserve">, December 2011, p. </w:t>
      </w:r>
      <w:r>
        <w:t>1–13</w:t>
      </w:r>
      <w:r w:rsidRPr="0016669A">
        <w:t>.</w:t>
      </w:r>
    </w:p>
  </w:footnote>
  <w:footnote w:id="597">
    <w:p w:rsidR="00377B37" w:rsidRDefault="00377B37" w:rsidP="007C1F9F">
      <w:pPr>
        <w:pStyle w:val="FootnoteText"/>
      </w:pPr>
      <w:r>
        <w:rPr>
          <w:rStyle w:val="FootnoteReference"/>
        </w:rPr>
        <w:footnoteRef/>
      </w:r>
      <w:r>
        <w:t xml:space="preserve"> </w:t>
      </w:r>
      <w:r>
        <w:tab/>
      </w:r>
      <w:r w:rsidRPr="0016669A">
        <w:t xml:space="preserve">APA GasNet, </w:t>
      </w:r>
      <w:r w:rsidRPr="0016669A">
        <w:rPr>
          <w:rStyle w:val="AERtextitalic"/>
        </w:rPr>
        <w:t xml:space="preserve">Access </w:t>
      </w:r>
      <w:r>
        <w:rPr>
          <w:rStyle w:val="AERtextitalic"/>
        </w:rPr>
        <w:t>a</w:t>
      </w:r>
      <w:r w:rsidRPr="0016669A">
        <w:rPr>
          <w:rStyle w:val="AERtextitalic"/>
        </w:rPr>
        <w:t xml:space="preserve">rrangement </w:t>
      </w:r>
      <w:r>
        <w:rPr>
          <w:rStyle w:val="AERtextitalic"/>
        </w:rPr>
        <w:t>submission</w:t>
      </w:r>
      <w:r>
        <w:t>, 31 March 2012, p. 63</w:t>
      </w:r>
      <w:r w:rsidRPr="0016669A">
        <w:t>.</w:t>
      </w:r>
    </w:p>
  </w:footnote>
  <w:footnote w:id="598">
    <w:p w:rsidR="00377B37" w:rsidRDefault="00377B37" w:rsidP="007C1F9F">
      <w:pPr>
        <w:pStyle w:val="FootnoteText"/>
      </w:pPr>
      <w:r>
        <w:rPr>
          <w:rStyle w:val="FootnoteReference"/>
        </w:rPr>
        <w:footnoteRef/>
      </w:r>
      <w:r>
        <w:t xml:space="preserve"> </w:t>
      </w:r>
      <w:r>
        <w:tab/>
        <w:t xml:space="preserve">ACIL Tasman, </w:t>
      </w:r>
      <w:r w:rsidRPr="002865E2">
        <w:rPr>
          <w:rStyle w:val="AERtextitalic"/>
        </w:rPr>
        <w:t>Review of Demand Forecasts for APA GasNet</w:t>
      </w:r>
      <w:r>
        <w:t>, July 2012, pp. 26–27.</w:t>
      </w:r>
    </w:p>
  </w:footnote>
  <w:footnote w:id="599">
    <w:p w:rsidR="00377B37" w:rsidRDefault="00377B37" w:rsidP="007C1F9F">
      <w:pPr>
        <w:pStyle w:val="FootnoteText"/>
      </w:pPr>
      <w:r>
        <w:rPr>
          <w:rStyle w:val="FootnoteReference"/>
        </w:rPr>
        <w:footnoteRef/>
      </w:r>
      <w:r>
        <w:t xml:space="preserve"> </w:t>
      </w:r>
      <w:r>
        <w:tab/>
      </w:r>
      <w:r w:rsidRPr="00B65F23">
        <w:t xml:space="preserve">ACIL Tasman, </w:t>
      </w:r>
      <w:r w:rsidRPr="002865E2">
        <w:rPr>
          <w:rStyle w:val="AERtextitalic"/>
        </w:rPr>
        <w:t>Review of Demand Forecasts for APA GasNet</w:t>
      </w:r>
      <w:r>
        <w:t>, July 2012, pp. 26–27.</w:t>
      </w:r>
    </w:p>
  </w:footnote>
  <w:footnote w:id="600">
    <w:p w:rsidR="00377B37" w:rsidRDefault="00377B37" w:rsidP="007C1F9F">
      <w:pPr>
        <w:pStyle w:val="FootnoteText"/>
      </w:pPr>
      <w:r>
        <w:rPr>
          <w:rStyle w:val="FootnoteReference"/>
        </w:rPr>
        <w:footnoteRef/>
      </w:r>
      <w:r>
        <w:t xml:space="preserve"> </w:t>
      </w:r>
      <w:r>
        <w:tab/>
        <w:t xml:space="preserve">APA GasNet, </w:t>
      </w:r>
      <w:r>
        <w:rPr>
          <w:rStyle w:val="AERtextitalic"/>
        </w:rPr>
        <w:t>Access a</w:t>
      </w:r>
      <w:r w:rsidRPr="004B49AF">
        <w:rPr>
          <w:rStyle w:val="AERtextitalic"/>
        </w:rPr>
        <w:t xml:space="preserve">rrangement </w:t>
      </w:r>
      <w:r>
        <w:rPr>
          <w:rStyle w:val="AERtextitalic"/>
        </w:rPr>
        <w:t>submission</w:t>
      </w:r>
      <w:r>
        <w:t>, 31 March 2012, p. 61.</w:t>
      </w:r>
    </w:p>
  </w:footnote>
  <w:footnote w:id="601">
    <w:p w:rsidR="00377B37" w:rsidRDefault="00377B37" w:rsidP="007C1F9F">
      <w:pPr>
        <w:pStyle w:val="FootnoteText"/>
      </w:pPr>
      <w:r>
        <w:rPr>
          <w:rStyle w:val="FootnoteReference"/>
        </w:rPr>
        <w:footnoteRef/>
      </w:r>
      <w:r>
        <w:t xml:space="preserve"> </w:t>
      </w:r>
      <w:r>
        <w:tab/>
        <w:t xml:space="preserve">APA GasNet, </w:t>
      </w:r>
      <w:r w:rsidRPr="004B49AF">
        <w:rPr>
          <w:rStyle w:val="AERtextitalic"/>
        </w:rPr>
        <w:t xml:space="preserve">Access </w:t>
      </w:r>
      <w:r>
        <w:rPr>
          <w:rStyle w:val="AERtextitalic"/>
        </w:rPr>
        <w:t>a</w:t>
      </w:r>
      <w:r w:rsidRPr="004B49AF">
        <w:rPr>
          <w:rStyle w:val="AERtextitalic"/>
        </w:rPr>
        <w:t xml:space="preserve">rrangement </w:t>
      </w:r>
      <w:r>
        <w:rPr>
          <w:rStyle w:val="AERtextitalic"/>
        </w:rPr>
        <w:t>submission</w:t>
      </w:r>
      <w:r>
        <w:t>, 31 March 2012, p. 62.</w:t>
      </w:r>
    </w:p>
  </w:footnote>
  <w:footnote w:id="602">
    <w:p w:rsidR="00377B37" w:rsidRDefault="00377B37" w:rsidP="007C1F9F">
      <w:pPr>
        <w:pStyle w:val="FootnoteText"/>
      </w:pPr>
      <w:r>
        <w:rPr>
          <w:rStyle w:val="FootnoteReference"/>
        </w:rPr>
        <w:footnoteRef/>
      </w:r>
      <w:r>
        <w:t xml:space="preserve"> </w:t>
      </w:r>
      <w:r>
        <w:tab/>
        <w:t xml:space="preserve">APA GasNet, </w:t>
      </w:r>
      <w:r w:rsidRPr="004B49AF">
        <w:rPr>
          <w:rStyle w:val="AERtextitalic"/>
        </w:rPr>
        <w:t xml:space="preserve">Access </w:t>
      </w:r>
      <w:r>
        <w:rPr>
          <w:rStyle w:val="AERtextitalic"/>
        </w:rPr>
        <w:t>a</w:t>
      </w:r>
      <w:r w:rsidRPr="004B49AF">
        <w:rPr>
          <w:rStyle w:val="AERtextitalic"/>
        </w:rPr>
        <w:t xml:space="preserve">rrangement </w:t>
      </w:r>
      <w:r>
        <w:rPr>
          <w:rStyle w:val="AERtextitalic"/>
        </w:rPr>
        <w:t>submission</w:t>
      </w:r>
      <w:r>
        <w:t>, 31 March 2012, p. 61.</w:t>
      </w:r>
    </w:p>
  </w:footnote>
  <w:footnote w:id="603">
    <w:p w:rsidR="00377B37" w:rsidRDefault="00377B37" w:rsidP="007C1F9F">
      <w:pPr>
        <w:pStyle w:val="FootnoteText"/>
      </w:pPr>
      <w:r>
        <w:rPr>
          <w:rStyle w:val="FootnoteReference"/>
        </w:rPr>
        <w:footnoteRef/>
      </w:r>
      <w:r>
        <w:t xml:space="preserve"> </w:t>
      </w:r>
      <w:r>
        <w:tab/>
        <w:t>These capacity figures are indicative and based on AER analysis.</w:t>
      </w:r>
    </w:p>
  </w:footnote>
  <w:footnote w:id="604">
    <w:p w:rsidR="00377B37" w:rsidRDefault="00377B37" w:rsidP="007C1F9F">
      <w:pPr>
        <w:pStyle w:val="FootnoteText"/>
      </w:pPr>
      <w:r>
        <w:rPr>
          <w:rStyle w:val="FootnoteReference"/>
        </w:rPr>
        <w:footnoteRef/>
      </w:r>
      <w:r>
        <w:t xml:space="preserve"> </w:t>
      </w:r>
      <w:r>
        <w:tab/>
        <w:t xml:space="preserve">NGR, r. </w:t>
      </w:r>
      <w:r w:rsidRPr="00DD18B4">
        <w:t>48(1)(d)(i)</w:t>
      </w:r>
      <w:r>
        <w:t xml:space="preserve">; r. </w:t>
      </w:r>
      <w:r w:rsidRPr="00876930">
        <w:t>72(1)(j)</w:t>
      </w:r>
      <w:r>
        <w:t>.</w:t>
      </w:r>
    </w:p>
  </w:footnote>
  <w:footnote w:id="605">
    <w:p w:rsidR="00377B37" w:rsidRDefault="00377B37" w:rsidP="007C1F9F">
      <w:pPr>
        <w:pStyle w:val="FootnoteText"/>
      </w:pPr>
      <w:r>
        <w:rPr>
          <w:rStyle w:val="FootnoteReference"/>
        </w:rPr>
        <w:footnoteRef/>
      </w:r>
      <w:r>
        <w:t xml:space="preserve"> </w:t>
      </w:r>
      <w:r>
        <w:tab/>
      </w:r>
      <w:r w:rsidRPr="00E2065A">
        <w:t xml:space="preserve">APA GasNet, </w:t>
      </w:r>
      <w:r w:rsidRPr="00763CD6">
        <w:rPr>
          <w:rStyle w:val="AERtextitalic"/>
        </w:rPr>
        <w:t>Access arrangement submission</w:t>
      </w:r>
      <w:r w:rsidRPr="00E2065A">
        <w:t>, March 2012, p. 15.</w:t>
      </w:r>
    </w:p>
  </w:footnote>
  <w:footnote w:id="606">
    <w:p w:rsidR="00377B37" w:rsidRDefault="00377B37" w:rsidP="007C1F9F">
      <w:pPr>
        <w:pStyle w:val="FootnoteText"/>
      </w:pPr>
      <w:r>
        <w:rPr>
          <w:rStyle w:val="FootnoteReference"/>
        </w:rPr>
        <w:footnoteRef/>
      </w:r>
      <w:r>
        <w:t xml:space="preserve"> </w:t>
      </w:r>
      <w:r>
        <w:tab/>
        <w:t xml:space="preserve">APA GasNet, </w:t>
      </w:r>
      <w:r w:rsidRPr="00AC5DFF">
        <w:rPr>
          <w:rStyle w:val="AERtextitalic"/>
        </w:rPr>
        <w:t>Response to information request No.16</w:t>
      </w:r>
      <w:r>
        <w:t>, dated 4 July 2012, p 5.</w:t>
      </w:r>
    </w:p>
  </w:footnote>
  <w:footnote w:id="607">
    <w:p w:rsidR="00377B37" w:rsidRDefault="00377B37" w:rsidP="007C1F9F">
      <w:pPr>
        <w:pStyle w:val="FootnoteText"/>
      </w:pPr>
      <w:r>
        <w:rPr>
          <w:rStyle w:val="FootnoteReference"/>
        </w:rPr>
        <w:footnoteRef/>
      </w:r>
      <w:r>
        <w:t xml:space="preserve"> </w:t>
      </w:r>
      <w:r>
        <w:tab/>
        <w:t>NGR, r. 41(1)(d).</w:t>
      </w:r>
    </w:p>
  </w:footnote>
  <w:footnote w:id="608">
    <w:p w:rsidR="00377B37" w:rsidRDefault="00377B37" w:rsidP="007C1F9F">
      <w:pPr>
        <w:pStyle w:val="FootnoteText"/>
      </w:pPr>
      <w:r>
        <w:rPr>
          <w:rStyle w:val="FootnoteReference"/>
        </w:rPr>
        <w:footnoteRef/>
      </w:r>
      <w:r>
        <w:t xml:space="preserve"> </w:t>
      </w:r>
      <w:r>
        <w:tab/>
        <w:t>NGR, r. 95(4).</w:t>
      </w:r>
    </w:p>
  </w:footnote>
  <w:footnote w:id="609">
    <w:p w:rsidR="00377B37" w:rsidRDefault="00377B37" w:rsidP="007C1F9F">
      <w:pPr>
        <w:pStyle w:val="FootnoteText"/>
      </w:pPr>
      <w:r>
        <w:rPr>
          <w:rStyle w:val="FootnoteReference"/>
        </w:rPr>
        <w:footnoteRef/>
      </w:r>
      <w:r>
        <w:t xml:space="preserve"> </w:t>
      </w:r>
      <w:r>
        <w:tab/>
        <w:t xml:space="preserve">NGR, </w:t>
      </w:r>
      <w:r w:rsidRPr="00710111">
        <w:rPr>
          <w:rFonts w:eastAsia="Calibri"/>
        </w:rPr>
        <w:t>r</w:t>
      </w:r>
      <w:r>
        <w:rPr>
          <w:rFonts w:eastAsia="Calibri"/>
        </w:rPr>
        <w:t>.</w:t>
      </w:r>
      <w:r w:rsidRPr="00710111">
        <w:rPr>
          <w:rFonts w:eastAsia="Calibri"/>
        </w:rPr>
        <w:t xml:space="preserve"> 72(1)(j)</w:t>
      </w:r>
      <w:r>
        <w:rPr>
          <w:rFonts w:eastAsia="Calibri"/>
        </w:rPr>
        <w:t>.</w:t>
      </w:r>
    </w:p>
  </w:footnote>
  <w:footnote w:id="610">
    <w:p w:rsidR="00377B37" w:rsidRDefault="00377B37" w:rsidP="007C1F9F">
      <w:pPr>
        <w:pStyle w:val="FootnoteText"/>
      </w:pPr>
      <w:r>
        <w:rPr>
          <w:rStyle w:val="FootnoteReference"/>
        </w:rPr>
        <w:footnoteRef/>
      </w:r>
      <w:r>
        <w:tab/>
        <w:t>NGR, r. 93(1); rule 95(2).</w:t>
      </w:r>
    </w:p>
  </w:footnote>
  <w:footnote w:id="611">
    <w:p w:rsidR="00377B37" w:rsidRDefault="00377B37" w:rsidP="007C1F9F">
      <w:pPr>
        <w:pStyle w:val="FootnoteText"/>
      </w:pPr>
      <w:r>
        <w:rPr>
          <w:rStyle w:val="FootnoteReference"/>
        </w:rPr>
        <w:footnoteRef/>
      </w:r>
      <w:r>
        <w:t xml:space="preserve"> </w:t>
      </w:r>
      <w:r>
        <w:tab/>
        <w:t>NGR, r. 95(1)(3).</w:t>
      </w:r>
    </w:p>
  </w:footnote>
  <w:footnote w:id="612">
    <w:p w:rsidR="00377B37" w:rsidRDefault="00377B37" w:rsidP="007C1F9F">
      <w:pPr>
        <w:pStyle w:val="FootnoteText"/>
      </w:pPr>
      <w:r>
        <w:rPr>
          <w:rStyle w:val="FootnoteReference"/>
        </w:rPr>
        <w:footnoteRef/>
      </w:r>
      <w:r>
        <w:t xml:space="preserve"> </w:t>
      </w:r>
      <w:r>
        <w:tab/>
        <w:t>NGL, s. 28</w:t>
      </w:r>
    </w:p>
  </w:footnote>
  <w:footnote w:id="613">
    <w:p w:rsidR="00377B37" w:rsidRDefault="00377B37" w:rsidP="007C1F9F">
      <w:pPr>
        <w:pStyle w:val="FootnoteText"/>
      </w:pPr>
      <w:r>
        <w:rPr>
          <w:rStyle w:val="FootnoteReference"/>
        </w:rPr>
        <w:footnoteRef/>
      </w:r>
      <w:r>
        <w:t xml:space="preserve"> </w:t>
      </w:r>
      <w:r>
        <w:tab/>
        <w:t xml:space="preserve">Section 11.1.4 of the APA GasNet </w:t>
      </w:r>
      <w:r w:rsidRPr="003623A1">
        <w:rPr>
          <w:rStyle w:val="AERtextitalic"/>
        </w:rPr>
        <w:t xml:space="preserve">Access arrangement </w:t>
      </w:r>
      <w:r>
        <w:rPr>
          <w:rStyle w:val="AERtextitalic"/>
        </w:rPr>
        <w:t>submission</w:t>
      </w:r>
      <w:r>
        <w:t>, 31 March 2012.</w:t>
      </w:r>
    </w:p>
  </w:footnote>
  <w:footnote w:id="614">
    <w:p w:rsidR="00377B37" w:rsidRDefault="00377B37" w:rsidP="007C1F9F">
      <w:pPr>
        <w:pStyle w:val="FootnoteText"/>
      </w:pPr>
      <w:r>
        <w:rPr>
          <w:rStyle w:val="FootnoteReference"/>
        </w:rPr>
        <w:footnoteRef/>
      </w:r>
      <w:r>
        <w:t xml:space="preserve"> </w:t>
      </w:r>
      <w:r>
        <w:tab/>
        <w:t>See attachment 1 of this draft decision.</w:t>
      </w:r>
    </w:p>
  </w:footnote>
  <w:footnote w:id="615">
    <w:p w:rsidR="00377B37" w:rsidRDefault="00377B37" w:rsidP="007C1F9F">
      <w:pPr>
        <w:pStyle w:val="FootnoteText"/>
      </w:pPr>
      <w:r>
        <w:rPr>
          <w:rStyle w:val="FootnoteReference"/>
        </w:rPr>
        <w:footnoteRef/>
      </w:r>
      <w:r>
        <w:t xml:space="preserve"> </w:t>
      </w:r>
      <w:r>
        <w:tab/>
        <w:t>NGL, s. 24(7).</w:t>
      </w:r>
    </w:p>
  </w:footnote>
  <w:footnote w:id="616">
    <w:p w:rsidR="00377B37" w:rsidRDefault="00377B37" w:rsidP="007C1F9F">
      <w:pPr>
        <w:pStyle w:val="FootnoteText"/>
      </w:pPr>
      <w:r>
        <w:rPr>
          <w:rStyle w:val="FootnoteReference"/>
        </w:rPr>
        <w:footnoteRef/>
      </w:r>
      <w:r>
        <w:t xml:space="preserve"> </w:t>
      </w:r>
      <w:r>
        <w:tab/>
        <w:t xml:space="preserve">ACCC, </w:t>
      </w:r>
      <w:r w:rsidRPr="00367A0E">
        <w:rPr>
          <w:rStyle w:val="AERtextitalic"/>
        </w:rPr>
        <w:t>Final decision, GasNet</w:t>
      </w:r>
      <w:r>
        <w:rPr>
          <w:rStyle w:val="AERtextitalic"/>
        </w:rPr>
        <w:t xml:space="preserve"> Australia access arrangement</w:t>
      </w:r>
      <w:r>
        <w:t>, April 2008, p. 148.</w:t>
      </w:r>
    </w:p>
  </w:footnote>
  <w:footnote w:id="617">
    <w:p w:rsidR="00377B37" w:rsidRDefault="00377B37" w:rsidP="007C1F9F">
      <w:pPr>
        <w:pStyle w:val="FootnoteText"/>
      </w:pPr>
      <w:r>
        <w:rPr>
          <w:rStyle w:val="FootnoteReference"/>
        </w:rPr>
        <w:footnoteRef/>
      </w:r>
      <w:r>
        <w:t xml:space="preserve"> </w:t>
      </w:r>
      <w:r>
        <w:tab/>
        <w:t>The Stonehaven compressor and the Wollert to Wodonga expansion are components of APA GasNet's proposed Gas to Culcairn project, discussed in attachment 3 of this draft decision.</w:t>
      </w:r>
    </w:p>
  </w:footnote>
  <w:footnote w:id="618">
    <w:p w:rsidR="00377B37" w:rsidRDefault="00377B37" w:rsidP="007C1F9F">
      <w:pPr>
        <w:pStyle w:val="FootnoteText"/>
      </w:pPr>
      <w:r>
        <w:rPr>
          <w:rStyle w:val="FootnoteReference"/>
        </w:rPr>
        <w:footnoteRef/>
      </w:r>
      <w:r>
        <w:t xml:space="preserve"> </w:t>
      </w:r>
      <w:r>
        <w:tab/>
        <w:t>Kalkallo Business Case, dated 3 March 2012, p. 3.</w:t>
      </w:r>
    </w:p>
  </w:footnote>
  <w:footnote w:id="619">
    <w:p w:rsidR="00377B37" w:rsidRDefault="00377B37" w:rsidP="007C1F9F">
      <w:pPr>
        <w:pStyle w:val="FootnoteText"/>
      </w:pPr>
      <w:r>
        <w:rPr>
          <w:rStyle w:val="FootnoteReference"/>
        </w:rPr>
        <w:footnoteRef/>
      </w:r>
      <w:r>
        <w:t xml:space="preserve"> </w:t>
      </w:r>
      <w:r>
        <w:tab/>
        <w:t xml:space="preserve">APA GasNet, </w:t>
      </w:r>
      <w:r w:rsidRPr="00AC5DFF">
        <w:rPr>
          <w:rStyle w:val="AERtextitalic"/>
        </w:rPr>
        <w:t>Response to information request No.23</w:t>
      </w:r>
      <w:r>
        <w:t>, dated 31 July 2012, p. 4.</w:t>
      </w:r>
    </w:p>
  </w:footnote>
  <w:footnote w:id="620">
    <w:p w:rsidR="00377B37" w:rsidRDefault="00377B37" w:rsidP="007C1F9F">
      <w:pPr>
        <w:pStyle w:val="FootnoteText"/>
      </w:pPr>
      <w:r>
        <w:rPr>
          <w:rStyle w:val="FootnoteReference"/>
        </w:rPr>
        <w:footnoteRef/>
      </w:r>
      <w:r>
        <w:t xml:space="preserve"> </w:t>
      </w:r>
      <w:r>
        <w:tab/>
        <w:t>These are assets involved in the haulage of gas, as distinct from assets providing general business services such as administration buildings and land.</w:t>
      </w:r>
    </w:p>
  </w:footnote>
  <w:footnote w:id="621">
    <w:p w:rsidR="00377B37" w:rsidRDefault="00377B37" w:rsidP="007C1F9F">
      <w:pPr>
        <w:pStyle w:val="FootnoteText"/>
      </w:pPr>
      <w:r>
        <w:rPr>
          <w:rStyle w:val="FootnoteReference"/>
        </w:rPr>
        <w:footnoteRef/>
      </w:r>
      <w:r>
        <w:t xml:space="preserve"> </w:t>
      </w:r>
      <w:r>
        <w:tab/>
        <w:t>8.16(a)(ii)(C) of the Code is analogous to r. 79(2)(c) in the NGR.</w:t>
      </w:r>
    </w:p>
  </w:footnote>
  <w:footnote w:id="622">
    <w:p w:rsidR="00377B37" w:rsidRDefault="00377B37" w:rsidP="007C1F9F">
      <w:pPr>
        <w:pStyle w:val="FootnoteText"/>
      </w:pPr>
      <w:r>
        <w:rPr>
          <w:rStyle w:val="FootnoteReference"/>
        </w:rPr>
        <w:footnoteRef/>
      </w:r>
      <w:r>
        <w:t xml:space="preserve"> </w:t>
      </w:r>
      <w:r>
        <w:tab/>
        <w:t>NGR, r. 95(3)(a).</w:t>
      </w:r>
    </w:p>
  </w:footnote>
  <w:footnote w:id="623">
    <w:p w:rsidR="00377B37" w:rsidRDefault="00377B37" w:rsidP="007C1F9F">
      <w:pPr>
        <w:pStyle w:val="FootnoteText"/>
      </w:pPr>
      <w:r>
        <w:rPr>
          <w:rStyle w:val="FootnoteReference"/>
        </w:rPr>
        <w:footnoteRef/>
      </w:r>
      <w:r>
        <w:t xml:space="preserve"> </w:t>
      </w:r>
      <w:r>
        <w:tab/>
        <w:t>Clause 8.16(a)(ii)(A) of the Code.</w:t>
      </w:r>
    </w:p>
  </w:footnote>
  <w:footnote w:id="624">
    <w:p w:rsidR="00377B37" w:rsidRDefault="00377B37" w:rsidP="007C1F9F">
      <w:pPr>
        <w:pStyle w:val="FootnoteText"/>
      </w:pPr>
      <w:r>
        <w:rPr>
          <w:rStyle w:val="FootnoteReference"/>
        </w:rPr>
        <w:footnoteRef/>
      </w:r>
      <w:r>
        <w:t xml:space="preserve"> </w:t>
      </w:r>
      <w:r>
        <w:tab/>
        <w:t>ACCC</w:t>
      </w:r>
      <w:r w:rsidRPr="00223FD0">
        <w:rPr>
          <w:rStyle w:val="AERtextitalic"/>
        </w:rPr>
        <w:t xml:space="preserve">, Final Decision, GasNet </w:t>
      </w:r>
      <w:r>
        <w:rPr>
          <w:rStyle w:val="AERtextitalic"/>
        </w:rPr>
        <w:t>Australia a</w:t>
      </w:r>
      <w:r w:rsidRPr="00223FD0">
        <w:rPr>
          <w:rStyle w:val="AERtextitalic"/>
        </w:rPr>
        <w:t xml:space="preserve">ccess </w:t>
      </w:r>
      <w:r>
        <w:rPr>
          <w:rStyle w:val="AERtextitalic"/>
        </w:rPr>
        <w:t>a</w:t>
      </w:r>
      <w:r w:rsidRPr="00223FD0">
        <w:rPr>
          <w:rStyle w:val="AERtextitalic"/>
        </w:rPr>
        <w:t>rrangement</w:t>
      </w:r>
      <w:r>
        <w:rPr>
          <w:rStyle w:val="AERtextitalic"/>
        </w:rPr>
        <w:t xml:space="preserve"> 2003-07</w:t>
      </w:r>
      <w:r>
        <w:t>, November 2002.</w:t>
      </w:r>
    </w:p>
  </w:footnote>
  <w:footnote w:id="625">
    <w:p w:rsidR="00377B37" w:rsidRDefault="00377B37" w:rsidP="007C1F9F">
      <w:pPr>
        <w:pStyle w:val="FootnoteText"/>
      </w:pPr>
      <w:r>
        <w:rPr>
          <w:rStyle w:val="FootnoteReference"/>
        </w:rPr>
        <w:footnoteRef/>
      </w:r>
      <w:r>
        <w:t xml:space="preserve">      </w:t>
      </w:r>
      <w:r>
        <w:tab/>
        <w:t>NGR, r. 79(3).</w:t>
      </w:r>
    </w:p>
  </w:footnote>
  <w:footnote w:id="626">
    <w:p w:rsidR="00377B37" w:rsidRDefault="00377B37" w:rsidP="007C1F9F">
      <w:pPr>
        <w:pStyle w:val="FootnoteText"/>
      </w:pPr>
      <w:r>
        <w:rPr>
          <w:rStyle w:val="FootnoteReference"/>
        </w:rPr>
        <w:footnoteRef/>
      </w:r>
      <w:r>
        <w:t xml:space="preserve">      </w:t>
      </w:r>
      <w:r>
        <w:tab/>
        <w:t>NGL, s. 24(7).</w:t>
      </w:r>
    </w:p>
  </w:footnote>
  <w:footnote w:id="627">
    <w:p w:rsidR="00377B37" w:rsidRDefault="00377B37" w:rsidP="007C1F9F">
      <w:pPr>
        <w:pStyle w:val="FootnoteText"/>
      </w:pPr>
      <w:r>
        <w:rPr>
          <w:rStyle w:val="FootnoteReference"/>
        </w:rPr>
        <w:footnoteRef/>
      </w:r>
      <w:r>
        <w:t xml:space="preserve">      </w:t>
      </w:r>
      <w:r>
        <w:tab/>
        <w:t xml:space="preserve">APA GasNet, </w:t>
      </w:r>
      <w:r w:rsidRPr="00D24EFA">
        <w:rPr>
          <w:rStyle w:val="AERtextitalic"/>
        </w:rPr>
        <w:t>Response to AER information request 16</w:t>
      </w:r>
      <w:r>
        <w:t>, 4 July 2012, p 1.</w:t>
      </w:r>
    </w:p>
  </w:footnote>
  <w:footnote w:id="628">
    <w:p w:rsidR="00377B37" w:rsidRDefault="00377B37" w:rsidP="007C1F9F">
      <w:pPr>
        <w:pStyle w:val="FootnoteText"/>
      </w:pPr>
      <w:r>
        <w:rPr>
          <w:rStyle w:val="FootnoteReference"/>
        </w:rPr>
        <w:footnoteRef/>
      </w:r>
      <w:r>
        <w:t xml:space="preserve"> </w:t>
      </w:r>
      <w:r>
        <w:tab/>
        <w:t xml:space="preserve">ACCC, </w:t>
      </w:r>
      <w:r w:rsidRPr="00D24EFA">
        <w:rPr>
          <w:rStyle w:val="AERtextitalic"/>
        </w:rPr>
        <w:t xml:space="preserve">Final decision, GasNet Australia </w:t>
      </w:r>
      <w:r>
        <w:rPr>
          <w:rStyle w:val="AERtextitalic"/>
        </w:rPr>
        <w:t>a</w:t>
      </w:r>
      <w:r w:rsidRPr="00D24EFA">
        <w:rPr>
          <w:rStyle w:val="AERtextitalic"/>
        </w:rPr>
        <w:t xml:space="preserve">ccess </w:t>
      </w:r>
      <w:r>
        <w:rPr>
          <w:rStyle w:val="AERtextitalic"/>
        </w:rPr>
        <w:t>a</w:t>
      </w:r>
      <w:r w:rsidRPr="00D24EFA">
        <w:rPr>
          <w:rStyle w:val="AERtextitalic"/>
        </w:rPr>
        <w:t>rrangement</w:t>
      </w:r>
      <w:r>
        <w:rPr>
          <w:rStyle w:val="AERtextitalic"/>
        </w:rPr>
        <w:t xml:space="preserve"> 2008-12</w:t>
      </w:r>
      <w:r>
        <w:t>, April 2008, p. 138.</w:t>
      </w:r>
    </w:p>
  </w:footnote>
  <w:footnote w:id="629">
    <w:p w:rsidR="00377B37" w:rsidRDefault="00377B37" w:rsidP="007C1F9F">
      <w:pPr>
        <w:pStyle w:val="FootnoteText"/>
      </w:pPr>
      <w:r>
        <w:rPr>
          <w:rStyle w:val="FootnoteReference"/>
        </w:rPr>
        <w:footnoteRef/>
      </w:r>
      <w:r>
        <w:t xml:space="preserve"> </w:t>
      </w:r>
      <w:r>
        <w:tab/>
        <w:t xml:space="preserve">AGL, </w:t>
      </w:r>
      <w:r w:rsidRPr="00D336A5">
        <w:rPr>
          <w:rStyle w:val="AERtextitalic"/>
        </w:rPr>
        <w:t>Submission to the AER: APA GasNet access arrangement</w:t>
      </w:r>
      <w:r>
        <w:t>, 18 June 2012.</w:t>
      </w:r>
    </w:p>
  </w:footnote>
  <w:footnote w:id="630">
    <w:p w:rsidR="00377B37" w:rsidRDefault="00377B37" w:rsidP="007C1F9F">
      <w:pPr>
        <w:pStyle w:val="FootnoteText"/>
      </w:pPr>
      <w:r>
        <w:rPr>
          <w:rStyle w:val="FootnoteReference"/>
        </w:rPr>
        <w:footnoteRef/>
      </w:r>
      <w:r>
        <w:t xml:space="preserve"> </w:t>
      </w:r>
      <w:r>
        <w:tab/>
        <w:t>These are direct capital costs associated with assets previously rolled-in to the RAB under the system-wide benefits test in the Code 8.16(a)(ii)(B).</w:t>
      </w:r>
    </w:p>
  </w:footnote>
  <w:footnote w:id="631">
    <w:p w:rsidR="00377B37" w:rsidRDefault="00377B37" w:rsidP="007C1F9F">
      <w:pPr>
        <w:pStyle w:val="FootnoteText"/>
      </w:pPr>
      <w:r>
        <w:rPr>
          <w:rStyle w:val="FootnoteReference"/>
        </w:rPr>
        <w:footnoteRef/>
      </w:r>
      <w:r>
        <w:t xml:space="preserve"> </w:t>
      </w:r>
      <w:r>
        <w:tab/>
        <w:t>NGL, s. 24.</w:t>
      </w:r>
    </w:p>
  </w:footnote>
  <w:footnote w:id="632">
    <w:p w:rsidR="00377B37" w:rsidRDefault="00377B37" w:rsidP="007C1F9F">
      <w:pPr>
        <w:pStyle w:val="FootnoteText"/>
      </w:pPr>
      <w:r>
        <w:rPr>
          <w:rStyle w:val="FootnoteReference"/>
        </w:rPr>
        <w:footnoteRef/>
      </w:r>
      <w:r>
        <w:t xml:space="preserve">      </w:t>
      </w:r>
      <w:r>
        <w:tab/>
        <w:t xml:space="preserve">APA GasNet, </w:t>
      </w:r>
      <w:r w:rsidRPr="00AC5DFF">
        <w:rPr>
          <w:rStyle w:val="AERtextitalic"/>
        </w:rPr>
        <w:t xml:space="preserve">Response to </w:t>
      </w:r>
      <w:r>
        <w:rPr>
          <w:rStyle w:val="AERtextitalic"/>
        </w:rPr>
        <w:t xml:space="preserve">AER </w:t>
      </w:r>
      <w:r w:rsidRPr="00AC5DFF">
        <w:rPr>
          <w:rStyle w:val="AERtextitalic"/>
        </w:rPr>
        <w:t>information request 16</w:t>
      </w:r>
      <w:r>
        <w:t>, 4 July 2012, p. 1.</w:t>
      </w:r>
    </w:p>
  </w:footnote>
  <w:footnote w:id="633">
    <w:p w:rsidR="00377B37" w:rsidRDefault="00377B37" w:rsidP="007C1F9F">
      <w:pPr>
        <w:pStyle w:val="FootnoteText"/>
      </w:pPr>
      <w:r>
        <w:rPr>
          <w:rStyle w:val="FootnoteReference"/>
        </w:rPr>
        <w:footnoteRef/>
      </w:r>
      <w:r>
        <w:t xml:space="preserve"> </w:t>
      </w:r>
      <w:r>
        <w:tab/>
        <w:t xml:space="preserve">APA GasNet, </w:t>
      </w:r>
      <w:r w:rsidRPr="00AC5DFF">
        <w:rPr>
          <w:rStyle w:val="AERtextitalic"/>
        </w:rPr>
        <w:t xml:space="preserve">Response to </w:t>
      </w:r>
      <w:r>
        <w:rPr>
          <w:rStyle w:val="AERtextitalic"/>
        </w:rPr>
        <w:t xml:space="preserve">AER </w:t>
      </w:r>
      <w:r w:rsidRPr="00AC5DFF">
        <w:rPr>
          <w:rStyle w:val="AERtextitalic"/>
        </w:rPr>
        <w:t>information request 23</w:t>
      </w:r>
      <w:r>
        <w:t>, 31 July 2012, p. 3.</w:t>
      </w:r>
    </w:p>
  </w:footnote>
  <w:footnote w:id="634">
    <w:p w:rsidR="00377B37" w:rsidRDefault="00377B37" w:rsidP="007C1F9F">
      <w:pPr>
        <w:pStyle w:val="FootnoteText"/>
      </w:pPr>
      <w:r>
        <w:rPr>
          <w:rStyle w:val="FootnoteReference"/>
        </w:rPr>
        <w:footnoteRef/>
      </w:r>
      <w:r>
        <w:t xml:space="preserve"> </w:t>
      </w:r>
      <w:r>
        <w:tab/>
        <w:t xml:space="preserve">APA GasNet, </w:t>
      </w:r>
      <w:r w:rsidRPr="00AC5DFF">
        <w:rPr>
          <w:rStyle w:val="AERtextitalic"/>
        </w:rPr>
        <w:t xml:space="preserve">Response to </w:t>
      </w:r>
      <w:r>
        <w:rPr>
          <w:rStyle w:val="AERtextitalic"/>
        </w:rPr>
        <w:t xml:space="preserve">AER </w:t>
      </w:r>
      <w:r w:rsidRPr="00AC5DFF">
        <w:rPr>
          <w:rStyle w:val="AERtextitalic"/>
        </w:rPr>
        <w:t>information request 16</w:t>
      </w:r>
      <w:r>
        <w:t>, 4 July 2012, p. 2.</w:t>
      </w:r>
    </w:p>
  </w:footnote>
  <w:footnote w:id="635">
    <w:p w:rsidR="00377B37" w:rsidRDefault="00377B37" w:rsidP="007C1F9F">
      <w:pPr>
        <w:pStyle w:val="FootnoteText"/>
      </w:pPr>
      <w:r>
        <w:rPr>
          <w:rStyle w:val="FootnoteReference"/>
        </w:rPr>
        <w:footnoteRef/>
      </w:r>
      <w:r>
        <w:t xml:space="preserve"> </w:t>
      </w:r>
      <w:r>
        <w:tab/>
        <w:t xml:space="preserve">APA GasNet, </w:t>
      </w:r>
      <w:r w:rsidRPr="00AC5DFF">
        <w:rPr>
          <w:rStyle w:val="AERtextitalic"/>
        </w:rPr>
        <w:t xml:space="preserve">Response to </w:t>
      </w:r>
      <w:r>
        <w:rPr>
          <w:rStyle w:val="AERtextitalic"/>
        </w:rPr>
        <w:t xml:space="preserve">AER </w:t>
      </w:r>
      <w:r w:rsidRPr="00AC5DFF">
        <w:rPr>
          <w:rStyle w:val="AERtextitalic"/>
        </w:rPr>
        <w:t>information request 23</w:t>
      </w:r>
      <w:r>
        <w:t>, 31 July 2012, p. 2.</w:t>
      </w:r>
    </w:p>
  </w:footnote>
  <w:footnote w:id="636">
    <w:p w:rsidR="00377B37" w:rsidRDefault="00377B37" w:rsidP="007C1F9F">
      <w:pPr>
        <w:pStyle w:val="FootnoteText"/>
      </w:pPr>
      <w:r>
        <w:rPr>
          <w:rStyle w:val="FootnoteReference"/>
        </w:rPr>
        <w:footnoteRef/>
      </w:r>
      <w:r>
        <w:t xml:space="preserve"> </w:t>
      </w:r>
      <w:r>
        <w:tab/>
        <w:t xml:space="preserve">ACCC, </w:t>
      </w:r>
      <w:r w:rsidRPr="00A75E3D">
        <w:rPr>
          <w:rStyle w:val="AERtextitalic"/>
        </w:rPr>
        <w:t>Final decision, GasNet Australia access arrangement</w:t>
      </w:r>
      <w:r>
        <w:t xml:space="preserve"> </w:t>
      </w:r>
      <w:r w:rsidRPr="00AC5DFF">
        <w:rPr>
          <w:rStyle w:val="AERtextitalic"/>
        </w:rPr>
        <w:t>2008-12</w:t>
      </w:r>
      <w:r>
        <w:t>, p. 134.</w:t>
      </w:r>
    </w:p>
  </w:footnote>
  <w:footnote w:id="637">
    <w:p w:rsidR="00377B37" w:rsidRDefault="00377B37" w:rsidP="007C1F9F">
      <w:pPr>
        <w:pStyle w:val="FootnoteText"/>
      </w:pPr>
      <w:r>
        <w:rPr>
          <w:rStyle w:val="FootnoteReference"/>
        </w:rPr>
        <w:footnoteRef/>
      </w:r>
      <w:r>
        <w:t xml:space="preserve"> </w:t>
      </w:r>
      <w:r>
        <w:tab/>
        <w:t xml:space="preserve">APA GasNet, </w:t>
      </w:r>
      <w:r w:rsidRPr="00AC5DFF">
        <w:rPr>
          <w:rStyle w:val="AERtextitalic"/>
        </w:rPr>
        <w:t>Response to AER information request 16</w:t>
      </w:r>
      <w:r>
        <w:t>, 4 July, p. 2.</w:t>
      </w:r>
    </w:p>
  </w:footnote>
  <w:footnote w:id="638">
    <w:p w:rsidR="00377B37" w:rsidRDefault="00377B37" w:rsidP="007C1F9F">
      <w:pPr>
        <w:pStyle w:val="FootnoteText"/>
      </w:pPr>
      <w:r>
        <w:rPr>
          <w:rStyle w:val="FootnoteReference"/>
        </w:rPr>
        <w:footnoteRef/>
      </w:r>
      <w:r>
        <w:t xml:space="preserve"> </w:t>
      </w:r>
      <w:r>
        <w:tab/>
        <w:t xml:space="preserve">ACCC, </w:t>
      </w:r>
      <w:r w:rsidRPr="00AC5DFF">
        <w:rPr>
          <w:rStyle w:val="AERtextitalic"/>
        </w:rPr>
        <w:t>Final decision, Application for Revision, GasNet</w:t>
      </w:r>
      <w:r>
        <w:t>, 28 April 2000, p. (viii).</w:t>
      </w:r>
    </w:p>
  </w:footnote>
  <w:footnote w:id="639">
    <w:p w:rsidR="00377B37" w:rsidRDefault="00377B37" w:rsidP="007C1F9F">
      <w:pPr>
        <w:pStyle w:val="FootnoteText"/>
      </w:pPr>
      <w:r>
        <w:rPr>
          <w:rStyle w:val="FootnoteReference"/>
        </w:rPr>
        <w:footnoteRef/>
      </w:r>
      <w:r>
        <w:t xml:space="preserve"> </w:t>
      </w:r>
      <w:r>
        <w:tab/>
        <w:t>Section 8.16(a)(ii)(A) of the Code.</w:t>
      </w:r>
    </w:p>
  </w:footnote>
  <w:footnote w:id="640">
    <w:p w:rsidR="00377B37" w:rsidRDefault="00377B37" w:rsidP="007C1F9F">
      <w:pPr>
        <w:pStyle w:val="FootnoteText"/>
      </w:pPr>
      <w:r>
        <w:rPr>
          <w:rStyle w:val="FootnoteReference"/>
        </w:rPr>
        <w:footnoteRef/>
      </w:r>
      <w:r>
        <w:t xml:space="preserve"> </w:t>
      </w:r>
      <w:r>
        <w:tab/>
        <w:t>Section 8.16(a)(ii)(B) of the Code.</w:t>
      </w:r>
    </w:p>
  </w:footnote>
  <w:footnote w:id="641">
    <w:p w:rsidR="00377B37" w:rsidRDefault="00377B37" w:rsidP="007C1F9F">
      <w:pPr>
        <w:pStyle w:val="FootnoteText"/>
      </w:pPr>
      <w:r>
        <w:rPr>
          <w:rStyle w:val="FootnoteReference"/>
        </w:rPr>
        <w:footnoteRef/>
      </w:r>
      <w:r>
        <w:t xml:space="preserve"> </w:t>
      </w:r>
      <w:r>
        <w:tab/>
        <w:t xml:space="preserve">The system-wide benefits test justified a higher tariff to all users. See ACCC, </w:t>
      </w:r>
      <w:r w:rsidRPr="00B60F47">
        <w:rPr>
          <w:rStyle w:val="AERtextitalic"/>
        </w:rPr>
        <w:t>Final decision,</w:t>
      </w:r>
      <w:r>
        <w:t xml:space="preserve"> </w:t>
      </w:r>
      <w:r w:rsidRPr="00AC5DFF">
        <w:rPr>
          <w:rStyle w:val="AERtextitalic"/>
        </w:rPr>
        <w:t>GasNet Access Arrangement 2003-07</w:t>
      </w:r>
      <w:r>
        <w:t>, p</w:t>
      </w:r>
      <w:r w:rsidRPr="00B60F47">
        <w:t>. 65.</w:t>
      </w:r>
    </w:p>
  </w:footnote>
  <w:footnote w:id="642">
    <w:p w:rsidR="00377B37" w:rsidRDefault="00377B37" w:rsidP="007C1F9F">
      <w:pPr>
        <w:pStyle w:val="FootnoteText"/>
      </w:pPr>
      <w:r>
        <w:rPr>
          <w:rStyle w:val="FootnoteReference"/>
        </w:rPr>
        <w:footnoteRef/>
      </w:r>
      <w:r>
        <w:t xml:space="preserve"> </w:t>
      </w:r>
      <w:r>
        <w:tab/>
        <w:t>The Moomba-Sydney pipeline (MSP) joins the Interconnect at Culcairn.</w:t>
      </w:r>
      <w:r w:rsidRPr="002044A3">
        <w:t xml:space="preserve"> </w:t>
      </w:r>
      <w:r>
        <w:t xml:space="preserve">The allocated share varied from 12.5% to 7% depending on injection volume forecasts. See ACCC, </w:t>
      </w:r>
      <w:r w:rsidRPr="00B60F47">
        <w:rPr>
          <w:rStyle w:val="AERtextitalic"/>
        </w:rPr>
        <w:t>Final decision,</w:t>
      </w:r>
      <w:r>
        <w:t xml:space="preserve"> </w:t>
      </w:r>
      <w:r w:rsidRPr="00AC5DFF">
        <w:rPr>
          <w:rStyle w:val="AERtextitalic"/>
        </w:rPr>
        <w:t xml:space="preserve">Application for </w:t>
      </w:r>
      <w:r>
        <w:rPr>
          <w:rStyle w:val="AERtextitalic"/>
        </w:rPr>
        <w:t>r</w:t>
      </w:r>
      <w:r w:rsidRPr="00AC5DFF">
        <w:rPr>
          <w:rStyle w:val="AERtextitalic"/>
        </w:rPr>
        <w:t>evision (Interconnect),</w:t>
      </w:r>
      <w:r>
        <w:t xml:space="preserve"> 28 April 2000, p</w:t>
      </w:r>
      <w:r w:rsidRPr="00B60F47">
        <w:t>. 9.</w:t>
      </w:r>
    </w:p>
  </w:footnote>
  <w:footnote w:id="643">
    <w:p w:rsidR="00377B37" w:rsidRPr="00B60F47" w:rsidRDefault="00377B37" w:rsidP="007C1F9F">
      <w:pPr>
        <w:pStyle w:val="FootnoteText"/>
      </w:pPr>
      <w:r>
        <w:rPr>
          <w:rStyle w:val="FootnoteReference"/>
        </w:rPr>
        <w:footnoteRef/>
      </w:r>
      <w:r>
        <w:t xml:space="preserve"> </w:t>
      </w:r>
      <w:r>
        <w:tab/>
        <w:t xml:space="preserve">With the exception of the Western zone. See ACCC, </w:t>
      </w:r>
      <w:r w:rsidRPr="00B60F47">
        <w:rPr>
          <w:rStyle w:val="AERtextitalic"/>
        </w:rPr>
        <w:t xml:space="preserve">Final Decision, GasNet </w:t>
      </w:r>
      <w:r>
        <w:rPr>
          <w:rStyle w:val="AERtextitalic"/>
        </w:rPr>
        <w:t>Australia a</w:t>
      </w:r>
      <w:r w:rsidRPr="00B60F47">
        <w:rPr>
          <w:rStyle w:val="AERtextitalic"/>
        </w:rPr>
        <w:t xml:space="preserve">ccess </w:t>
      </w:r>
      <w:r>
        <w:rPr>
          <w:rStyle w:val="AERtextitalic"/>
        </w:rPr>
        <w:t>a</w:t>
      </w:r>
      <w:r w:rsidRPr="00B60F47">
        <w:rPr>
          <w:rStyle w:val="AERtextitalic"/>
        </w:rPr>
        <w:t>rrangement 2008-12</w:t>
      </w:r>
      <w:r>
        <w:t>, p</w:t>
      </w:r>
      <w:r w:rsidRPr="00B60F47">
        <w:t xml:space="preserve">. 134 and </w:t>
      </w:r>
      <w:r>
        <w:t xml:space="preserve">ACCC, </w:t>
      </w:r>
      <w:r w:rsidRPr="00B60F47">
        <w:rPr>
          <w:rStyle w:val="AERtextitalic"/>
        </w:rPr>
        <w:t>Final decision, Application for revision (Interconnect)</w:t>
      </w:r>
      <w:r w:rsidRPr="00B60F47">
        <w:t>, p (ix).</w:t>
      </w:r>
    </w:p>
  </w:footnote>
  <w:footnote w:id="644">
    <w:p w:rsidR="00377B37" w:rsidRDefault="00377B37" w:rsidP="007C1F9F">
      <w:pPr>
        <w:pStyle w:val="FootnoteText"/>
      </w:pPr>
      <w:r>
        <w:rPr>
          <w:rStyle w:val="FootnoteReference"/>
        </w:rPr>
        <w:footnoteRef/>
      </w:r>
      <w:r>
        <w:t xml:space="preserve">    </w:t>
      </w:r>
      <w:r>
        <w:tab/>
        <w:t xml:space="preserve">APA GasNet </w:t>
      </w:r>
      <w:r w:rsidRPr="00D65FF4">
        <w:rPr>
          <w:rStyle w:val="AERtextitalic"/>
        </w:rPr>
        <w:t xml:space="preserve">Access arrangement </w:t>
      </w:r>
      <w:r>
        <w:rPr>
          <w:rStyle w:val="AERtextitalic"/>
        </w:rPr>
        <w:t>submission</w:t>
      </w:r>
      <w:r>
        <w:t>, March 2012, p. 197.</w:t>
      </w:r>
    </w:p>
  </w:footnote>
  <w:footnote w:id="645">
    <w:p w:rsidR="00377B37" w:rsidRDefault="00377B37" w:rsidP="007C1F9F">
      <w:pPr>
        <w:pStyle w:val="FootnoteText"/>
      </w:pPr>
      <w:r>
        <w:rPr>
          <w:rStyle w:val="FootnoteReference"/>
        </w:rPr>
        <w:footnoteRef/>
      </w:r>
      <w:r>
        <w:t xml:space="preserve">    </w:t>
      </w:r>
      <w:r>
        <w:tab/>
        <w:t xml:space="preserve">APA GasNet </w:t>
      </w:r>
      <w:r w:rsidRPr="00D65FF4">
        <w:rPr>
          <w:rStyle w:val="AERtextitalic"/>
        </w:rPr>
        <w:t xml:space="preserve">Access arrangement </w:t>
      </w:r>
      <w:r>
        <w:rPr>
          <w:rStyle w:val="AERtextitalic"/>
        </w:rPr>
        <w:t>submission</w:t>
      </w:r>
      <w:r>
        <w:t>, March 2012, p. 199.</w:t>
      </w:r>
    </w:p>
  </w:footnote>
  <w:footnote w:id="646">
    <w:p w:rsidR="00377B37" w:rsidRDefault="00377B37" w:rsidP="007C1F9F">
      <w:pPr>
        <w:pStyle w:val="FootnoteText"/>
      </w:pPr>
      <w:r>
        <w:rPr>
          <w:rStyle w:val="FootnoteReference"/>
        </w:rPr>
        <w:footnoteRef/>
      </w:r>
      <w:r>
        <w:t xml:space="preserve"> </w:t>
      </w:r>
      <w:r>
        <w:tab/>
        <w:t>NGL, s. 24(7).</w:t>
      </w:r>
    </w:p>
  </w:footnote>
  <w:footnote w:id="647">
    <w:p w:rsidR="00377B37" w:rsidRDefault="00377B37" w:rsidP="007C1F9F">
      <w:pPr>
        <w:pStyle w:val="FootnoteText"/>
      </w:pPr>
      <w:r>
        <w:rPr>
          <w:rStyle w:val="FootnoteReference"/>
        </w:rPr>
        <w:footnoteRef/>
      </w:r>
      <w:r>
        <w:t xml:space="preserve"> </w:t>
      </w:r>
      <w:r>
        <w:tab/>
        <w:t>NGR, r. 96.</w:t>
      </w:r>
    </w:p>
  </w:footnote>
  <w:footnote w:id="648">
    <w:p w:rsidR="00377B37" w:rsidRDefault="00377B37" w:rsidP="007C1F9F">
      <w:pPr>
        <w:pStyle w:val="FootnoteText"/>
      </w:pPr>
      <w:r>
        <w:rPr>
          <w:rStyle w:val="FootnoteReference"/>
        </w:rPr>
        <w:footnoteRef/>
      </w:r>
      <w:r>
        <w:t xml:space="preserve">   </w:t>
      </w:r>
      <w:r>
        <w:tab/>
      </w:r>
      <w:r w:rsidRPr="005658A8">
        <w:rPr>
          <w:rStyle w:val="AERtextitalic"/>
        </w:rPr>
        <w:t>B8 Prudent Discount Bypass Tariffs 2013 AER</w:t>
      </w:r>
      <w:r>
        <w:t>, 1 April 2012 (Confidential)</w:t>
      </w:r>
    </w:p>
  </w:footnote>
  <w:footnote w:id="649">
    <w:p w:rsidR="00377B37" w:rsidRDefault="00377B37" w:rsidP="007C1F9F">
      <w:pPr>
        <w:pStyle w:val="FootnoteText"/>
      </w:pPr>
      <w:r>
        <w:rPr>
          <w:rStyle w:val="FootnoteReference"/>
        </w:rPr>
        <w:footnoteRef/>
      </w:r>
      <w:r>
        <w:t xml:space="preserve">      </w:t>
      </w:r>
      <w:r w:rsidRPr="005658A8">
        <w:rPr>
          <w:rStyle w:val="AERtextitalic"/>
        </w:rPr>
        <w:t>B8 Prudent Discount Bypass Tariffs 2013 AER</w:t>
      </w:r>
      <w:r>
        <w:t xml:space="preserve"> , 1 April 2012 (Confidential)</w:t>
      </w:r>
    </w:p>
  </w:footnote>
  <w:footnote w:id="650">
    <w:p w:rsidR="00377B37" w:rsidRPr="006D4882" w:rsidRDefault="00377B37" w:rsidP="007C1F9F">
      <w:pPr>
        <w:pStyle w:val="FootnoteText"/>
      </w:pPr>
      <w:r>
        <w:rPr>
          <w:rStyle w:val="FootnoteReference"/>
        </w:rPr>
        <w:footnoteRef/>
      </w:r>
      <w:r>
        <w:t xml:space="preserve"> </w:t>
      </w:r>
      <w:r>
        <w:tab/>
      </w:r>
      <w:r w:rsidRPr="006D4882">
        <w:t xml:space="preserve">APA GasNet, </w:t>
      </w:r>
      <w:r w:rsidRPr="006D4882">
        <w:rPr>
          <w:rStyle w:val="AERtextitalic"/>
        </w:rPr>
        <w:t>Access arrangement submission</w:t>
      </w:r>
      <w:r w:rsidRPr="006D4882">
        <w:t>, 31 March 2012, p. 213.</w:t>
      </w:r>
    </w:p>
  </w:footnote>
  <w:footnote w:id="651">
    <w:p w:rsidR="00377B37" w:rsidRDefault="00377B37" w:rsidP="007C1F9F">
      <w:pPr>
        <w:pStyle w:val="FootnoteText"/>
      </w:pPr>
      <w:r>
        <w:rPr>
          <w:rStyle w:val="FootnoteReference"/>
        </w:rPr>
        <w:footnoteRef/>
      </w:r>
      <w:r>
        <w:t xml:space="preserve"> </w:t>
      </w:r>
      <w:r>
        <w:tab/>
      </w:r>
      <w:r w:rsidRPr="005F4D41">
        <w:t xml:space="preserve">APA GasNet, </w:t>
      </w:r>
      <w:r w:rsidRPr="005F4D41">
        <w:rPr>
          <w:rStyle w:val="AERtextitalic"/>
        </w:rPr>
        <w:t xml:space="preserve">Access arrangement </w:t>
      </w:r>
      <w:r>
        <w:rPr>
          <w:rStyle w:val="AERtextitalic"/>
        </w:rPr>
        <w:t>submission</w:t>
      </w:r>
      <w:r w:rsidRPr="005F4D41">
        <w:t xml:space="preserve">, </w:t>
      </w:r>
      <w:r>
        <w:t xml:space="preserve">31 </w:t>
      </w:r>
      <w:r w:rsidRPr="005F4D41">
        <w:t>March 2012, p. 213.</w:t>
      </w:r>
    </w:p>
  </w:footnote>
  <w:footnote w:id="652">
    <w:p w:rsidR="00377B37" w:rsidRDefault="00377B37" w:rsidP="007C1F9F">
      <w:pPr>
        <w:pStyle w:val="FootnoteText"/>
      </w:pPr>
      <w:r>
        <w:rPr>
          <w:rStyle w:val="FootnoteReference"/>
        </w:rPr>
        <w:footnoteRef/>
      </w:r>
      <w:r>
        <w:t xml:space="preserve"> </w:t>
      </w:r>
      <w:r>
        <w:tab/>
      </w:r>
      <w:r w:rsidRPr="00514D97">
        <w:t xml:space="preserve">APA GasNet, </w:t>
      </w:r>
      <w:r>
        <w:rPr>
          <w:rStyle w:val="AERtextitalic"/>
        </w:rPr>
        <w:t>Access arrangement</w:t>
      </w:r>
      <w:r>
        <w:t>, 31 March 2012, pp</w:t>
      </w:r>
      <w:r w:rsidRPr="00514D97">
        <w:t>.</w:t>
      </w:r>
      <w:r>
        <w:t xml:space="preserve"> 49–51.</w:t>
      </w:r>
    </w:p>
  </w:footnote>
  <w:footnote w:id="653">
    <w:p w:rsidR="00377B37" w:rsidRDefault="00377B37" w:rsidP="007C1F9F">
      <w:pPr>
        <w:pStyle w:val="FootnoteText"/>
      </w:pPr>
      <w:r>
        <w:rPr>
          <w:rStyle w:val="FootnoteReference"/>
        </w:rPr>
        <w:footnoteRef/>
      </w:r>
      <w:r>
        <w:t xml:space="preserve"> </w:t>
      </w:r>
      <w:r>
        <w:tab/>
      </w:r>
      <w:r w:rsidRPr="00514D97">
        <w:t xml:space="preserve">APA GasNet, </w:t>
      </w:r>
      <w:r w:rsidRPr="005F4D41">
        <w:rPr>
          <w:rStyle w:val="AERtextitalic"/>
        </w:rPr>
        <w:t>Access arrangement</w:t>
      </w:r>
      <w:r>
        <w:t>, 31 March 2012, p</w:t>
      </w:r>
      <w:r w:rsidRPr="00514D97">
        <w:t>.</w:t>
      </w:r>
      <w:r>
        <w:t xml:space="preserve"> 65.</w:t>
      </w:r>
    </w:p>
  </w:footnote>
  <w:footnote w:id="654">
    <w:p w:rsidR="00377B37" w:rsidRDefault="00377B37" w:rsidP="007C1F9F">
      <w:pPr>
        <w:pStyle w:val="FootnoteText"/>
      </w:pPr>
      <w:r>
        <w:rPr>
          <w:rStyle w:val="FootnoteReference"/>
        </w:rPr>
        <w:footnoteRef/>
      </w:r>
      <w:r>
        <w:t xml:space="preserve"> </w:t>
      </w:r>
      <w:r>
        <w:tab/>
      </w:r>
      <w:r w:rsidRPr="00514D97">
        <w:t xml:space="preserve">APA GasNet, </w:t>
      </w:r>
      <w:r w:rsidRPr="005F4D41">
        <w:rPr>
          <w:rStyle w:val="AERtextitalic"/>
        </w:rPr>
        <w:t>Access arrangement</w:t>
      </w:r>
      <w:r>
        <w:t>, 31 March 2012, p</w:t>
      </w:r>
      <w:r w:rsidRPr="00514D97">
        <w:t>.</w:t>
      </w:r>
      <w:r>
        <w:t xml:space="preserve"> 65.</w:t>
      </w:r>
    </w:p>
  </w:footnote>
  <w:footnote w:id="655">
    <w:p w:rsidR="00377B37" w:rsidRDefault="00377B37" w:rsidP="007C1F9F">
      <w:pPr>
        <w:pStyle w:val="FootnoteText"/>
      </w:pPr>
      <w:r>
        <w:rPr>
          <w:rStyle w:val="FootnoteReference"/>
        </w:rPr>
        <w:footnoteRef/>
      </w:r>
      <w:r>
        <w:t xml:space="preserve"> </w:t>
      </w:r>
      <w:r>
        <w:tab/>
      </w:r>
      <w:r w:rsidRPr="00514D97">
        <w:t xml:space="preserve">APA GasNet, </w:t>
      </w:r>
      <w:r w:rsidRPr="005F4D41">
        <w:rPr>
          <w:rStyle w:val="AERtextitalic"/>
        </w:rPr>
        <w:t>Access arrangement</w:t>
      </w:r>
      <w:r>
        <w:t>, 31 March 2012, p</w:t>
      </w:r>
      <w:r w:rsidRPr="00514D97">
        <w:t>.</w:t>
      </w:r>
      <w:r>
        <w:t xml:space="preserve"> 65.</w:t>
      </w:r>
    </w:p>
  </w:footnote>
  <w:footnote w:id="656">
    <w:p w:rsidR="00377B37" w:rsidRDefault="00377B37" w:rsidP="007C1F9F">
      <w:pPr>
        <w:pStyle w:val="FootnoteText"/>
      </w:pPr>
      <w:r>
        <w:rPr>
          <w:rStyle w:val="FootnoteReference"/>
        </w:rPr>
        <w:footnoteRef/>
      </w:r>
      <w:r>
        <w:t xml:space="preserve"> </w:t>
      </w:r>
      <w:r>
        <w:tab/>
        <w:t>See GasNet Australia Access Arrangement, 2008–2012, Schedule 4, section 4.5 (k).</w:t>
      </w:r>
    </w:p>
  </w:footnote>
  <w:footnote w:id="657">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Access arrangement</w:t>
      </w:r>
      <w:r w:rsidRPr="000326DB">
        <w:t xml:space="preserve"> </w:t>
      </w:r>
      <w:r w:rsidRPr="00AB1416">
        <w:rPr>
          <w:rStyle w:val="AERtextitalic"/>
        </w:rPr>
        <w:t>submission</w:t>
      </w:r>
      <w:r w:rsidRPr="000326DB">
        <w:t>,</w:t>
      </w:r>
      <w:r>
        <w:t xml:space="preserve"> 31 March 2012, p. 211.</w:t>
      </w:r>
    </w:p>
  </w:footnote>
  <w:footnote w:id="658">
    <w:p w:rsidR="00377B37" w:rsidRDefault="00377B37" w:rsidP="007C1F9F">
      <w:pPr>
        <w:pStyle w:val="FootnoteText"/>
      </w:pPr>
      <w:r>
        <w:rPr>
          <w:rStyle w:val="FootnoteReference"/>
        </w:rPr>
        <w:footnoteRef/>
      </w:r>
      <w:r>
        <w:t xml:space="preserve"> </w:t>
      </w:r>
      <w:r>
        <w:tab/>
      </w:r>
      <w:r w:rsidRPr="00471D1B">
        <w:t xml:space="preserve">APA GasNet, </w:t>
      </w:r>
      <w:r w:rsidRPr="005F4D41">
        <w:rPr>
          <w:rStyle w:val="AERtextitalic"/>
        </w:rPr>
        <w:t>Access arrangement</w:t>
      </w:r>
      <w:r w:rsidRPr="00471D1B">
        <w:t xml:space="preserve">, </w:t>
      </w:r>
      <w:r>
        <w:t xml:space="preserve">31 </w:t>
      </w:r>
      <w:r w:rsidRPr="00471D1B">
        <w:t>March 2012, p</w:t>
      </w:r>
      <w:r>
        <w:t>. 16.</w:t>
      </w:r>
    </w:p>
  </w:footnote>
  <w:footnote w:id="659">
    <w:p w:rsidR="00377B37" w:rsidRDefault="00377B37" w:rsidP="007C1F9F">
      <w:pPr>
        <w:pStyle w:val="FootnoteText"/>
      </w:pPr>
      <w:r>
        <w:rPr>
          <w:rStyle w:val="FootnoteReference"/>
        </w:rPr>
        <w:footnoteRef/>
      </w:r>
      <w:r>
        <w:t xml:space="preserve"> </w:t>
      </w:r>
      <w:r>
        <w:tab/>
      </w:r>
      <w:r w:rsidRPr="00471D1B">
        <w:t xml:space="preserve">APA GasNet, </w:t>
      </w:r>
      <w:r w:rsidRPr="005F4D41">
        <w:rPr>
          <w:rStyle w:val="AERtextitalic"/>
        </w:rPr>
        <w:t>Access arrangement</w:t>
      </w:r>
      <w:r w:rsidRPr="00471D1B">
        <w:t xml:space="preserve">, </w:t>
      </w:r>
      <w:r>
        <w:t xml:space="preserve">31 </w:t>
      </w:r>
      <w:r w:rsidRPr="00471D1B">
        <w:t xml:space="preserve">March 2012, p. </w:t>
      </w:r>
      <w:r>
        <w:t>16.</w:t>
      </w:r>
    </w:p>
  </w:footnote>
  <w:footnote w:id="660">
    <w:p w:rsidR="00377B37" w:rsidRDefault="00377B37" w:rsidP="007C1F9F">
      <w:pPr>
        <w:pStyle w:val="FootnoteText"/>
      </w:pPr>
      <w:r>
        <w:rPr>
          <w:rStyle w:val="FootnoteReference"/>
        </w:rPr>
        <w:footnoteRef/>
      </w:r>
      <w:r>
        <w:t xml:space="preserve"> </w:t>
      </w:r>
      <w:r>
        <w:tab/>
      </w:r>
      <w:r w:rsidRPr="00471D1B">
        <w:t xml:space="preserve">APA GasNet, </w:t>
      </w:r>
      <w:r w:rsidRPr="005F4D41">
        <w:rPr>
          <w:rStyle w:val="AERtextitalic"/>
        </w:rPr>
        <w:t>Access arrangement</w:t>
      </w:r>
      <w:r w:rsidRPr="00471D1B">
        <w:t xml:space="preserve">, </w:t>
      </w:r>
      <w:r>
        <w:t xml:space="preserve">31 </w:t>
      </w:r>
      <w:r w:rsidRPr="00471D1B">
        <w:t xml:space="preserve">March 2012, p. </w:t>
      </w:r>
      <w:r>
        <w:t>16.</w:t>
      </w:r>
    </w:p>
  </w:footnote>
  <w:footnote w:id="661">
    <w:p w:rsidR="00377B37" w:rsidRDefault="00377B37" w:rsidP="007C1F9F">
      <w:pPr>
        <w:pStyle w:val="FootnoteText"/>
      </w:pPr>
      <w:r>
        <w:rPr>
          <w:rStyle w:val="FootnoteReference"/>
        </w:rPr>
        <w:footnoteRef/>
      </w:r>
      <w:r>
        <w:t xml:space="preserve"> </w:t>
      </w:r>
      <w:r>
        <w:tab/>
      </w:r>
      <w:r w:rsidRPr="00471D1B">
        <w:t xml:space="preserve">APA GasNet, </w:t>
      </w:r>
      <w:r w:rsidRPr="005F4D41">
        <w:rPr>
          <w:rStyle w:val="AERtextitalic"/>
        </w:rPr>
        <w:t>Access arrangement</w:t>
      </w:r>
      <w:r w:rsidRPr="00471D1B">
        <w:t xml:space="preserve">, </w:t>
      </w:r>
      <w:r>
        <w:t xml:space="preserve">31 </w:t>
      </w:r>
      <w:r w:rsidRPr="00471D1B">
        <w:t xml:space="preserve">March 2012, p. </w:t>
      </w:r>
      <w:r>
        <w:t>16.</w:t>
      </w:r>
    </w:p>
  </w:footnote>
  <w:footnote w:id="662">
    <w:p w:rsidR="00377B37" w:rsidRDefault="00377B37" w:rsidP="007C1F9F">
      <w:pPr>
        <w:pStyle w:val="FootnoteText"/>
      </w:pPr>
      <w:r>
        <w:rPr>
          <w:rStyle w:val="FootnoteReference"/>
        </w:rPr>
        <w:footnoteRef/>
      </w:r>
      <w:r>
        <w:t xml:space="preserve"> </w:t>
      </w:r>
      <w:r>
        <w:tab/>
      </w:r>
      <w:r w:rsidRPr="00471D1B">
        <w:t xml:space="preserve">APA GasNet, </w:t>
      </w:r>
      <w:r w:rsidRPr="005F4D41">
        <w:rPr>
          <w:rStyle w:val="AERtextitalic"/>
        </w:rPr>
        <w:t>Access arrangement</w:t>
      </w:r>
      <w:r w:rsidRPr="00471D1B">
        <w:t xml:space="preserve">, </w:t>
      </w:r>
      <w:r>
        <w:t xml:space="preserve">31 </w:t>
      </w:r>
      <w:r w:rsidRPr="00471D1B">
        <w:t xml:space="preserve">March 2012, p. </w:t>
      </w:r>
      <w:r>
        <w:t>16.</w:t>
      </w:r>
    </w:p>
  </w:footnote>
  <w:footnote w:id="663">
    <w:p w:rsidR="00377B37" w:rsidRDefault="00377B37" w:rsidP="007C1F9F">
      <w:pPr>
        <w:pStyle w:val="FootnoteText"/>
      </w:pPr>
      <w:r>
        <w:rPr>
          <w:rStyle w:val="FootnoteReference"/>
        </w:rPr>
        <w:footnoteRef/>
      </w:r>
      <w:r>
        <w:t xml:space="preserve"> </w:t>
      </w:r>
      <w:r>
        <w:tab/>
        <w:t xml:space="preserve">APA GasNet, </w:t>
      </w:r>
      <w:r w:rsidRPr="000326DB">
        <w:rPr>
          <w:rStyle w:val="AERtextitalic"/>
        </w:rPr>
        <w:t>Access arrangement</w:t>
      </w:r>
      <w:r w:rsidRPr="000326DB">
        <w:t xml:space="preserve"> </w:t>
      </w:r>
      <w:r w:rsidRPr="00AB1416">
        <w:rPr>
          <w:rStyle w:val="AERtextitalic"/>
        </w:rPr>
        <w:t>submission</w:t>
      </w:r>
      <w:r w:rsidRPr="000326DB">
        <w:t>,</w:t>
      </w:r>
      <w:r>
        <w:t xml:space="preserve"> 31 March 2012, p. 215.</w:t>
      </w:r>
    </w:p>
  </w:footnote>
  <w:footnote w:id="664">
    <w:p w:rsidR="00377B37" w:rsidRDefault="00377B37" w:rsidP="007C1F9F">
      <w:pPr>
        <w:pStyle w:val="FootnoteText"/>
      </w:pPr>
      <w:r>
        <w:rPr>
          <w:rStyle w:val="FootnoteReference"/>
        </w:rPr>
        <w:footnoteRef/>
      </w:r>
      <w:r>
        <w:t xml:space="preserve"> </w:t>
      </w:r>
      <w:r>
        <w:tab/>
        <w:t>See GasNet Australia Access Arrangement 2008-2012, Schedule 4, section 4.5(k).</w:t>
      </w:r>
    </w:p>
  </w:footnote>
  <w:footnote w:id="665">
    <w:p w:rsidR="00377B37" w:rsidRDefault="00377B37" w:rsidP="007C1F9F">
      <w:pPr>
        <w:pStyle w:val="FootnoteText"/>
      </w:pPr>
      <w:r>
        <w:rPr>
          <w:rStyle w:val="FootnoteReference"/>
        </w:rPr>
        <w:footnoteRef/>
      </w:r>
      <w:r>
        <w:t xml:space="preserve"> </w:t>
      </w:r>
      <w:r>
        <w:tab/>
      </w:r>
      <w:r w:rsidRPr="007D3A24">
        <w:t xml:space="preserve">Australian Power and Gas, </w:t>
      </w:r>
      <w:r w:rsidRPr="00A34C69">
        <w:rPr>
          <w:rStyle w:val="AERtextitalic"/>
        </w:rPr>
        <w:t>Submission to the AER: APA GasNet access arrangement proposal</w:t>
      </w:r>
      <w:r w:rsidRPr="007D3A24">
        <w:t>, 15 June 2012</w:t>
      </w:r>
    </w:p>
  </w:footnote>
  <w:footnote w:id="666">
    <w:p w:rsidR="00377B37" w:rsidRDefault="00377B37" w:rsidP="007C1F9F">
      <w:pPr>
        <w:pStyle w:val="FootnoteText"/>
      </w:pPr>
      <w:r>
        <w:rPr>
          <w:rStyle w:val="FootnoteReference"/>
        </w:rPr>
        <w:footnoteRef/>
      </w:r>
      <w:r>
        <w:t xml:space="preserve"> </w:t>
      </w:r>
      <w:r>
        <w:tab/>
        <w:t>See</w:t>
      </w:r>
      <w:r w:rsidRPr="00F17FDB">
        <w:t xml:space="preserve"> GasNet Australia Access Ar</w:t>
      </w:r>
      <w:r>
        <w:t>rangement, 2008–2012, Schedule 3.</w:t>
      </w:r>
    </w:p>
  </w:footnote>
  <w:footnote w:id="667">
    <w:p w:rsidR="00377B37" w:rsidRDefault="00377B37" w:rsidP="007C1F9F">
      <w:pPr>
        <w:pStyle w:val="FootnoteText"/>
      </w:pPr>
      <w:r>
        <w:rPr>
          <w:rStyle w:val="FootnoteReference"/>
        </w:rPr>
        <w:footnoteRef/>
      </w:r>
      <w:r>
        <w:t xml:space="preserve"> </w:t>
      </w:r>
      <w:r>
        <w:tab/>
        <w:t xml:space="preserve">The operation of the price control formula as set out in the section D of the proposed access arrangement will ensure APA GasNet is allowed to recover the target revenue in net present value terms over the access arrangement period in the event there is an under recovery in a particular access arrangement year. This will compensate APA GasNet for the time value of money because the real WACC is used as the discount rate for the </w:t>
      </w:r>
      <w:r w:rsidRPr="00614F74">
        <w:t xml:space="preserve">net present value </w:t>
      </w:r>
      <w:r>
        <w:t xml:space="preserve">calculation. </w:t>
      </w:r>
    </w:p>
    <w:p w:rsidR="00377B37" w:rsidRDefault="00377B37" w:rsidP="007C1F9F">
      <w:pPr>
        <w:pStyle w:val="FootnoteText"/>
      </w:pPr>
      <w:r>
        <w:tab/>
        <w:t xml:space="preserve">See APA GasNet, </w:t>
      </w:r>
      <w:r w:rsidRPr="007D3A24">
        <w:rPr>
          <w:rStyle w:val="AERtextitalic"/>
        </w:rPr>
        <w:t>Access arrangement proposal</w:t>
      </w:r>
      <w:r w:rsidRPr="00614F74">
        <w:t xml:space="preserve">, </w:t>
      </w:r>
      <w:r>
        <w:t xml:space="preserve">31 </w:t>
      </w:r>
      <w:r w:rsidRPr="00614F74">
        <w:t>March 2012, p</w:t>
      </w:r>
      <w:r>
        <w:t>p. 49–52.</w:t>
      </w:r>
    </w:p>
  </w:footnote>
  <w:footnote w:id="668">
    <w:p w:rsidR="00377B37" w:rsidRDefault="00377B37" w:rsidP="007C1F9F">
      <w:pPr>
        <w:pStyle w:val="FootnoteText"/>
      </w:pPr>
      <w:r>
        <w:rPr>
          <w:rStyle w:val="FootnoteReference"/>
        </w:rPr>
        <w:footnoteRef/>
      </w:r>
      <w:r>
        <w:t xml:space="preserve"> </w:t>
      </w:r>
      <w:r>
        <w:tab/>
        <w:t>See attachment 1 of this draft decision.</w:t>
      </w:r>
    </w:p>
  </w:footnote>
  <w:footnote w:id="669">
    <w:p w:rsidR="00377B37" w:rsidRDefault="00377B37" w:rsidP="007C1F9F">
      <w:pPr>
        <w:pStyle w:val="FootnoteText"/>
      </w:pPr>
      <w:r>
        <w:rPr>
          <w:rStyle w:val="FootnoteReference"/>
        </w:rPr>
        <w:footnoteRef/>
      </w:r>
      <w:r>
        <w:t xml:space="preserve"> </w:t>
      </w:r>
      <w:r>
        <w:tab/>
        <w:t xml:space="preserve">The initial tariffs set out in revision 11.7 are indicative. The figures are calculated based on the tariff model submitted by APA GasNet which contains a number of errors as listed in attachment 10 of this draft decision. The initial tariffs will be updated in the final decision using the corrected tariff model and final total revenue figures. </w:t>
      </w:r>
    </w:p>
  </w:footnote>
  <w:footnote w:id="670">
    <w:p w:rsidR="00377B37" w:rsidRDefault="00377B37" w:rsidP="007C1F9F">
      <w:pPr>
        <w:pStyle w:val="FootnoteText"/>
      </w:pPr>
      <w:r>
        <w:rPr>
          <w:rStyle w:val="FootnoteReference"/>
        </w:rPr>
        <w:footnoteRef/>
      </w:r>
      <w:r>
        <w:t xml:space="preserve"> </w:t>
      </w:r>
      <w:r>
        <w:tab/>
        <w:t>NGR, r. 40(3)</w:t>
      </w:r>
    </w:p>
  </w:footnote>
  <w:footnote w:id="671">
    <w:p w:rsidR="00377B37" w:rsidRDefault="00377B37" w:rsidP="007C1F9F">
      <w:pPr>
        <w:pStyle w:val="FootnoteText"/>
      </w:pPr>
      <w:r>
        <w:rPr>
          <w:rStyle w:val="FootnoteReference"/>
        </w:rPr>
        <w:footnoteRef/>
      </w:r>
      <w:r>
        <w:t xml:space="preserve"> </w:t>
      </w:r>
      <w:r>
        <w:tab/>
        <w:t>NGR, r. 100</w:t>
      </w:r>
    </w:p>
  </w:footnote>
  <w:footnote w:id="672">
    <w:p w:rsidR="00377B37" w:rsidRDefault="00377B37" w:rsidP="007C1F9F">
      <w:pPr>
        <w:pStyle w:val="FootnoteText"/>
      </w:pPr>
      <w:r>
        <w:rPr>
          <w:rStyle w:val="FootnoteReference"/>
        </w:rPr>
        <w:footnoteRef/>
      </w:r>
      <w:r>
        <w:t xml:space="preserve"> </w:t>
      </w:r>
      <w:r>
        <w:tab/>
        <w:t>Victorian Electricity Distribution Network Service Provider's Draft Decision, p 716.</w:t>
      </w:r>
    </w:p>
  </w:footnote>
  <w:footnote w:id="673">
    <w:p w:rsidR="00377B37" w:rsidRDefault="00377B37" w:rsidP="007C1F9F">
      <w:pPr>
        <w:pStyle w:val="FootnoteText"/>
      </w:pPr>
      <w:r>
        <w:rPr>
          <w:rStyle w:val="FootnoteReference"/>
        </w:rPr>
        <w:footnoteRef/>
      </w:r>
      <w:r>
        <w:t xml:space="preserve"> </w:t>
      </w:r>
      <w:r>
        <w:tab/>
        <w:t>Victorian Electricity Distribution Network Service Provider's Draft Decision, p 716</w:t>
      </w:r>
    </w:p>
  </w:footnote>
  <w:footnote w:id="674">
    <w:p w:rsidR="00377B37" w:rsidRPr="00690F68" w:rsidRDefault="00377B37" w:rsidP="007C1F9F">
      <w:pPr>
        <w:pStyle w:val="FootnoteText"/>
        <w:rPr>
          <w:rFonts w:eastAsia="Calibri"/>
        </w:rPr>
      </w:pPr>
      <w:r>
        <w:rPr>
          <w:rStyle w:val="FootnoteReference"/>
        </w:rPr>
        <w:footnoteRef/>
      </w:r>
      <w:r>
        <w:t xml:space="preserve"> </w:t>
      </w:r>
      <w:r>
        <w:tab/>
      </w:r>
      <w:r w:rsidRPr="00690F68">
        <w:t xml:space="preserve">AER Draft decision: APT Pipeline PTY LTD, Roma to Brisbane Pipeline, April 2012, pp. 70-72: </w:t>
      </w:r>
      <w:r w:rsidRPr="00690F68">
        <w:rPr>
          <w:rFonts w:eastAsia="Calibri"/>
        </w:rPr>
        <w:t>AER, Draft decision: N.T. Gas access arrangement, April 2011, pp. 166–167;.AER, Draft decision: Envestra</w:t>
      </w:r>
    </w:p>
    <w:p w:rsidR="00377B37" w:rsidRPr="00690F68" w:rsidRDefault="00377B37" w:rsidP="007C1F9F">
      <w:pPr>
        <w:pStyle w:val="FootnoteText"/>
        <w:rPr>
          <w:rFonts w:eastAsia="Calibri"/>
        </w:rPr>
      </w:pPr>
      <w:r w:rsidRPr="00690F68">
        <w:rPr>
          <w:rFonts w:eastAsia="Calibri"/>
        </w:rPr>
        <w:tab/>
        <w:t>Ltd: Access arrangement proposal for the Qld gas network 2011–2016, February 2011, p. 191 (AER, Draft</w:t>
      </w:r>
    </w:p>
    <w:p w:rsidR="00377B37" w:rsidRPr="00690F68" w:rsidRDefault="00377B37" w:rsidP="007C1F9F">
      <w:pPr>
        <w:pStyle w:val="FootnoteText"/>
        <w:rPr>
          <w:rFonts w:eastAsia="Calibri"/>
        </w:rPr>
      </w:pPr>
      <w:r w:rsidRPr="00690F68">
        <w:rPr>
          <w:rFonts w:eastAsia="Calibri"/>
        </w:rPr>
        <w:tab/>
        <w:t>decision: Envestra access arrangement Qld, February 2011); AER, Draft decision: Envestra Ltd: Access</w:t>
      </w:r>
    </w:p>
    <w:p w:rsidR="00377B37" w:rsidRPr="00690F68" w:rsidRDefault="00377B37" w:rsidP="007C1F9F">
      <w:pPr>
        <w:pStyle w:val="FootnoteText"/>
        <w:rPr>
          <w:rFonts w:eastAsia="Calibri"/>
        </w:rPr>
      </w:pPr>
      <w:r w:rsidRPr="00690F68">
        <w:rPr>
          <w:rFonts w:eastAsia="Calibri"/>
        </w:rPr>
        <w:tab/>
        <w:t>arrangement proposal for the SA gas network 2011–2016, February 2011, p. 209 (AER, Draft decision:</w:t>
      </w:r>
    </w:p>
    <w:p w:rsidR="00377B37" w:rsidRPr="00690F68" w:rsidRDefault="00377B37" w:rsidP="007C1F9F">
      <w:pPr>
        <w:pStyle w:val="FootnoteText"/>
        <w:rPr>
          <w:rFonts w:eastAsia="Calibri"/>
        </w:rPr>
      </w:pPr>
      <w:r w:rsidRPr="00690F68">
        <w:rPr>
          <w:rFonts w:eastAsia="Calibri"/>
        </w:rPr>
        <w:tab/>
        <w:t>Envestra access arrangement SA, February 2011); AER, Draft decision: APT Allgas: Access arrangement</w:t>
      </w:r>
    </w:p>
    <w:p w:rsidR="00377B37" w:rsidRDefault="00377B37" w:rsidP="007C1F9F">
      <w:pPr>
        <w:pStyle w:val="FootnoteText"/>
      </w:pPr>
      <w:r>
        <w:rPr>
          <w:rFonts w:eastAsia="Calibri"/>
        </w:rPr>
        <w:t xml:space="preserve">          </w:t>
      </w:r>
      <w:r w:rsidRPr="00690F68">
        <w:rPr>
          <w:rFonts w:eastAsia="Calibri"/>
        </w:rPr>
        <w:t>proposal for the Qld gas network 2011–2016, February 2011, pp. 138–140.</w:t>
      </w:r>
    </w:p>
  </w:footnote>
  <w:footnote w:id="675">
    <w:p w:rsidR="00377B37" w:rsidRDefault="00377B37" w:rsidP="007C1F9F">
      <w:pPr>
        <w:pStyle w:val="FootnoteText"/>
      </w:pPr>
      <w:r>
        <w:rPr>
          <w:rStyle w:val="FootnoteReference"/>
        </w:rPr>
        <w:footnoteRef/>
      </w:r>
      <w:r>
        <w:t xml:space="preserve"> </w:t>
      </w:r>
      <w:r>
        <w:tab/>
      </w:r>
      <w:r w:rsidRPr="0034173A">
        <w:rPr>
          <w:rFonts w:eastAsia="Calibri"/>
        </w:rPr>
        <w:t>NGL, s. 23 and s. 24 respectively.</w:t>
      </w:r>
    </w:p>
  </w:footnote>
  <w:footnote w:id="676">
    <w:p w:rsidR="00377B37" w:rsidRDefault="00377B37" w:rsidP="007C1F9F">
      <w:pPr>
        <w:pStyle w:val="FootnoteText"/>
      </w:pPr>
      <w:r>
        <w:rPr>
          <w:rStyle w:val="FootnoteReference"/>
        </w:rPr>
        <w:footnoteRef/>
      </w:r>
      <w:r>
        <w:t xml:space="preserve"> </w:t>
      </w:r>
      <w:r>
        <w:tab/>
        <w:t xml:space="preserve">APA GasNet, </w:t>
      </w:r>
      <w:r>
        <w:rPr>
          <w:rStyle w:val="AERtextitalic"/>
        </w:rPr>
        <w:t>Access arrangement s</w:t>
      </w:r>
      <w:r w:rsidRPr="00FE54B0">
        <w:rPr>
          <w:rStyle w:val="AERtextitalic"/>
        </w:rPr>
        <w:t>ubmission</w:t>
      </w:r>
      <w:r>
        <w:t xml:space="preserve"> - 31 March 2012, p. 223.</w:t>
      </w:r>
    </w:p>
  </w:footnote>
  <w:footnote w:id="677">
    <w:p w:rsidR="00377B37" w:rsidRDefault="00377B37" w:rsidP="007C1F9F">
      <w:pPr>
        <w:pStyle w:val="FootnoteText"/>
      </w:pPr>
      <w:r>
        <w:rPr>
          <w:rStyle w:val="FootnoteReference"/>
        </w:rPr>
        <w:footnoteRef/>
      </w:r>
      <w:r>
        <w:t xml:space="preserve"> </w:t>
      </w:r>
      <w:r>
        <w:tab/>
        <w:t xml:space="preserve">APA GasNet, </w:t>
      </w:r>
      <w:r>
        <w:rPr>
          <w:rStyle w:val="AERtextitalic"/>
        </w:rPr>
        <w:t>Access arrangement s</w:t>
      </w:r>
      <w:r w:rsidRPr="00FE54B0">
        <w:rPr>
          <w:rStyle w:val="AERtextitalic"/>
        </w:rPr>
        <w:t>ubmission</w:t>
      </w:r>
      <w:r w:rsidRPr="00FE54B0">
        <w:t xml:space="preserve"> </w:t>
      </w:r>
      <w:r>
        <w:t>- 31 March 2012, p.170.</w:t>
      </w:r>
    </w:p>
  </w:footnote>
  <w:footnote w:id="678">
    <w:p w:rsidR="00377B37" w:rsidRDefault="00377B37" w:rsidP="007C1F9F">
      <w:pPr>
        <w:pStyle w:val="FootnoteText"/>
      </w:pPr>
      <w:r>
        <w:rPr>
          <w:rStyle w:val="FootnoteReference"/>
        </w:rPr>
        <w:footnoteRef/>
      </w:r>
      <w:r>
        <w:t xml:space="preserve"> </w:t>
      </w:r>
      <w:r>
        <w:tab/>
        <w:t xml:space="preserve">APA GasNet, </w:t>
      </w:r>
      <w:r>
        <w:rPr>
          <w:rStyle w:val="AERtextitalic"/>
        </w:rPr>
        <w:t>Access arrangement s</w:t>
      </w:r>
      <w:r w:rsidRPr="00FE54B0">
        <w:rPr>
          <w:rStyle w:val="AERtextitalic"/>
        </w:rPr>
        <w:t>ubmission</w:t>
      </w:r>
      <w:r w:rsidRPr="00FE54B0">
        <w:t xml:space="preserve"> </w:t>
      </w:r>
      <w:r>
        <w:t>- 31 March 2012, p. 223.</w:t>
      </w:r>
    </w:p>
  </w:footnote>
  <w:footnote w:id="679">
    <w:p w:rsidR="00377B37" w:rsidRDefault="00377B37" w:rsidP="007C1F9F">
      <w:pPr>
        <w:pStyle w:val="FootnoteText"/>
      </w:pPr>
      <w:r>
        <w:rPr>
          <w:rStyle w:val="FootnoteReference"/>
        </w:rPr>
        <w:footnoteRef/>
      </w:r>
      <w:r>
        <w:t xml:space="preserve"> </w:t>
      </w:r>
      <w:r>
        <w:tab/>
        <w:t xml:space="preserve">APA GasNet, </w:t>
      </w:r>
      <w:r>
        <w:rPr>
          <w:rStyle w:val="AERtextitalic"/>
        </w:rPr>
        <w:t>Access a</w:t>
      </w:r>
      <w:r w:rsidRPr="00FE54B0">
        <w:rPr>
          <w:rStyle w:val="AERtextitalic"/>
        </w:rPr>
        <w:t>rrangemen</w:t>
      </w:r>
      <w:r>
        <w:rPr>
          <w:rStyle w:val="AERtextitalic"/>
        </w:rPr>
        <w:t>t,</w:t>
      </w:r>
      <w:r>
        <w:t xml:space="preserve"> 31 March 2012, p. 16.</w:t>
      </w:r>
    </w:p>
  </w:footnote>
  <w:footnote w:id="680">
    <w:p w:rsidR="00377B37" w:rsidRDefault="00377B37" w:rsidP="007C1F9F">
      <w:pPr>
        <w:pStyle w:val="FootnoteText"/>
      </w:pPr>
      <w:r>
        <w:rPr>
          <w:rStyle w:val="FootnoteReference"/>
        </w:rPr>
        <w:footnoteRef/>
      </w:r>
      <w:r>
        <w:t xml:space="preserve"> </w:t>
      </w:r>
      <w:r>
        <w:tab/>
        <w:t xml:space="preserve">APA GasNet, </w:t>
      </w:r>
      <w:r>
        <w:rPr>
          <w:rStyle w:val="AERtextitalic"/>
        </w:rPr>
        <w:t>Access arrangement s</w:t>
      </w:r>
      <w:r w:rsidRPr="00FE54B0">
        <w:rPr>
          <w:rStyle w:val="AERtextitalic"/>
        </w:rPr>
        <w:t>ubmission</w:t>
      </w:r>
      <w:r>
        <w:t>, 31 March 2012, p.224.</w:t>
      </w:r>
    </w:p>
  </w:footnote>
  <w:footnote w:id="681">
    <w:p w:rsidR="00377B37" w:rsidRDefault="00377B37" w:rsidP="007C1F9F">
      <w:pPr>
        <w:pStyle w:val="FootnoteText"/>
      </w:pPr>
      <w:r>
        <w:rPr>
          <w:rStyle w:val="FootnoteReference"/>
        </w:rPr>
        <w:footnoteRef/>
      </w:r>
      <w:r>
        <w:t xml:space="preserve"> </w:t>
      </w:r>
      <w:r>
        <w:tab/>
        <w:t>See attachment 6</w:t>
      </w:r>
      <w:r w:rsidRPr="0000362B">
        <w:t xml:space="preserve"> of this draft decision</w:t>
      </w:r>
      <w:r>
        <w:t>.</w:t>
      </w:r>
    </w:p>
  </w:footnote>
  <w:footnote w:id="682">
    <w:p w:rsidR="00377B37" w:rsidRDefault="00377B37" w:rsidP="007C1F9F">
      <w:pPr>
        <w:pStyle w:val="FootnoteText"/>
      </w:pPr>
      <w:r>
        <w:rPr>
          <w:rStyle w:val="FootnoteReference"/>
        </w:rPr>
        <w:footnoteRef/>
      </w:r>
      <w:r>
        <w:t xml:space="preserve"> </w:t>
      </w:r>
      <w:r>
        <w:tab/>
        <w:t>NGL, s. 189.</w:t>
      </w:r>
    </w:p>
  </w:footnote>
  <w:footnote w:id="683">
    <w:p w:rsidR="00377B37" w:rsidRDefault="00377B37" w:rsidP="007C1F9F">
      <w:pPr>
        <w:pStyle w:val="FootnoteText"/>
      </w:pPr>
      <w:r>
        <w:rPr>
          <w:rStyle w:val="FootnoteReference"/>
        </w:rPr>
        <w:footnoteRef/>
      </w:r>
      <w:r>
        <w:t xml:space="preserve"> </w:t>
      </w:r>
      <w:r>
        <w:tab/>
        <w:t>NGL, s. 332.</w:t>
      </w:r>
    </w:p>
  </w:footnote>
  <w:footnote w:id="684">
    <w:p w:rsidR="00377B37" w:rsidRDefault="00377B37" w:rsidP="007C1F9F">
      <w:pPr>
        <w:pStyle w:val="FootnoteText"/>
      </w:pPr>
      <w:r>
        <w:rPr>
          <w:rStyle w:val="FootnoteReference"/>
        </w:rPr>
        <w:footnoteRef/>
      </w:r>
      <w:r>
        <w:t xml:space="preserve"> </w:t>
      </w:r>
      <w:r>
        <w:tab/>
        <w:t xml:space="preserve">APA GasNet, </w:t>
      </w:r>
      <w:r w:rsidRPr="00D62E98">
        <w:rPr>
          <w:rStyle w:val="AERtextitalic"/>
        </w:rPr>
        <w:t>Access arrangement submission</w:t>
      </w:r>
      <w:r>
        <w:t>, 31 March 2012, p. 22.</w:t>
      </w:r>
    </w:p>
  </w:footnote>
  <w:footnote w:id="685">
    <w:p w:rsidR="00377B37" w:rsidRDefault="00377B37" w:rsidP="007C1F9F">
      <w:pPr>
        <w:pStyle w:val="FootnoteText"/>
      </w:pPr>
      <w:r>
        <w:rPr>
          <w:rStyle w:val="FootnoteReference"/>
        </w:rPr>
        <w:footnoteRef/>
      </w:r>
      <w:r>
        <w:t xml:space="preserve"> </w:t>
      </w:r>
      <w:r>
        <w:tab/>
        <w:t xml:space="preserve">APA GasNet, </w:t>
      </w:r>
      <w:r w:rsidRPr="00D62E98">
        <w:rPr>
          <w:rStyle w:val="AERtextitalic"/>
        </w:rPr>
        <w:t>Access arrangement submission</w:t>
      </w:r>
      <w:r>
        <w:t>, 31 March 2012, p. 23.</w:t>
      </w:r>
    </w:p>
  </w:footnote>
  <w:footnote w:id="686">
    <w:p w:rsidR="00377B37" w:rsidRDefault="00377B37" w:rsidP="007C1F9F">
      <w:pPr>
        <w:pStyle w:val="FootnoteText"/>
      </w:pPr>
      <w:r>
        <w:rPr>
          <w:rStyle w:val="FootnoteReference"/>
        </w:rPr>
        <w:footnoteRef/>
      </w:r>
      <w:r>
        <w:t xml:space="preserve"> </w:t>
      </w:r>
      <w:r>
        <w:tab/>
        <w:t xml:space="preserve">APA GasNet, </w:t>
      </w:r>
      <w:r w:rsidRPr="00D62E98">
        <w:rPr>
          <w:rStyle w:val="AERtextitalic"/>
        </w:rPr>
        <w:t>Access arrangement submission</w:t>
      </w:r>
      <w:r>
        <w:t>, 31 March 2012, p. 23.</w:t>
      </w:r>
    </w:p>
  </w:footnote>
  <w:footnote w:id="687">
    <w:p w:rsidR="00377B37" w:rsidRDefault="00377B37" w:rsidP="007C1F9F">
      <w:pPr>
        <w:pStyle w:val="FootnoteText"/>
      </w:pPr>
      <w:r>
        <w:rPr>
          <w:rStyle w:val="FootnoteReference"/>
        </w:rPr>
        <w:footnoteRef/>
      </w:r>
      <w:r>
        <w:t xml:space="preserve"> </w:t>
      </w:r>
      <w:r>
        <w:tab/>
        <w:t xml:space="preserve">APA GasNet, </w:t>
      </w:r>
      <w:r w:rsidRPr="00D62E98">
        <w:rPr>
          <w:rStyle w:val="AERtextitalic"/>
        </w:rPr>
        <w:t>Access arrangement submission</w:t>
      </w:r>
      <w:r>
        <w:t>, 31 March 2012, p. 23.</w:t>
      </w:r>
    </w:p>
  </w:footnote>
  <w:footnote w:id="688">
    <w:p w:rsidR="00377B37" w:rsidRDefault="00377B37" w:rsidP="007C1F9F">
      <w:pPr>
        <w:pStyle w:val="FootnoteText"/>
      </w:pPr>
      <w:r>
        <w:rPr>
          <w:rStyle w:val="FootnoteReference"/>
        </w:rPr>
        <w:footnoteRef/>
      </w:r>
      <w:r>
        <w:t xml:space="preserve"> </w:t>
      </w:r>
      <w:r>
        <w:tab/>
        <w:t>NGR, r. 100.</w:t>
      </w:r>
    </w:p>
  </w:footnote>
  <w:footnote w:id="689">
    <w:p w:rsidR="00377B37" w:rsidRDefault="00377B37" w:rsidP="007C1F9F">
      <w:pPr>
        <w:pStyle w:val="FootnoteText"/>
      </w:pPr>
      <w:r>
        <w:rPr>
          <w:rStyle w:val="FootnoteReference"/>
        </w:rPr>
        <w:footnoteRef/>
      </w:r>
      <w:r>
        <w:t xml:space="preserve"> </w:t>
      </w:r>
      <w:r>
        <w:tab/>
        <w:t>NGR, r. 40(3).</w:t>
      </w:r>
    </w:p>
  </w:footnote>
  <w:footnote w:id="690">
    <w:p w:rsidR="00377B37" w:rsidRDefault="00377B37" w:rsidP="007C1F9F">
      <w:pPr>
        <w:pStyle w:val="FootnoteText"/>
      </w:pPr>
      <w:r>
        <w:rPr>
          <w:rStyle w:val="FootnoteReference"/>
        </w:rPr>
        <w:footnoteRef/>
      </w:r>
      <w:r>
        <w:t xml:space="preserve"> </w:t>
      </w:r>
      <w:r>
        <w:tab/>
        <w:t>NGL. s. 23; NGR, r. 100.</w:t>
      </w:r>
    </w:p>
  </w:footnote>
  <w:footnote w:id="691">
    <w:p w:rsidR="00377B37" w:rsidRDefault="00377B37" w:rsidP="007C1F9F">
      <w:pPr>
        <w:pStyle w:val="FootnoteText"/>
      </w:pPr>
      <w:r>
        <w:rPr>
          <w:rStyle w:val="FootnoteReference"/>
        </w:rPr>
        <w:footnoteRef/>
      </w:r>
      <w:r>
        <w:t xml:space="preserve">  </w:t>
      </w:r>
      <w:r>
        <w:tab/>
        <w:t>NGL, ss. 181, 184 &amp; 189</w:t>
      </w:r>
    </w:p>
  </w:footnote>
  <w:footnote w:id="692">
    <w:p w:rsidR="00377B37" w:rsidRPr="00AC6699" w:rsidRDefault="00377B37" w:rsidP="007C1F9F">
      <w:pPr>
        <w:pStyle w:val="FootnoteText"/>
      </w:pPr>
      <w:r>
        <w:rPr>
          <w:rStyle w:val="FootnoteReference"/>
        </w:rPr>
        <w:footnoteRef/>
      </w:r>
      <w:r>
        <w:t xml:space="preserve"> </w:t>
      </w:r>
      <w:r>
        <w:tab/>
        <w:t xml:space="preserve">The AER considered the Australian Competition Tribunal’s decision in </w:t>
      </w:r>
      <w:r>
        <w:rPr>
          <w:i/>
        </w:rPr>
        <w:t xml:space="preserve">Application by WA Gas Networks Pty Ltd (No 3) </w:t>
      </w:r>
      <w:r>
        <w:t xml:space="preserve">[2012] ACompT 12 in considering this issue. </w:t>
      </w:r>
    </w:p>
  </w:footnote>
  <w:footnote w:id="693">
    <w:p w:rsidR="00377B37" w:rsidRDefault="00377B37" w:rsidP="007C1F9F">
      <w:pPr>
        <w:pStyle w:val="FootnoteText"/>
      </w:pPr>
      <w:r>
        <w:rPr>
          <w:rStyle w:val="FootnoteReference"/>
        </w:rPr>
        <w:footnoteRef/>
      </w:r>
      <w:r>
        <w:t xml:space="preserve"> </w:t>
      </w:r>
      <w:r>
        <w:tab/>
        <w:t>Australian Power and Gas, Submission to APA GasNet's Access Arrangement Proposal, 15 June 2012, p. 6.</w:t>
      </w:r>
    </w:p>
  </w:footnote>
  <w:footnote w:id="694">
    <w:p w:rsidR="00377B37" w:rsidRDefault="00377B37" w:rsidP="007C1F9F">
      <w:pPr>
        <w:pStyle w:val="FootnoteText"/>
      </w:pPr>
      <w:r>
        <w:rPr>
          <w:rStyle w:val="FootnoteReference"/>
        </w:rPr>
        <w:footnoteRef/>
      </w:r>
      <w:r>
        <w:t xml:space="preserve"> </w:t>
      </w:r>
      <w:r>
        <w:tab/>
      </w:r>
      <w:r w:rsidRPr="00896EFA">
        <w:t>TRUenergy, Submission to the AER: APA GasNet access arr</w:t>
      </w:r>
      <w:r>
        <w:t>angement proposal, 22 June 2012, p. 4.</w:t>
      </w:r>
    </w:p>
  </w:footnote>
  <w:footnote w:id="695">
    <w:p w:rsidR="00377B37" w:rsidRDefault="00377B37" w:rsidP="007C1F9F">
      <w:pPr>
        <w:pStyle w:val="FootnoteText"/>
      </w:pPr>
      <w:r>
        <w:rPr>
          <w:rStyle w:val="FootnoteReference"/>
        </w:rPr>
        <w:footnoteRef/>
      </w:r>
      <w:r>
        <w:t xml:space="preserve"> </w:t>
      </w:r>
      <w:r>
        <w:tab/>
        <w:t>See clauses 81-84 in the terms and Conditions Applying to the Firm Service in the approved Roma to Brisbane Pipeline access arrangement, p. 29.</w:t>
      </w:r>
    </w:p>
  </w:footnote>
  <w:footnote w:id="696">
    <w:p w:rsidR="00377B37" w:rsidRDefault="00377B37" w:rsidP="007C1F9F">
      <w:pPr>
        <w:pStyle w:val="FootnoteText"/>
      </w:pPr>
      <w:r>
        <w:rPr>
          <w:rStyle w:val="FootnoteReference"/>
        </w:rPr>
        <w:footnoteRef/>
      </w:r>
      <w:r>
        <w:t xml:space="preserve"> </w:t>
      </w:r>
      <w:r>
        <w:tab/>
      </w:r>
      <w:r w:rsidRPr="00896EFA">
        <w:t>Australian Power and Gas, Submission to the AER: APA GasNet access arrangement proposal, 15</w:t>
      </w:r>
      <w:r>
        <w:t xml:space="preserve"> June 2012,  p. 6. </w:t>
      </w:r>
    </w:p>
  </w:footnote>
  <w:footnote w:id="697">
    <w:p w:rsidR="00377B37" w:rsidRDefault="00377B37" w:rsidP="007C1F9F">
      <w:pPr>
        <w:pStyle w:val="FootnoteText"/>
      </w:pPr>
      <w:r>
        <w:rPr>
          <w:rStyle w:val="FootnoteReference"/>
        </w:rPr>
        <w:footnoteRef/>
      </w:r>
      <w:r>
        <w:t xml:space="preserve"> </w:t>
      </w:r>
      <w:r>
        <w:tab/>
      </w:r>
      <w:r w:rsidRPr="00896EFA">
        <w:t>TRUenergy, Submission to the AER: APA GasNet access arra</w:t>
      </w:r>
      <w:r>
        <w:t>ngement proposal, 22 June 2012, p. 4.</w:t>
      </w:r>
    </w:p>
  </w:footnote>
  <w:footnote w:id="698">
    <w:p w:rsidR="00377B37" w:rsidRPr="00926CA6" w:rsidRDefault="00377B37" w:rsidP="007C1F9F">
      <w:pPr>
        <w:pStyle w:val="FootnoteText"/>
        <w:rPr>
          <w:rFonts w:eastAsia="Calibri"/>
        </w:rPr>
      </w:pPr>
      <w:r>
        <w:rPr>
          <w:rStyle w:val="FootnoteReference"/>
        </w:rPr>
        <w:footnoteRef/>
      </w:r>
      <w:r>
        <w:t xml:space="preserve"> </w:t>
      </w:r>
      <w:r>
        <w:tab/>
        <w:t xml:space="preserve">Amadeus Gas Pipeline (AGP) - </w:t>
      </w:r>
      <w:r w:rsidRPr="002D3E69">
        <w:rPr>
          <w:rFonts w:eastAsia="Calibri"/>
        </w:rPr>
        <w:t>APT Pipelines NT Pty Ltd</w:t>
      </w:r>
      <w:r>
        <w:rPr>
          <w:rFonts w:eastAsia="Calibri"/>
        </w:rPr>
        <w:t xml:space="preserve">; Roma to Brisbane pipeline – </w:t>
      </w:r>
      <w:r w:rsidRPr="00922E34">
        <w:t xml:space="preserve">APT Petroleum Pipelines Pty Limited </w:t>
      </w:r>
    </w:p>
  </w:footnote>
  <w:footnote w:id="699">
    <w:p w:rsidR="00377B37" w:rsidRDefault="00377B37" w:rsidP="007C1F9F">
      <w:pPr>
        <w:pStyle w:val="FootnoteText"/>
      </w:pPr>
      <w:r>
        <w:rPr>
          <w:rStyle w:val="FootnoteReference"/>
        </w:rPr>
        <w:footnoteRef/>
      </w:r>
      <w:r>
        <w:t xml:space="preserve"> </w:t>
      </w:r>
      <w:r>
        <w:tab/>
        <w:t>AER draft decision – Amadeus Gas Pipeline, appendix C, p. 222.</w:t>
      </w:r>
    </w:p>
  </w:footnote>
  <w:footnote w:id="700">
    <w:p w:rsidR="00377B37" w:rsidRDefault="00377B37" w:rsidP="007C1F9F">
      <w:pPr>
        <w:pStyle w:val="FootnoteText"/>
      </w:pPr>
      <w:r>
        <w:rPr>
          <w:rStyle w:val="FootnoteReference"/>
        </w:rPr>
        <w:footnoteRef/>
      </w:r>
      <w:r>
        <w:t xml:space="preserve"> </w:t>
      </w:r>
      <w:r>
        <w:tab/>
        <w:t>See clause 2 in the terms and Conditions Applying to the Firm Service in the approved Roma to Brisbane Pipeline access arrangement, p. 14.</w:t>
      </w:r>
    </w:p>
  </w:footnote>
  <w:footnote w:id="701">
    <w:p w:rsidR="00377B37" w:rsidRDefault="00377B37" w:rsidP="007C1F9F">
      <w:pPr>
        <w:pStyle w:val="FootnoteText"/>
      </w:pPr>
      <w:r>
        <w:rPr>
          <w:rStyle w:val="FootnoteReference"/>
        </w:rPr>
        <w:footnoteRef/>
      </w:r>
      <w:r>
        <w:t xml:space="preserve"> </w:t>
      </w:r>
      <w:r>
        <w:tab/>
      </w:r>
      <w:r w:rsidRPr="00896EFA">
        <w:t>TRUenergy, Submission to the AER: APA GasNet access arra</w:t>
      </w:r>
      <w:r>
        <w:t>ngement proposal, 22 June 2012, p. 4.</w:t>
      </w:r>
    </w:p>
  </w:footnote>
  <w:footnote w:id="702">
    <w:p w:rsidR="00377B37" w:rsidRDefault="00377B37" w:rsidP="007C1F9F">
      <w:pPr>
        <w:pStyle w:val="FootnoteText"/>
      </w:pPr>
      <w:r>
        <w:rPr>
          <w:rStyle w:val="FootnoteReference"/>
        </w:rPr>
        <w:footnoteRef/>
      </w:r>
      <w:r>
        <w:t xml:space="preserve"> </w:t>
      </w:r>
      <w:r>
        <w:tab/>
        <w:t>See clauses 98 to 100 in the terms and Conditions Applying to the Firm Service in the approved Roma to Brisbane Pipeline access arrangement, p. 33.</w:t>
      </w:r>
    </w:p>
  </w:footnote>
  <w:footnote w:id="703">
    <w:p w:rsidR="00377B37" w:rsidRDefault="00377B37" w:rsidP="007C1F9F">
      <w:pPr>
        <w:pStyle w:val="FootnoteText"/>
      </w:pPr>
      <w:r>
        <w:rPr>
          <w:rStyle w:val="FootnoteReference"/>
        </w:rPr>
        <w:footnoteRef/>
      </w:r>
      <w:r>
        <w:t xml:space="preserve"> </w:t>
      </w:r>
      <w:r>
        <w:tab/>
      </w:r>
      <w:r w:rsidRPr="00896EFA">
        <w:t>Australian Power and Gas, Submission to the AER: APA GasNet access arrangement proposal, 15</w:t>
      </w:r>
      <w:r>
        <w:t xml:space="preserve"> June 2012,  p. 7. </w:t>
      </w:r>
    </w:p>
  </w:footnote>
  <w:footnote w:id="704">
    <w:p w:rsidR="00377B37" w:rsidRDefault="00377B37" w:rsidP="007C1F9F">
      <w:pPr>
        <w:pStyle w:val="FootnoteText"/>
      </w:pPr>
      <w:r>
        <w:rPr>
          <w:rStyle w:val="FootnoteReference"/>
        </w:rPr>
        <w:footnoteRef/>
      </w:r>
      <w:r>
        <w:t xml:space="preserve"> </w:t>
      </w:r>
      <w:r>
        <w:tab/>
        <w:t>See clauses 101 to 103 in the terms and Conditions Applying to the Firm Service in the approved Roma to Brisbane Pipeline access arrangement, p. 33.</w:t>
      </w:r>
    </w:p>
  </w:footnote>
  <w:footnote w:id="705">
    <w:p w:rsidR="00377B37" w:rsidRDefault="00377B37" w:rsidP="007C1F9F">
      <w:pPr>
        <w:pStyle w:val="FootnoteText"/>
      </w:pPr>
      <w:r>
        <w:rPr>
          <w:rStyle w:val="FootnoteReference"/>
        </w:rPr>
        <w:footnoteRef/>
      </w:r>
      <w:r>
        <w:t xml:space="preserve"> </w:t>
      </w:r>
      <w:r>
        <w:tab/>
      </w:r>
      <w:r w:rsidRPr="00896EFA">
        <w:t>Australian Power and Gas, Submission to the AER: APA GasNet access arrangement proposal, 15</w:t>
      </w:r>
      <w:r>
        <w:t xml:space="preserve"> June 2012, p. 7.</w:t>
      </w:r>
    </w:p>
  </w:footnote>
  <w:footnote w:id="706">
    <w:p w:rsidR="00377B37" w:rsidRPr="005C1A54" w:rsidRDefault="00377B37" w:rsidP="007C1F9F">
      <w:pPr>
        <w:pStyle w:val="FootnoteText"/>
      </w:pPr>
      <w:r>
        <w:rPr>
          <w:rStyle w:val="FootnoteReference"/>
        </w:rPr>
        <w:t>25</w:t>
      </w:r>
      <w:r w:rsidRPr="005C1A54">
        <w:tab/>
        <w:t xml:space="preserve">NGR, r. 105(2). </w:t>
      </w:r>
    </w:p>
  </w:footnote>
  <w:footnote w:id="707">
    <w:p w:rsidR="00377B37" w:rsidRPr="005C1A54" w:rsidRDefault="00377B37" w:rsidP="007C1F9F">
      <w:pPr>
        <w:pStyle w:val="FootnoteText"/>
      </w:pPr>
      <w:r>
        <w:rPr>
          <w:rStyle w:val="FootnoteReference"/>
        </w:rPr>
        <w:t>26</w:t>
      </w:r>
      <w:r w:rsidRPr="005C1A54">
        <w:tab/>
        <w:t>NGR, r. 48(1)(f).</w:t>
      </w:r>
    </w:p>
  </w:footnote>
  <w:footnote w:id="708">
    <w:p w:rsidR="00377B37" w:rsidRPr="005C1A54" w:rsidRDefault="00377B37" w:rsidP="007C1F9F">
      <w:pPr>
        <w:pStyle w:val="FootnoteText"/>
      </w:pPr>
      <w:r>
        <w:rPr>
          <w:rStyle w:val="FootnoteReference"/>
        </w:rPr>
        <w:t>27</w:t>
      </w:r>
      <w:r w:rsidRPr="005C1A54">
        <w:t xml:space="preserve"> </w:t>
      </w:r>
      <w:r w:rsidRPr="005C1A54">
        <w:tab/>
        <w:t>NGR, r. 105(2).</w:t>
      </w:r>
    </w:p>
  </w:footnote>
  <w:footnote w:id="709">
    <w:p w:rsidR="00377B37" w:rsidRPr="004939C0" w:rsidRDefault="00377B37" w:rsidP="007C1F9F">
      <w:pPr>
        <w:pStyle w:val="FootnoteText"/>
      </w:pPr>
      <w:r>
        <w:rPr>
          <w:rStyle w:val="FootnoteReference"/>
        </w:rPr>
        <w:t>28</w:t>
      </w:r>
      <w:r w:rsidRPr="005C1A54">
        <w:tab/>
        <w:t xml:space="preserve">APA GasNet, </w:t>
      </w:r>
      <w:r>
        <w:rPr>
          <w:rStyle w:val="AERtextitalic"/>
        </w:rPr>
        <w:t>Access a</w:t>
      </w:r>
      <w:r w:rsidRPr="00D31623">
        <w:rPr>
          <w:rStyle w:val="AERtextitalic"/>
        </w:rPr>
        <w:t>rrangement</w:t>
      </w:r>
      <w:r>
        <w:rPr>
          <w:rStyle w:val="AERtextitalic"/>
        </w:rPr>
        <w:t xml:space="preserve"> proposal</w:t>
      </w:r>
      <w:r w:rsidRPr="005C1A54">
        <w:t>, 2013-2017, clause 5.1.</w:t>
      </w:r>
      <w:r w:rsidRPr="004939C0">
        <w:t xml:space="preserve"> </w:t>
      </w:r>
    </w:p>
  </w:footnote>
  <w:footnote w:id="710">
    <w:p w:rsidR="00377B37" w:rsidRPr="005C1A54" w:rsidRDefault="00377B37" w:rsidP="007C1F9F">
      <w:pPr>
        <w:pStyle w:val="FootnoteText"/>
      </w:pPr>
      <w:r w:rsidRPr="004939C0">
        <w:rPr>
          <w:rStyle w:val="FootnoteReference"/>
          <w:rFonts w:cs="Gautami"/>
          <w:sz w:val="18"/>
          <w:szCs w:val="18"/>
        </w:rPr>
        <w:footnoteRef/>
      </w:r>
      <w:r w:rsidRPr="004939C0">
        <w:t xml:space="preserve"> </w:t>
      </w:r>
      <w:r>
        <w:tab/>
      </w:r>
      <w:r w:rsidRPr="005C1A54">
        <w:t>This model is sometimes referred to as a contract carriage model.</w:t>
      </w:r>
    </w:p>
  </w:footnote>
  <w:footnote w:id="711">
    <w:p w:rsidR="00377B37" w:rsidRPr="005C1A54" w:rsidRDefault="00377B37" w:rsidP="007C1F9F">
      <w:pPr>
        <w:pStyle w:val="FootnoteText"/>
        <w:rPr>
          <w:szCs w:val="18"/>
        </w:rPr>
      </w:pPr>
      <w:r>
        <w:rPr>
          <w:rStyle w:val="FootnoteReference"/>
        </w:rPr>
        <w:t>30</w:t>
      </w:r>
      <w:r w:rsidRPr="005C1A54">
        <w:t xml:space="preserve"> </w:t>
      </w:r>
      <w:r w:rsidRPr="005C1A54">
        <w:tab/>
      </w:r>
      <w:r w:rsidRPr="005C1A54">
        <w:rPr>
          <w:szCs w:val="18"/>
        </w:rPr>
        <w:t xml:space="preserve">This model is sometimes referred to as market carriage model. Australian Energy Market Operator, Victorian Wholesale Market, see: </w:t>
      </w:r>
      <w:hyperlink r:id="rId5" w:history="1">
        <w:r w:rsidRPr="005C1A54">
          <w:rPr>
            <w:rStyle w:val="Hyperlink"/>
            <w:szCs w:val="18"/>
          </w:rPr>
          <w:t>http://www.aemo.com.au/en/Gas/Wholesale-Gas-Markets/Victorian-Wholesale-Market</w:t>
        </w:r>
      </w:hyperlink>
      <w:r w:rsidRPr="005C1A54">
        <w:rPr>
          <w:szCs w:val="18"/>
        </w:rPr>
        <w:t xml:space="preserve">, accessed 30 July 2012. </w:t>
      </w:r>
    </w:p>
  </w:footnote>
  <w:footnote w:id="712">
    <w:p w:rsidR="00377B37" w:rsidRPr="004939C0" w:rsidRDefault="00377B37" w:rsidP="007C1F9F">
      <w:pPr>
        <w:pStyle w:val="FootnoteText"/>
      </w:pPr>
      <w:r>
        <w:rPr>
          <w:rStyle w:val="FootnoteReference"/>
        </w:rPr>
        <w:t>31</w:t>
      </w:r>
      <w:r w:rsidRPr="005C1A54">
        <w:rPr>
          <w:szCs w:val="18"/>
        </w:rPr>
        <w:t xml:space="preserve"> </w:t>
      </w:r>
      <w:r w:rsidRPr="005C1A54">
        <w:rPr>
          <w:szCs w:val="18"/>
        </w:rPr>
        <w:tab/>
        <w:t>In accordance with the rules in Part 19 of the NGR.</w:t>
      </w:r>
    </w:p>
  </w:footnote>
  <w:footnote w:id="713">
    <w:p w:rsidR="00377B37" w:rsidRPr="005C1A54" w:rsidRDefault="00377B37" w:rsidP="007C1F9F">
      <w:pPr>
        <w:pStyle w:val="FootnoteText"/>
      </w:pPr>
      <w:r>
        <w:rPr>
          <w:rStyle w:val="FootnoteReference"/>
        </w:rPr>
        <w:t>32</w:t>
      </w:r>
      <w:r w:rsidRPr="005C1A54">
        <w:t xml:space="preserve"> </w:t>
      </w:r>
      <w:r w:rsidRPr="005C1A54">
        <w:tab/>
        <w:t>NGL, s. 2.</w:t>
      </w:r>
    </w:p>
  </w:footnote>
  <w:footnote w:id="714">
    <w:p w:rsidR="00377B37" w:rsidRPr="005C1A54" w:rsidRDefault="00377B37" w:rsidP="007C1F9F">
      <w:pPr>
        <w:pStyle w:val="FootnoteText"/>
      </w:pPr>
      <w:r>
        <w:rPr>
          <w:rStyle w:val="FootnoteReference"/>
        </w:rPr>
        <w:t>33</w:t>
      </w:r>
      <w:r w:rsidRPr="005C1A54">
        <w:t xml:space="preserve"> </w:t>
      </w:r>
      <w:r w:rsidRPr="005C1A54">
        <w:tab/>
        <w:t xml:space="preserve">NGR, r. 103(1)(a). </w:t>
      </w:r>
    </w:p>
  </w:footnote>
  <w:footnote w:id="715">
    <w:p w:rsidR="00377B37" w:rsidRPr="005C1A54" w:rsidRDefault="00377B37" w:rsidP="007C1F9F">
      <w:pPr>
        <w:pStyle w:val="FootnoteText"/>
      </w:pPr>
      <w:r>
        <w:rPr>
          <w:rStyle w:val="FootnoteReference"/>
        </w:rPr>
        <w:t>34</w:t>
      </w:r>
      <w:r w:rsidRPr="005C1A54">
        <w:tab/>
        <w:t xml:space="preserve">NGR, 103(2). </w:t>
      </w:r>
    </w:p>
  </w:footnote>
  <w:footnote w:id="716">
    <w:p w:rsidR="00377B37" w:rsidRDefault="00377B37" w:rsidP="007C1F9F">
      <w:pPr>
        <w:pStyle w:val="FootnoteText"/>
      </w:pPr>
      <w:r>
        <w:rPr>
          <w:rStyle w:val="FootnoteReference"/>
        </w:rPr>
        <w:t>35</w:t>
      </w:r>
      <w:r w:rsidRPr="005C1A54">
        <w:t xml:space="preserve"> </w:t>
      </w:r>
      <w:r w:rsidRPr="005C1A54">
        <w:tab/>
        <w:t>APA Gas Net</w:t>
      </w:r>
      <w:r>
        <w:t xml:space="preserve">, </w:t>
      </w:r>
      <w:r w:rsidRPr="00B555A2">
        <w:rPr>
          <w:rStyle w:val="AERtextitalic"/>
        </w:rPr>
        <w:t>Access arrangement</w:t>
      </w:r>
      <w:r>
        <w:rPr>
          <w:rStyle w:val="AERtextitalic"/>
        </w:rPr>
        <w:t xml:space="preserve">, </w:t>
      </w:r>
      <w:r>
        <w:t>31 March 2012</w:t>
      </w:r>
      <w:r w:rsidRPr="005C1A54">
        <w:t>, clause 6.1.</w:t>
      </w:r>
      <w:r>
        <w:t xml:space="preserve"> </w:t>
      </w:r>
    </w:p>
  </w:footnote>
  <w:footnote w:id="717">
    <w:p w:rsidR="00377B37" w:rsidRPr="005C1A54" w:rsidRDefault="00377B37" w:rsidP="007C1F9F">
      <w:pPr>
        <w:pStyle w:val="FootnoteText"/>
      </w:pPr>
      <w:r>
        <w:rPr>
          <w:rStyle w:val="FootnoteReference"/>
        </w:rPr>
        <w:t>36</w:t>
      </w:r>
      <w:r w:rsidRPr="005C1A54">
        <w:tab/>
        <w:t>NGR, r. 104(1).</w:t>
      </w:r>
    </w:p>
  </w:footnote>
  <w:footnote w:id="718">
    <w:p w:rsidR="00377B37" w:rsidRPr="005C1A54" w:rsidRDefault="00377B37" w:rsidP="007C1F9F">
      <w:pPr>
        <w:pStyle w:val="FootnoteText"/>
      </w:pPr>
      <w:r>
        <w:rPr>
          <w:rStyle w:val="FootnoteReference"/>
        </w:rPr>
        <w:t>37</w:t>
      </w:r>
      <w:r w:rsidRPr="005C1A54">
        <w:t xml:space="preserve"> </w:t>
      </w:r>
      <w:r w:rsidRPr="005C1A54">
        <w:tab/>
        <w:t xml:space="preserve">NGR, r. 48(1)(g).  </w:t>
      </w:r>
    </w:p>
  </w:footnote>
  <w:footnote w:id="719">
    <w:p w:rsidR="00377B37" w:rsidRPr="005C1A54" w:rsidRDefault="00377B37" w:rsidP="007C1F9F">
      <w:pPr>
        <w:pStyle w:val="FootnoteText"/>
      </w:pPr>
      <w:r>
        <w:rPr>
          <w:rStyle w:val="FootnoteReference"/>
        </w:rPr>
        <w:t>38</w:t>
      </w:r>
      <w:r w:rsidRPr="005C1A54">
        <w:t xml:space="preserve"> </w:t>
      </w:r>
      <w:r w:rsidRPr="005C1A54">
        <w:tab/>
        <w:t>NGR, r. 104(1).</w:t>
      </w:r>
    </w:p>
  </w:footnote>
  <w:footnote w:id="720">
    <w:p w:rsidR="00377B37" w:rsidRPr="005C1A54" w:rsidRDefault="00377B37" w:rsidP="007C1F9F">
      <w:pPr>
        <w:pStyle w:val="FootnoteText"/>
      </w:pPr>
      <w:r>
        <w:rPr>
          <w:rStyle w:val="FootnoteReference"/>
        </w:rPr>
        <w:t>39</w:t>
      </w:r>
      <w:r w:rsidRPr="005C1A54">
        <w:tab/>
        <w:t xml:space="preserve">NGR, r. 104(2).  </w:t>
      </w:r>
    </w:p>
  </w:footnote>
  <w:footnote w:id="721">
    <w:p w:rsidR="00377B37" w:rsidRPr="005C1A54" w:rsidRDefault="00377B37" w:rsidP="007C1F9F">
      <w:pPr>
        <w:pStyle w:val="FootnoteText"/>
      </w:pPr>
      <w:r>
        <w:rPr>
          <w:rStyle w:val="FootnoteReference"/>
        </w:rPr>
        <w:t>40</w:t>
      </w:r>
      <w:r>
        <w:t xml:space="preserve"> </w:t>
      </w:r>
      <w:r>
        <w:tab/>
        <w:t xml:space="preserve">APA GasNet, </w:t>
      </w:r>
      <w:r w:rsidRPr="00B555A2">
        <w:rPr>
          <w:rStyle w:val="AERtextitalic"/>
        </w:rPr>
        <w:t>Access arrangement</w:t>
      </w:r>
      <w:r>
        <w:rPr>
          <w:rStyle w:val="AERtextitalic"/>
        </w:rPr>
        <w:t xml:space="preserve">, </w:t>
      </w:r>
      <w:r>
        <w:t>31 March 2012</w:t>
      </w:r>
      <w:r w:rsidRPr="005C1A54">
        <w:t xml:space="preserve">, clause 7.1. </w:t>
      </w:r>
    </w:p>
  </w:footnote>
  <w:footnote w:id="722">
    <w:p w:rsidR="00377B37" w:rsidRDefault="00377B37" w:rsidP="007C1F9F">
      <w:pPr>
        <w:pStyle w:val="FootnoteText"/>
      </w:pPr>
      <w:r>
        <w:rPr>
          <w:rStyle w:val="FootnoteReference"/>
        </w:rPr>
        <w:t>41</w:t>
      </w:r>
      <w:r w:rsidRPr="005C1A54">
        <w:t xml:space="preserve"> </w:t>
      </w:r>
      <w:r w:rsidRPr="005C1A54">
        <w:tab/>
        <w:t xml:space="preserve">APA GasNet, </w:t>
      </w:r>
      <w:r w:rsidRPr="00B555A2">
        <w:rPr>
          <w:rStyle w:val="AERtextitalic"/>
        </w:rPr>
        <w:t>Access arrangement</w:t>
      </w:r>
      <w:r>
        <w:rPr>
          <w:rStyle w:val="AERtextitalic"/>
        </w:rPr>
        <w:t xml:space="preserve">, </w:t>
      </w:r>
      <w:r>
        <w:t>31 March 2012</w:t>
      </w:r>
      <w:r w:rsidRPr="005C1A54">
        <w:t>, clause 7.1.</w:t>
      </w:r>
    </w:p>
  </w:footnote>
  <w:footnote w:id="723">
    <w:p w:rsidR="00377B37" w:rsidRDefault="00377B37" w:rsidP="007C1F9F">
      <w:pPr>
        <w:pStyle w:val="FootnoteText"/>
      </w:pPr>
      <w:r>
        <w:rPr>
          <w:rStyle w:val="FootnoteReference"/>
        </w:rPr>
        <w:t>42</w:t>
      </w:r>
      <w:r>
        <w:tab/>
        <w:t xml:space="preserve">For example: AER, </w:t>
      </w:r>
      <w:r>
        <w:rPr>
          <w:i/>
        </w:rPr>
        <w:t>Jemena Gas Network draft decision</w:t>
      </w:r>
      <w:r>
        <w:t xml:space="preserve">, February 2010, pp. 348–350; AER, </w:t>
      </w:r>
      <w:r>
        <w:rPr>
          <w:i/>
        </w:rPr>
        <w:t>ActewAGL draft decision</w:t>
      </w:r>
      <w:r>
        <w:t xml:space="preserve">, November 2009, pp. 185–186; AER, </w:t>
      </w:r>
      <w:r w:rsidRPr="00ED0B71">
        <w:rPr>
          <w:i/>
        </w:rPr>
        <w:t xml:space="preserve">Country Energy </w:t>
      </w:r>
      <w:r>
        <w:rPr>
          <w:i/>
        </w:rPr>
        <w:t>d</w:t>
      </w:r>
      <w:r w:rsidRPr="00ED0B71">
        <w:rPr>
          <w:i/>
        </w:rPr>
        <w:t>raft</w:t>
      </w:r>
      <w:r>
        <w:rPr>
          <w:i/>
        </w:rPr>
        <w:t xml:space="preserve"> d</w:t>
      </w:r>
      <w:r w:rsidRPr="00ED0B71">
        <w:rPr>
          <w:i/>
        </w:rPr>
        <w:t>ecision</w:t>
      </w:r>
      <w:r>
        <w:t>, November 2009, pp. 140–141.</w:t>
      </w:r>
    </w:p>
  </w:footnote>
  <w:footnote w:id="724">
    <w:p w:rsidR="00377B37" w:rsidRDefault="00377B37" w:rsidP="007C1F9F">
      <w:pPr>
        <w:pStyle w:val="FootnoteText"/>
      </w:pPr>
      <w:r>
        <w:rPr>
          <w:rStyle w:val="FootnoteReference"/>
        </w:rPr>
        <w:t>43</w:t>
      </w:r>
      <w:r>
        <w:tab/>
      </w:r>
      <w:r w:rsidRPr="00896EFA">
        <w:t>TRUenergy, Submission to the AER: APA GasNet access arrangement proposal, 22 June 2012,</w:t>
      </w:r>
      <w:r>
        <w:t xml:space="preserve"> p. 2.</w:t>
      </w:r>
    </w:p>
  </w:footnote>
  <w:footnote w:id="725">
    <w:p w:rsidR="00377B37" w:rsidRDefault="00377B37" w:rsidP="007C1F9F">
      <w:pPr>
        <w:pStyle w:val="FootnoteText"/>
      </w:pPr>
      <w:r>
        <w:rPr>
          <w:rStyle w:val="FootnoteReference"/>
        </w:rPr>
        <w:t>44</w:t>
      </w:r>
      <w:r w:rsidRPr="00B555A2">
        <w:t xml:space="preserve"> </w:t>
      </w:r>
      <w:r>
        <w:tab/>
      </w:r>
      <w:r w:rsidRPr="00896EFA">
        <w:t>TRUenergy, Submission to the AER: APA GasNet access arrangement proposal, 22 June 2012,</w:t>
      </w:r>
      <w:r>
        <w:t xml:space="preserve"> p. 2.</w:t>
      </w:r>
    </w:p>
  </w:footnote>
  <w:footnote w:id="726">
    <w:p w:rsidR="00377B37" w:rsidRDefault="00377B37" w:rsidP="007C1F9F">
      <w:pPr>
        <w:pStyle w:val="FootnoteText"/>
      </w:pPr>
      <w:r>
        <w:rPr>
          <w:rStyle w:val="FootnoteReference"/>
        </w:rPr>
        <w:t>45</w:t>
      </w:r>
      <w:r w:rsidRPr="00B555A2">
        <w:t xml:space="preserve"> </w:t>
      </w:r>
      <w:r>
        <w:tab/>
      </w:r>
      <w:r w:rsidRPr="00896EFA">
        <w:t>Australian Power and Gas, Submission to the AER: APA GasNet access arrangement proposal, 15 June 2012,</w:t>
      </w:r>
      <w:r>
        <w:t xml:space="preserve"> p. 2.</w:t>
      </w:r>
    </w:p>
  </w:footnote>
  <w:footnote w:id="727">
    <w:p w:rsidR="00377B37" w:rsidRPr="005C1A54" w:rsidRDefault="00377B37" w:rsidP="007C1F9F">
      <w:pPr>
        <w:pStyle w:val="FootnoteText"/>
      </w:pPr>
      <w:r>
        <w:rPr>
          <w:rStyle w:val="FootnoteReference"/>
        </w:rPr>
        <w:t>46</w:t>
      </w:r>
      <w:r w:rsidRPr="005C1A54">
        <w:t xml:space="preserve"> </w:t>
      </w:r>
      <w:r w:rsidRPr="005C1A54">
        <w:tab/>
        <w:t xml:space="preserve">NGR, r. 3. </w:t>
      </w:r>
    </w:p>
  </w:footnote>
  <w:footnote w:id="728">
    <w:p w:rsidR="00377B37" w:rsidRPr="005C1A54" w:rsidRDefault="00377B37" w:rsidP="007C1F9F">
      <w:pPr>
        <w:pStyle w:val="FootnoteText"/>
      </w:pPr>
      <w:r>
        <w:rPr>
          <w:rStyle w:val="FootnoteReference"/>
        </w:rPr>
        <w:t>47</w:t>
      </w:r>
      <w:r w:rsidRPr="005C1A54">
        <w:tab/>
        <w:t xml:space="preserve">NGR, r. 48(h). </w:t>
      </w:r>
    </w:p>
  </w:footnote>
  <w:footnote w:id="729">
    <w:p w:rsidR="00377B37" w:rsidRPr="005C1A54" w:rsidRDefault="00377B37" w:rsidP="007C1F9F">
      <w:pPr>
        <w:pStyle w:val="FootnoteText"/>
      </w:pPr>
      <w:r>
        <w:rPr>
          <w:rStyle w:val="FootnoteReference"/>
        </w:rPr>
        <w:t>48</w:t>
      </w:r>
      <w:r w:rsidRPr="005C1A54">
        <w:t xml:space="preserve"> </w:t>
      </w:r>
      <w:r w:rsidRPr="005C1A54">
        <w:tab/>
        <w:t>NGR, r. 106(1).</w:t>
      </w:r>
    </w:p>
  </w:footnote>
  <w:footnote w:id="730">
    <w:p w:rsidR="00377B37" w:rsidRPr="005C1A54" w:rsidRDefault="00377B37" w:rsidP="007C1F9F">
      <w:pPr>
        <w:pStyle w:val="FootnoteText"/>
      </w:pPr>
      <w:r>
        <w:rPr>
          <w:rStyle w:val="FootnoteReference"/>
        </w:rPr>
        <w:t>49</w:t>
      </w:r>
      <w:r w:rsidRPr="005C1A54">
        <w:t xml:space="preserve"> </w:t>
      </w:r>
      <w:r w:rsidRPr="005C1A54">
        <w:tab/>
        <w:t xml:space="preserve">NGR, r. 106. (2). </w:t>
      </w:r>
    </w:p>
  </w:footnote>
  <w:footnote w:id="731">
    <w:p w:rsidR="00377B37" w:rsidRDefault="00377B37" w:rsidP="007C1F9F">
      <w:pPr>
        <w:pStyle w:val="FootnoteText"/>
      </w:pPr>
      <w:r>
        <w:rPr>
          <w:rStyle w:val="FootnoteReference"/>
        </w:rPr>
        <w:t>50</w:t>
      </w:r>
      <w:r w:rsidRPr="005C1A54">
        <w:tab/>
        <w:t xml:space="preserve">APA GasNet, </w:t>
      </w:r>
      <w:r w:rsidRPr="00B555A2">
        <w:rPr>
          <w:rStyle w:val="AERtextitalic"/>
        </w:rPr>
        <w:t>Access arrangement</w:t>
      </w:r>
      <w:r>
        <w:rPr>
          <w:rStyle w:val="AERtextitalic"/>
        </w:rPr>
        <w:t xml:space="preserve">, </w:t>
      </w:r>
      <w:r>
        <w:t>31 March 2012</w:t>
      </w:r>
      <w:r w:rsidRPr="005C1A54">
        <w:t>, clause 5.2.</w:t>
      </w:r>
      <w:r>
        <w:t xml:space="preserve"> </w:t>
      </w:r>
    </w:p>
  </w:footnote>
  <w:footnote w:id="732">
    <w:p w:rsidR="00377B37" w:rsidRPr="005C1A54" w:rsidRDefault="00377B37" w:rsidP="007C1F9F">
      <w:pPr>
        <w:pStyle w:val="FootnoteText"/>
      </w:pPr>
      <w:r>
        <w:rPr>
          <w:rStyle w:val="FootnoteReference"/>
        </w:rPr>
        <w:t>51</w:t>
      </w:r>
      <w:r w:rsidRPr="005C1A54">
        <w:t xml:space="preserve"> </w:t>
      </w:r>
      <w:r w:rsidRPr="005C1A54">
        <w:tab/>
        <w:t xml:space="preserve">NGR, r. 50. </w:t>
      </w:r>
    </w:p>
  </w:footnote>
  <w:footnote w:id="733">
    <w:p w:rsidR="00377B37" w:rsidRDefault="00377B37" w:rsidP="007C1F9F">
      <w:pPr>
        <w:pStyle w:val="FootnoteText"/>
      </w:pPr>
      <w:r>
        <w:rPr>
          <w:rStyle w:val="FootnoteReference"/>
        </w:rPr>
        <w:t>52</w:t>
      </w:r>
      <w:r w:rsidRPr="005C1A54">
        <w:t xml:space="preserve"> </w:t>
      </w:r>
      <w:r w:rsidRPr="005C1A54">
        <w:tab/>
        <w:t xml:space="preserve">APA GasNet, </w:t>
      </w:r>
      <w:r w:rsidRPr="00B555A2">
        <w:rPr>
          <w:rStyle w:val="AERtextitalic"/>
        </w:rPr>
        <w:t>Access arrangement</w:t>
      </w:r>
      <w:r>
        <w:rPr>
          <w:rStyle w:val="AERtextitalic"/>
        </w:rPr>
        <w:t xml:space="preserve">, </w:t>
      </w:r>
      <w:r>
        <w:t>31 March 2012</w:t>
      </w:r>
      <w:r w:rsidRPr="005C1A54">
        <w:t>, clauses 1.4 and 1.5</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 w:rsidR="00377B37" w:rsidRDefault="00377B37"/>
  <w:p w:rsidR="00377B37" w:rsidRDefault="00377B37"/>
  <w:p w:rsidR="00377B37" w:rsidRDefault="00377B37"/>
  <w:p w:rsidR="00377B37" w:rsidRDefault="00377B37"/>
  <w:p w:rsidR="00377B37" w:rsidRDefault="00377B37"/>
  <w:p w:rsidR="00377B37" w:rsidRDefault="00377B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 w:rsidR="00377B37" w:rsidRDefault="00377B3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Pr>
      <w:spacing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 w:rsidR="00377B37" w:rsidRDefault="00377B37"/>
  <w:p w:rsidR="00377B37" w:rsidRDefault="00377B37"/>
  <w:p w:rsidR="00377B37" w:rsidRDefault="00377B37"/>
  <w:p w:rsidR="00377B37" w:rsidRDefault="00377B37"/>
  <w:p w:rsidR="00377B37" w:rsidRDefault="00377B37"/>
  <w:p w:rsidR="00377B37" w:rsidRDefault="00377B3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 w:rsidR="00377B37" w:rsidRDefault="00377B3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 w:rsidR="00377B37" w:rsidRDefault="00377B37"/>
  <w:p w:rsidR="00377B37" w:rsidRDefault="00377B37"/>
  <w:p w:rsidR="00377B37" w:rsidRDefault="00377B37"/>
  <w:p w:rsidR="00377B37" w:rsidRDefault="00377B37"/>
  <w:p w:rsidR="00377B37" w:rsidRDefault="00377B37"/>
  <w:p w:rsidR="00377B37" w:rsidRDefault="00377B3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 w:rsidR="00377B37" w:rsidRDefault="00377B3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37" w:rsidRDefault="00377B37">
    <w:pPr>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108"/>
    <w:multiLevelType w:val="hybridMultilevel"/>
    <w:tmpl w:val="CE2E6274"/>
    <w:lvl w:ilvl="0" w:tplc="EFA888A6">
      <w:numFmt w:val="bullet"/>
      <w:lvlText w:val="-"/>
      <w:lvlJc w:val="left"/>
      <w:pPr>
        <w:tabs>
          <w:tab w:val="num" w:pos="720"/>
        </w:tabs>
        <w:ind w:left="720" w:hanging="360"/>
      </w:pPr>
      <w:rPr>
        <w:rFonts w:ascii="Gautami" w:eastAsia="Times New Roman" w:hAnsi="Gautami" w:cs="Gautam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C106BD2"/>
    <w:multiLevelType w:val="hybridMultilevel"/>
    <w:tmpl w:val="34DE8C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3">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FE83DBA"/>
    <w:multiLevelType w:val="hybridMultilevel"/>
    <w:tmpl w:val="9496B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25C9538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8D36D2C"/>
    <w:multiLevelType w:val="hybridMultilevel"/>
    <w:tmpl w:val="FDBE1A8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17972F1"/>
    <w:multiLevelType w:val="hybridMultilevel"/>
    <w:tmpl w:val="E8082526"/>
    <w:lvl w:ilvl="0" w:tplc="C90C7928">
      <w:start w:val="1"/>
      <w:numFmt w:val="decimal"/>
      <w:pStyle w:val="ListBullet"/>
      <w:lvlText w:val="%1."/>
      <w:lvlJc w:val="left"/>
      <w:pPr>
        <w:tabs>
          <w:tab w:val="num" w:pos="720"/>
        </w:tabs>
        <w:ind w:left="720" w:hanging="360"/>
      </w:pPr>
    </w:lvl>
    <w:lvl w:ilvl="1" w:tplc="0C090003">
      <w:start w:val="1"/>
      <w:numFmt w:val="lowerRoman"/>
      <w:lvlText w:val="%2."/>
      <w:lvlJc w:val="left"/>
      <w:pPr>
        <w:tabs>
          <w:tab w:val="num" w:pos="1800"/>
        </w:tabs>
        <w:ind w:left="1800" w:hanging="72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443F74CB"/>
    <w:multiLevelType w:val="hybridMultilevel"/>
    <w:tmpl w:val="89C4D03A"/>
    <w:lvl w:ilvl="0" w:tplc="C90C7928">
      <w:start w:val="1"/>
      <w:numFmt w:val="decimal"/>
      <w:pStyle w:val="AERnumberedlistfirststyle"/>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1">
    <w:nsid w:val="4E055753"/>
    <w:multiLevelType w:val="hybridMultilevel"/>
    <w:tmpl w:val="A442E4BE"/>
    <w:lvl w:ilvl="0" w:tplc="D68C2F94">
      <w:start w:val="1"/>
      <w:numFmt w:val="bullet"/>
      <w:lvlText w:val=""/>
      <w:lvlJc w:val="left"/>
      <w:pPr>
        <w:ind w:left="720" w:hanging="360"/>
      </w:pPr>
      <w:rPr>
        <w:rFonts w:ascii="Symbol" w:hAnsi="Symbol" w:hint="default"/>
      </w:rPr>
    </w:lvl>
    <w:lvl w:ilvl="1" w:tplc="89588A36" w:tentative="1">
      <w:start w:val="1"/>
      <w:numFmt w:val="bullet"/>
      <w:lvlText w:val="o"/>
      <w:lvlJc w:val="left"/>
      <w:pPr>
        <w:ind w:left="1440" w:hanging="360"/>
      </w:pPr>
      <w:rPr>
        <w:rFonts w:ascii="Courier New" w:hAnsi="Courier New" w:cs="Courier New" w:hint="default"/>
      </w:rPr>
    </w:lvl>
    <w:lvl w:ilvl="2" w:tplc="A8C4EC96" w:tentative="1">
      <w:start w:val="1"/>
      <w:numFmt w:val="bullet"/>
      <w:lvlText w:val=""/>
      <w:lvlJc w:val="left"/>
      <w:pPr>
        <w:ind w:left="2160" w:hanging="360"/>
      </w:pPr>
      <w:rPr>
        <w:rFonts w:ascii="Wingdings" w:hAnsi="Wingdings" w:hint="default"/>
      </w:rPr>
    </w:lvl>
    <w:lvl w:ilvl="3" w:tplc="E838337C" w:tentative="1">
      <w:start w:val="1"/>
      <w:numFmt w:val="bullet"/>
      <w:lvlText w:val=""/>
      <w:lvlJc w:val="left"/>
      <w:pPr>
        <w:ind w:left="2880" w:hanging="360"/>
      </w:pPr>
      <w:rPr>
        <w:rFonts w:ascii="Symbol" w:hAnsi="Symbol" w:hint="default"/>
      </w:rPr>
    </w:lvl>
    <w:lvl w:ilvl="4" w:tplc="701653DE" w:tentative="1">
      <w:start w:val="1"/>
      <w:numFmt w:val="bullet"/>
      <w:lvlText w:val="o"/>
      <w:lvlJc w:val="left"/>
      <w:pPr>
        <w:ind w:left="3600" w:hanging="360"/>
      </w:pPr>
      <w:rPr>
        <w:rFonts w:ascii="Courier New" w:hAnsi="Courier New" w:cs="Courier New" w:hint="default"/>
      </w:rPr>
    </w:lvl>
    <w:lvl w:ilvl="5" w:tplc="CEEE2926" w:tentative="1">
      <w:start w:val="1"/>
      <w:numFmt w:val="bullet"/>
      <w:lvlText w:val=""/>
      <w:lvlJc w:val="left"/>
      <w:pPr>
        <w:ind w:left="4320" w:hanging="360"/>
      </w:pPr>
      <w:rPr>
        <w:rFonts w:ascii="Wingdings" w:hAnsi="Wingdings" w:hint="default"/>
      </w:rPr>
    </w:lvl>
    <w:lvl w:ilvl="6" w:tplc="219E130C" w:tentative="1">
      <w:start w:val="1"/>
      <w:numFmt w:val="bullet"/>
      <w:lvlText w:val=""/>
      <w:lvlJc w:val="left"/>
      <w:pPr>
        <w:ind w:left="5040" w:hanging="360"/>
      </w:pPr>
      <w:rPr>
        <w:rFonts w:ascii="Symbol" w:hAnsi="Symbol" w:hint="default"/>
      </w:rPr>
    </w:lvl>
    <w:lvl w:ilvl="7" w:tplc="23A6194A" w:tentative="1">
      <w:start w:val="1"/>
      <w:numFmt w:val="bullet"/>
      <w:lvlText w:val="o"/>
      <w:lvlJc w:val="left"/>
      <w:pPr>
        <w:ind w:left="5760" w:hanging="360"/>
      </w:pPr>
      <w:rPr>
        <w:rFonts w:ascii="Courier New" w:hAnsi="Courier New" w:cs="Courier New" w:hint="default"/>
      </w:rPr>
    </w:lvl>
    <w:lvl w:ilvl="8" w:tplc="971EFF3C" w:tentative="1">
      <w:start w:val="1"/>
      <w:numFmt w:val="bullet"/>
      <w:lvlText w:val=""/>
      <w:lvlJc w:val="left"/>
      <w:pPr>
        <w:ind w:left="6480" w:hanging="360"/>
      </w:pPr>
      <w:rPr>
        <w:rFonts w:ascii="Wingdings" w:hAnsi="Wingdings" w:hint="default"/>
      </w:rPr>
    </w:lvl>
  </w:abstractNum>
  <w:abstractNum w:abstractNumId="12">
    <w:nsid w:val="4F67669E"/>
    <w:multiLevelType w:val="multilevel"/>
    <w:tmpl w:val="31E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424843"/>
    <w:multiLevelType w:val="hybridMultilevel"/>
    <w:tmpl w:val="CE82C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DE4D63"/>
    <w:multiLevelType w:val="hybridMultilevel"/>
    <w:tmpl w:val="23C80B4C"/>
    <w:lvl w:ilvl="0" w:tplc="FFFFFFFF">
      <w:start w:val="1"/>
      <w:numFmt w:val="bullet"/>
      <w:lvlText w:val=""/>
      <w:lvlJc w:val="left"/>
      <w:pPr>
        <w:tabs>
          <w:tab w:val="num" w:pos="1078"/>
        </w:tabs>
        <w:ind w:left="1078" w:hanging="358"/>
      </w:pPr>
      <w:rPr>
        <w:rFonts w:ascii="Wingdings" w:hAnsi="Wingdings" w:hint="default"/>
        <w:b w:val="0"/>
        <w:i w:val="0"/>
        <w:sz w:val="22"/>
      </w:rPr>
    </w:lvl>
    <w:lvl w:ilvl="1" w:tplc="FFFFFFFF">
      <w:start w:val="1"/>
      <w:numFmt w:val="bullet"/>
      <w:lvlText w:val=""/>
      <w:lvlJc w:val="left"/>
      <w:pPr>
        <w:tabs>
          <w:tab w:val="num" w:pos="5218"/>
        </w:tabs>
        <w:ind w:left="5218" w:hanging="358"/>
      </w:pPr>
      <w:rPr>
        <w:rFonts w:ascii="Wingdings" w:hAnsi="Wingdings" w:hint="default"/>
        <w:b w:val="0"/>
        <w:i w:val="0"/>
        <w:sz w:val="22"/>
      </w:rPr>
    </w:lvl>
    <w:lvl w:ilvl="2" w:tplc="FFFFFFFF" w:tentative="1">
      <w:start w:val="1"/>
      <w:numFmt w:val="lowerRoman"/>
      <w:lvlText w:val="%3."/>
      <w:lvlJc w:val="right"/>
      <w:pPr>
        <w:tabs>
          <w:tab w:val="num" w:pos="5940"/>
        </w:tabs>
        <w:ind w:left="5940" w:hanging="180"/>
      </w:pPr>
    </w:lvl>
    <w:lvl w:ilvl="3" w:tplc="FFFFFFFF" w:tentative="1">
      <w:start w:val="1"/>
      <w:numFmt w:val="decimal"/>
      <w:lvlText w:val="%4."/>
      <w:lvlJc w:val="left"/>
      <w:pPr>
        <w:tabs>
          <w:tab w:val="num" w:pos="6660"/>
        </w:tabs>
        <w:ind w:left="6660" w:hanging="360"/>
      </w:pPr>
    </w:lvl>
    <w:lvl w:ilvl="4" w:tplc="FFFFFFFF">
      <w:start w:val="1"/>
      <w:numFmt w:val="lowerLetter"/>
      <w:lvlText w:val="%5."/>
      <w:lvlJc w:val="left"/>
      <w:pPr>
        <w:tabs>
          <w:tab w:val="num" w:pos="7380"/>
        </w:tabs>
        <w:ind w:left="7380" w:hanging="360"/>
      </w:pPr>
    </w:lvl>
    <w:lvl w:ilvl="5" w:tplc="FFFFFFFF">
      <w:start w:val="1"/>
      <w:numFmt w:val="lowerRoman"/>
      <w:lvlText w:val="%6."/>
      <w:lvlJc w:val="right"/>
      <w:pPr>
        <w:tabs>
          <w:tab w:val="num" w:pos="8100"/>
        </w:tabs>
        <w:ind w:left="8100" w:hanging="180"/>
      </w:pPr>
    </w:lvl>
    <w:lvl w:ilvl="6" w:tplc="FFFFFFFF" w:tentative="1">
      <w:start w:val="1"/>
      <w:numFmt w:val="decimal"/>
      <w:lvlText w:val="%7."/>
      <w:lvlJc w:val="left"/>
      <w:pPr>
        <w:tabs>
          <w:tab w:val="num" w:pos="8820"/>
        </w:tabs>
        <w:ind w:left="8820" w:hanging="360"/>
      </w:pPr>
    </w:lvl>
    <w:lvl w:ilvl="7" w:tplc="FFFFFFFF" w:tentative="1">
      <w:start w:val="1"/>
      <w:numFmt w:val="lowerLetter"/>
      <w:lvlText w:val="%8."/>
      <w:lvlJc w:val="left"/>
      <w:pPr>
        <w:tabs>
          <w:tab w:val="num" w:pos="9540"/>
        </w:tabs>
        <w:ind w:left="9540" w:hanging="360"/>
      </w:pPr>
    </w:lvl>
    <w:lvl w:ilvl="8" w:tplc="FFFFFFFF" w:tentative="1">
      <w:start w:val="1"/>
      <w:numFmt w:val="lowerRoman"/>
      <w:lvlText w:val="%9."/>
      <w:lvlJc w:val="right"/>
      <w:pPr>
        <w:tabs>
          <w:tab w:val="num" w:pos="10260"/>
        </w:tabs>
        <w:ind w:left="10260" w:hanging="180"/>
      </w:pPr>
    </w:lvl>
  </w:abstractNum>
  <w:abstractNum w:abstractNumId="15">
    <w:nsid w:val="619A0BCE"/>
    <w:multiLevelType w:val="hybridMultilevel"/>
    <w:tmpl w:val="EE48F66C"/>
    <w:lvl w:ilvl="0" w:tplc="5FDCCED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BF0570"/>
    <w:multiLevelType w:val="hybridMultilevel"/>
    <w:tmpl w:val="2C38EE7E"/>
    <w:lvl w:ilvl="0" w:tplc="605E865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7">
    <w:nsid w:val="6A9400E5"/>
    <w:multiLevelType w:val="hybridMultilevel"/>
    <w:tmpl w:val="05CA591A"/>
    <w:lvl w:ilvl="0" w:tplc="FBA475C6">
      <w:start w:val="1"/>
      <w:numFmt w:val="bullet"/>
      <w:lvlText w:val=""/>
      <w:lvlJc w:val="left"/>
      <w:pPr>
        <w:ind w:left="765" w:hanging="360"/>
      </w:pPr>
      <w:rPr>
        <w:rFonts w:ascii="Symbol" w:hAnsi="Symbol" w:hint="default"/>
      </w:rPr>
    </w:lvl>
    <w:lvl w:ilvl="1" w:tplc="979EFB58">
      <w:start w:val="1"/>
      <w:numFmt w:val="decimal"/>
      <w:lvlText w:val="%2."/>
      <w:lvlJc w:val="left"/>
      <w:pPr>
        <w:tabs>
          <w:tab w:val="num" w:pos="1440"/>
        </w:tabs>
        <w:ind w:left="1440" w:hanging="360"/>
      </w:pPr>
    </w:lvl>
    <w:lvl w:ilvl="2" w:tplc="E71E2D34">
      <w:start w:val="1"/>
      <w:numFmt w:val="decimal"/>
      <w:lvlText w:val="%3."/>
      <w:lvlJc w:val="left"/>
      <w:pPr>
        <w:tabs>
          <w:tab w:val="num" w:pos="2160"/>
        </w:tabs>
        <w:ind w:left="2160" w:hanging="360"/>
      </w:pPr>
    </w:lvl>
    <w:lvl w:ilvl="3" w:tplc="6FC446F8">
      <w:start w:val="1"/>
      <w:numFmt w:val="decimal"/>
      <w:lvlText w:val="%4."/>
      <w:lvlJc w:val="left"/>
      <w:pPr>
        <w:tabs>
          <w:tab w:val="num" w:pos="2880"/>
        </w:tabs>
        <w:ind w:left="2880" w:hanging="360"/>
      </w:pPr>
    </w:lvl>
    <w:lvl w:ilvl="4" w:tplc="EBAEF05E">
      <w:start w:val="1"/>
      <w:numFmt w:val="decimal"/>
      <w:lvlText w:val="%5."/>
      <w:lvlJc w:val="left"/>
      <w:pPr>
        <w:tabs>
          <w:tab w:val="num" w:pos="3600"/>
        </w:tabs>
        <w:ind w:left="3600" w:hanging="360"/>
      </w:pPr>
    </w:lvl>
    <w:lvl w:ilvl="5" w:tplc="CF86F1A4">
      <w:start w:val="1"/>
      <w:numFmt w:val="decimal"/>
      <w:lvlText w:val="%6."/>
      <w:lvlJc w:val="left"/>
      <w:pPr>
        <w:tabs>
          <w:tab w:val="num" w:pos="4320"/>
        </w:tabs>
        <w:ind w:left="4320" w:hanging="360"/>
      </w:pPr>
    </w:lvl>
    <w:lvl w:ilvl="6" w:tplc="ACCEEA4A">
      <w:start w:val="1"/>
      <w:numFmt w:val="decimal"/>
      <w:lvlText w:val="%7."/>
      <w:lvlJc w:val="left"/>
      <w:pPr>
        <w:tabs>
          <w:tab w:val="num" w:pos="5040"/>
        </w:tabs>
        <w:ind w:left="5040" w:hanging="360"/>
      </w:pPr>
    </w:lvl>
    <w:lvl w:ilvl="7" w:tplc="DD5CCB0E">
      <w:start w:val="1"/>
      <w:numFmt w:val="decimal"/>
      <w:lvlText w:val="%8."/>
      <w:lvlJc w:val="left"/>
      <w:pPr>
        <w:tabs>
          <w:tab w:val="num" w:pos="5760"/>
        </w:tabs>
        <w:ind w:left="5760" w:hanging="360"/>
      </w:pPr>
    </w:lvl>
    <w:lvl w:ilvl="8" w:tplc="6F1CE1DC">
      <w:start w:val="1"/>
      <w:numFmt w:val="decimal"/>
      <w:lvlText w:val="%9."/>
      <w:lvlJc w:val="left"/>
      <w:pPr>
        <w:tabs>
          <w:tab w:val="num" w:pos="6480"/>
        </w:tabs>
        <w:ind w:left="6480" w:hanging="360"/>
      </w:pPr>
    </w:lvl>
  </w:abstractNum>
  <w:abstractNum w:abstractNumId="18">
    <w:nsid w:val="76A149FE"/>
    <w:multiLevelType w:val="multilevel"/>
    <w:tmpl w:val="1EDEB3A2"/>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20">
    <w:nsid w:val="7C7039F8"/>
    <w:multiLevelType w:val="hybridMultilevel"/>
    <w:tmpl w:val="C36C799E"/>
    <w:lvl w:ilvl="0" w:tplc="FFFFFFFF">
      <w:numFmt w:val="bullet"/>
      <w:lvlText w:val="-"/>
      <w:lvlJc w:val="left"/>
      <w:pPr>
        <w:tabs>
          <w:tab w:val="num" w:pos="720"/>
        </w:tabs>
        <w:ind w:left="720" w:hanging="360"/>
      </w:pPr>
      <w:rPr>
        <w:rFonts w:ascii="Gautami" w:eastAsia="Times New Roman" w:hAnsi="Gautami" w:cs="Gautami"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C8D075D"/>
    <w:multiLevelType w:val="hybridMultilevel"/>
    <w:tmpl w:val="6ADAC6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
  </w:num>
  <w:num w:numId="3">
    <w:abstractNumId w:val="16"/>
  </w:num>
  <w:num w:numId="4">
    <w:abstractNumId w:val="2"/>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lvlOverride w:ilvl="0">
      <w:startOverride w:val="1"/>
    </w:lvlOverride>
  </w:num>
  <w:num w:numId="12">
    <w:abstractNumId w:val="10"/>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2"/>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19"/>
  </w:num>
  <w:num w:numId="31">
    <w:abstractNumId w:val="20"/>
  </w:num>
  <w:num w:numId="32">
    <w:abstractNumId w:val="6"/>
  </w:num>
  <w:num w:numId="33">
    <w:abstractNumId w:val="1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3"/>
  </w:num>
  <w:num w:numId="41">
    <w:abstractNumId w:val="4"/>
  </w:num>
  <w:num w:numId="42">
    <w:abstractNumId w:val="15"/>
  </w:num>
  <w:num w:numId="43">
    <w:abstractNumId w:val="11"/>
  </w:num>
  <w:num w:numId="44">
    <w:abstractNumId w:val="21"/>
  </w:num>
  <w:num w:numId="45">
    <w:abstractNumId w:val="1"/>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hideSpellingErrors/>
  <w:stylePaneFormatFilter w:val="3001"/>
  <w:doNotTrackMoves/>
  <w:documentProtection w:formatting="1" w:enforcement="1" w:cryptProviderType="rsaFull" w:cryptAlgorithmClass="hash" w:cryptAlgorithmType="typeAny" w:cryptAlgorithmSid="4" w:cryptSpinCount="100000" w:hash="Y/7BWUighhZt/s96HiFRm9JDVOo=" w:salt="yBMDFtQV4K15/vIGnu2sSA=="/>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5460\AER12 5584  VIC gas access arrangement review 2012 - multiple issues addressed  - AER draft decision -  - APA GasNet - draft decision - attachments(3).DOC"/>
  </w:docVars>
  <w:rsids>
    <w:rsidRoot w:val="00A02329"/>
    <w:rsid w:val="000018CD"/>
    <w:rsid w:val="00004EAD"/>
    <w:rsid w:val="00013F4C"/>
    <w:rsid w:val="00022A23"/>
    <w:rsid w:val="0002586E"/>
    <w:rsid w:val="0003617E"/>
    <w:rsid w:val="00037F13"/>
    <w:rsid w:val="00052D90"/>
    <w:rsid w:val="000554DA"/>
    <w:rsid w:val="00080470"/>
    <w:rsid w:val="000859BA"/>
    <w:rsid w:val="000A105F"/>
    <w:rsid w:val="000A5EC0"/>
    <w:rsid w:val="000B05E8"/>
    <w:rsid w:val="000B7EE2"/>
    <w:rsid w:val="000E0BF3"/>
    <w:rsid w:val="000F0DE0"/>
    <w:rsid w:val="000F1E4C"/>
    <w:rsid w:val="001006BE"/>
    <w:rsid w:val="00101820"/>
    <w:rsid w:val="0012073E"/>
    <w:rsid w:val="00150454"/>
    <w:rsid w:val="00152708"/>
    <w:rsid w:val="001528C3"/>
    <w:rsid w:val="0015517D"/>
    <w:rsid w:val="00156896"/>
    <w:rsid w:val="001648EC"/>
    <w:rsid w:val="001768B7"/>
    <w:rsid w:val="00180576"/>
    <w:rsid w:val="00186172"/>
    <w:rsid w:val="0018730D"/>
    <w:rsid w:val="001936A2"/>
    <w:rsid w:val="00194EF3"/>
    <w:rsid w:val="001A7245"/>
    <w:rsid w:val="001B4662"/>
    <w:rsid w:val="001B6680"/>
    <w:rsid w:val="001B6745"/>
    <w:rsid w:val="001C226F"/>
    <w:rsid w:val="001D2DAE"/>
    <w:rsid w:val="001D41E0"/>
    <w:rsid w:val="001E4A2A"/>
    <w:rsid w:val="001F07C2"/>
    <w:rsid w:val="00202065"/>
    <w:rsid w:val="00215D32"/>
    <w:rsid w:val="00224675"/>
    <w:rsid w:val="00231F3C"/>
    <w:rsid w:val="00282C3C"/>
    <w:rsid w:val="002843DC"/>
    <w:rsid w:val="002A07A8"/>
    <w:rsid w:val="002A2AAF"/>
    <w:rsid w:val="002B1323"/>
    <w:rsid w:val="002C26DF"/>
    <w:rsid w:val="002C3968"/>
    <w:rsid w:val="002C5036"/>
    <w:rsid w:val="002D08A0"/>
    <w:rsid w:val="002D4C3B"/>
    <w:rsid w:val="002D7BA9"/>
    <w:rsid w:val="002E15D8"/>
    <w:rsid w:val="002F605C"/>
    <w:rsid w:val="002F60AB"/>
    <w:rsid w:val="003018A6"/>
    <w:rsid w:val="003115E3"/>
    <w:rsid w:val="00321CED"/>
    <w:rsid w:val="00323B70"/>
    <w:rsid w:val="00326112"/>
    <w:rsid w:val="0034657B"/>
    <w:rsid w:val="00350E90"/>
    <w:rsid w:val="00372950"/>
    <w:rsid w:val="00377B37"/>
    <w:rsid w:val="0039170C"/>
    <w:rsid w:val="0039505C"/>
    <w:rsid w:val="003A7691"/>
    <w:rsid w:val="003B556F"/>
    <w:rsid w:val="003B610F"/>
    <w:rsid w:val="003C2A58"/>
    <w:rsid w:val="003C32DD"/>
    <w:rsid w:val="003C46AE"/>
    <w:rsid w:val="003D0B3A"/>
    <w:rsid w:val="003D2935"/>
    <w:rsid w:val="003F0A5C"/>
    <w:rsid w:val="00402309"/>
    <w:rsid w:val="00402D91"/>
    <w:rsid w:val="00417411"/>
    <w:rsid w:val="00430216"/>
    <w:rsid w:val="00431BF4"/>
    <w:rsid w:val="0044702C"/>
    <w:rsid w:val="004573B9"/>
    <w:rsid w:val="00463C6F"/>
    <w:rsid w:val="004765DF"/>
    <w:rsid w:val="00476FFC"/>
    <w:rsid w:val="0048030E"/>
    <w:rsid w:val="00482500"/>
    <w:rsid w:val="00483BF2"/>
    <w:rsid w:val="00483E36"/>
    <w:rsid w:val="004921B8"/>
    <w:rsid w:val="004A1E76"/>
    <w:rsid w:val="004B1E46"/>
    <w:rsid w:val="004B395E"/>
    <w:rsid w:val="004B574E"/>
    <w:rsid w:val="004D0292"/>
    <w:rsid w:val="004D47D3"/>
    <w:rsid w:val="004E405B"/>
    <w:rsid w:val="004E51E2"/>
    <w:rsid w:val="00512F4F"/>
    <w:rsid w:val="005207DE"/>
    <w:rsid w:val="00521A6D"/>
    <w:rsid w:val="0054349D"/>
    <w:rsid w:val="00544AC5"/>
    <w:rsid w:val="0054783D"/>
    <w:rsid w:val="00551BB7"/>
    <w:rsid w:val="005527C5"/>
    <w:rsid w:val="00553441"/>
    <w:rsid w:val="00567959"/>
    <w:rsid w:val="00587D45"/>
    <w:rsid w:val="005940C0"/>
    <w:rsid w:val="005A62D7"/>
    <w:rsid w:val="005C771C"/>
    <w:rsid w:val="005D0CD9"/>
    <w:rsid w:val="005D6EDE"/>
    <w:rsid w:val="005E590F"/>
    <w:rsid w:val="005E65E0"/>
    <w:rsid w:val="00600E6F"/>
    <w:rsid w:val="00602692"/>
    <w:rsid w:val="006052CB"/>
    <w:rsid w:val="00607771"/>
    <w:rsid w:val="00620514"/>
    <w:rsid w:val="00620671"/>
    <w:rsid w:val="006402EE"/>
    <w:rsid w:val="00641CFE"/>
    <w:rsid w:val="00653E0A"/>
    <w:rsid w:val="00657C66"/>
    <w:rsid w:val="00662EFC"/>
    <w:rsid w:val="00664FCB"/>
    <w:rsid w:val="006666CA"/>
    <w:rsid w:val="00673B5B"/>
    <w:rsid w:val="00690CD1"/>
    <w:rsid w:val="006A108A"/>
    <w:rsid w:val="006A4DCC"/>
    <w:rsid w:val="006A64A5"/>
    <w:rsid w:val="006B0FC2"/>
    <w:rsid w:val="006B1F6A"/>
    <w:rsid w:val="006B2B09"/>
    <w:rsid w:val="006B4544"/>
    <w:rsid w:val="006B58B5"/>
    <w:rsid w:val="006B6C9D"/>
    <w:rsid w:val="006D008E"/>
    <w:rsid w:val="006D3E57"/>
    <w:rsid w:val="006E1CEF"/>
    <w:rsid w:val="006F0473"/>
    <w:rsid w:val="00702D30"/>
    <w:rsid w:val="007250FE"/>
    <w:rsid w:val="0077757F"/>
    <w:rsid w:val="00782451"/>
    <w:rsid w:val="007A3A27"/>
    <w:rsid w:val="007A3EFA"/>
    <w:rsid w:val="007A4ABE"/>
    <w:rsid w:val="007A4EDD"/>
    <w:rsid w:val="007B1CCA"/>
    <w:rsid w:val="007B3279"/>
    <w:rsid w:val="007B3C3D"/>
    <w:rsid w:val="007C1F9F"/>
    <w:rsid w:val="007C3F75"/>
    <w:rsid w:val="007C50EC"/>
    <w:rsid w:val="007D22FB"/>
    <w:rsid w:val="007D4C5E"/>
    <w:rsid w:val="007E2907"/>
    <w:rsid w:val="007E742F"/>
    <w:rsid w:val="007F2BF4"/>
    <w:rsid w:val="00803DBF"/>
    <w:rsid w:val="00806819"/>
    <w:rsid w:val="008136B0"/>
    <w:rsid w:val="00822408"/>
    <w:rsid w:val="00856F1C"/>
    <w:rsid w:val="0086337E"/>
    <w:rsid w:val="00881528"/>
    <w:rsid w:val="0088297D"/>
    <w:rsid w:val="00885A6A"/>
    <w:rsid w:val="008974A1"/>
    <w:rsid w:val="008A05B1"/>
    <w:rsid w:val="008A38F8"/>
    <w:rsid w:val="008A590B"/>
    <w:rsid w:val="008A61A2"/>
    <w:rsid w:val="008A7D84"/>
    <w:rsid w:val="008B2E2C"/>
    <w:rsid w:val="008C7FAD"/>
    <w:rsid w:val="008D77C5"/>
    <w:rsid w:val="008E2E67"/>
    <w:rsid w:val="008F51EB"/>
    <w:rsid w:val="00901FCB"/>
    <w:rsid w:val="00904904"/>
    <w:rsid w:val="00915408"/>
    <w:rsid w:val="00915BB8"/>
    <w:rsid w:val="00920FC2"/>
    <w:rsid w:val="00937EE8"/>
    <w:rsid w:val="0094243D"/>
    <w:rsid w:val="00942539"/>
    <w:rsid w:val="0095120C"/>
    <w:rsid w:val="00951600"/>
    <w:rsid w:val="0095409A"/>
    <w:rsid w:val="00957F9B"/>
    <w:rsid w:val="00964B58"/>
    <w:rsid w:val="009659D9"/>
    <w:rsid w:val="00972C6E"/>
    <w:rsid w:val="00976D54"/>
    <w:rsid w:val="00981542"/>
    <w:rsid w:val="00992D0F"/>
    <w:rsid w:val="00994EAB"/>
    <w:rsid w:val="00996B19"/>
    <w:rsid w:val="009A36C6"/>
    <w:rsid w:val="009A3710"/>
    <w:rsid w:val="009C40B9"/>
    <w:rsid w:val="009D232C"/>
    <w:rsid w:val="009D31AE"/>
    <w:rsid w:val="009D7515"/>
    <w:rsid w:val="009D7602"/>
    <w:rsid w:val="009E0F39"/>
    <w:rsid w:val="009E252E"/>
    <w:rsid w:val="009F1C59"/>
    <w:rsid w:val="009F4AD9"/>
    <w:rsid w:val="00A02329"/>
    <w:rsid w:val="00A07F27"/>
    <w:rsid w:val="00A1080C"/>
    <w:rsid w:val="00A2222D"/>
    <w:rsid w:val="00A34B5D"/>
    <w:rsid w:val="00A43C71"/>
    <w:rsid w:val="00A43FAC"/>
    <w:rsid w:val="00A451BB"/>
    <w:rsid w:val="00A50632"/>
    <w:rsid w:val="00A52594"/>
    <w:rsid w:val="00A60997"/>
    <w:rsid w:val="00A74F49"/>
    <w:rsid w:val="00A7794A"/>
    <w:rsid w:val="00A80EAC"/>
    <w:rsid w:val="00A830CC"/>
    <w:rsid w:val="00A84AE4"/>
    <w:rsid w:val="00A92FD0"/>
    <w:rsid w:val="00AB00DE"/>
    <w:rsid w:val="00AB287B"/>
    <w:rsid w:val="00AB2A50"/>
    <w:rsid w:val="00AB5B88"/>
    <w:rsid w:val="00AC624F"/>
    <w:rsid w:val="00AE289B"/>
    <w:rsid w:val="00AE72D6"/>
    <w:rsid w:val="00AF282B"/>
    <w:rsid w:val="00AF3CA1"/>
    <w:rsid w:val="00B0710A"/>
    <w:rsid w:val="00B14B96"/>
    <w:rsid w:val="00B15732"/>
    <w:rsid w:val="00B169BB"/>
    <w:rsid w:val="00B2138E"/>
    <w:rsid w:val="00B24F2B"/>
    <w:rsid w:val="00B275EE"/>
    <w:rsid w:val="00B347ED"/>
    <w:rsid w:val="00B405D9"/>
    <w:rsid w:val="00B454DF"/>
    <w:rsid w:val="00B519A7"/>
    <w:rsid w:val="00B6415A"/>
    <w:rsid w:val="00B760AE"/>
    <w:rsid w:val="00B80C2A"/>
    <w:rsid w:val="00B817D1"/>
    <w:rsid w:val="00B923CB"/>
    <w:rsid w:val="00B930A3"/>
    <w:rsid w:val="00BA2393"/>
    <w:rsid w:val="00BB1422"/>
    <w:rsid w:val="00BB4119"/>
    <w:rsid w:val="00BB5E95"/>
    <w:rsid w:val="00BB640B"/>
    <w:rsid w:val="00BC32F7"/>
    <w:rsid w:val="00BC38DB"/>
    <w:rsid w:val="00BC58A6"/>
    <w:rsid w:val="00BC7446"/>
    <w:rsid w:val="00BF7D41"/>
    <w:rsid w:val="00C075EE"/>
    <w:rsid w:val="00C10AAE"/>
    <w:rsid w:val="00C17F71"/>
    <w:rsid w:val="00C32A94"/>
    <w:rsid w:val="00C34F7B"/>
    <w:rsid w:val="00C44A1F"/>
    <w:rsid w:val="00C60DDE"/>
    <w:rsid w:val="00C64329"/>
    <w:rsid w:val="00C71D7D"/>
    <w:rsid w:val="00C72113"/>
    <w:rsid w:val="00C741C4"/>
    <w:rsid w:val="00C7486F"/>
    <w:rsid w:val="00C82D56"/>
    <w:rsid w:val="00C97BCF"/>
    <w:rsid w:val="00CB07C9"/>
    <w:rsid w:val="00CC4127"/>
    <w:rsid w:val="00CC4752"/>
    <w:rsid w:val="00CC5C25"/>
    <w:rsid w:val="00CD12C9"/>
    <w:rsid w:val="00CE7A0C"/>
    <w:rsid w:val="00CF0EAE"/>
    <w:rsid w:val="00D03336"/>
    <w:rsid w:val="00D041CF"/>
    <w:rsid w:val="00D1069A"/>
    <w:rsid w:val="00D122ED"/>
    <w:rsid w:val="00D232AA"/>
    <w:rsid w:val="00D257E7"/>
    <w:rsid w:val="00D41AEE"/>
    <w:rsid w:val="00D53F89"/>
    <w:rsid w:val="00D54DF8"/>
    <w:rsid w:val="00D56E8E"/>
    <w:rsid w:val="00D57F9B"/>
    <w:rsid w:val="00D62DF3"/>
    <w:rsid w:val="00D924A6"/>
    <w:rsid w:val="00D9292F"/>
    <w:rsid w:val="00D930DF"/>
    <w:rsid w:val="00D9740F"/>
    <w:rsid w:val="00DB06F6"/>
    <w:rsid w:val="00DB3489"/>
    <w:rsid w:val="00DB3CBE"/>
    <w:rsid w:val="00DB707C"/>
    <w:rsid w:val="00DD652E"/>
    <w:rsid w:val="00DE0D6A"/>
    <w:rsid w:val="00DF2215"/>
    <w:rsid w:val="00E059B3"/>
    <w:rsid w:val="00E12A92"/>
    <w:rsid w:val="00E324E9"/>
    <w:rsid w:val="00E45B16"/>
    <w:rsid w:val="00E51C19"/>
    <w:rsid w:val="00E57EAB"/>
    <w:rsid w:val="00E6133A"/>
    <w:rsid w:val="00E65720"/>
    <w:rsid w:val="00E65F45"/>
    <w:rsid w:val="00E70037"/>
    <w:rsid w:val="00E800D0"/>
    <w:rsid w:val="00EA43EE"/>
    <w:rsid w:val="00EA597C"/>
    <w:rsid w:val="00EA7FD5"/>
    <w:rsid w:val="00EB07D5"/>
    <w:rsid w:val="00EB11E4"/>
    <w:rsid w:val="00EB320B"/>
    <w:rsid w:val="00EC2840"/>
    <w:rsid w:val="00EC3B33"/>
    <w:rsid w:val="00EC5560"/>
    <w:rsid w:val="00ED6512"/>
    <w:rsid w:val="00F03762"/>
    <w:rsid w:val="00F158BE"/>
    <w:rsid w:val="00F258FD"/>
    <w:rsid w:val="00F571EA"/>
    <w:rsid w:val="00F60059"/>
    <w:rsid w:val="00F613DB"/>
    <w:rsid w:val="00F65A35"/>
    <w:rsid w:val="00F70D5E"/>
    <w:rsid w:val="00F72436"/>
    <w:rsid w:val="00F75FBD"/>
    <w:rsid w:val="00F80F12"/>
    <w:rsid w:val="00FA186E"/>
    <w:rsid w:val="00FC1792"/>
    <w:rsid w:val="00FD064F"/>
    <w:rsid w:val="00FD06B4"/>
    <w:rsid w:val="00FD4236"/>
    <w:rsid w:val="00FD7B02"/>
    <w:rsid w:val="00FE542F"/>
    <w:rsid w:val="00FF40BE"/>
    <w:rsid w:val="00FF7D7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uiPriority="0"/>
    <w:lsdException w:name="header" w:uiPriority="0"/>
    <w:lsdException w:name="footer" w:locked="0" w:uiPriority="0"/>
    <w:lsdException w:name="caption" w:semiHidden="0" w:uiPriority="0" w:unhideWhenUsed="0" w:qFormat="1"/>
    <w:lsdException w:name="footnote reference" w:locked="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nhideWhenUsed="0"/>
    <w:lsdException w:name="Normal Table" w:locked="0"/>
    <w:lsdException w:name="annotation subject" w:uiPriority="0"/>
    <w:lsdException w:name="No List" w:locked="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A60997"/>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D041C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D041C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0B05E8"/>
    <w:pPr>
      <w:keepNext/>
      <w:spacing w:before="240" w:after="60"/>
      <w:outlineLvl w:val="3"/>
    </w:pPr>
    <w:rPr>
      <w:rFonts w:ascii="Calibri" w:hAnsi="Calibri"/>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C17F71"/>
    <w:pPr>
      <w:numPr>
        <w:ilvl w:val="4"/>
      </w:numPr>
      <w:tabs>
        <w:tab w:val="clear" w:pos="357"/>
        <w:tab w:val="num" w:pos="1440"/>
      </w:tabs>
      <w:ind w:left="1440" w:hanging="1440"/>
    </w:pPr>
  </w:style>
  <w:style w:type="paragraph" w:customStyle="1" w:styleId="AERfigureheading">
    <w:name w:val="AER figure heading"/>
    <w:basedOn w:val="Normal"/>
    <w:next w:val="AERbodytext"/>
    <w:qFormat/>
    <w:rsid w:val="00C17F71"/>
    <w:pPr>
      <w:keepNext/>
      <w:numPr>
        <w:ilvl w:val="3"/>
        <w:numId w:val="7"/>
      </w:numPr>
      <w:tabs>
        <w:tab w:val="clear" w:pos="357"/>
        <w:tab w:val="num" w:pos="1440"/>
      </w:tabs>
      <w:spacing w:before="240" w:after="120"/>
      <w:ind w:left="1440" w:hanging="144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600E6F"/>
    <w:pPr>
      <w:keepLines w:val="0"/>
      <w:pageBreakBefore/>
      <w:numPr>
        <w:numId w:val="36"/>
      </w:numPr>
      <w:tabs>
        <w:tab w:val="clear" w:pos="-357"/>
        <w:tab w:val="num"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942539"/>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qForma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qFormat/>
    <w:rsid w:val="00022A23"/>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659D9"/>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659D9"/>
    <w:pPr>
      <w:widowControl w:val="0"/>
      <w:spacing w:before="120" w:after="80"/>
      <w:jc w:val="left"/>
    </w:pPr>
    <w:rPr>
      <w:sz w:val="16"/>
      <w:lang w:eastAsia="en-US"/>
    </w:rPr>
  </w:style>
  <w:style w:type="paragraph" w:customStyle="1" w:styleId="AERtabletextheading">
    <w:name w:val="AER table text heading"/>
    <w:qFormat/>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qForma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uiPriority w:val="99"/>
    <w:rsid w:val="009659D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paragraph" w:styleId="EndnoteText">
    <w:name w:val="endnote text"/>
    <w:basedOn w:val="Normal"/>
    <w:link w:val="EndnoteTextChar"/>
    <w:uiPriority w:val="99"/>
    <w:semiHidden/>
    <w:unhideWhenUsed/>
    <w:locked/>
    <w:rsid w:val="00101820"/>
    <w:rPr>
      <w:szCs w:val="20"/>
    </w:rPr>
  </w:style>
  <w:style w:type="character" w:customStyle="1" w:styleId="AERtexthighlight">
    <w:name w:val="AER text highlight"/>
    <w:qForma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qForma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5C771C"/>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uiPriority w:val="99"/>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uiPriority w:val="99"/>
    <w:qForma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character" w:customStyle="1" w:styleId="EndnoteTextChar">
    <w:name w:val="Endnote Text Char"/>
    <w:basedOn w:val="DefaultParagraphFont"/>
    <w:link w:val="EndnoteText"/>
    <w:uiPriority w:val="99"/>
    <w:semiHidden/>
    <w:rsid w:val="00101820"/>
    <w:rPr>
      <w:rFonts w:ascii="Gautami" w:eastAsia="Times New Roman" w:hAnsi="Gautami"/>
    </w:rPr>
  </w:style>
  <w:style w:type="character" w:styleId="EndnoteReference">
    <w:name w:val="endnote reference"/>
    <w:basedOn w:val="DefaultParagraphFont"/>
    <w:uiPriority w:val="99"/>
    <w:semiHidden/>
    <w:unhideWhenUsed/>
    <w:locked/>
    <w:rsid w:val="00101820"/>
    <w:rPr>
      <w:vertAlign w:val="superscript"/>
    </w:rPr>
  </w:style>
  <w:style w:type="paragraph" w:styleId="Revision">
    <w:name w:val="Revision"/>
    <w:hidden/>
    <w:uiPriority w:val="99"/>
    <w:semiHidden/>
    <w:rsid w:val="00101820"/>
    <w:rPr>
      <w:rFonts w:ascii="Gautami" w:eastAsia="Times New Roman" w:hAnsi="Gautami"/>
      <w:szCs w:val="24"/>
    </w:rPr>
  </w:style>
  <w:style w:type="paragraph" w:styleId="ListParagraph">
    <w:name w:val="List Paragraph"/>
    <w:basedOn w:val="Normal"/>
    <w:uiPriority w:val="34"/>
    <w:qFormat/>
    <w:rsid w:val="00101820"/>
    <w:pPr>
      <w:spacing w:line="240" w:lineRule="auto"/>
      <w:ind w:left="720"/>
      <w:jc w:val="left"/>
    </w:pPr>
    <w:rPr>
      <w:rFonts w:ascii="Times New Roman" w:eastAsia="Calibri" w:hAnsi="Times New Roman"/>
      <w:sz w:val="24"/>
    </w:rPr>
  </w:style>
  <w:style w:type="character" w:customStyle="1" w:styleId="Heading4Char">
    <w:name w:val="Heading 4 Char"/>
    <w:basedOn w:val="DefaultParagraphFont"/>
    <w:link w:val="Heading4"/>
    <w:uiPriority w:val="9"/>
    <w:semiHidden/>
    <w:rsid w:val="000B05E8"/>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semiHidden/>
    <w:rsid w:val="00D04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041CF"/>
    <w:rPr>
      <w:rFonts w:ascii="Cambria" w:eastAsia="Times New Roman" w:hAnsi="Cambria" w:cs="Times New Roman"/>
      <w:b/>
      <w:bCs/>
      <w:sz w:val="26"/>
      <w:szCs w:val="26"/>
    </w:rPr>
  </w:style>
  <w:style w:type="character" w:styleId="Hyperlink">
    <w:name w:val="Hyperlink"/>
    <w:basedOn w:val="DefaultParagraphFont"/>
    <w:uiPriority w:val="99"/>
    <w:rsid w:val="00D041CF"/>
    <w:rPr>
      <w:color w:val="0000FF"/>
      <w:u w:val="single"/>
    </w:rPr>
  </w:style>
  <w:style w:type="numbering" w:styleId="1ai">
    <w:name w:val="Outline List 1"/>
    <w:basedOn w:val="NoList"/>
    <w:uiPriority w:val="99"/>
    <w:semiHidden/>
    <w:unhideWhenUsed/>
    <w:locked/>
    <w:rsid w:val="00D041CF"/>
  </w:style>
  <w:style w:type="paragraph" w:customStyle="1" w:styleId="AERTitle1">
    <w:name w:val="AER Title 1"/>
    <w:basedOn w:val="AERheading4"/>
    <w:rsid w:val="00C44A1F"/>
    <w:pPr>
      <w:jc w:val="center"/>
    </w:pPr>
    <w:rPr>
      <w:sz w:val="40"/>
    </w:rPr>
  </w:style>
  <w:style w:type="paragraph" w:customStyle="1" w:styleId="AERTitle2">
    <w:name w:val="AER Title 2"/>
    <w:basedOn w:val="AERTitle1"/>
    <w:rsid w:val="00C44A1F"/>
    <w:pPr>
      <w:spacing w:before="1680"/>
    </w:pPr>
    <w:rPr>
      <w:b w:val="0"/>
      <w:sz w:val="32"/>
    </w:rPr>
  </w:style>
  <w:style w:type="paragraph" w:customStyle="1" w:styleId="AERunnumberedheading">
    <w:name w:val="AER unnumbered heading"/>
    <w:basedOn w:val="AERheading1"/>
    <w:rsid w:val="00C44A1F"/>
    <w:pPr>
      <w:numPr>
        <w:numId w:val="0"/>
      </w:numPr>
      <w:spacing w:after="120"/>
    </w:pPr>
  </w:style>
  <w:style w:type="paragraph" w:styleId="TOC1">
    <w:name w:val="toc 1"/>
    <w:basedOn w:val="Normal"/>
    <w:next w:val="Normal"/>
    <w:uiPriority w:val="39"/>
    <w:rsid w:val="00C44A1F"/>
    <w:pPr>
      <w:tabs>
        <w:tab w:val="left" w:pos="567"/>
        <w:tab w:val="right" w:leader="dot" w:pos="8307"/>
      </w:tabs>
      <w:spacing w:before="120" w:after="120"/>
    </w:pPr>
    <w:rPr>
      <w:b/>
      <w:lang w:eastAsia="en-US"/>
    </w:rPr>
  </w:style>
  <w:style w:type="paragraph" w:styleId="TOC2">
    <w:name w:val="toc 2"/>
    <w:basedOn w:val="Normal"/>
    <w:next w:val="Normal"/>
    <w:uiPriority w:val="39"/>
    <w:rsid w:val="00C44A1F"/>
    <w:pPr>
      <w:tabs>
        <w:tab w:val="left" w:pos="1080"/>
        <w:tab w:val="right" w:leader="dot" w:pos="8307"/>
      </w:tabs>
      <w:ind w:left="1134" w:hanging="567"/>
    </w:pPr>
    <w:rPr>
      <w:lang w:eastAsia="en-US"/>
    </w:rPr>
  </w:style>
  <w:style w:type="paragraph" w:customStyle="1" w:styleId="AERbodynospacing">
    <w:name w:val="AER body no spacing"/>
    <w:basedOn w:val="AERbodytext"/>
    <w:rsid w:val="00C44A1F"/>
    <w:pPr>
      <w:spacing w:after="0"/>
    </w:pPr>
  </w:style>
  <w:style w:type="character" w:customStyle="1" w:styleId="AERbodytextChar">
    <w:name w:val="AER body text Char"/>
    <w:basedOn w:val="DefaultParagraphFont"/>
    <w:link w:val="AERbodytext"/>
    <w:rsid w:val="00C44A1F"/>
    <w:rPr>
      <w:rFonts w:ascii="Gautami" w:eastAsia="Times New Roman" w:hAnsi="Gautami"/>
      <w:szCs w:val="24"/>
      <w:lang w:val="en-AU" w:eastAsia="en-US" w:bidi="ar-SA"/>
    </w:rPr>
  </w:style>
  <w:style w:type="paragraph" w:styleId="TOC3">
    <w:name w:val="toc 3"/>
    <w:basedOn w:val="Normal"/>
    <w:next w:val="Normal"/>
    <w:autoRedefine/>
    <w:unhideWhenUsed/>
    <w:rsid w:val="00C44A1F"/>
    <w:pPr>
      <w:spacing w:after="100" w:line="276" w:lineRule="auto"/>
      <w:ind w:left="440"/>
      <w:jc w:val="left"/>
    </w:pPr>
    <w:rPr>
      <w:rFonts w:ascii="Calibri" w:hAnsi="Calibri"/>
      <w:sz w:val="22"/>
      <w:szCs w:val="22"/>
    </w:rPr>
  </w:style>
  <w:style w:type="paragraph" w:styleId="TOC4">
    <w:name w:val="toc 4"/>
    <w:basedOn w:val="Normal"/>
    <w:next w:val="Normal"/>
    <w:autoRedefine/>
    <w:uiPriority w:val="39"/>
    <w:unhideWhenUsed/>
    <w:locked/>
    <w:rsid w:val="00C44A1F"/>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locked/>
    <w:rsid w:val="00C44A1F"/>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locked/>
    <w:rsid w:val="00C44A1F"/>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locked/>
    <w:rsid w:val="00C44A1F"/>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locked/>
    <w:rsid w:val="00C44A1F"/>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locked/>
    <w:rsid w:val="00C44A1F"/>
    <w:pPr>
      <w:spacing w:after="100" w:line="276" w:lineRule="auto"/>
      <w:ind w:left="1760"/>
      <w:jc w:val="left"/>
    </w:pPr>
    <w:rPr>
      <w:rFonts w:ascii="Calibri" w:hAnsi="Calibri"/>
      <w:sz w:val="22"/>
      <w:szCs w:val="22"/>
    </w:rPr>
  </w:style>
  <w:style w:type="paragraph" w:styleId="Quote">
    <w:name w:val="Quote"/>
    <w:basedOn w:val="Normal"/>
    <w:next w:val="Normal"/>
    <w:link w:val="QuoteChar"/>
    <w:uiPriority w:val="29"/>
    <w:qFormat/>
    <w:rsid w:val="002D4C3B"/>
    <w:rPr>
      <w:i/>
      <w:iCs/>
      <w:color w:val="000000"/>
    </w:rPr>
  </w:style>
  <w:style w:type="character" w:customStyle="1" w:styleId="QuoteChar">
    <w:name w:val="Quote Char"/>
    <w:basedOn w:val="DefaultParagraphFont"/>
    <w:link w:val="Quote"/>
    <w:uiPriority w:val="29"/>
    <w:rsid w:val="002D4C3B"/>
    <w:rPr>
      <w:rFonts w:ascii="Gautami" w:eastAsia="Times New Roman" w:hAnsi="Gautami"/>
      <w:i/>
      <w:iCs/>
      <w:color w:val="000000"/>
      <w:szCs w:val="24"/>
    </w:rPr>
  </w:style>
  <w:style w:type="paragraph" w:styleId="NoSpacing">
    <w:name w:val="No Spacing"/>
    <w:uiPriority w:val="1"/>
    <w:qFormat/>
    <w:rsid w:val="00600E6F"/>
    <w:pPr>
      <w:jc w:val="both"/>
    </w:pPr>
    <w:rPr>
      <w:rFonts w:ascii="Gautami" w:eastAsia="Times New Roman" w:hAnsi="Gautami"/>
      <w:szCs w:val="24"/>
    </w:rPr>
  </w:style>
  <w:style w:type="character" w:styleId="FollowedHyperlink">
    <w:name w:val="FollowedHyperlink"/>
    <w:basedOn w:val="DefaultParagraphFont"/>
    <w:uiPriority w:val="99"/>
    <w:semiHidden/>
    <w:unhideWhenUsed/>
    <w:locked/>
    <w:rsid w:val="007C1F9F"/>
    <w:rPr>
      <w:color w:val="800080"/>
      <w:u w:val="single"/>
    </w:rPr>
  </w:style>
  <w:style w:type="paragraph" w:styleId="DocumentMap">
    <w:name w:val="Document Map"/>
    <w:basedOn w:val="Normal"/>
    <w:link w:val="DocumentMapChar"/>
    <w:uiPriority w:val="99"/>
    <w:semiHidden/>
    <w:unhideWhenUsed/>
    <w:locked/>
    <w:rsid w:val="007C1F9F"/>
    <w:rPr>
      <w:rFonts w:ascii="Tahoma" w:hAnsi="Tahoma" w:cs="Tahoma"/>
      <w:sz w:val="16"/>
      <w:szCs w:val="16"/>
    </w:rPr>
  </w:style>
  <w:style w:type="character" w:customStyle="1" w:styleId="DocumentMapChar">
    <w:name w:val="Document Map Char"/>
    <w:basedOn w:val="DefaultParagraphFont"/>
    <w:link w:val="DocumentMap"/>
    <w:uiPriority w:val="99"/>
    <w:semiHidden/>
    <w:rsid w:val="007C1F9F"/>
    <w:rPr>
      <w:rFonts w:ascii="Tahoma" w:eastAsia="Times New Roman" w:hAnsi="Tahoma" w:cs="Tahoma"/>
      <w:sz w:val="16"/>
      <w:szCs w:val="16"/>
    </w:rPr>
  </w:style>
  <w:style w:type="paragraph" w:styleId="Title">
    <w:name w:val="Title"/>
    <w:basedOn w:val="Normal"/>
    <w:next w:val="Normal"/>
    <w:link w:val="TitleChar"/>
    <w:uiPriority w:val="10"/>
    <w:qFormat/>
    <w:locked/>
    <w:rsid w:val="007C1F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C1F9F"/>
    <w:rPr>
      <w:rFonts w:ascii="Cambria" w:eastAsia="Times New Roman" w:hAnsi="Cambria"/>
      <w:b/>
      <w:bCs/>
      <w:kern w:val="28"/>
      <w:sz w:val="32"/>
      <w:szCs w:val="32"/>
    </w:rPr>
  </w:style>
  <w:style w:type="paragraph" w:styleId="Subtitle">
    <w:name w:val="Subtitle"/>
    <w:basedOn w:val="Normal"/>
    <w:next w:val="Normal"/>
    <w:link w:val="SubtitleChar"/>
    <w:uiPriority w:val="11"/>
    <w:qFormat/>
    <w:locked/>
    <w:rsid w:val="007C1F9F"/>
    <w:pPr>
      <w:spacing w:after="60"/>
      <w:jc w:val="center"/>
      <w:outlineLvl w:val="1"/>
    </w:pPr>
    <w:rPr>
      <w:rFonts w:ascii="Cambria" w:hAnsi="Cambria"/>
      <w:sz w:val="24"/>
    </w:rPr>
  </w:style>
  <w:style w:type="character" w:customStyle="1" w:styleId="SubtitleChar">
    <w:name w:val="Subtitle Char"/>
    <w:basedOn w:val="DefaultParagraphFont"/>
    <w:link w:val="Subtitle"/>
    <w:uiPriority w:val="11"/>
    <w:rsid w:val="007C1F9F"/>
    <w:rPr>
      <w:rFonts w:ascii="Cambria" w:eastAsia="Times New Roman" w:hAnsi="Cambria"/>
      <w:sz w:val="24"/>
      <w:szCs w:val="24"/>
    </w:rPr>
  </w:style>
  <w:style w:type="paragraph" w:styleId="ListBullet">
    <w:name w:val="List Bullet"/>
    <w:basedOn w:val="Normal"/>
    <w:uiPriority w:val="99"/>
    <w:semiHidden/>
    <w:unhideWhenUsed/>
    <w:locked/>
    <w:rsid w:val="007C1F9F"/>
    <w:pPr>
      <w:numPr>
        <w:numId w:val="10"/>
      </w:numPr>
      <w:contextualSpacing/>
    </w:p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316080740">
      <w:bodyDiv w:val="1"/>
      <w:marLeft w:val="0"/>
      <w:marRight w:val="0"/>
      <w:marTop w:val="0"/>
      <w:marBottom w:val="0"/>
      <w:divBdr>
        <w:top w:val="none" w:sz="0" w:space="0" w:color="auto"/>
        <w:left w:val="none" w:sz="0" w:space="0" w:color="auto"/>
        <w:bottom w:val="none" w:sz="0" w:space="0" w:color="auto"/>
        <w:right w:val="none" w:sz="0" w:space="0" w:color="auto"/>
      </w:divBdr>
    </w:div>
    <w:div w:id="1253322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8.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image" Target="media/image10.emf"/><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budget.gov.au/2011-12/content/bp1/html/bp1_bst7-03.htm" TargetMode="External"/><Relationship Id="rId2" Type="http://schemas.openxmlformats.org/officeDocument/2006/relationships/hyperlink" Target="http://www.budget.gov.au/2003-04/bp1/html/bst7.htm" TargetMode="External"/><Relationship Id="rId1" Type="http://schemas.openxmlformats.org/officeDocument/2006/relationships/hyperlink" Target="http://www.standardandpoors.com/prot/ratings/entity-ratings/en/au/?entityID=268976&amp;sectorCode=SOV" TargetMode="External"/><Relationship Id="rId5" Type="http://schemas.openxmlformats.org/officeDocument/2006/relationships/hyperlink" Target="http://www.aemo.com.au/en/Gas/Wholesale-Gas-Markets/Victorian-Wholesale-Market" TargetMode="External"/><Relationship Id="rId4" Type="http://schemas.openxmlformats.org/officeDocument/2006/relationships/hyperlink" Target="http://editorialexpress.com/cgi-bin/conference/download.cgi?db_name=ACE2004&amp;paper_id=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3D3D8-ADA4-443B-BEF7-0AA41103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242</Pages>
  <Words>81649</Words>
  <Characters>465402</Characters>
  <Application>Microsoft Office Word</Application>
  <DocSecurity>0</DocSecurity>
  <Lines>3878</Lines>
  <Paragraphs>1091</Paragraphs>
  <ScaleCrop>false</ScaleCrop>
  <Company/>
  <LinksUpToDate>false</LinksUpToDate>
  <CharactersWithSpaces>545960</CharactersWithSpaces>
  <SharedDoc>false</SharedDoc>
  <HLinks>
    <vt:vector size="570" baseType="variant">
      <vt:variant>
        <vt:i4>1310783</vt:i4>
      </vt:variant>
      <vt:variant>
        <vt:i4>542</vt:i4>
      </vt:variant>
      <vt:variant>
        <vt:i4>0</vt:i4>
      </vt:variant>
      <vt:variant>
        <vt:i4>5</vt:i4>
      </vt:variant>
      <vt:variant>
        <vt:lpwstr/>
      </vt:variant>
      <vt:variant>
        <vt:lpwstr>_Toc322697708</vt:lpwstr>
      </vt:variant>
      <vt:variant>
        <vt:i4>1310783</vt:i4>
      </vt:variant>
      <vt:variant>
        <vt:i4>536</vt:i4>
      </vt:variant>
      <vt:variant>
        <vt:i4>0</vt:i4>
      </vt:variant>
      <vt:variant>
        <vt:i4>5</vt:i4>
      </vt:variant>
      <vt:variant>
        <vt:lpwstr/>
      </vt:variant>
      <vt:variant>
        <vt:lpwstr>_Toc322697707</vt:lpwstr>
      </vt:variant>
      <vt:variant>
        <vt:i4>1310783</vt:i4>
      </vt:variant>
      <vt:variant>
        <vt:i4>530</vt:i4>
      </vt:variant>
      <vt:variant>
        <vt:i4>0</vt:i4>
      </vt:variant>
      <vt:variant>
        <vt:i4>5</vt:i4>
      </vt:variant>
      <vt:variant>
        <vt:lpwstr/>
      </vt:variant>
      <vt:variant>
        <vt:lpwstr>_Toc322697706</vt:lpwstr>
      </vt:variant>
      <vt:variant>
        <vt:i4>1310783</vt:i4>
      </vt:variant>
      <vt:variant>
        <vt:i4>524</vt:i4>
      </vt:variant>
      <vt:variant>
        <vt:i4>0</vt:i4>
      </vt:variant>
      <vt:variant>
        <vt:i4>5</vt:i4>
      </vt:variant>
      <vt:variant>
        <vt:lpwstr/>
      </vt:variant>
      <vt:variant>
        <vt:lpwstr>_Toc322697705</vt:lpwstr>
      </vt:variant>
      <vt:variant>
        <vt:i4>1310783</vt:i4>
      </vt:variant>
      <vt:variant>
        <vt:i4>518</vt:i4>
      </vt:variant>
      <vt:variant>
        <vt:i4>0</vt:i4>
      </vt:variant>
      <vt:variant>
        <vt:i4>5</vt:i4>
      </vt:variant>
      <vt:variant>
        <vt:lpwstr/>
      </vt:variant>
      <vt:variant>
        <vt:lpwstr>_Toc322697704</vt:lpwstr>
      </vt:variant>
      <vt:variant>
        <vt:i4>1310783</vt:i4>
      </vt:variant>
      <vt:variant>
        <vt:i4>512</vt:i4>
      </vt:variant>
      <vt:variant>
        <vt:i4>0</vt:i4>
      </vt:variant>
      <vt:variant>
        <vt:i4>5</vt:i4>
      </vt:variant>
      <vt:variant>
        <vt:lpwstr/>
      </vt:variant>
      <vt:variant>
        <vt:lpwstr>_Toc322697703</vt:lpwstr>
      </vt:variant>
      <vt:variant>
        <vt:i4>1310783</vt:i4>
      </vt:variant>
      <vt:variant>
        <vt:i4>506</vt:i4>
      </vt:variant>
      <vt:variant>
        <vt:i4>0</vt:i4>
      </vt:variant>
      <vt:variant>
        <vt:i4>5</vt:i4>
      </vt:variant>
      <vt:variant>
        <vt:lpwstr/>
      </vt:variant>
      <vt:variant>
        <vt:lpwstr>_Toc322697702</vt:lpwstr>
      </vt:variant>
      <vt:variant>
        <vt:i4>1310783</vt:i4>
      </vt:variant>
      <vt:variant>
        <vt:i4>500</vt:i4>
      </vt:variant>
      <vt:variant>
        <vt:i4>0</vt:i4>
      </vt:variant>
      <vt:variant>
        <vt:i4>5</vt:i4>
      </vt:variant>
      <vt:variant>
        <vt:lpwstr/>
      </vt:variant>
      <vt:variant>
        <vt:lpwstr>_Toc322697701</vt:lpwstr>
      </vt:variant>
      <vt:variant>
        <vt:i4>1310783</vt:i4>
      </vt:variant>
      <vt:variant>
        <vt:i4>494</vt:i4>
      </vt:variant>
      <vt:variant>
        <vt:i4>0</vt:i4>
      </vt:variant>
      <vt:variant>
        <vt:i4>5</vt:i4>
      </vt:variant>
      <vt:variant>
        <vt:lpwstr/>
      </vt:variant>
      <vt:variant>
        <vt:lpwstr>_Toc322697700</vt:lpwstr>
      </vt:variant>
      <vt:variant>
        <vt:i4>1900606</vt:i4>
      </vt:variant>
      <vt:variant>
        <vt:i4>488</vt:i4>
      </vt:variant>
      <vt:variant>
        <vt:i4>0</vt:i4>
      </vt:variant>
      <vt:variant>
        <vt:i4>5</vt:i4>
      </vt:variant>
      <vt:variant>
        <vt:lpwstr/>
      </vt:variant>
      <vt:variant>
        <vt:lpwstr>_Toc322697699</vt:lpwstr>
      </vt:variant>
      <vt:variant>
        <vt:i4>1900606</vt:i4>
      </vt:variant>
      <vt:variant>
        <vt:i4>482</vt:i4>
      </vt:variant>
      <vt:variant>
        <vt:i4>0</vt:i4>
      </vt:variant>
      <vt:variant>
        <vt:i4>5</vt:i4>
      </vt:variant>
      <vt:variant>
        <vt:lpwstr/>
      </vt:variant>
      <vt:variant>
        <vt:lpwstr>_Toc322697698</vt:lpwstr>
      </vt:variant>
      <vt:variant>
        <vt:i4>1900606</vt:i4>
      </vt:variant>
      <vt:variant>
        <vt:i4>476</vt:i4>
      </vt:variant>
      <vt:variant>
        <vt:i4>0</vt:i4>
      </vt:variant>
      <vt:variant>
        <vt:i4>5</vt:i4>
      </vt:variant>
      <vt:variant>
        <vt:lpwstr/>
      </vt:variant>
      <vt:variant>
        <vt:lpwstr>_Toc322697697</vt:lpwstr>
      </vt:variant>
      <vt:variant>
        <vt:i4>1900606</vt:i4>
      </vt:variant>
      <vt:variant>
        <vt:i4>470</vt:i4>
      </vt:variant>
      <vt:variant>
        <vt:i4>0</vt:i4>
      </vt:variant>
      <vt:variant>
        <vt:i4>5</vt:i4>
      </vt:variant>
      <vt:variant>
        <vt:lpwstr/>
      </vt:variant>
      <vt:variant>
        <vt:lpwstr>_Toc322697696</vt:lpwstr>
      </vt:variant>
      <vt:variant>
        <vt:i4>1900606</vt:i4>
      </vt:variant>
      <vt:variant>
        <vt:i4>464</vt:i4>
      </vt:variant>
      <vt:variant>
        <vt:i4>0</vt:i4>
      </vt:variant>
      <vt:variant>
        <vt:i4>5</vt:i4>
      </vt:variant>
      <vt:variant>
        <vt:lpwstr/>
      </vt:variant>
      <vt:variant>
        <vt:lpwstr>_Toc322697695</vt:lpwstr>
      </vt:variant>
      <vt:variant>
        <vt:i4>1900606</vt:i4>
      </vt:variant>
      <vt:variant>
        <vt:i4>458</vt:i4>
      </vt:variant>
      <vt:variant>
        <vt:i4>0</vt:i4>
      </vt:variant>
      <vt:variant>
        <vt:i4>5</vt:i4>
      </vt:variant>
      <vt:variant>
        <vt:lpwstr/>
      </vt:variant>
      <vt:variant>
        <vt:lpwstr>_Toc322697694</vt:lpwstr>
      </vt:variant>
      <vt:variant>
        <vt:i4>1900606</vt:i4>
      </vt:variant>
      <vt:variant>
        <vt:i4>452</vt:i4>
      </vt:variant>
      <vt:variant>
        <vt:i4>0</vt:i4>
      </vt:variant>
      <vt:variant>
        <vt:i4>5</vt:i4>
      </vt:variant>
      <vt:variant>
        <vt:lpwstr/>
      </vt:variant>
      <vt:variant>
        <vt:lpwstr>_Toc322697693</vt:lpwstr>
      </vt:variant>
      <vt:variant>
        <vt:i4>1900606</vt:i4>
      </vt:variant>
      <vt:variant>
        <vt:i4>446</vt:i4>
      </vt:variant>
      <vt:variant>
        <vt:i4>0</vt:i4>
      </vt:variant>
      <vt:variant>
        <vt:i4>5</vt:i4>
      </vt:variant>
      <vt:variant>
        <vt:lpwstr/>
      </vt:variant>
      <vt:variant>
        <vt:lpwstr>_Toc322697692</vt:lpwstr>
      </vt:variant>
      <vt:variant>
        <vt:i4>1900606</vt:i4>
      </vt:variant>
      <vt:variant>
        <vt:i4>440</vt:i4>
      </vt:variant>
      <vt:variant>
        <vt:i4>0</vt:i4>
      </vt:variant>
      <vt:variant>
        <vt:i4>5</vt:i4>
      </vt:variant>
      <vt:variant>
        <vt:lpwstr/>
      </vt:variant>
      <vt:variant>
        <vt:lpwstr>_Toc322697691</vt:lpwstr>
      </vt:variant>
      <vt:variant>
        <vt:i4>1900606</vt:i4>
      </vt:variant>
      <vt:variant>
        <vt:i4>434</vt:i4>
      </vt:variant>
      <vt:variant>
        <vt:i4>0</vt:i4>
      </vt:variant>
      <vt:variant>
        <vt:i4>5</vt:i4>
      </vt:variant>
      <vt:variant>
        <vt:lpwstr/>
      </vt:variant>
      <vt:variant>
        <vt:lpwstr>_Toc322697690</vt:lpwstr>
      </vt:variant>
      <vt:variant>
        <vt:i4>1835070</vt:i4>
      </vt:variant>
      <vt:variant>
        <vt:i4>428</vt:i4>
      </vt:variant>
      <vt:variant>
        <vt:i4>0</vt:i4>
      </vt:variant>
      <vt:variant>
        <vt:i4>5</vt:i4>
      </vt:variant>
      <vt:variant>
        <vt:lpwstr/>
      </vt:variant>
      <vt:variant>
        <vt:lpwstr>_Toc322697689</vt:lpwstr>
      </vt:variant>
      <vt:variant>
        <vt:i4>1835070</vt:i4>
      </vt:variant>
      <vt:variant>
        <vt:i4>422</vt:i4>
      </vt:variant>
      <vt:variant>
        <vt:i4>0</vt:i4>
      </vt:variant>
      <vt:variant>
        <vt:i4>5</vt:i4>
      </vt:variant>
      <vt:variant>
        <vt:lpwstr/>
      </vt:variant>
      <vt:variant>
        <vt:lpwstr>_Toc322697688</vt:lpwstr>
      </vt:variant>
      <vt:variant>
        <vt:i4>1835070</vt:i4>
      </vt:variant>
      <vt:variant>
        <vt:i4>416</vt:i4>
      </vt:variant>
      <vt:variant>
        <vt:i4>0</vt:i4>
      </vt:variant>
      <vt:variant>
        <vt:i4>5</vt:i4>
      </vt:variant>
      <vt:variant>
        <vt:lpwstr/>
      </vt:variant>
      <vt:variant>
        <vt:lpwstr>_Toc322697687</vt:lpwstr>
      </vt:variant>
      <vt:variant>
        <vt:i4>1835070</vt:i4>
      </vt:variant>
      <vt:variant>
        <vt:i4>410</vt:i4>
      </vt:variant>
      <vt:variant>
        <vt:i4>0</vt:i4>
      </vt:variant>
      <vt:variant>
        <vt:i4>5</vt:i4>
      </vt:variant>
      <vt:variant>
        <vt:lpwstr/>
      </vt:variant>
      <vt:variant>
        <vt:lpwstr>_Toc322697686</vt:lpwstr>
      </vt:variant>
      <vt:variant>
        <vt:i4>1835070</vt:i4>
      </vt:variant>
      <vt:variant>
        <vt:i4>404</vt:i4>
      </vt:variant>
      <vt:variant>
        <vt:i4>0</vt:i4>
      </vt:variant>
      <vt:variant>
        <vt:i4>5</vt:i4>
      </vt:variant>
      <vt:variant>
        <vt:lpwstr/>
      </vt:variant>
      <vt:variant>
        <vt:lpwstr>_Toc322697685</vt:lpwstr>
      </vt:variant>
      <vt:variant>
        <vt:i4>1835070</vt:i4>
      </vt:variant>
      <vt:variant>
        <vt:i4>398</vt:i4>
      </vt:variant>
      <vt:variant>
        <vt:i4>0</vt:i4>
      </vt:variant>
      <vt:variant>
        <vt:i4>5</vt:i4>
      </vt:variant>
      <vt:variant>
        <vt:lpwstr/>
      </vt:variant>
      <vt:variant>
        <vt:lpwstr>_Toc322697684</vt:lpwstr>
      </vt:variant>
      <vt:variant>
        <vt:i4>1835070</vt:i4>
      </vt:variant>
      <vt:variant>
        <vt:i4>392</vt:i4>
      </vt:variant>
      <vt:variant>
        <vt:i4>0</vt:i4>
      </vt:variant>
      <vt:variant>
        <vt:i4>5</vt:i4>
      </vt:variant>
      <vt:variant>
        <vt:lpwstr/>
      </vt:variant>
      <vt:variant>
        <vt:lpwstr>_Toc322697683</vt:lpwstr>
      </vt:variant>
      <vt:variant>
        <vt:i4>1835070</vt:i4>
      </vt:variant>
      <vt:variant>
        <vt:i4>386</vt:i4>
      </vt:variant>
      <vt:variant>
        <vt:i4>0</vt:i4>
      </vt:variant>
      <vt:variant>
        <vt:i4>5</vt:i4>
      </vt:variant>
      <vt:variant>
        <vt:lpwstr/>
      </vt:variant>
      <vt:variant>
        <vt:lpwstr>_Toc322697682</vt:lpwstr>
      </vt:variant>
      <vt:variant>
        <vt:i4>1835070</vt:i4>
      </vt:variant>
      <vt:variant>
        <vt:i4>380</vt:i4>
      </vt:variant>
      <vt:variant>
        <vt:i4>0</vt:i4>
      </vt:variant>
      <vt:variant>
        <vt:i4>5</vt:i4>
      </vt:variant>
      <vt:variant>
        <vt:lpwstr/>
      </vt:variant>
      <vt:variant>
        <vt:lpwstr>_Toc322697681</vt:lpwstr>
      </vt:variant>
      <vt:variant>
        <vt:i4>1835070</vt:i4>
      </vt:variant>
      <vt:variant>
        <vt:i4>374</vt:i4>
      </vt:variant>
      <vt:variant>
        <vt:i4>0</vt:i4>
      </vt:variant>
      <vt:variant>
        <vt:i4>5</vt:i4>
      </vt:variant>
      <vt:variant>
        <vt:lpwstr/>
      </vt:variant>
      <vt:variant>
        <vt:lpwstr>_Toc322697680</vt:lpwstr>
      </vt:variant>
      <vt:variant>
        <vt:i4>1245246</vt:i4>
      </vt:variant>
      <vt:variant>
        <vt:i4>368</vt:i4>
      </vt:variant>
      <vt:variant>
        <vt:i4>0</vt:i4>
      </vt:variant>
      <vt:variant>
        <vt:i4>5</vt:i4>
      </vt:variant>
      <vt:variant>
        <vt:lpwstr/>
      </vt:variant>
      <vt:variant>
        <vt:lpwstr>_Toc322697679</vt:lpwstr>
      </vt:variant>
      <vt:variant>
        <vt:i4>1245246</vt:i4>
      </vt:variant>
      <vt:variant>
        <vt:i4>362</vt:i4>
      </vt:variant>
      <vt:variant>
        <vt:i4>0</vt:i4>
      </vt:variant>
      <vt:variant>
        <vt:i4>5</vt:i4>
      </vt:variant>
      <vt:variant>
        <vt:lpwstr/>
      </vt:variant>
      <vt:variant>
        <vt:lpwstr>_Toc322697678</vt:lpwstr>
      </vt:variant>
      <vt:variant>
        <vt:i4>1245246</vt:i4>
      </vt:variant>
      <vt:variant>
        <vt:i4>356</vt:i4>
      </vt:variant>
      <vt:variant>
        <vt:i4>0</vt:i4>
      </vt:variant>
      <vt:variant>
        <vt:i4>5</vt:i4>
      </vt:variant>
      <vt:variant>
        <vt:lpwstr/>
      </vt:variant>
      <vt:variant>
        <vt:lpwstr>_Toc322697677</vt:lpwstr>
      </vt:variant>
      <vt:variant>
        <vt:i4>1245246</vt:i4>
      </vt:variant>
      <vt:variant>
        <vt:i4>350</vt:i4>
      </vt:variant>
      <vt:variant>
        <vt:i4>0</vt:i4>
      </vt:variant>
      <vt:variant>
        <vt:i4>5</vt:i4>
      </vt:variant>
      <vt:variant>
        <vt:lpwstr/>
      </vt:variant>
      <vt:variant>
        <vt:lpwstr>_Toc322697676</vt:lpwstr>
      </vt:variant>
      <vt:variant>
        <vt:i4>1245246</vt:i4>
      </vt:variant>
      <vt:variant>
        <vt:i4>344</vt:i4>
      </vt:variant>
      <vt:variant>
        <vt:i4>0</vt:i4>
      </vt:variant>
      <vt:variant>
        <vt:i4>5</vt:i4>
      </vt:variant>
      <vt:variant>
        <vt:lpwstr/>
      </vt:variant>
      <vt:variant>
        <vt:lpwstr>_Toc322697675</vt:lpwstr>
      </vt:variant>
      <vt:variant>
        <vt:i4>1245246</vt:i4>
      </vt:variant>
      <vt:variant>
        <vt:i4>338</vt:i4>
      </vt:variant>
      <vt:variant>
        <vt:i4>0</vt:i4>
      </vt:variant>
      <vt:variant>
        <vt:i4>5</vt:i4>
      </vt:variant>
      <vt:variant>
        <vt:lpwstr/>
      </vt:variant>
      <vt:variant>
        <vt:lpwstr>_Toc322697674</vt:lpwstr>
      </vt:variant>
      <vt:variant>
        <vt:i4>1245246</vt:i4>
      </vt:variant>
      <vt:variant>
        <vt:i4>332</vt:i4>
      </vt:variant>
      <vt:variant>
        <vt:i4>0</vt:i4>
      </vt:variant>
      <vt:variant>
        <vt:i4>5</vt:i4>
      </vt:variant>
      <vt:variant>
        <vt:lpwstr/>
      </vt:variant>
      <vt:variant>
        <vt:lpwstr>_Toc322697673</vt:lpwstr>
      </vt:variant>
      <vt:variant>
        <vt:i4>1245246</vt:i4>
      </vt:variant>
      <vt:variant>
        <vt:i4>326</vt:i4>
      </vt:variant>
      <vt:variant>
        <vt:i4>0</vt:i4>
      </vt:variant>
      <vt:variant>
        <vt:i4>5</vt:i4>
      </vt:variant>
      <vt:variant>
        <vt:lpwstr/>
      </vt:variant>
      <vt:variant>
        <vt:lpwstr>_Toc322697672</vt:lpwstr>
      </vt:variant>
      <vt:variant>
        <vt:i4>1245246</vt:i4>
      </vt:variant>
      <vt:variant>
        <vt:i4>320</vt:i4>
      </vt:variant>
      <vt:variant>
        <vt:i4>0</vt:i4>
      </vt:variant>
      <vt:variant>
        <vt:i4>5</vt:i4>
      </vt:variant>
      <vt:variant>
        <vt:lpwstr/>
      </vt:variant>
      <vt:variant>
        <vt:lpwstr>_Toc322697671</vt:lpwstr>
      </vt:variant>
      <vt:variant>
        <vt:i4>1245246</vt:i4>
      </vt:variant>
      <vt:variant>
        <vt:i4>314</vt:i4>
      </vt:variant>
      <vt:variant>
        <vt:i4>0</vt:i4>
      </vt:variant>
      <vt:variant>
        <vt:i4>5</vt:i4>
      </vt:variant>
      <vt:variant>
        <vt:lpwstr/>
      </vt:variant>
      <vt:variant>
        <vt:lpwstr>_Toc322697670</vt:lpwstr>
      </vt:variant>
      <vt:variant>
        <vt:i4>1179710</vt:i4>
      </vt:variant>
      <vt:variant>
        <vt:i4>308</vt:i4>
      </vt:variant>
      <vt:variant>
        <vt:i4>0</vt:i4>
      </vt:variant>
      <vt:variant>
        <vt:i4>5</vt:i4>
      </vt:variant>
      <vt:variant>
        <vt:lpwstr/>
      </vt:variant>
      <vt:variant>
        <vt:lpwstr>_Toc322697669</vt:lpwstr>
      </vt:variant>
      <vt:variant>
        <vt:i4>1179710</vt:i4>
      </vt:variant>
      <vt:variant>
        <vt:i4>302</vt:i4>
      </vt:variant>
      <vt:variant>
        <vt:i4>0</vt:i4>
      </vt:variant>
      <vt:variant>
        <vt:i4>5</vt:i4>
      </vt:variant>
      <vt:variant>
        <vt:lpwstr/>
      </vt:variant>
      <vt:variant>
        <vt:lpwstr>_Toc322697668</vt:lpwstr>
      </vt:variant>
      <vt:variant>
        <vt:i4>1179710</vt:i4>
      </vt:variant>
      <vt:variant>
        <vt:i4>296</vt:i4>
      </vt:variant>
      <vt:variant>
        <vt:i4>0</vt:i4>
      </vt:variant>
      <vt:variant>
        <vt:i4>5</vt:i4>
      </vt:variant>
      <vt:variant>
        <vt:lpwstr/>
      </vt:variant>
      <vt:variant>
        <vt:lpwstr>_Toc322697667</vt:lpwstr>
      </vt:variant>
      <vt:variant>
        <vt:i4>1179710</vt:i4>
      </vt:variant>
      <vt:variant>
        <vt:i4>290</vt:i4>
      </vt:variant>
      <vt:variant>
        <vt:i4>0</vt:i4>
      </vt:variant>
      <vt:variant>
        <vt:i4>5</vt:i4>
      </vt:variant>
      <vt:variant>
        <vt:lpwstr/>
      </vt:variant>
      <vt:variant>
        <vt:lpwstr>_Toc322697666</vt:lpwstr>
      </vt:variant>
      <vt:variant>
        <vt:i4>1179710</vt:i4>
      </vt:variant>
      <vt:variant>
        <vt:i4>284</vt:i4>
      </vt:variant>
      <vt:variant>
        <vt:i4>0</vt:i4>
      </vt:variant>
      <vt:variant>
        <vt:i4>5</vt:i4>
      </vt:variant>
      <vt:variant>
        <vt:lpwstr/>
      </vt:variant>
      <vt:variant>
        <vt:lpwstr>_Toc322697665</vt:lpwstr>
      </vt:variant>
      <vt:variant>
        <vt:i4>1179710</vt:i4>
      </vt:variant>
      <vt:variant>
        <vt:i4>278</vt:i4>
      </vt:variant>
      <vt:variant>
        <vt:i4>0</vt:i4>
      </vt:variant>
      <vt:variant>
        <vt:i4>5</vt:i4>
      </vt:variant>
      <vt:variant>
        <vt:lpwstr/>
      </vt:variant>
      <vt:variant>
        <vt:lpwstr>_Toc322697664</vt:lpwstr>
      </vt:variant>
      <vt:variant>
        <vt:i4>1179710</vt:i4>
      </vt:variant>
      <vt:variant>
        <vt:i4>272</vt:i4>
      </vt:variant>
      <vt:variant>
        <vt:i4>0</vt:i4>
      </vt:variant>
      <vt:variant>
        <vt:i4>5</vt:i4>
      </vt:variant>
      <vt:variant>
        <vt:lpwstr/>
      </vt:variant>
      <vt:variant>
        <vt:lpwstr>_Toc322697663</vt:lpwstr>
      </vt:variant>
      <vt:variant>
        <vt:i4>1179710</vt:i4>
      </vt:variant>
      <vt:variant>
        <vt:i4>266</vt:i4>
      </vt:variant>
      <vt:variant>
        <vt:i4>0</vt:i4>
      </vt:variant>
      <vt:variant>
        <vt:i4>5</vt:i4>
      </vt:variant>
      <vt:variant>
        <vt:lpwstr/>
      </vt:variant>
      <vt:variant>
        <vt:lpwstr>_Toc322697662</vt:lpwstr>
      </vt:variant>
      <vt:variant>
        <vt:i4>1179710</vt:i4>
      </vt:variant>
      <vt:variant>
        <vt:i4>260</vt:i4>
      </vt:variant>
      <vt:variant>
        <vt:i4>0</vt:i4>
      </vt:variant>
      <vt:variant>
        <vt:i4>5</vt:i4>
      </vt:variant>
      <vt:variant>
        <vt:lpwstr/>
      </vt:variant>
      <vt:variant>
        <vt:lpwstr>_Toc322697661</vt:lpwstr>
      </vt:variant>
      <vt:variant>
        <vt:i4>1179710</vt:i4>
      </vt:variant>
      <vt:variant>
        <vt:i4>254</vt:i4>
      </vt:variant>
      <vt:variant>
        <vt:i4>0</vt:i4>
      </vt:variant>
      <vt:variant>
        <vt:i4>5</vt:i4>
      </vt:variant>
      <vt:variant>
        <vt:lpwstr/>
      </vt:variant>
      <vt:variant>
        <vt:lpwstr>_Toc322697660</vt:lpwstr>
      </vt:variant>
      <vt:variant>
        <vt:i4>1114174</vt:i4>
      </vt:variant>
      <vt:variant>
        <vt:i4>248</vt:i4>
      </vt:variant>
      <vt:variant>
        <vt:i4>0</vt:i4>
      </vt:variant>
      <vt:variant>
        <vt:i4>5</vt:i4>
      </vt:variant>
      <vt:variant>
        <vt:lpwstr/>
      </vt:variant>
      <vt:variant>
        <vt:lpwstr>_Toc322697659</vt:lpwstr>
      </vt:variant>
      <vt:variant>
        <vt:i4>1114174</vt:i4>
      </vt:variant>
      <vt:variant>
        <vt:i4>242</vt:i4>
      </vt:variant>
      <vt:variant>
        <vt:i4>0</vt:i4>
      </vt:variant>
      <vt:variant>
        <vt:i4>5</vt:i4>
      </vt:variant>
      <vt:variant>
        <vt:lpwstr/>
      </vt:variant>
      <vt:variant>
        <vt:lpwstr>_Toc322697658</vt:lpwstr>
      </vt:variant>
      <vt:variant>
        <vt:i4>1114174</vt:i4>
      </vt:variant>
      <vt:variant>
        <vt:i4>236</vt:i4>
      </vt:variant>
      <vt:variant>
        <vt:i4>0</vt:i4>
      </vt:variant>
      <vt:variant>
        <vt:i4>5</vt:i4>
      </vt:variant>
      <vt:variant>
        <vt:lpwstr/>
      </vt:variant>
      <vt:variant>
        <vt:lpwstr>_Toc322697657</vt:lpwstr>
      </vt:variant>
      <vt:variant>
        <vt:i4>1114174</vt:i4>
      </vt:variant>
      <vt:variant>
        <vt:i4>230</vt:i4>
      </vt:variant>
      <vt:variant>
        <vt:i4>0</vt:i4>
      </vt:variant>
      <vt:variant>
        <vt:i4>5</vt:i4>
      </vt:variant>
      <vt:variant>
        <vt:lpwstr/>
      </vt:variant>
      <vt:variant>
        <vt:lpwstr>_Toc322697656</vt:lpwstr>
      </vt:variant>
      <vt:variant>
        <vt:i4>1114174</vt:i4>
      </vt:variant>
      <vt:variant>
        <vt:i4>224</vt:i4>
      </vt:variant>
      <vt:variant>
        <vt:i4>0</vt:i4>
      </vt:variant>
      <vt:variant>
        <vt:i4>5</vt:i4>
      </vt:variant>
      <vt:variant>
        <vt:lpwstr/>
      </vt:variant>
      <vt:variant>
        <vt:lpwstr>_Toc322697655</vt:lpwstr>
      </vt:variant>
      <vt:variant>
        <vt:i4>1114174</vt:i4>
      </vt:variant>
      <vt:variant>
        <vt:i4>218</vt:i4>
      </vt:variant>
      <vt:variant>
        <vt:i4>0</vt:i4>
      </vt:variant>
      <vt:variant>
        <vt:i4>5</vt:i4>
      </vt:variant>
      <vt:variant>
        <vt:lpwstr/>
      </vt:variant>
      <vt:variant>
        <vt:lpwstr>_Toc322697654</vt:lpwstr>
      </vt:variant>
      <vt:variant>
        <vt:i4>1114174</vt:i4>
      </vt:variant>
      <vt:variant>
        <vt:i4>212</vt:i4>
      </vt:variant>
      <vt:variant>
        <vt:i4>0</vt:i4>
      </vt:variant>
      <vt:variant>
        <vt:i4>5</vt:i4>
      </vt:variant>
      <vt:variant>
        <vt:lpwstr/>
      </vt:variant>
      <vt:variant>
        <vt:lpwstr>_Toc322697653</vt:lpwstr>
      </vt:variant>
      <vt:variant>
        <vt:i4>1114174</vt:i4>
      </vt:variant>
      <vt:variant>
        <vt:i4>206</vt:i4>
      </vt:variant>
      <vt:variant>
        <vt:i4>0</vt:i4>
      </vt:variant>
      <vt:variant>
        <vt:i4>5</vt:i4>
      </vt:variant>
      <vt:variant>
        <vt:lpwstr/>
      </vt:variant>
      <vt:variant>
        <vt:lpwstr>_Toc322697652</vt:lpwstr>
      </vt:variant>
      <vt:variant>
        <vt:i4>1114174</vt:i4>
      </vt:variant>
      <vt:variant>
        <vt:i4>200</vt:i4>
      </vt:variant>
      <vt:variant>
        <vt:i4>0</vt:i4>
      </vt:variant>
      <vt:variant>
        <vt:i4>5</vt:i4>
      </vt:variant>
      <vt:variant>
        <vt:lpwstr/>
      </vt:variant>
      <vt:variant>
        <vt:lpwstr>_Toc322697651</vt:lpwstr>
      </vt:variant>
      <vt:variant>
        <vt:i4>1114174</vt:i4>
      </vt:variant>
      <vt:variant>
        <vt:i4>194</vt:i4>
      </vt:variant>
      <vt:variant>
        <vt:i4>0</vt:i4>
      </vt:variant>
      <vt:variant>
        <vt:i4>5</vt:i4>
      </vt:variant>
      <vt:variant>
        <vt:lpwstr/>
      </vt:variant>
      <vt:variant>
        <vt:lpwstr>_Toc322697650</vt:lpwstr>
      </vt:variant>
      <vt:variant>
        <vt:i4>1048638</vt:i4>
      </vt:variant>
      <vt:variant>
        <vt:i4>188</vt:i4>
      </vt:variant>
      <vt:variant>
        <vt:i4>0</vt:i4>
      </vt:variant>
      <vt:variant>
        <vt:i4>5</vt:i4>
      </vt:variant>
      <vt:variant>
        <vt:lpwstr/>
      </vt:variant>
      <vt:variant>
        <vt:lpwstr>_Toc322697649</vt:lpwstr>
      </vt:variant>
      <vt:variant>
        <vt:i4>1048638</vt:i4>
      </vt:variant>
      <vt:variant>
        <vt:i4>182</vt:i4>
      </vt:variant>
      <vt:variant>
        <vt:i4>0</vt:i4>
      </vt:variant>
      <vt:variant>
        <vt:i4>5</vt:i4>
      </vt:variant>
      <vt:variant>
        <vt:lpwstr/>
      </vt:variant>
      <vt:variant>
        <vt:lpwstr>_Toc322697648</vt:lpwstr>
      </vt:variant>
      <vt:variant>
        <vt:i4>1048638</vt:i4>
      </vt:variant>
      <vt:variant>
        <vt:i4>176</vt:i4>
      </vt:variant>
      <vt:variant>
        <vt:i4>0</vt:i4>
      </vt:variant>
      <vt:variant>
        <vt:i4>5</vt:i4>
      </vt:variant>
      <vt:variant>
        <vt:lpwstr/>
      </vt:variant>
      <vt:variant>
        <vt:lpwstr>_Toc322697647</vt:lpwstr>
      </vt:variant>
      <vt:variant>
        <vt:i4>1048638</vt:i4>
      </vt:variant>
      <vt:variant>
        <vt:i4>170</vt:i4>
      </vt:variant>
      <vt:variant>
        <vt:i4>0</vt:i4>
      </vt:variant>
      <vt:variant>
        <vt:i4>5</vt:i4>
      </vt:variant>
      <vt:variant>
        <vt:lpwstr/>
      </vt:variant>
      <vt:variant>
        <vt:lpwstr>_Toc322697646</vt:lpwstr>
      </vt:variant>
      <vt:variant>
        <vt:i4>1048638</vt:i4>
      </vt:variant>
      <vt:variant>
        <vt:i4>164</vt:i4>
      </vt:variant>
      <vt:variant>
        <vt:i4>0</vt:i4>
      </vt:variant>
      <vt:variant>
        <vt:i4>5</vt:i4>
      </vt:variant>
      <vt:variant>
        <vt:lpwstr/>
      </vt:variant>
      <vt:variant>
        <vt:lpwstr>_Toc322697645</vt:lpwstr>
      </vt:variant>
      <vt:variant>
        <vt:i4>1048638</vt:i4>
      </vt:variant>
      <vt:variant>
        <vt:i4>158</vt:i4>
      </vt:variant>
      <vt:variant>
        <vt:i4>0</vt:i4>
      </vt:variant>
      <vt:variant>
        <vt:i4>5</vt:i4>
      </vt:variant>
      <vt:variant>
        <vt:lpwstr/>
      </vt:variant>
      <vt:variant>
        <vt:lpwstr>_Toc322697644</vt:lpwstr>
      </vt:variant>
      <vt:variant>
        <vt:i4>1048638</vt:i4>
      </vt:variant>
      <vt:variant>
        <vt:i4>152</vt:i4>
      </vt:variant>
      <vt:variant>
        <vt:i4>0</vt:i4>
      </vt:variant>
      <vt:variant>
        <vt:i4>5</vt:i4>
      </vt:variant>
      <vt:variant>
        <vt:lpwstr/>
      </vt:variant>
      <vt:variant>
        <vt:lpwstr>_Toc322697643</vt:lpwstr>
      </vt:variant>
      <vt:variant>
        <vt:i4>1048638</vt:i4>
      </vt:variant>
      <vt:variant>
        <vt:i4>146</vt:i4>
      </vt:variant>
      <vt:variant>
        <vt:i4>0</vt:i4>
      </vt:variant>
      <vt:variant>
        <vt:i4>5</vt:i4>
      </vt:variant>
      <vt:variant>
        <vt:lpwstr/>
      </vt:variant>
      <vt:variant>
        <vt:lpwstr>_Toc322697642</vt:lpwstr>
      </vt:variant>
      <vt:variant>
        <vt:i4>1048638</vt:i4>
      </vt:variant>
      <vt:variant>
        <vt:i4>140</vt:i4>
      </vt:variant>
      <vt:variant>
        <vt:i4>0</vt:i4>
      </vt:variant>
      <vt:variant>
        <vt:i4>5</vt:i4>
      </vt:variant>
      <vt:variant>
        <vt:lpwstr/>
      </vt:variant>
      <vt:variant>
        <vt:lpwstr>_Toc322697641</vt:lpwstr>
      </vt:variant>
      <vt:variant>
        <vt:i4>1048638</vt:i4>
      </vt:variant>
      <vt:variant>
        <vt:i4>134</vt:i4>
      </vt:variant>
      <vt:variant>
        <vt:i4>0</vt:i4>
      </vt:variant>
      <vt:variant>
        <vt:i4>5</vt:i4>
      </vt:variant>
      <vt:variant>
        <vt:lpwstr/>
      </vt:variant>
      <vt:variant>
        <vt:lpwstr>_Toc322697640</vt:lpwstr>
      </vt:variant>
      <vt:variant>
        <vt:i4>1507390</vt:i4>
      </vt:variant>
      <vt:variant>
        <vt:i4>128</vt:i4>
      </vt:variant>
      <vt:variant>
        <vt:i4>0</vt:i4>
      </vt:variant>
      <vt:variant>
        <vt:i4>5</vt:i4>
      </vt:variant>
      <vt:variant>
        <vt:lpwstr/>
      </vt:variant>
      <vt:variant>
        <vt:lpwstr>_Toc322697639</vt:lpwstr>
      </vt:variant>
      <vt:variant>
        <vt:i4>1507390</vt:i4>
      </vt:variant>
      <vt:variant>
        <vt:i4>122</vt:i4>
      </vt:variant>
      <vt:variant>
        <vt:i4>0</vt:i4>
      </vt:variant>
      <vt:variant>
        <vt:i4>5</vt:i4>
      </vt:variant>
      <vt:variant>
        <vt:lpwstr/>
      </vt:variant>
      <vt:variant>
        <vt:lpwstr>_Toc322697638</vt:lpwstr>
      </vt:variant>
      <vt:variant>
        <vt:i4>1507390</vt:i4>
      </vt:variant>
      <vt:variant>
        <vt:i4>116</vt:i4>
      </vt:variant>
      <vt:variant>
        <vt:i4>0</vt:i4>
      </vt:variant>
      <vt:variant>
        <vt:i4>5</vt:i4>
      </vt:variant>
      <vt:variant>
        <vt:lpwstr/>
      </vt:variant>
      <vt:variant>
        <vt:lpwstr>_Toc322697637</vt:lpwstr>
      </vt:variant>
      <vt:variant>
        <vt:i4>1507390</vt:i4>
      </vt:variant>
      <vt:variant>
        <vt:i4>110</vt:i4>
      </vt:variant>
      <vt:variant>
        <vt:i4>0</vt:i4>
      </vt:variant>
      <vt:variant>
        <vt:i4>5</vt:i4>
      </vt:variant>
      <vt:variant>
        <vt:lpwstr/>
      </vt:variant>
      <vt:variant>
        <vt:lpwstr>_Toc322697636</vt:lpwstr>
      </vt:variant>
      <vt:variant>
        <vt:i4>1507390</vt:i4>
      </vt:variant>
      <vt:variant>
        <vt:i4>104</vt:i4>
      </vt:variant>
      <vt:variant>
        <vt:i4>0</vt:i4>
      </vt:variant>
      <vt:variant>
        <vt:i4>5</vt:i4>
      </vt:variant>
      <vt:variant>
        <vt:lpwstr/>
      </vt:variant>
      <vt:variant>
        <vt:lpwstr>_Toc322697635</vt:lpwstr>
      </vt:variant>
      <vt:variant>
        <vt:i4>1507390</vt:i4>
      </vt:variant>
      <vt:variant>
        <vt:i4>98</vt:i4>
      </vt:variant>
      <vt:variant>
        <vt:i4>0</vt:i4>
      </vt:variant>
      <vt:variant>
        <vt:i4>5</vt:i4>
      </vt:variant>
      <vt:variant>
        <vt:lpwstr/>
      </vt:variant>
      <vt:variant>
        <vt:lpwstr>_Toc322697634</vt:lpwstr>
      </vt:variant>
      <vt:variant>
        <vt:i4>1507390</vt:i4>
      </vt:variant>
      <vt:variant>
        <vt:i4>92</vt:i4>
      </vt:variant>
      <vt:variant>
        <vt:i4>0</vt:i4>
      </vt:variant>
      <vt:variant>
        <vt:i4>5</vt:i4>
      </vt:variant>
      <vt:variant>
        <vt:lpwstr/>
      </vt:variant>
      <vt:variant>
        <vt:lpwstr>_Toc322697633</vt:lpwstr>
      </vt:variant>
      <vt:variant>
        <vt:i4>1507390</vt:i4>
      </vt:variant>
      <vt:variant>
        <vt:i4>86</vt:i4>
      </vt:variant>
      <vt:variant>
        <vt:i4>0</vt:i4>
      </vt:variant>
      <vt:variant>
        <vt:i4>5</vt:i4>
      </vt:variant>
      <vt:variant>
        <vt:lpwstr/>
      </vt:variant>
      <vt:variant>
        <vt:lpwstr>_Toc322697632</vt:lpwstr>
      </vt:variant>
      <vt:variant>
        <vt:i4>1507390</vt:i4>
      </vt:variant>
      <vt:variant>
        <vt:i4>80</vt:i4>
      </vt:variant>
      <vt:variant>
        <vt:i4>0</vt:i4>
      </vt:variant>
      <vt:variant>
        <vt:i4>5</vt:i4>
      </vt:variant>
      <vt:variant>
        <vt:lpwstr/>
      </vt:variant>
      <vt:variant>
        <vt:lpwstr>_Toc322697631</vt:lpwstr>
      </vt:variant>
      <vt:variant>
        <vt:i4>1507390</vt:i4>
      </vt:variant>
      <vt:variant>
        <vt:i4>74</vt:i4>
      </vt:variant>
      <vt:variant>
        <vt:i4>0</vt:i4>
      </vt:variant>
      <vt:variant>
        <vt:i4>5</vt:i4>
      </vt:variant>
      <vt:variant>
        <vt:lpwstr/>
      </vt:variant>
      <vt:variant>
        <vt:lpwstr>_Toc322697630</vt:lpwstr>
      </vt:variant>
      <vt:variant>
        <vt:i4>1441854</vt:i4>
      </vt:variant>
      <vt:variant>
        <vt:i4>68</vt:i4>
      </vt:variant>
      <vt:variant>
        <vt:i4>0</vt:i4>
      </vt:variant>
      <vt:variant>
        <vt:i4>5</vt:i4>
      </vt:variant>
      <vt:variant>
        <vt:lpwstr/>
      </vt:variant>
      <vt:variant>
        <vt:lpwstr>_Toc322697629</vt:lpwstr>
      </vt:variant>
      <vt:variant>
        <vt:i4>1441854</vt:i4>
      </vt:variant>
      <vt:variant>
        <vt:i4>62</vt:i4>
      </vt:variant>
      <vt:variant>
        <vt:i4>0</vt:i4>
      </vt:variant>
      <vt:variant>
        <vt:i4>5</vt:i4>
      </vt:variant>
      <vt:variant>
        <vt:lpwstr/>
      </vt:variant>
      <vt:variant>
        <vt:lpwstr>_Toc322697628</vt:lpwstr>
      </vt:variant>
      <vt:variant>
        <vt:i4>1441854</vt:i4>
      </vt:variant>
      <vt:variant>
        <vt:i4>56</vt:i4>
      </vt:variant>
      <vt:variant>
        <vt:i4>0</vt:i4>
      </vt:variant>
      <vt:variant>
        <vt:i4>5</vt:i4>
      </vt:variant>
      <vt:variant>
        <vt:lpwstr/>
      </vt:variant>
      <vt:variant>
        <vt:lpwstr>_Toc322697627</vt:lpwstr>
      </vt:variant>
      <vt:variant>
        <vt:i4>1441854</vt:i4>
      </vt:variant>
      <vt:variant>
        <vt:i4>50</vt:i4>
      </vt:variant>
      <vt:variant>
        <vt:i4>0</vt:i4>
      </vt:variant>
      <vt:variant>
        <vt:i4>5</vt:i4>
      </vt:variant>
      <vt:variant>
        <vt:lpwstr/>
      </vt:variant>
      <vt:variant>
        <vt:lpwstr>_Toc322697626</vt:lpwstr>
      </vt:variant>
      <vt:variant>
        <vt:i4>1441854</vt:i4>
      </vt:variant>
      <vt:variant>
        <vt:i4>44</vt:i4>
      </vt:variant>
      <vt:variant>
        <vt:i4>0</vt:i4>
      </vt:variant>
      <vt:variant>
        <vt:i4>5</vt:i4>
      </vt:variant>
      <vt:variant>
        <vt:lpwstr/>
      </vt:variant>
      <vt:variant>
        <vt:lpwstr>_Toc322697625</vt:lpwstr>
      </vt:variant>
      <vt:variant>
        <vt:i4>1441854</vt:i4>
      </vt:variant>
      <vt:variant>
        <vt:i4>38</vt:i4>
      </vt:variant>
      <vt:variant>
        <vt:i4>0</vt:i4>
      </vt:variant>
      <vt:variant>
        <vt:i4>5</vt:i4>
      </vt:variant>
      <vt:variant>
        <vt:lpwstr/>
      </vt:variant>
      <vt:variant>
        <vt:lpwstr>_Toc322697624</vt:lpwstr>
      </vt:variant>
      <vt:variant>
        <vt:i4>1441854</vt:i4>
      </vt:variant>
      <vt:variant>
        <vt:i4>32</vt:i4>
      </vt:variant>
      <vt:variant>
        <vt:i4>0</vt:i4>
      </vt:variant>
      <vt:variant>
        <vt:i4>5</vt:i4>
      </vt:variant>
      <vt:variant>
        <vt:lpwstr/>
      </vt:variant>
      <vt:variant>
        <vt:lpwstr>_Toc322697623</vt:lpwstr>
      </vt:variant>
      <vt:variant>
        <vt:i4>1441854</vt:i4>
      </vt:variant>
      <vt:variant>
        <vt:i4>26</vt:i4>
      </vt:variant>
      <vt:variant>
        <vt:i4>0</vt:i4>
      </vt:variant>
      <vt:variant>
        <vt:i4>5</vt:i4>
      </vt:variant>
      <vt:variant>
        <vt:lpwstr/>
      </vt:variant>
      <vt:variant>
        <vt:lpwstr>_Toc322697622</vt:lpwstr>
      </vt:variant>
      <vt:variant>
        <vt:i4>1441854</vt:i4>
      </vt:variant>
      <vt:variant>
        <vt:i4>20</vt:i4>
      </vt:variant>
      <vt:variant>
        <vt:i4>0</vt:i4>
      </vt:variant>
      <vt:variant>
        <vt:i4>5</vt:i4>
      </vt:variant>
      <vt:variant>
        <vt:lpwstr/>
      </vt:variant>
      <vt:variant>
        <vt:lpwstr>_Toc322697621</vt:lpwstr>
      </vt:variant>
      <vt:variant>
        <vt:i4>1441854</vt:i4>
      </vt:variant>
      <vt:variant>
        <vt:i4>14</vt:i4>
      </vt:variant>
      <vt:variant>
        <vt:i4>0</vt:i4>
      </vt:variant>
      <vt:variant>
        <vt:i4>5</vt:i4>
      </vt:variant>
      <vt:variant>
        <vt:lpwstr/>
      </vt:variant>
      <vt:variant>
        <vt:lpwstr>_Toc322697620</vt:lpwstr>
      </vt:variant>
      <vt:variant>
        <vt:i4>1376318</vt:i4>
      </vt:variant>
      <vt:variant>
        <vt:i4>8</vt:i4>
      </vt:variant>
      <vt:variant>
        <vt:i4>0</vt:i4>
      </vt:variant>
      <vt:variant>
        <vt:i4>5</vt:i4>
      </vt:variant>
      <vt:variant>
        <vt:lpwstr/>
      </vt:variant>
      <vt:variant>
        <vt:lpwstr>_Toc322697619</vt:lpwstr>
      </vt:variant>
      <vt:variant>
        <vt:i4>1376318</vt:i4>
      </vt:variant>
      <vt:variant>
        <vt:i4>2</vt:i4>
      </vt:variant>
      <vt:variant>
        <vt:i4>0</vt:i4>
      </vt:variant>
      <vt:variant>
        <vt:i4>5</vt:i4>
      </vt:variant>
      <vt:variant>
        <vt:lpwstr/>
      </vt:variant>
      <vt:variant>
        <vt:lpwstr>_Toc322697618</vt:lpwstr>
      </vt:variant>
      <vt:variant>
        <vt:i4>524376</vt:i4>
      </vt:variant>
      <vt:variant>
        <vt:i4>9</vt:i4>
      </vt:variant>
      <vt:variant>
        <vt:i4>0</vt:i4>
      </vt:variant>
      <vt:variant>
        <vt:i4>5</vt:i4>
      </vt:variant>
      <vt:variant>
        <vt:lpwstr>http://www.erawa.com.au/cproot/6671/2/20080623 Final Determination - 2008 Weighted Average Cost of Capital for the Freight and Urban Railway Networks.pdf</vt:lpwstr>
      </vt:variant>
      <vt:variant>
        <vt:lpwstr/>
      </vt:variant>
      <vt:variant>
        <vt:i4>2424881</vt:i4>
      </vt:variant>
      <vt:variant>
        <vt:i4>6</vt:i4>
      </vt:variant>
      <vt:variant>
        <vt:i4>0</vt:i4>
      </vt:variant>
      <vt:variant>
        <vt:i4>5</vt:i4>
      </vt:variant>
      <vt:variant>
        <vt:lpwstr>http://www.abc.net.au/pm/content/2011/s3379347.htm</vt:lpwstr>
      </vt:variant>
      <vt:variant>
        <vt:lpwstr/>
      </vt:variant>
      <vt:variant>
        <vt:i4>2490485</vt:i4>
      </vt:variant>
      <vt:variant>
        <vt:i4>3</vt:i4>
      </vt:variant>
      <vt:variant>
        <vt:i4>0</vt:i4>
      </vt:variant>
      <vt:variant>
        <vt:i4>5</vt:i4>
      </vt:variant>
      <vt:variant>
        <vt:lpwstr>http://www.aofm.gov.au/content/investors/CGS.asp?NavID=203</vt:lpwstr>
      </vt:variant>
      <vt:variant>
        <vt:lpwstr/>
      </vt:variant>
      <vt:variant>
        <vt:i4>2490485</vt:i4>
      </vt:variant>
      <vt:variant>
        <vt:i4>0</vt:i4>
      </vt:variant>
      <vt:variant>
        <vt:i4>0</vt:i4>
      </vt:variant>
      <vt:variant>
        <vt:i4>5</vt:i4>
      </vt:variant>
      <vt:variant>
        <vt:lpwstr>http://www.aofm.gov.au/content/investors/CGS.asp?NavID=203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2012-09-11T05:12:00Z</dcterms:created>
  <dcterms:modified xsi:type="dcterms:W3CDTF">2012-09-11T05:13:00Z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