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A7041" w:rsidRPr="008A4AF0" w:rsidRDefault="00934B3F" w:rsidP="00210328">
      <w:r w:rsidRPr="008A4AF0">
        <w:rPr>
          <w:noProof/>
          <w:lang w:eastAsia="en-AU"/>
        </w:rPr>
        <mc:AlternateContent>
          <mc:Choice Requires="wps">
            <w:drawing>
              <wp:anchor distT="0" distB="0" distL="114300" distR="114300" simplePos="0" relativeHeight="251661312" behindDoc="0" locked="0" layoutInCell="1" allowOverlap="1" wp14:anchorId="77C76750" wp14:editId="37D3510A">
                <wp:simplePos x="0" y="0"/>
                <wp:positionH relativeFrom="column">
                  <wp:posOffset>-1072515</wp:posOffset>
                </wp:positionH>
                <wp:positionV relativeFrom="paragraph">
                  <wp:posOffset>452120</wp:posOffset>
                </wp:positionV>
                <wp:extent cx="3887470" cy="410210"/>
                <wp:effectExtent l="0" t="0" r="0" b="8890"/>
                <wp:wrapSquare wrapText="bothSides"/>
                <wp:docPr id="5" name="Text Box 5"/>
                <wp:cNvGraphicFramePr/>
                <a:graphic xmlns:a="http://schemas.openxmlformats.org/drawingml/2006/main">
                  <a:graphicData uri="http://schemas.microsoft.com/office/word/2010/wordprocessingShape">
                    <wps:wsp>
                      <wps:cNvSpPr txBox="1"/>
                      <wps:spPr>
                        <a:xfrm>
                          <a:off x="0" y="0"/>
                          <a:ext cx="3887470" cy="4102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64356" w:rsidRDefault="00C64356" w:rsidP="00AB2E24">
                            <w:r>
                              <w:rPr>
                                <w:rStyle w:val="BookTitle"/>
                                <w:rFonts w:eastAsiaTheme="minorEastAsia"/>
                                <w:bCs/>
                                <w:sz w:val="20"/>
                                <w:lang w:val="en-GB"/>
                              </w:rPr>
                              <w:t>January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4.45pt;margin-top:35.6pt;width:306.1pt;height:3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" filled="f" stroked="f">
                <v:textbox>
                  <w:txbxContent>
                    <w:p w:rsidR="00C64356" w:rsidRDefault="00C64356" w:rsidP="00AB2E24">
                      <w:r>
                        <w:rPr>
                          <w:rStyle w:val="BookTitle"/>
                          <w:rFonts w:eastAsiaTheme="minorEastAsia"/>
                          <w:bCs/>
                          <w:sz w:val="20"/>
                          <w:lang w:val="en-GB"/>
                        </w:rPr>
                        <w:t>January 2017</w:t>
                      </w:r>
                    </w:p>
                  </w:txbxContent>
                </v:textbox>
                <w10:wrap type="square"/>
              </v:shape>
            </w:pict>
          </mc:Fallback>
        </mc:AlternateContent>
      </w:r>
      <w:r w:rsidR="00F908C6" w:rsidRPr="008A4AF0">
        <w:rPr>
          <w:noProof/>
          <w:lang w:eastAsia="en-AU"/>
        </w:rPr>
        <mc:AlternateContent>
          <mc:Choice Requires="wps">
            <w:drawing>
              <wp:anchor distT="0" distB="0" distL="114300" distR="114300" simplePos="0" relativeHeight="251659264" behindDoc="0" locked="0" layoutInCell="1" allowOverlap="1" wp14:anchorId="73CF466C" wp14:editId="71CD9B30">
                <wp:simplePos x="0" y="0"/>
                <wp:positionH relativeFrom="column">
                  <wp:posOffset>-1078865</wp:posOffset>
                </wp:positionH>
                <wp:positionV relativeFrom="paragraph">
                  <wp:posOffset>570865</wp:posOffset>
                </wp:positionV>
                <wp:extent cx="7288530" cy="343217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7288530" cy="34321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64356" w:rsidRDefault="00C64356" w:rsidP="00162A5A">
                            <w:pPr>
                              <w:pStyle w:val="Title"/>
                            </w:pPr>
                            <w:bookmarkStart w:id="1" w:name="Title"/>
                            <w:proofErr w:type="spellStart"/>
                            <w:proofErr w:type="gramStart"/>
                            <w:r w:rsidRPr="00934B3F">
                              <w:t>victorian</w:t>
                            </w:r>
                            <w:proofErr w:type="spellEnd"/>
                            <w:proofErr w:type="gramEnd"/>
                            <w:r w:rsidRPr="00934B3F">
                              <w:t xml:space="preserve"> transmission system</w:t>
                            </w:r>
                          </w:p>
                          <w:p w:rsidR="00C64356" w:rsidRDefault="00C64356" w:rsidP="00162A5A">
                            <w:pPr>
                              <w:pStyle w:val="Subtitle"/>
                            </w:pPr>
                            <w:bookmarkStart w:id="2" w:name="Subtitle"/>
                            <w:bookmarkEnd w:id="1"/>
                            <w:proofErr w:type="gramStart"/>
                            <w:r>
                              <w:t>access</w:t>
                            </w:r>
                            <w:proofErr w:type="gramEnd"/>
                            <w:r>
                              <w:t xml:space="preserve"> arrangement information</w:t>
                            </w:r>
                            <w:r w:rsidRPr="000A53EB">
                              <w:t>.</w:t>
                            </w:r>
                          </w:p>
                          <w:bookmarkEnd w:id="2"/>
                          <w:p w:rsidR="00C64356" w:rsidRDefault="00C64356" w:rsidP="004831C4">
                            <w:r w:rsidRPr="00FF5059">
                              <w:t xml:space="preserve">Effective 1 </w:t>
                            </w:r>
                            <w:r>
                              <w:t>January 2018 to 31 December 2022</w:t>
                            </w:r>
                          </w:p>
                          <w:p w:rsidR="00C64356" w:rsidRDefault="00C64356" w:rsidP="004831C4">
                            <w:r w:rsidRPr="00934B3F">
                              <w:t xml:space="preserve">APA VTS Australia (Operations) Pty Limited </w:t>
                            </w:r>
                          </w:p>
                          <w:p w:rsidR="00C64356" w:rsidRDefault="00C64356" w:rsidP="004831C4">
                            <w:r w:rsidRPr="00FF5059">
                              <w:t xml:space="preserve">ACN </w:t>
                            </w:r>
                            <w:r w:rsidRPr="00934B3F">
                              <w:t>083 009 278</w:t>
                            </w:r>
                          </w:p>
                          <w:p w:rsidR="00C64356" w:rsidRDefault="00C64356" w:rsidP="004831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84.95pt;margin-top:44.95pt;width:573.9pt;height:2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" filled="f" stroked="f">
                <v:textbox>
                  <w:txbxContent>
                    <w:p w:rsidR="00C64356" w:rsidRDefault="00C64356" w:rsidP="00162A5A">
                      <w:pPr>
                        <w:pStyle w:val="Title"/>
                      </w:pPr>
                      <w:bookmarkStart w:id="2" w:name="Title"/>
                      <w:proofErr w:type="spellStart"/>
                      <w:proofErr w:type="gramStart"/>
                      <w:r w:rsidRPr="00934B3F">
                        <w:t>victorian</w:t>
                      </w:r>
                      <w:proofErr w:type="spellEnd"/>
                      <w:proofErr w:type="gramEnd"/>
                      <w:r w:rsidRPr="00934B3F">
                        <w:t xml:space="preserve"> transmission system</w:t>
                      </w:r>
                    </w:p>
                    <w:p w:rsidR="00C64356" w:rsidRDefault="00C64356" w:rsidP="00162A5A">
                      <w:pPr>
                        <w:pStyle w:val="Subtitle"/>
                      </w:pPr>
                      <w:bookmarkStart w:id="3" w:name="Subtitle"/>
                      <w:bookmarkEnd w:id="2"/>
                      <w:proofErr w:type="gramStart"/>
                      <w:r>
                        <w:t>access</w:t>
                      </w:r>
                      <w:proofErr w:type="gramEnd"/>
                      <w:r>
                        <w:t xml:space="preserve"> arrangement information</w:t>
                      </w:r>
                      <w:r w:rsidRPr="000A53EB">
                        <w:t>.</w:t>
                      </w:r>
                    </w:p>
                    <w:bookmarkEnd w:id="3"/>
                    <w:p w:rsidR="00C64356" w:rsidRDefault="00C64356" w:rsidP="004831C4">
                      <w:r w:rsidRPr="00FF5059">
                        <w:t xml:space="preserve">Effective 1 </w:t>
                      </w:r>
                      <w:r>
                        <w:t>January 2018 to 31 December 2022</w:t>
                      </w:r>
                    </w:p>
                    <w:p w:rsidR="00C64356" w:rsidRDefault="00C64356" w:rsidP="004831C4">
                      <w:r w:rsidRPr="00934B3F">
                        <w:t xml:space="preserve">APA VTS Australia (Operations) Pty Limited </w:t>
                      </w:r>
                    </w:p>
                    <w:p w:rsidR="00C64356" w:rsidRDefault="00C64356" w:rsidP="004831C4">
                      <w:r w:rsidRPr="00FF5059">
                        <w:t xml:space="preserve">ACN </w:t>
                      </w:r>
                      <w:r w:rsidRPr="00934B3F">
                        <w:t>083 009 278</w:t>
                      </w:r>
                    </w:p>
                    <w:p w:rsidR="00C64356" w:rsidRDefault="00C64356" w:rsidP="004831C4"/>
                  </w:txbxContent>
                </v:textbox>
                <w10:wrap type="square"/>
              </v:shape>
            </w:pict>
          </mc:Fallback>
        </mc:AlternateContent>
      </w:r>
    </w:p>
    <w:p w:rsidR="004A7041" w:rsidRPr="008A4AF0" w:rsidRDefault="004A7041"/>
    <w:p w:rsidR="006A09A7" w:rsidRPr="008A4AF0" w:rsidRDefault="006A09A7"/>
    <w:p w:rsidR="006A09A7" w:rsidRPr="008A4AF0" w:rsidRDefault="006A09A7"/>
    <w:p w:rsidR="006A09A7" w:rsidRPr="008A4AF0" w:rsidRDefault="006A09A7"/>
    <w:p w:rsidR="006A09A7" w:rsidRPr="008A4AF0" w:rsidRDefault="006A09A7"/>
    <w:p w:rsidR="006A09A7" w:rsidRPr="008A4AF0" w:rsidRDefault="006A09A7"/>
    <w:p w:rsidR="006A09A7" w:rsidRPr="008A4AF0" w:rsidRDefault="006A09A7"/>
    <w:p w:rsidR="006A09A7" w:rsidRPr="008A4AF0" w:rsidRDefault="006A09A7"/>
    <w:p w:rsidR="006A09A7" w:rsidRPr="008A4AF0" w:rsidRDefault="006A09A7"/>
    <w:p w:rsidR="004A7041" w:rsidRPr="008A4AF0" w:rsidRDefault="004A7041">
      <w:pPr>
        <w:sectPr w:rsidR="004A7041" w:rsidRPr="008A4AF0" w:rsidSect="00AB2E24">
          <w:headerReference w:type="even" r:id="rId9"/>
          <w:headerReference w:type="default" r:id="rId10"/>
          <w:footerReference w:type="even" r:id="rId11"/>
          <w:headerReference w:type="first" r:id="rId12"/>
          <w:footerReference w:type="first" r:id="rId13"/>
          <w:pgSz w:w="11907" w:h="16840" w:code="9"/>
          <w:pgMar w:top="2835" w:right="1616" w:bottom="2126" w:left="1616" w:header="737" w:footer="737" w:gutter="454"/>
          <w:pgNumType w:start="1"/>
          <w:cols w:space="720"/>
          <w:titlePg/>
          <w:docGrid w:linePitch="299"/>
        </w:sectPr>
      </w:pPr>
    </w:p>
    <w:p w:rsidR="004A7041" w:rsidRPr="008A4AF0" w:rsidRDefault="004A7041" w:rsidP="0028126A">
      <w:pPr>
        <w:pStyle w:val="zcontentsBoldCustomColorRGB374042"/>
      </w:pPr>
      <w:r w:rsidRPr="008A4AF0">
        <w:lastRenderedPageBreak/>
        <w:t>Contents</w:t>
      </w:r>
    </w:p>
    <w:p w:rsidR="0068050F" w:rsidRDefault="002F090C">
      <w:pPr>
        <w:pStyle w:val="TOC1"/>
        <w:rPr>
          <w:rFonts w:asciiTheme="minorHAnsi" w:eastAsiaTheme="minorEastAsia" w:hAnsiTheme="minorHAnsi" w:cstheme="minorBidi"/>
          <w:b w:val="0"/>
          <w:color w:val="auto"/>
          <w:sz w:val="22"/>
          <w:szCs w:val="22"/>
          <w:lang w:eastAsia="en-AU"/>
        </w:rPr>
      </w:pPr>
      <w:r w:rsidRPr="008A4AF0">
        <w:fldChar w:fldCharType="begin"/>
      </w:r>
      <w:r w:rsidRPr="008A4AF0">
        <w:instrText xml:space="preserve"> TOC \o "1-3" \t "Appendix Heading,1,Appendix Heading 2,2,Appendix Heading 3,3" </w:instrText>
      </w:r>
      <w:r w:rsidRPr="008A4AF0">
        <w:fldChar w:fldCharType="separate"/>
      </w:r>
      <w:r w:rsidR="0068050F">
        <w:t>1</w:t>
      </w:r>
      <w:r w:rsidR="0068050F">
        <w:rPr>
          <w:rFonts w:asciiTheme="minorHAnsi" w:eastAsiaTheme="minorEastAsia" w:hAnsiTheme="minorHAnsi" w:cstheme="minorBidi"/>
          <w:b w:val="0"/>
          <w:color w:val="auto"/>
          <w:sz w:val="22"/>
          <w:szCs w:val="22"/>
          <w:lang w:eastAsia="en-AU"/>
        </w:rPr>
        <w:tab/>
      </w:r>
      <w:r w:rsidR="0068050F">
        <w:t>Introduction</w:t>
      </w:r>
      <w:r w:rsidR="0068050F">
        <w:tab/>
      </w:r>
      <w:r w:rsidR="0068050F">
        <w:fldChar w:fldCharType="begin"/>
      </w:r>
      <w:r w:rsidR="0068050F">
        <w:instrText xml:space="preserve"> PAGEREF _Toc471221336 \h </w:instrText>
      </w:r>
      <w:r w:rsidR="0068050F">
        <w:fldChar w:fldCharType="separate"/>
      </w:r>
      <w:r w:rsidR="00154DB7">
        <w:t>3</w:t>
      </w:r>
      <w:r w:rsidR="0068050F">
        <w:fldChar w:fldCharType="end"/>
      </w:r>
    </w:p>
    <w:p w:rsidR="0068050F" w:rsidRDefault="0068050F">
      <w:pPr>
        <w:pStyle w:val="TOC1"/>
        <w:rPr>
          <w:rFonts w:asciiTheme="minorHAnsi" w:eastAsiaTheme="minorEastAsia" w:hAnsiTheme="minorHAnsi" w:cstheme="minorBidi"/>
          <w:b w:val="0"/>
          <w:color w:val="auto"/>
          <w:sz w:val="22"/>
          <w:szCs w:val="22"/>
          <w:lang w:eastAsia="en-AU"/>
        </w:rPr>
      </w:pPr>
      <w:r>
        <w:rPr>
          <w:lang w:eastAsia="en-AU"/>
        </w:rPr>
        <w:t>2</w:t>
      </w:r>
      <w:r>
        <w:rPr>
          <w:rFonts w:asciiTheme="minorHAnsi" w:eastAsiaTheme="minorEastAsia" w:hAnsiTheme="minorHAnsi" w:cstheme="minorBidi"/>
          <w:b w:val="0"/>
          <w:color w:val="auto"/>
          <w:sz w:val="22"/>
          <w:szCs w:val="22"/>
          <w:lang w:eastAsia="en-AU"/>
        </w:rPr>
        <w:tab/>
      </w:r>
      <w:r>
        <w:rPr>
          <w:lang w:eastAsia="en-AU"/>
        </w:rPr>
        <w:t>Information relevant to the earlier access arrangement period</w:t>
      </w:r>
      <w:r>
        <w:tab/>
      </w:r>
      <w:r>
        <w:fldChar w:fldCharType="begin"/>
      </w:r>
      <w:r>
        <w:instrText xml:space="preserve"> PAGEREF _Toc471221337 \h </w:instrText>
      </w:r>
      <w:r>
        <w:fldChar w:fldCharType="separate"/>
      </w:r>
      <w:r w:rsidR="00154DB7">
        <w:t>5</w:t>
      </w:r>
      <w:r>
        <w:fldChar w:fldCharType="end"/>
      </w:r>
    </w:p>
    <w:p w:rsidR="0068050F" w:rsidRDefault="0068050F">
      <w:pPr>
        <w:pStyle w:val="TOC2"/>
        <w:rPr>
          <w:rFonts w:asciiTheme="minorHAnsi" w:eastAsiaTheme="minorEastAsia" w:hAnsiTheme="minorHAnsi" w:cstheme="minorBidi"/>
          <w:color w:val="auto"/>
          <w:sz w:val="22"/>
          <w:szCs w:val="22"/>
          <w:lang w:eastAsia="en-AU"/>
        </w:rPr>
      </w:pPr>
      <w:r>
        <w:rPr>
          <w:lang w:eastAsia="en-AU"/>
        </w:rPr>
        <w:t>2.1</w:t>
      </w:r>
      <w:r>
        <w:rPr>
          <w:rFonts w:asciiTheme="minorHAnsi" w:eastAsiaTheme="minorEastAsia" w:hAnsiTheme="minorHAnsi" w:cstheme="minorBidi"/>
          <w:color w:val="auto"/>
          <w:sz w:val="22"/>
          <w:szCs w:val="22"/>
          <w:lang w:eastAsia="en-AU"/>
        </w:rPr>
        <w:tab/>
      </w:r>
      <w:r>
        <w:rPr>
          <w:lang w:eastAsia="en-AU"/>
        </w:rPr>
        <w:t>Capital expenditure</w:t>
      </w:r>
      <w:r>
        <w:tab/>
      </w:r>
      <w:r>
        <w:fldChar w:fldCharType="begin"/>
      </w:r>
      <w:r>
        <w:instrText xml:space="preserve"> PAGEREF _Toc471221338 \h </w:instrText>
      </w:r>
      <w:r>
        <w:fldChar w:fldCharType="separate"/>
      </w:r>
      <w:r w:rsidR="00154DB7">
        <w:t>5</w:t>
      </w:r>
      <w:r>
        <w:fldChar w:fldCharType="end"/>
      </w:r>
    </w:p>
    <w:p w:rsidR="0068050F" w:rsidRDefault="0068050F">
      <w:pPr>
        <w:pStyle w:val="TOC2"/>
        <w:rPr>
          <w:rFonts w:asciiTheme="minorHAnsi" w:eastAsiaTheme="minorEastAsia" w:hAnsiTheme="minorHAnsi" w:cstheme="minorBidi"/>
          <w:color w:val="auto"/>
          <w:sz w:val="22"/>
          <w:szCs w:val="22"/>
          <w:lang w:eastAsia="en-AU"/>
        </w:rPr>
      </w:pPr>
      <w:r>
        <w:rPr>
          <w:lang w:eastAsia="en-AU"/>
        </w:rPr>
        <w:t>2.2</w:t>
      </w:r>
      <w:r>
        <w:rPr>
          <w:rFonts w:asciiTheme="minorHAnsi" w:eastAsiaTheme="minorEastAsia" w:hAnsiTheme="minorHAnsi" w:cstheme="minorBidi"/>
          <w:color w:val="auto"/>
          <w:sz w:val="22"/>
          <w:szCs w:val="22"/>
          <w:lang w:eastAsia="en-AU"/>
        </w:rPr>
        <w:tab/>
      </w:r>
      <w:r>
        <w:rPr>
          <w:lang w:eastAsia="en-AU"/>
        </w:rPr>
        <w:t>Operating expenditure</w:t>
      </w:r>
      <w:r>
        <w:tab/>
      </w:r>
      <w:r>
        <w:fldChar w:fldCharType="begin"/>
      </w:r>
      <w:r>
        <w:instrText xml:space="preserve"> PAGEREF _Toc471221339 \h </w:instrText>
      </w:r>
      <w:r>
        <w:fldChar w:fldCharType="separate"/>
      </w:r>
      <w:r w:rsidR="00154DB7">
        <w:t>5</w:t>
      </w:r>
      <w:r>
        <w:fldChar w:fldCharType="end"/>
      </w:r>
    </w:p>
    <w:p w:rsidR="0068050F" w:rsidRDefault="0068050F">
      <w:pPr>
        <w:pStyle w:val="TOC2"/>
        <w:rPr>
          <w:rFonts w:asciiTheme="minorHAnsi" w:eastAsiaTheme="minorEastAsia" w:hAnsiTheme="minorHAnsi" w:cstheme="minorBidi"/>
          <w:color w:val="auto"/>
          <w:sz w:val="22"/>
          <w:szCs w:val="22"/>
          <w:lang w:eastAsia="en-AU"/>
        </w:rPr>
      </w:pPr>
      <w:r>
        <w:rPr>
          <w:lang w:eastAsia="en-AU"/>
        </w:rPr>
        <w:t>2.3</w:t>
      </w:r>
      <w:r>
        <w:rPr>
          <w:rFonts w:asciiTheme="minorHAnsi" w:eastAsiaTheme="minorEastAsia" w:hAnsiTheme="minorHAnsi" w:cstheme="minorBidi"/>
          <w:color w:val="auto"/>
          <w:sz w:val="22"/>
          <w:szCs w:val="22"/>
          <w:lang w:eastAsia="en-AU"/>
        </w:rPr>
        <w:tab/>
      </w:r>
      <w:r>
        <w:rPr>
          <w:lang w:eastAsia="en-AU"/>
        </w:rPr>
        <w:t>Pipeline usage</w:t>
      </w:r>
      <w:r>
        <w:tab/>
      </w:r>
      <w:r>
        <w:fldChar w:fldCharType="begin"/>
      </w:r>
      <w:r>
        <w:instrText xml:space="preserve"> PAGEREF _Toc471221340 \h </w:instrText>
      </w:r>
      <w:r>
        <w:fldChar w:fldCharType="separate"/>
      </w:r>
      <w:r w:rsidR="00154DB7">
        <w:t>6</w:t>
      </w:r>
      <w:r>
        <w:fldChar w:fldCharType="end"/>
      </w:r>
    </w:p>
    <w:p w:rsidR="0068050F" w:rsidRDefault="0068050F">
      <w:pPr>
        <w:pStyle w:val="TOC1"/>
        <w:rPr>
          <w:rFonts w:asciiTheme="minorHAnsi" w:eastAsiaTheme="minorEastAsia" w:hAnsiTheme="minorHAnsi" w:cstheme="minorBidi"/>
          <w:b w:val="0"/>
          <w:color w:val="auto"/>
          <w:sz w:val="22"/>
          <w:szCs w:val="22"/>
          <w:lang w:eastAsia="en-AU"/>
        </w:rPr>
      </w:pPr>
      <w:r>
        <w:rPr>
          <w:lang w:eastAsia="en-AU"/>
        </w:rPr>
        <w:t>3</w:t>
      </w:r>
      <w:r>
        <w:rPr>
          <w:rFonts w:asciiTheme="minorHAnsi" w:eastAsiaTheme="minorEastAsia" w:hAnsiTheme="minorHAnsi" w:cstheme="minorBidi"/>
          <w:b w:val="0"/>
          <w:color w:val="auto"/>
          <w:sz w:val="22"/>
          <w:szCs w:val="22"/>
          <w:lang w:eastAsia="en-AU"/>
        </w:rPr>
        <w:tab/>
      </w:r>
      <w:r>
        <w:rPr>
          <w:lang w:eastAsia="en-AU"/>
        </w:rPr>
        <w:t>The Capital Base</w:t>
      </w:r>
      <w:r>
        <w:tab/>
      </w:r>
      <w:r>
        <w:fldChar w:fldCharType="begin"/>
      </w:r>
      <w:r>
        <w:instrText xml:space="preserve"> PAGEREF _Toc471221341 \h </w:instrText>
      </w:r>
      <w:r>
        <w:fldChar w:fldCharType="separate"/>
      </w:r>
      <w:r w:rsidR="00154DB7">
        <w:t>8</w:t>
      </w:r>
      <w:r>
        <w:fldChar w:fldCharType="end"/>
      </w:r>
    </w:p>
    <w:p w:rsidR="0068050F" w:rsidRDefault="0068050F">
      <w:pPr>
        <w:pStyle w:val="TOC2"/>
        <w:rPr>
          <w:rFonts w:asciiTheme="minorHAnsi" w:eastAsiaTheme="minorEastAsia" w:hAnsiTheme="minorHAnsi" w:cstheme="minorBidi"/>
          <w:color w:val="auto"/>
          <w:sz w:val="22"/>
          <w:szCs w:val="22"/>
          <w:lang w:eastAsia="en-AU"/>
        </w:rPr>
      </w:pPr>
      <w:r>
        <w:rPr>
          <w:lang w:eastAsia="en-AU"/>
        </w:rPr>
        <w:t>3.1</w:t>
      </w:r>
      <w:r>
        <w:rPr>
          <w:rFonts w:asciiTheme="minorHAnsi" w:eastAsiaTheme="minorEastAsia" w:hAnsiTheme="minorHAnsi" w:cstheme="minorBidi"/>
          <w:color w:val="auto"/>
          <w:sz w:val="22"/>
          <w:szCs w:val="22"/>
          <w:lang w:eastAsia="en-AU"/>
        </w:rPr>
        <w:tab/>
      </w:r>
      <w:r>
        <w:rPr>
          <w:lang w:eastAsia="en-AU"/>
        </w:rPr>
        <w:t>Opening Capital Base</w:t>
      </w:r>
      <w:r>
        <w:tab/>
      </w:r>
      <w:r>
        <w:fldChar w:fldCharType="begin"/>
      </w:r>
      <w:r>
        <w:instrText xml:space="preserve"> PAGEREF _Toc471221342 \h </w:instrText>
      </w:r>
      <w:r>
        <w:fldChar w:fldCharType="separate"/>
      </w:r>
      <w:r w:rsidR="00154DB7">
        <w:t>8</w:t>
      </w:r>
      <w:r>
        <w:fldChar w:fldCharType="end"/>
      </w:r>
    </w:p>
    <w:p w:rsidR="0068050F" w:rsidRDefault="0068050F">
      <w:pPr>
        <w:pStyle w:val="TOC3"/>
        <w:rPr>
          <w:rFonts w:asciiTheme="minorHAnsi" w:eastAsiaTheme="minorEastAsia" w:hAnsiTheme="minorHAnsi" w:cstheme="minorBidi"/>
          <w:color w:val="auto"/>
          <w:sz w:val="22"/>
          <w:szCs w:val="22"/>
          <w:lang w:eastAsia="en-AU"/>
        </w:rPr>
      </w:pPr>
      <w:r>
        <w:rPr>
          <w:lang w:eastAsia="en-AU"/>
        </w:rPr>
        <w:t>3.1.1</w:t>
      </w:r>
      <w:r>
        <w:rPr>
          <w:rFonts w:asciiTheme="minorHAnsi" w:eastAsiaTheme="minorEastAsia" w:hAnsiTheme="minorHAnsi" w:cstheme="minorBidi"/>
          <w:color w:val="auto"/>
          <w:sz w:val="22"/>
          <w:szCs w:val="22"/>
          <w:lang w:eastAsia="en-AU"/>
        </w:rPr>
        <w:tab/>
      </w:r>
      <w:r>
        <w:rPr>
          <w:lang w:eastAsia="en-AU"/>
        </w:rPr>
        <w:t>Opening Capital Base for Access Arrangement Period</w:t>
      </w:r>
      <w:r>
        <w:tab/>
      </w:r>
      <w:r>
        <w:fldChar w:fldCharType="begin"/>
      </w:r>
      <w:r>
        <w:instrText xml:space="preserve"> PAGEREF _Toc471221343 \h </w:instrText>
      </w:r>
      <w:r>
        <w:fldChar w:fldCharType="separate"/>
      </w:r>
      <w:r w:rsidR="00154DB7">
        <w:t>8</w:t>
      </w:r>
      <w:r>
        <w:fldChar w:fldCharType="end"/>
      </w:r>
    </w:p>
    <w:p w:rsidR="0068050F" w:rsidRDefault="0068050F">
      <w:pPr>
        <w:pStyle w:val="TOC2"/>
        <w:rPr>
          <w:rFonts w:asciiTheme="minorHAnsi" w:eastAsiaTheme="minorEastAsia" w:hAnsiTheme="minorHAnsi" w:cstheme="minorBidi"/>
          <w:color w:val="auto"/>
          <w:sz w:val="22"/>
          <w:szCs w:val="22"/>
          <w:lang w:eastAsia="en-AU"/>
        </w:rPr>
      </w:pPr>
      <w:r>
        <w:rPr>
          <w:lang w:eastAsia="en-AU"/>
        </w:rPr>
        <w:t>3.2</w:t>
      </w:r>
      <w:r>
        <w:rPr>
          <w:rFonts w:asciiTheme="minorHAnsi" w:eastAsiaTheme="minorEastAsia" w:hAnsiTheme="minorHAnsi" w:cstheme="minorBidi"/>
          <w:color w:val="auto"/>
          <w:sz w:val="22"/>
          <w:szCs w:val="22"/>
          <w:lang w:eastAsia="en-AU"/>
        </w:rPr>
        <w:tab/>
      </w:r>
      <w:r>
        <w:rPr>
          <w:lang w:eastAsia="en-AU"/>
        </w:rPr>
        <w:t>Projected Capital Base</w:t>
      </w:r>
      <w:r>
        <w:tab/>
      </w:r>
      <w:r>
        <w:fldChar w:fldCharType="begin"/>
      </w:r>
      <w:r>
        <w:instrText xml:space="preserve"> PAGEREF _Toc471221344 \h </w:instrText>
      </w:r>
      <w:r>
        <w:fldChar w:fldCharType="separate"/>
      </w:r>
      <w:r w:rsidR="00154DB7">
        <w:t>8</w:t>
      </w:r>
      <w:r>
        <w:fldChar w:fldCharType="end"/>
      </w:r>
    </w:p>
    <w:p w:rsidR="0068050F" w:rsidRDefault="0068050F">
      <w:pPr>
        <w:pStyle w:val="TOC3"/>
        <w:rPr>
          <w:rFonts w:asciiTheme="minorHAnsi" w:eastAsiaTheme="minorEastAsia" w:hAnsiTheme="minorHAnsi" w:cstheme="minorBidi"/>
          <w:color w:val="auto"/>
          <w:sz w:val="22"/>
          <w:szCs w:val="22"/>
          <w:lang w:eastAsia="en-AU"/>
        </w:rPr>
      </w:pPr>
      <w:r>
        <w:rPr>
          <w:lang w:eastAsia="en-AU"/>
        </w:rPr>
        <w:t>3.2.1</w:t>
      </w:r>
      <w:r>
        <w:rPr>
          <w:rFonts w:asciiTheme="minorHAnsi" w:eastAsiaTheme="minorEastAsia" w:hAnsiTheme="minorHAnsi" w:cstheme="minorBidi"/>
          <w:color w:val="auto"/>
          <w:sz w:val="22"/>
          <w:szCs w:val="22"/>
          <w:lang w:eastAsia="en-AU"/>
        </w:rPr>
        <w:tab/>
      </w:r>
      <w:r>
        <w:rPr>
          <w:lang w:eastAsia="en-AU"/>
        </w:rPr>
        <w:t>Forecast conforming capital expenditure for the Access Arrangement Period</w:t>
      </w:r>
      <w:r>
        <w:tab/>
      </w:r>
      <w:r>
        <w:fldChar w:fldCharType="begin"/>
      </w:r>
      <w:r>
        <w:instrText xml:space="preserve"> PAGEREF _Toc471221345 \h </w:instrText>
      </w:r>
      <w:r>
        <w:fldChar w:fldCharType="separate"/>
      </w:r>
      <w:r w:rsidR="00154DB7">
        <w:t>9</w:t>
      </w:r>
      <w:r>
        <w:fldChar w:fldCharType="end"/>
      </w:r>
    </w:p>
    <w:p w:rsidR="0068050F" w:rsidRDefault="0068050F">
      <w:pPr>
        <w:pStyle w:val="TOC3"/>
        <w:rPr>
          <w:rFonts w:asciiTheme="minorHAnsi" w:eastAsiaTheme="minorEastAsia" w:hAnsiTheme="minorHAnsi" w:cstheme="minorBidi"/>
          <w:color w:val="auto"/>
          <w:sz w:val="22"/>
          <w:szCs w:val="22"/>
          <w:lang w:eastAsia="en-AU"/>
        </w:rPr>
      </w:pPr>
      <w:r>
        <w:rPr>
          <w:lang w:eastAsia="en-AU"/>
        </w:rPr>
        <w:t>3.2.2</w:t>
      </w:r>
      <w:r>
        <w:rPr>
          <w:rFonts w:asciiTheme="minorHAnsi" w:eastAsiaTheme="minorEastAsia" w:hAnsiTheme="minorHAnsi" w:cstheme="minorBidi"/>
          <w:color w:val="auto"/>
          <w:sz w:val="22"/>
          <w:szCs w:val="22"/>
          <w:lang w:eastAsia="en-AU"/>
        </w:rPr>
        <w:tab/>
      </w:r>
      <w:r>
        <w:rPr>
          <w:lang w:eastAsia="en-AU"/>
        </w:rPr>
        <w:t>Forecast depreciation</w:t>
      </w:r>
      <w:r>
        <w:tab/>
      </w:r>
      <w:r>
        <w:fldChar w:fldCharType="begin"/>
      </w:r>
      <w:r>
        <w:instrText xml:space="preserve"> PAGEREF _Toc471221346 \h </w:instrText>
      </w:r>
      <w:r>
        <w:fldChar w:fldCharType="separate"/>
      </w:r>
      <w:r w:rsidR="00154DB7">
        <w:t>10</w:t>
      </w:r>
      <w:r>
        <w:fldChar w:fldCharType="end"/>
      </w:r>
    </w:p>
    <w:p w:rsidR="0068050F" w:rsidRDefault="0068050F">
      <w:pPr>
        <w:pStyle w:val="TOC3"/>
        <w:rPr>
          <w:rFonts w:asciiTheme="minorHAnsi" w:eastAsiaTheme="minorEastAsia" w:hAnsiTheme="minorHAnsi" w:cstheme="minorBidi"/>
          <w:color w:val="auto"/>
          <w:sz w:val="22"/>
          <w:szCs w:val="22"/>
          <w:lang w:eastAsia="en-AU"/>
        </w:rPr>
      </w:pPr>
      <w:r>
        <w:rPr>
          <w:lang w:eastAsia="en-AU"/>
        </w:rPr>
        <w:t>3.2.3</w:t>
      </w:r>
      <w:r>
        <w:rPr>
          <w:rFonts w:asciiTheme="minorHAnsi" w:eastAsiaTheme="minorEastAsia" w:hAnsiTheme="minorHAnsi" w:cstheme="minorBidi"/>
          <w:color w:val="auto"/>
          <w:sz w:val="22"/>
          <w:szCs w:val="22"/>
          <w:lang w:eastAsia="en-AU"/>
        </w:rPr>
        <w:tab/>
      </w:r>
      <w:r>
        <w:rPr>
          <w:lang w:eastAsia="en-AU"/>
        </w:rPr>
        <w:t>Forecast disposals</w:t>
      </w:r>
      <w:r>
        <w:tab/>
      </w:r>
      <w:r>
        <w:fldChar w:fldCharType="begin"/>
      </w:r>
      <w:r>
        <w:instrText xml:space="preserve"> PAGEREF _Toc471221347 \h </w:instrText>
      </w:r>
      <w:r>
        <w:fldChar w:fldCharType="separate"/>
      </w:r>
      <w:r w:rsidR="00154DB7">
        <w:t>11</w:t>
      </w:r>
      <w:r>
        <w:fldChar w:fldCharType="end"/>
      </w:r>
    </w:p>
    <w:p w:rsidR="0068050F" w:rsidRDefault="0068050F">
      <w:pPr>
        <w:pStyle w:val="TOC3"/>
        <w:rPr>
          <w:rFonts w:asciiTheme="minorHAnsi" w:eastAsiaTheme="minorEastAsia" w:hAnsiTheme="minorHAnsi" w:cstheme="minorBidi"/>
          <w:color w:val="auto"/>
          <w:sz w:val="22"/>
          <w:szCs w:val="22"/>
          <w:lang w:eastAsia="en-AU"/>
        </w:rPr>
      </w:pPr>
      <w:r>
        <w:rPr>
          <w:lang w:eastAsia="en-AU"/>
        </w:rPr>
        <w:t>3.2.4</w:t>
      </w:r>
      <w:r>
        <w:rPr>
          <w:rFonts w:asciiTheme="minorHAnsi" w:eastAsiaTheme="minorEastAsia" w:hAnsiTheme="minorHAnsi" w:cstheme="minorBidi"/>
          <w:color w:val="auto"/>
          <w:sz w:val="22"/>
          <w:szCs w:val="22"/>
          <w:lang w:eastAsia="en-AU"/>
        </w:rPr>
        <w:tab/>
      </w:r>
      <w:r>
        <w:rPr>
          <w:lang w:eastAsia="en-AU"/>
        </w:rPr>
        <w:t>Forecast redundant assets</w:t>
      </w:r>
      <w:r>
        <w:tab/>
      </w:r>
      <w:r>
        <w:fldChar w:fldCharType="begin"/>
      </w:r>
      <w:r>
        <w:instrText xml:space="preserve"> PAGEREF _Toc471221348 \h </w:instrText>
      </w:r>
      <w:r>
        <w:fldChar w:fldCharType="separate"/>
      </w:r>
      <w:r w:rsidR="00154DB7">
        <w:t>11</w:t>
      </w:r>
      <w:r>
        <w:fldChar w:fldCharType="end"/>
      </w:r>
    </w:p>
    <w:p w:rsidR="0068050F" w:rsidRDefault="0068050F">
      <w:pPr>
        <w:pStyle w:val="TOC3"/>
        <w:rPr>
          <w:rFonts w:asciiTheme="minorHAnsi" w:eastAsiaTheme="minorEastAsia" w:hAnsiTheme="minorHAnsi" w:cstheme="minorBidi"/>
          <w:color w:val="auto"/>
          <w:sz w:val="22"/>
          <w:szCs w:val="22"/>
          <w:lang w:eastAsia="en-AU"/>
        </w:rPr>
      </w:pPr>
      <w:r>
        <w:rPr>
          <w:lang w:eastAsia="en-AU"/>
        </w:rPr>
        <w:t>3.2.5</w:t>
      </w:r>
      <w:r>
        <w:rPr>
          <w:rFonts w:asciiTheme="minorHAnsi" w:eastAsiaTheme="minorEastAsia" w:hAnsiTheme="minorHAnsi" w:cstheme="minorBidi"/>
          <w:color w:val="auto"/>
          <w:sz w:val="22"/>
          <w:szCs w:val="22"/>
          <w:lang w:eastAsia="en-AU"/>
        </w:rPr>
        <w:tab/>
      </w:r>
      <w:r>
        <w:rPr>
          <w:lang w:eastAsia="en-AU"/>
        </w:rPr>
        <w:t>Projected Capital Base over the Access Arrangement Period</w:t>
      </w:r>
      <w:r>
        <w:tab/>
      </w:r>
      <w:r>
        <w:fldChar w:fldCharType="begin"/>
      </w:r>
      <w:r>
        <w:instrText xml:space="preserve"> PAGEREF _Toc471221349 \h </w:instrText>
      </w:r>
      <w:r>
        <w:fldChar w:fldCharType="separate"/>
      </w:r>
      <w:r w:rsidR="00154DB7">
        <w:t>12</w:t>
      </w:r>
      <w:r>
        <w:fldChar w:fldCharType="end"/>
      </w:r>
    </w:p>
    <w:p w:rsidR="0068050F" w:rsidRDefault="0068050F">
      <w:pPr>
        <w:pStyle w:val="TOC1"/>
        <w:rPr>
          <w:rFonts w:asciiTheme="minorHAnsi" w:eastAsiaTheme="minorEastAsia" w:hAnsiTheme="minorHAnsi" w:cstheme="minorBidi"/>
          <w:b w:val="0"/>
          <w:color w:val="auto"/>
          <w:sz w:val="22"/>
          <w:szCs w:val="22"/>
          <w:lang w:eastAsia="en-AU"/>
        </w:rPr>
      </w:pPr>
      <w:r>
        <w:rPr>
          <w:lang w:eastAsia="en-AU"/>
        </w:rPr>
        <w:t>4</w:t>
      </w:r>
      <w:r>
        <w:rPr>
          <w:rFonts w:asciiTheme="minorHAnsi" w:eastAsiaTheme="minorEastAsia" w:hAnsiTheme="minorHAnsi" w:cstheme="minorBidi"/>
          <w:b w:val="0"/>
          <w:color w:val="auto"/>
          <w:sz w:val="22"/>
          <w:szCs w:val="22"/>
          <w:lang w:eastAsia="en-AU"/>
        </w:rPr>
        <w:tab/>
      </w:r>
      <w:r>
        <w:rPr>
          <w:lang w:eastAsia="en-AU"/>
        </w:rPr>
        <w:t>Forecast network demand and utilisation</w:t>
      </w:r>
      <w:r>
        <w:tab/>
      </w:r>
      <w:r>
        <w:fldChar w:fldCharType="begin"/>
      </w:r>
      <w:r>
        <w:instrText xml:space="preserve"> PAGEREF _Toc471221350 \h </w:instrText>
      </w:r>
      <w:r>
        <w:fldChar w:fldCharType="separate"/>
      </w:r>
      <w:r w:rsidR="00154DB7">
        <w:t>13</w:t>
      </w:r>
      <w:r>
        <w:fldChar w:fldCharType="end"/>
      </w:r>
    </w:p>
    <w:p w:rsidR="0068050F" w:rsidRDefault="0068050F">
      <w:pPr>
        <w:pStyle w:val="TOC2"/>
        <w:rPr>
          <w:rFonts w:asciiTheme="minorHAnsi" w:eastAsiaTheme="minorEastAsia" w:hAnsiTheme="minorHAnsi" w:cstheme="minorBidi"/>
          <w:color w:val="auto"/>
          <w:sz w:val="22"/>
          <w:szCs w:val="22"/>
          <w:lang w:eastAsia="en-AU"/>
        </w:rPr>
      </w:pPr>
      <w:r>
        <w:rPr>
          <w:lang w:eastAsia="en-AU"/>
        </w:rPr>
        <w:t>4.1</w:t>
      </w:r>
      <w:r>
        <w:rPr>
          <w:rFonts w:asciiTheme="minorHAnsi" w:eastAsiaTheme="minorEastAsia" w:hAnsiTheme="minorHAnsi" w:cstheme="minorBidi"/>
          <w:color w:val="auto"/>
          <w:sz w:val="22"/>
          <w:szCs w:val="22"/>
          <w:lang w:eastAsia="en-AU"/>
        </w:rPr>
        <w:tab/>
      </w:r>
      <w:r>
        <w:rPr>
          <w:lang w:eastAsia="en-AU"/>
        </w:rPr>
        <w:t>Forecast customer numbers and volumes</w:t>
      </w:r>
      <w:r>
        <w:tab/>
      </w:r>
      <w:r>
        <w:fldChar w:fldCharType="begin"/>
      </w:r>
      <w:r>
        <w:instrText xml:space="preserve"> PAGEREF _Toc471221351 \h </w:instrText>
      </w:r>
      <w:r>
        <w:fldChar w:fldCharType="separate"/>
      </w:r>
      <w:r w:rsidR="00154DB7">
        <w:t>13</w:t>
      </w:r>
      <w:r>
        <w:fldChar w:fldCharType="end"/>
      </w:r>
    </w:p>
    <w:p w:rsidR="0068050F" w:rsidRDefault="0068050F">
      <w:pPr>
        <w:pStyle w:val="TOC2"/>
        <w:rPr>
          <w:rFonts w:asciiTheme="minorHAnsi" w:eastAsiaTheme="minorEastAsia" w:hAnsiTheme="minorHAnsi" w:cstheme="minorBidi"/>
          <w:color w:val="auto"/>
          <w:sz w:val="22"/>
          <w:szCs w:val="22"/>
          <w:lang w:eastAsia="en-AU"/>
        </w:rPr>
      </w:pPr>
      <w:r>
        <w:t>4.2</w:t>
      </w:r>
      <w:r>
        <w:rPr>
          <w:rFonts w:asciiTheme="minorHAnsi" w:eastAsiaTheme="minorEastAsia" w:hAnsiTheme="minorHAnsi" w:cstheme="minorBidi"/>
          <w:color w:val="auto"/>
          <w:sz w:val="22"/>
          <w:szCs w:val="22"/>
          <w:lang w:eastAsia="en-AU"/>
        </w:rPr>
        <w:tab/>
      </w:r>
      <w:r>
        <w:t>Forecast network capacity and utilisation</w:t>
      </w:r>
      <w:r>
        <w:tab/>
      </w:r>
      <w:r>
        <w:fldChar w:fldCharType="begin"/>
      </w:r>
      <w:r>
        <w:instrText xml:space="preserve"> PAGEREF _Toc471221352 \h </w:instrText>
      </w:r>
      <w:r>
        <w:fldChar w:fldCharType="separate"/>
      </w:r>
      <w:r w:rsidR="00154DB7">
        <w:t>13</w:t>
      </w:r>
      <w:r>
        <w:fldChar w:fldCharType="end"/>
      </w:r>
    </w:p>
    <w:p w:rsidR="0068050F" w:rsidRDefault="0068050F">
      <w:pPr>
        <w:pStyle w:val="TOC2"/>
        <w:rPr>
          <w:rFonts w:asciiTheme="minorHAnsi" w:eastAsiaTheme="minorEastAsia" w:hAnsiTheme="minorHAnsi" w:cstheme="minorBidi"/>
          <w:color w:val="auto"/>
          <w:sz w:val="22"/>
          <w:szCs w:val="22"/>
          <w:lang w:eastAsia="en-AU"/>
        </w:rPr>
      </w:pPr>
      <w:r>
        <w:t>4.3</w:t>
      </w:r>
      <w:r>
        <w:rPr>
          <w:rFonts w:asciiTheme="minorHAnsi" w:eastAsiaTheme="minorEastAsia" w:hAnsiTheme="minorHAnsi" w:cstheme="minorBidi"/>
          <w:color w:val="auto"/>
          <w:sz w:val="22"/>
          <w:szCs w:val="22"/>
          <w:lang w:eastAsia="en-AU"/>
        </w:rPr>
        <w:tab/>
      </w:r>
      <w:r>
        <w:t>Forecast demand</w:t>
      </w:r>
      <w:r>
        <w:tab/>
      </w:r>
      <w:r>
        <w:fldChar w:fldCharType="begin"/>
      </w:r>
      <w:r>
        <w:instrText xml:space="preserve"> PAGEREF _Toc471221353 \h </w:instrText>
      </w:r>
      <w:r>
        <w:fldChar w:fldCharType="separate"/>
      </w:r>
      <w:r w:rsidR="00154DB7">
        <w:t>15</w:t>
      </w:r>
      <w:r>
        <w:fldChar w:fldCharType="end"/>
      </w:r>
    </w:p>
    <w:p w:rsidR="0068050F" w:rsidRDefault="0068050F">
      <w:pPr>
        <w:pStyle w:val="TOC2"/>
        <w:rPr>
          <w:rFonts w:asciiTheme="minorHAnsi" w:eastAsiaTheme="minorEastAsia" w:hAnsiTheme="minorHAnsi" w:cstheme="minorBidi"/>
          <w:color w:val="auto"/>
          <w:sz w:val="22"/>
          <w:szCs w:val="22"/>
          <w:lang w:eastAsia="en-AU"/>
        </w:rPr>
      </w:pPr>
      <w:r>
        <w:t>4.4</w:t>
      </w:r>
      <w:r>
        <w:rPr>
          <w:rFonts w:asciiTheme="minorHAnsi" w:eastAsiaTheme="minorEastAsia" w:hAnsiTheme="minorHAnsi" w:cstheme="minorBidi"/>
          <w:color w:val="auto"/>
          <w:sz w:val="22"/>
          <w:szCs w:val="22"/>
          <w:lang w:eastAsia="en-AU"/>
        </w:rPr>
        <w:tab/>
      </w:r>
      <w:r>
        <w:t>Forecast weather</w:t>
      </w:r>
      <w:r>
        <w:tab/>
      </w:r>
      <w:r>
        <w:fldChar w:fldCharType="begin"/>
      </w:r>
      <w:r>
        <w:instrText xml:space="preserve"> PAGEREF _Toc471221354 \h </w:instrText>
      </w:r>
      <w:r>
        <w:fldChar w:fldCharType="separate"/>
      </w:r>
      <w:r w:rsidR="00154DB7">
        <w:t>16</w:t>
      </w:r>
      <w:r>
        <w:fldChar w:fldCharType="end"/>
      </w:r>
    </w:p>
    <w:p w:rsidR="0068050F" w:rsidRDefault="0068050F">
      <w:pPr>
        <w:pStyle w:val="TOC1"/>
        <w:rPr>
          <w:rFonts w:asciiTheme="minorHAnsi" w:eastAsiaTheme="minorEastAsia" w:hAnsiTheme="minorHAnsi" w:cstheme="minorBidi"/>
          <w:b w:val="0"/>
          <w:color w:val="auto"/>
          <w:sz w:val="22"/>
          <w:szCs w:val="22"/>
          <w:lang w:eastAsia="en-AU"/>
        </w:rPr>
      </w:pPr>
      <w:r>
        <w:t>5</w:t>
      </w:r>
      <w:r>
        <w:rPr>
          <w:rFonts w:asciiTheme="minorHAnsi" w:eastAsiaTheme="minorEastAsia" w:hAnsiTheme="minorHAnsi" w:cstheme="minorBidi"/>
          <w:b w:val="0"/>
          <w:color w:val="auto"/>
          <w:sz w:val="22"/>
          <w:szCs w:val="22"/>
          <w:lang w:eastAsia="en-AU"/>
        </w:rPr>
        <w:tab/>
      </w:r>
      <w:r>
        <w:t>Forecast operating expenditure</w:t>
      </w:r>
      <w:r>
        <w:tab/>
      </w:r>
      <w:r>
        <w:fldChar w:fldCharType="begin"/>
      </w:r>
      <w:r>
        <w:instrText xml:space="preserve"> PAGEREF _Toc471221355 \h </w:instrText>
      </w:r>
      <w:r>
        <w:fldChar w:fldCharType="separate"/>
      </w:r>
      <w:r w:rsidR="00154DB7">
        <w:t>17</w:t>
      </w:r>
      <w:r>
        <w:fldChar w:fldCharType="end"/>
      </w:r>
    </w:p>
    <w:p w:rsidR="0068050F" w:rsidRDefault="0068050F">
      <w:pPr>
        <w:pStyle w:val="TOC1"/>
        <w:rPr>
          <w:rFonts w:asciiTheme="minorHAnsi" w:eastAsiaTheme="minorEastAsia" w:hAnsiTheme="minorHAnsi" w:cstheme="minorBidi"/>
          <w:b w:val="0"/>
          <w:color w:val="auto"/>
          <w:sz w:val="22"/>
          <w:szCs w:val="22"/>
          <w:lang w:eastAsia="en-AU"/>
        </w:rPr>
      </w:pPr>
      <w:r>
        <w:t>6</w:t>
      </w:r>
      <w:r>
        <w:rPr>
          <w:rFonts w:asciiTheme="minorHAnsi" w:eastAsiaTheme="minorEastAsia" w:hAnsiTheme="minorHAnsi" w:cstheme="minorBidi"/>
          <w:b w:val="0"/>
          <w:color w:val="auto"/>
          <w:sz w:val="22"/>
          <w:szCs w:val="22"/>
          <w:lang w:eastAsia="en-AU"/>
        </w:rPr>
        <w:tab/>
      </w:r>
      <w:r>
        <w:t>Key performance indicators</w:t>
      </w:r>
      <w:r>
        <w:tab/>
      </w:r>
      <w:r>
        <w:fldChar w:fldCharType="begin"/>
      </w:r>
      <w:r>
        <w:instrText xml:space="preserve"> PAGEREF _Toc471221356 \h </w:instrText>
      </w:r>
      <w:r>
        <w:fldChar w:fldCharType="separate"/>
      </w:r>
      <w:r w:rsidR="00154DB7">
        <w:t>18</w:t>
      </w:r>
      <w:r>
        <w:fldChar w:fldCharType="end"/>
      </w:r>
    </w:p>
    <w:p w:rsidR="0068050F" w:rsidRDefault="0068050F">
      <w:pPr>
        <w:pStyle w:val="TOC1"/>
        <w:rPr>
          <w:rFonts w:asciiTheme="minorHAnsi" w:eastAsiaTheme="minorEastAsia" w:hAnsiTheme="minorHAnsi" w:cstheme="minorBidi"/>
          <w:b w:val="0"/>
          <w:color w:val="auto"/>
          <w:sz w:val="22"/>
          <w:szCs w:val="22"/>
          <w:lang w:eastAsia="en-AU"/>
        </w:rPr>
      </w:pPr>
      <w:r>
        <w:t>7</w:t>
      </w:r>
      <w:r>
        <w:rPr>
          <w:rFonts w:asciiTheme="minorHAnsi" w:eastAsiaTheme="minorEastAsia" w:hAnsiTheme="minorHAnsi" w:cstheme="minorBidi"/>
          <w:b w:val="0"/>
          <w:color w:val="auto"/>
          <w:sz w:val="22"/>
          <w:szCs w:val="22"/>
          <w:lang w:eastAsia="en-AU"/>
        </w:rPr>
        <w:tab/>
      </w:r>
      <w:r>
        <w:t>Rate of return and value of imputation credits</w:t>
      </w:r>
      <w:r>
        <w:tab/>
      </w:r>
      <w:r>
        <w:fldChar w:fldCharType="begin"/>
      </w:r>
      <w:r>
        <w:instrText xml:space="preserve"> PAGEREF _Toc471221357 \h </w:instrText>
      </w:r>
      <w:r>
        <w:fldChar w:fldCharType="separate"/>
      </w:r>
      <w:r w:rsidR="00154DB7">
        <w:t>19</w:t>
      </w:r>
      <w:r>
        <w:fldChar w:fldCharType="end"/>
      </w:r>
    </w:p>
    <w:p w:rsidR="0068050F" w:rsidRDefault="0068050F">
      <w:pPr>
        <w:pStyle w:val="TOC2"/>
        <w:rPr>
          <w:rFonts w:asciiTheme="minorHAnsi" w:eastAsiaTheme="minorEastAsia" w:hAnsiTheme="minorHAnsi" w:cstheme="minorBidi"/>
          <w:color w:val="auto"/>
          <w:sz w:val="22"/>
          <w:szCs w:val="22"/>
          <w:lang w:eastAsia="en-AU"/>
        </w:rPr>
      </w:pPr>
      <w:r>
        <w:t>7.1</w:t>
      </w:r>
      <w:r>
        <w:rPr>
          <w:rFonts w:asciiTheme="minorHAnsi" w:eastAsiaTheme="minorEastAsia" w:hAnsiTheme="minorHAnsi" w:cstheme="minorBidi"/>
          <w:color w:val="auto"/>
          <w:sz w:val="22"/>
          <w:szCs w:val="22"/>
          <w:lang w:eastAsia="en-AU"/>
        </w:rPr>
        <w:tab/>
      </w:r>
      <w:r>
        <w:t>Gearing</w:t>
      </w:r>
      <w:r>
        <w:tab/>
      </w:r>
      <w:r>
        <w:fldChar w:fldCharType="begin"/>
      </w:r>
      <w:r>
        <w:instrText xml:space="preserve"> PAGEREF _Toc471221358 \h </w:instrText>
      </w:r>
      <w:r>
        <w:fldChar w:fldCharType="separate"/>
      </w:r>
      <w:r w:rsidR="00154DB7">
        <w:t>19</w:t>
      </w:r>
      <w:r>
        <w:fldChar w:fldCharType="end"/>
      </w:r>
    </w:p>
    <w:p w:rsidR="0068050F" w:rsidRDefault="0068050F">
      <w:pPr>
        <w:pStyle w:val="TOC2"/>
        <w:rPr>
          <w:rFonts w:asciiTheme="minorHAnsi" w:eastAsiaTheme="minorEastAsia" w:hAnsiTheme="minorHAnsi" w:cstheme="minorBidi"/>
          <w:color w:val="auto"/>
          <w:sz w:val="22"/>
          <w:szCs w:val="22"/>
          <w:lang w:eastAsia="en-AU"/>
        </w:rPr>
      </w:pPr>
      <w:r>
        <w:lastRenderedPageBreak/>
        <w:t>7.2</w:t>
      </w:r>
      <w:r>
        <w:rPr>
          <w:rFonts w:asciiTheme="minorHAnsi" w:eastAsiaTheme="minorEastAsia" w:hAnsiTheme="minorHAnsi" w:cstheme="minorBidi"/>
          <w:color w:val="auto"/>
          <w:sz w:val="22"/>
          <w:szCs w:val="22"/>
          <w:lang w:eastAsia="en-AU"/>
        </w:rPr>
        <w:tab/>
      </w:r>
      <w:r>
        <w:t>Risk free rate of return</w:t>
      </w:r>
      <w:r>
        <w:tab/>
      </w:r>
      <w:r>
        <w:fldChar w:fldCharType="begin"/>
      </w:r>
      <w:r>
        <w:instrText xml:space="preserve"> PAGEREF _Toc471221359 \h </w:instrText>
      </w:r>
      <w:r>
        <w:fldChar w:fldCharType="separate"/>
      </w:r>
      <w:r w:rsidR="00154DB7">
        <w:t>19</w:t>
      </w:r>
      <w:r>
        <w:fldChar w:fldCharType="end"/>
      </w:r>
    </w:p>
    <w:p w:rsidR="0068050F" w:rsidRDefault="0068050F">
      <w:pPr>
        <w:pStyle w:val="TOC2"/>
        <w:rPr>
          <w:rFonts w:asciiTheme="minorHAnsi" w:eastAsiaTheme="minorEastAsia" w:hAnsiTheme="minorHAnsi" w:cstheme="minorBidi"/>
          <w:color w:val="auto"/>
          <w:sz w:val="22"/>
          <w:szCs w:val="22"/>
          <w:lang w:eastAsia="en-AU"/>
        </w:rPr>
      </w:pPr>
      <w:r>
        <w:t>7.3</w:t>
      </w:r>
      <w:r>
        <w:rPr>
          <w:rFonts w:asciiTheme="minorHAnsi" w:eastAsiaTheme="minorEastAsia" w:hAnsiTheme="minorHAnsi" w:cstheme="minorBidi"/>
          <w:color w:val="auto"/>
          <w:sz w:val="22"/>
          <w:szCs w:val="22"/>
          <w:lang w:eastAsia="en-AU"/>
        </w:rPr>
        <w:tab/>
      </w:r>
      <w:r>
        <w:t>Return on equity</w:t>
      </w:r>
      <w:r>
        <w:tab/>
      </w:r>
      <w:r>
        <w:fldChar w:fldCharType="begin"/>
      </w:r>
      <w:r>
        <w:instrText xml:space="preserve"> PAGEREF _Toc471221360 \h </w:instrText>
      </w:r>
      <w:r>
        <w:fldChar w:fldCharType="separate"/>
      </w:r>
      <w:r w:rsidR="00154DB7">
        <w:t>19</w:t>
      </w:r>
      <w:r>
        <w:fldChar w:fldCharType="end"/>
      </w:r>
    </w:p>
    <w:p w:rsidR="0068050F" w:rsidRDefault="0068050F">
      <w:pPr>
        <w:pStyle w:val="TOC2"/>
        <w:rPr>
          <w:rFonts w:asciiTheme="minorHAnsi" w:eastAsiaTheme="minorEastAsia" w:hAnsiTheme="minorHAnsi" w:cstheme="minorBidi"/>
          <w:color w:val="auto"/>
          <w:sz w:val="22"/>
          <w:szCs w:val="22"/>
          <w:lang w:eastAsia="en-AU"/>
        </w:rPr>
      </w:pPr>
      <w:r>
        <w:t>7.4</w:t>
      </w:r>
      <w:r>
        <w:rPr>
          <w:rFonts w:asciiTheme="minorHAnsi" w:eastAsiaTheme="minorEastAsia" w:hAnsiTheme="minorHAnsi" w:cstheme="minorBidi"/>
          <w:color w:val="auto"/>
          <w:sz w:val="22"/>
          <w:szCs w:val="22"/>
          <w:lang w:eastAsia="en-AU"/>
        </w:rPr>
        <w:tab/>
      </w:r>
      <w:r>
        <w:t>Return on debt</w:t>
      </w:r>
      <w:r>
        <w:tab/>
      </w:r>
      <w:r>
        <w:fldChar w:fldCharType="begin"/>
      </w:r>
      <w:r>
        <w:instrText xml:space="preserve"> PAGEREF _Toc471221361 \h </w:instrText>
      </w:r>
      <w:r>
        <w:fldChar w:fldCharType="separate"/>
      </w:r>
      <w:r w:rsidR="00154DB7">
        <w:t>21</w:t>
      </w:r>
      <w:r>
        <w:fldChar w:fldCharType="end"/>
      </w:r>
    </w:p>
    <w:p w:rsidR="0068050F" w:rsidRDefault="0068050F">
      <w:pPr>
        <w:pStyle w:val="TOC2"/>
        <w:rPr>
          <w:rFonts w:asciiTheme="minorHAnsi" w:eastAsiaTheme="minorEastAsia" w:hAnsiTheme="minorHAnsi" w:cstheme="minorBidi"/>
          <w:color w:val="auto"/>
          <w:sz w:val="22"/>
          <w:szCs w:val="22"/>
          <w:lang w:eastAsia="en-AU"/>
        </w:rPr>
      </w:pPr>
      <w:r>
        <w:t>7.5</w:t>
      </w:r>
      <w:r>
        <w:rPr>
          <w:rFonts w:asciiTheme="minorHAnsi" w:eastAsiaTheme="minorEastAsia" w:hAnsiTheme="minorHAnsi" w:cstheme="minorBidi"/>
          <w:color w:val="auto"/>
          <w:sz w:val="22"/>
          <w:szCs w:val="22"/>
          <w:lang w:eastAsia="en-AU"/>
        </w:rPr>
        <w:tab/>
      </w:r>
      <w:r>
        <w:t>Allowed rate of return</w:t>
      </w:r>
      <w:r>
        <w:tab/>
      </w:r>
      <w:r>
        <w:fldChar w:fldCharType="begin"/>
      </w:r>
      <w:r>
        <w:instrText xml:space="preserve"> PAGEREF _Toc471221362 \h </w:instrText>
      </w:r>
      <w:r>
        <w:fldChar w:fldCharType="separate"/>
      </w:r>
      <w:r w:rsidR="00154DB7">
        <w:t>22</w:t>
      </w:r>
      <w:r>
        <w:fldChar w:fldCharType="end"/>
      </w:r>
    </w:p>
    <w:p w:rsidR="0068050F" w:rsidRDefault="0068050F">
      <w:pPr>
        <w:pStyle w:val="TOC2"/>
        <w:rPr>
          <w:rFonts w:asciiTheme="minorHAnsi" w:eastAsiaTheme="minorEastAsia" w:hAnsiTheme="minorHAnsi" w:cstheme="minorBidi"/>
          <w:color w:val="auto"/>
          <w:sz w:val="22"/>
          <w:szCs w:val="22"/>
          <w:lang w:eastAsia="en-AU"/>
        </w:rPr>
      </w:pPr>
      <w:r>
        <w:t>7.6</w:t>
      </w:r>
      <w:r>
        <w:rPr>
          <w:rFonts w:asciiTheme="minorHAnsi" w:eastAsiaTheme="minorEastAsia" w:hAnsiTheme="minorHAnsi" w:cstheme="minorBidi"/>
          <w:color w:val="auto"/>
          <w:sz w:val="22"/>
          <w:szCs w:val="22"/>
          <w:lang w:eastAsia="en-AU"/>
        </w:rPr>
        <w:tab/>
      </w:r>
      <w:r>
        <w:t>Annual updating</w:t>
      </w:r>
      <w:r>
        <w:tab/>
      </w:r>
      <w:r>
        <w:fldChar w:fldCharType="begin"/>
      </w:r>
      <w:r>
        <w:instrText xml:space="preserve"> PAGEREF _Toc471221363 \h </w:instrText>
      </w:r>
      <w:r>
        <w:fldChar w:fldCharType="separate"/>
      </w:r>
      <w:r w:rsidR="00154DB7">
        <w:t>22</w:t>
      </w:r>
      <w:r>
        <w:fldChar w:fldCharType="end"/>
      </w:r>
    </w:p>
    <w:p w:rsidR="0068050F" w:rsidRDefault="0068050F">
      <w:pPr>
        <w:pStyle w:val="TOC2"/>
        <w:rPr>
          <w:rFonts w:asciiTheme="minorHAnsi" w:eastAsiaTheme="minorEastAsia" w:hAnsiTheme="minorHAnsi" w:cstheme="minorBidi"/>
          <w:color w:val="auto"/>
          <w:sz w:val="22"/>
          <w:szCs w:val="22"/>
          <w:lang w:eastAsia="en-AU"/>
        </w:rPr>
      </w:pPr>
      <w:r>
        <w:t>7.7</w:t>
      </w:r>
      <w:r>
        <w:rPr>
          <w:rFonts w:asciiTheme="minorHAnsi" w:eastAsiaTheme="minorEastAsia" w:hAnsiTheme="minorHAnsi" w:cstheme="minorBidi"/>
          <w:color w:val="auto"/>
          <w:sz w:val="22"/>
          <w:szCs w:val="22"/>
          <w:lang w:eastAsia="en-AU"/>
        </w:rPr>
        <w:tab/>
      </w:r>
      <w:r>
        <w:t>Value of imputation credits</w:t>
      </w:r>
      <w:r>
        <w:tab/>
      </w:r>
      <w:r>
        <w:fldChar w:fldCharType="begin"/>
      </w:r>
      <w:r>
        <w:instrText xml:space="preserve"> PAGEREF _Toc471221364 \h </w:instrText>
      </w:r>
      <w:r>
        <w:fldChar w:fldCharType="separate"/>
      </w:r>
      <w:r w:rsidR="00154DB7">
        <w:t>23</w:t>
      </w:r>
      <w:r>
        <w:fldChar w:fldCharType="end"/>
      </w:r>
    </w:p>
    <w:p w:rsidR="0068050F" w:rsidRDefault="0068050F">
      <w:pPr>
        <w:pStyle w:val="TOC1"/>
        <w:rPr>
          <w:rFonts w:asciiTheme="minorHAnsi" w:eastAsiaTheme="minorEastAsia" w:hAnsiTheme="minorHAnsi" w:cstheme="minorBidi"/>
          <w:b w:val="0"/>
          <w:color w:val="auto"/>
          <w:sz w:val="22"/>
          <w:szCs w:val="22"/>
          <w:lang w:eastAsia="en-AU"/>
        </w:rPr>
      </w:pPr>
      <w:r>
        <w:t>8</w:t>
      </w:r>
      <w:r>
        <w:rPr>
          <w:rFonts w:asciiTheme="minorHAnsi" w:eastAsiaTheme="minorEastAsia" w:hAnsiTheme="minorHAnsi" w:cstheme="minorBidi"/>
          <w:b w:val="0"/>
          <w:color w:val="auto"/>
          <w:sz w:val="22"/>
          <w:szCs w:val="22"/>
          <w:lang w:eastAsia="en-AU"/>
        </w:rPr>
        <w:tab/>
      </w:r>
      <w:r>
        <w:t>Taxation</w:t>
      </w:r>
      <w:r>
        <w:tab/>
      </w:r>
      <w:r>
        <w:fldChar w:fldCharType="begin"/>
      </w:r>
      <w:r>
        <w:instrText xml:space="preserve"> PAGEREF _Toc471221365 \h </w:instrText>
      </w:r>
      <w:r>
        <w:fldChar w:fldCharType="separate"/>
      </w:r>
      <w:r w:rsidR="00154DB7">
        <w:t>25</w:t>
      </w:r>
      <w:r>
        <w:fldChar w:fldCharType="end"/>
      </w:r>
    </w:p>
    <w:p w:rsidR="0068050F" w:rsidRDefault="0068050F">
      <w:pPr>
        <w:pStyle w:val="TOC1"/>
        <w:rPr>
          <w:rFonts w:asciiTheme="minorHAnsi" w:eastAsiaTheme="minorEastAsia" w:hAnsiTheme="minorHAnsi" w:cstheme="minorBidi"/>
          <w:b w:val="0"/>
          <w:color w:val="auto"/>
          <w:sz w:val="22"/>
          <w:szCs w:val="22"/>
          <w:lang w:eastAsia="en-AU"/>
        </w:rPr>
      </w:pPr>
      <w:r>
        <w:t>9</w:t>
      </w:r>
      <w:r>
        <w:rPr>
          <w:rFonts w:asciiTheme="minorHAnsi" w:eastAsiaTheme="minorEastAsia" w:hAnsiTheme="minorHAnsi" w:cstheme="minorBidi"/>
          <w:b w:val="0"/>
          <w:color w:val="auto"/>
          <w:sz w:val="22"/>
          <w:szCs w:val="22"/>
          <w:lang w:eastAsia="en-AU"/>
        </w:rPr>
        <w:tab/>
      </w:r>
      <w:r>
        <w:t>Historical incentive mechanism</w:t>
      </w:r>
      <w:r>
        <w:tab/>
      </w:r>
      <w:r>
        <w:fldChar w:fldCharType="begin"/>
      </w:r>
      <w:r>
        <w:instrText xml:space="preserve"> PAGEREF _Toc471221366 \h </w:instrText>
      </w:r>
      <w:r>
        <w:fldChar w:fldCharType="separate"/>
      </w:r>
      <w:r w:rsidR="00154DB7">
        <w:t>27</w:t>
      </w:r>
      <w:r>
        <w:fldChar w:fldCharType="end"/>
      </w:r>
    </w:p>
    <w:p w:rsidR="0068050F" w:rsidRDefault="0068050F">
      <w:pPr>
        <w:pStyle w:val="TOC1"/>
        <w:rPr>
          <w:rFonts w:asciiTheme="minorHAnsi" w:eastAsiaTheme="minorEastAsia" w:hAnsiTheme="minorHAnsi" w:cstheme="minorBidi"/>
          <w:b w:val="0"/>
          <w:color w:val="auto"/>
          <w:sz w:val="22"/>
          <w:szCs w:val="22"/>
          <w:lang w:eastAsia="en-AU"/>
        </w:rPr>
      </w:pPr>
      <w:r>
        <w:t>10</w:t>
      </w:r>
      <w:r>
        <w:rPr>
          <w:rFonts w:asciiTheme="minorHAnsi" w:eastAsiaTheme="minorEastAsia" w:hAnsiTheme="minorHAnsi" w:cstheme="minorBidi"/>
          <w:b w:val="0"/>
          <w:color w:val="auto"/>
          <w:sz w:val="22"/>
          <w:szCs w:val="22"/>
          <w:lang w:eastAsia="en-AU"/>
        </w:rPr>
        <w:tab/>
      </w:r>
      <w:r>
        <w:t>Approach to tariff setting</w:t>
      </w:r>
      <w:r>
        <w:tab/>
      </w:r>
      <w:r>
        <w:fldChar w:fldCharType="begin"/>
      </w:r>
      <w:r>
        <w:instrText xml:space="preserve"> PAGEREF _Toc471221367 \h </w:instrText>
      </w:r>
      <w:r>
        <w:fldChar w:fldCharType="separate"/>
      </w:r>
      <w:r w:rsidR="00154DB7">
        <w:t>28</w:t>
      </w:r>
      <w:r>
        <w:fldChar w:fldCharType="end"/>
      </w:r>
    </w:p>
    <w:p w:rsidR="0068050F" w:rsidRDefault="0068050F">
      <w:pPr>
        <w:pStyle w:val="TOC2"/>
        <w:rPr>
          <w:rFonts w:asciiTheme="minorHAnsi" w:eastAsiaTheme="minorEastAsia" w:hAnsiTheme="minorHAnsi" w:cstheme="minorBidi"/>
          <w:color w:val="auto"/>
          <w:sz w:val="22"/>
          <w:szCs w:val="22"/>
          <w:lang w:eastAsia="en-AU"/>
        </w:rPr>
      </w:pPr>
      <w:r>
        <w:t>10.1</w:t>
      </w:r>
      <w:r>
        <w:rPr>
          <w:rFonts w:asciiTheme="minorHAnsi" w:eastAsiaTheme="minorEastAsia" w:hAnsiTheme="minorHAnsi" w:cstheme="minorBidi"/>
          <w:color w:val="auto"/>
          <w:sz w:val="22"/>
          <w:szCs w:val="22"/>
          <w:lang w:eastAsia="en-AU"/>
        </w:rPr>
        <w:tab/>
      </w:r>
      <w:r>
        <w:t>Reference Services</w:t>
      </w:r>
      <w:r>
        <w:tab/>
      </w:r>
      <w:r>
        <w:fldChar w:fldCharType="begin"/>
      </w:r>
      <w:r>
        <w:instrText xml:space="preserve"> PAGEREF _Toc471221368 \h </w:instrText>
      </w:r>
      <w:r>
        <w:fldChar w:fldCharType="separate"/>
      </w:r>
      <w:r w:rsidR="00154DB7">
        <w:t>28</w:t>
      </w:r>
      <w:r>
        <w:fldChar w:fldCharType="end"/>
      </w:r>
    </w:p>
    <w:p w:rsidR="0068050F" w:rsidRDefault="0068050F">
      <w:pPr>
        <w:pStyle w:val="TOC2"/>
        <w:rPr>
          <w:rFonts w:asciiTheme="minorHAnsi" w:eastAsiaTheme="minorEastAsia" w:hAnsiTheme="minorHAnsi" w:cstheme="minorBidi"/>
          <w:color w:val="auto"/>
          <w:sz w:val="22"/>
          <w:szCs w:val="22"/>
          <w:lang w:eastAsia="en-AU"/>
        </w:rPr>
      </w:pPr>
      <w:r>
        <w:t>10.2</w:t>
      </w:r>
      <w:r>
        <w:rPr>
          <w:rFonts w:asciiTheme="minorHAnsi" w:eastAsiaTheme="minorEastAsia" w:hAnsiTheme="minorHAnsi" w:cstheme="minorBidi"/>
          <w:color w:val="auto"/>
          <w:sz w:val="22"/>
          <w:szCs w:val="22"/>
          <w:lang w:eastAsia="en-AU"/>
        </w:rPr>
        <w:tab/>
      </w:r>
      <w:r>
        <w:t>Tariff structure</w:t>
      </w:r>
      <w:r>
        <w:tab/>
      </w:r>
      <w:r>
        <w:fldChar w:fldCharType="begin"/>
      </w:r>
      <w:r>
        <w:instrText xml:space="preserve"> PAGEREF _Toc471221369 \h </w:instrText>
      </w:r>
      <w:r>
        <w:fldChar w:fldCharType="separate"/>
      </w:r>
      <w:r w:rsidR="00154DB7">
        <w:t>28</w:t>
      </w:r>
      <w:r>
        <w:fldChar w:fldCharType="end"/>
      </w:r>
    </w:p>
    <w:p w:rsidR="0068050F" w:rsidRDefault="0068050F">
      <w:pPr>
        <w:pStyle w:val="TOC2"/>
        <w:rPr>
          <w:rFonts w:asciiTheme="minorHAnsi" w:eastAsiaTheme="minorEastAsia" w:hAnsiTheme="minorHAnsi" w:cstheme="minorBidi"/>
          <w:color w:val="auto"/>
          <w:sz w:val="22"/>
          <w:szCs w:val="22"/>
          <w:lang w:eastAsia="en-AU"/>
        </w:rPr>
      </w:pPr>
      <w:r>
        <w:t>10.3</w:t>
      </w:r>
      <w:r>
        <w:rPr>
          <w:rFonts w:asciiTheme="minorHAnsi" w:eastAsiaTheme="minorEastAsia" w:hAnsiTheme="minorHAnsi" w:cstheme="minorBidi"/>
          <w:color w:val="auto"/>
          <w:sz w:val="22"/>
          <w:szCs w:val="22"/>
          <w:lang w:eastAsia="en-AU"/>
        </w:rPr>
        <w:tab/>
      </w:r>
      <w:r>
        <w:t>Allocation of revenue to tariffs</w:t>
      </w:r>
      <w:r>
        <w:tab/>
      </w:r>
      <w:r>
        <w:fldChar w:fldCharType="begin"/>
      </w:r>
      <w:r>
        <w:instrText xml:space="preserve"> PAGEREF _Toc471221370 \h </w:instrText>
      </w:r>
      <w:r>
        <w:fldChar w:fldCharType="separate"/>
      </w:r>
      <w:r w:rsidR="00154DB7">
        <w:t>28</w:t>
      </w:r>
      <w:r>
        <w:fldChar w:fldCharType="end"/>
      </w:r>
    </w:p>
    <w:p w:rsidR="0068050F" w:rsidRDefault="0068050F">
      <w:pPr>
        <w:pStyle w:val="TOC2"/>
        <w:rPr>
          <w:rFonts w:asciiTheme="minorHAnsi" w:eastAsiaTheme="minorEastAsia" w:hAnsiTheme="minorHAnsi" w:cstheme="minorBidi"/>
          <w:color w:val="auto"/>
          <w:sz w:val="22"/>
          <w:szCs w:val="22"/>
          <w:lang w:eastAsia="en-AU"/>
        </w:rPr>
      </w:pPr>
      <w:r>
        <w:t>10.4</w:t>
      </w:r>
      <w:r>
        <w:rPr>
          <w:rFonts w:asciiTheme="minorHAnsi" w:eastAsiaTheme="minorEastAsia" w:hAnsiTheme="minorHAnsi" w:cstheme="minorBidi"/>
          <w:color w:val="auto"/>
          <w:sz w:val="22"/>
          <w:szCs w:val="22"/>
          <w:lang w:eastAsia="en-AU"/>
        </w:rPr>
        <w:tab/>
      </w:r>
      <w:r>
        <w:t>Reference Tariffs</w:t>
      </w:r>
      <w:r>
        <w:tab/>
      </w:r>
      <w:r>
        <w:fldChar w:fldCharType="begin"/>
      </w:r>
      <w:r>
        <w:instrText xml:space="preserve"> PAGEREF _Toc471221371 \h </w:instrText>
      </w:r>
      <w:r>
        <w:fldChar w:fldCharType="separate"/>
      </w:r>
      <w:r w:rsidR="00154DB7">
        <w:t>29</w:t>
      </w:r>
      <w:r>
        <w:fldChar w:fldCharType="end"/>
      </w:r>
    </w:p>
    <w:p w:rsidR="0068050F" w:rsidRDefault="0068050F">
      <w:pPr>
        <w:pStyle w:val="TOC3"/>
        <w:rPr>
          <w:rFonts w:asciiTheme="minorHAnsi" w:eastAsiaTheme="minorEastAsia" w:hAnsiTheme="minorHAnsi" w:cstheme="minorBidi"/>
          <w:color w:val="auto"/>
          <w:sz w:val="22"/>
          <w:szCs w:val="22"/>
          <w:lang w:eastAsia="en-AU"/>
        </w:rPr>
      </w:pPr>
      <w:r>
        <w:t>10.4.1</w:t>
      </w:r>
      <w:r>
        <w:rPr>
          <w:rFonts w:asciiTheme="minorHAnsi" w:eastAsiaTheme="minorEastAsia" w:hAnsiTheme="minorHAnsi" w:cstheme="minorBidi"/>
          <w:color w:val="auto"/>
          <w:sz w:val="22"/>
          <w:szCs w:val="22"/>
          <w:lang w:eastAsia="en-AU"/>
        </w:rPr>
        <w:tab/>
      </w:r>
      <w:r>
        <w:t>Reference tariff variation mechanism</w:t>
      </w:r>
      <w:r>
        <w:tab/>
      </w:r>
      <w:r>
        <w:fldChar w:fldCharType="begin"/>
      </w:r>
      <w:r>
        <w:instrText xml:space="preserve"> PAGEREF _Toc471221372 \h </w:instrText>
      </w:r>
      <w:r>
        <w:fldChar w:fldCharType="separate"/>
      </w:r>
      <w:r w:rsidR="00154DB7">
        <w:t>29</w:t>
      </w:r>
      <w:r>
        <w:fldChar w:fldCharType="end"/>
      </w:r>
    </w:p>
    <w:p w:rsidR="0068050F" w:rsidRDefault="0068050F">
      <w:pPr>
        <w:pStyle w:val="TOC3"/>
        <w:rPr>
          <w:rFonts w:asciiTheme="minorHAnsi" w:eastAsiaTheme="minorEastAsia" w:hAnsiTheme="minorHAnsi" w:cstheme="minorBidi"/>
          <w:color w:val="auto"/>
          <w:sz w:val="22"/>
          <w:szCs w:val="22"/>
          <w:lang w:eastAsia="en-AU"/>
        </w:rPr>
      </w:pPr>
      <w:r>
        <w:t>10.4.2</w:t>
      </w:r>
      <w:r>
        <w:rPr>
          <w:rFonts w:asciiTheme="minorHAnsi" w:eastAsiaTheme="minorEastAsia" w:hAnsiTheme="minorHAnsi" w:cstheme="minorBidi"/>
          <w:color w:val="auto"/>
          <w:sz w:val="22"/>
          <w:szCs w:val="22"/>
          <w:lang w:eastAsia="en-AU"/>
        </w:rPr>
        <w:tab/>
      </w:r>
      <w:r>
        <w:t>Scheduled Reference Tariff Variation Mechanism</w:t>
      </w:r>
      <w:r>
        <w:tab/>
      </w:r>
      <w:r>
        <w:fldChar w:fldCharType="begin"/>
      </w:r>
      <w:r>
        <w:instrText xml:space="preserve"> PAGEREF _Toc471221373 \h </w:instrText>
      </w:r>
      <w:r>
        <w:fldChar w:fldCharType="separate"/>
      </w:r>
      <w:r w:rsidR="00154DB7">
        <w:t>29</w:t>
      </w:r>
      <w:r>
        <w:fldChar w:fldCharType="end"/>
      </w:r>
    </w:p>
    <w:p w:rsidR="0068050F" w:rsidRDefault="0068050F">
      <w:pPr>
        <w:pStyle w:val="TOC3"/>
        <w:rPr>
          <w:rFonts w:asciiTheme="minorHAnsi" w:eastAsiaTheme="minorEastAsia" w:hAnsiTheme="minorHAnsi" w:cstheme="minorBidi"/>
          <w:color w:val="auto"/>
          <w:sz w:val="22"/>
          <w:szCs w:val="22"/>
          <w:lang w:eastAsia="en-AU"/>
        </w:rPr>
      </w:pPr>
      <w:r>
        <w:t>10.4.3</w:t>
      </w:r>
      <w:r>
        <w:rPr>
          <w:rFonts w:asciiTheme="minorHAnsi" w:eastAsiaTheme="minorEastAsia" w:hAnsiTheme="minorHAnsi" w:cstheme="minorBidi"/>
          <w:color w:val="auto"/>
          <w:sz w:val="22"/>
          <w:szCs w:val="22"/>
          <w:lang w:eastAsia="en-AU"/>
        </w:rPr>
        <w:tab/>
      </w:r>
      <w:r>
        <w:t>Cost Pass-through Reference Tariff Adjustment  Mechanism</w:t>
      </w:r>
      <w:r>
        <w:tab/>
      </w:r>
      <w:r>
        <w:fldChar w:fldCharType="begin"/>
      </w:r>
      <w:r>
        <w:instrText xml:space="preserve"> PAGEREF _Toc471221374 \h </w:instrText>
      </w:r>
      <w:r>
        <w:fldChar w:fldCharType="separate"/>
      </w:r>
      <w:r w:rsidR="00154DB7">
        <w:t>34</w:t>
      </w:r>
      <w:r>
        <w:fldChar w:fldCharType="end"/>
      </w:r>
    </w:p>
    <w:p w:rsidR="0068050F" w:rsidRDefault="0068050F">
      <w:pPr>
        <w:pStyle w:val="TOC1"/>
        <w:rPr>
          <w:rFonts w:asciiTheme="minorHAnsi" w:eastAsiaTheme="minorEastAsia" w:hAnsiTheme="minorHAnsi" w:cstheme="minorBidi"/>
          <w:b w:val="0"/>
          <w:color w:val="auto"/>
          <w:sz w:val="22"/>
          <w:szCs w:val="22"/>
          <w:lang w:eastAsia="en-AU"/>
        </w:rPr>
      </w:pPr>
      <w:r>
        <w:t>11</w:t>
      </w:r>
      <w:r>
        <w:rPr>
          <w:rFonts w:asciiTheme="minorHAnsi" w:eastAsiaTheme="minorEastAsia" w:hAnsiTheme="minorHAnsi" w:cstheme="minorBidi"/>
          <w:b w:val="0"/>
          <w:color w:val="auto"/>
          <w:sz w:val="22"/>
          <w:szCs w:val="22"/>
          <w:lang w:eastAsia="en-AU"/>
        </w:rPr>
        <w:tab/>
      </w:r>
      <w:r>
        <w:t>Proposed incentive mechanism</w:t>
      </w:r>
      <w:r>
        <w:tab/>
      </w:r>
      <w:r>
        <w:fldChar w:fldCharType="begin"/>
      </w:r>
      <w:r>
        <w:instrText xml:space="preserve"> PAGEREF _Toc471221375 \h </w:instrText>
      </w:r>
      <w:r>
        <w:fldChar w:fldCharType="separate"/>
      </w:r>
      <w:r w:rsidR="00154DB7">
        <w:t>36</w:t>
      </w:r>
      <w:r>
        <w:fldChar w:fldCharType="end"/>
      </w:r>
    </w:p>
    <w:p w:rsidR="0068050F" w:rsidRDefault="0068050F">
      <w:pPr>
        <w:pStyle w:val="TOC1"/>
        <w:rPr>
          <w:rFonts w:asciiTheme="minorHAnsi" w:eastAsiaTheme="minorEastAsia" w:hAnsiTheme="minorHAnsi" w:cstheme="minorBidi"/>
          <w:b w:val="0"/>
          <w:color w:val="auto"/>
          <w:sz w:val="22"/>
          <w:szCs w:val="22"/>
          <w:lang w:eastAsia="en-AU"/>
        </w:rPr>
      </w:pPr>
      <w:r>
        <w:t>12</w:t>
      </w:r>
      <w:r>
        <w:rPr>
          <w:rFonts w:asciiTheme="minorHAnsi" w:eastAsiaTheme="minorEastAsia" w:hAnsiTheme="minorHAnsi" w:cstheme="minorBidi"/>
          <w:b w:val="0"/>
          <w:color w:val="auto"/>
          <w:sz w:val="22"/>
          <w:szCs w:val="22"/>
          <w:lang w:eastAsia="en-AU"/>
        </w:rPr>
        <w:tab/>
      </w:r>
      <w:r>
        <w:t>Total revenue</w:t>
      </w:r>
      <w:r>
        <w:tab/>
      </w:r>
      <w:r>
        <w:fldChar w:fldCharType="begin"/>
      </w:r>
      <w:r>
        <w:instrText xml:space="preserve"> PAGEREF _Toc471221376 \h </w:instrText>
      </w:r>
      <w:r>
        <w:fldChar w:fldCharType="separate"/>
      </w:r>
      <w:r w:rsidR="00154DB7">
        <w:t>37</w:t>
      </w:r>
      <w:r>
        <w:fldChar w:fldCharType="end"/>
      </w:r>
    </w:p>
    <w:p w:rsidR="004A7041" w:rsidRPr="008A4AF0" w:rsidRDefault="002F090C">
      <w:pPr>
        <w:sectPr w:rsidR="004A7041" w:rsidRPr="008A4AF0">
          <w:headerReference w:type="default" r:id="rId14"/>
          <w:footerReference w:type="default" r:id="rId15"/>
          <w:pgSz w:w="11907" w:h="16840" w:code="9"/>
          <w:pgMar w:top="2835" w:right="1616" w:bottom="2126" w:left="1616" w:header="737" w:footer="737" w:gutter="454"/>
          <w:pgNumType w:fmt="lowerRoman" w:start="1"/>
          <w:cols w:space="737"/>
        </w:sectPr>
      </w:pPr>
      <w:r w:rsidRPr="008A4AF0">
        <w:rPr>
          <w:sz w:val="28"/>
        </w:rPr>
        <w:fldChar w:fldCharType="end"/>
      </w:r>
    </w:p>
    <w:p w:rsidR="00D43EBE" w:rsidRDefault="00AB0990" w:rsidP="008A22F0">
      <w:pPr>
        <w:pStyle w:val="Heading1"/>
      </w:pPr>
      <w:bookmarkStart w:id="3" w:name="Text"/>
      <w:bookmarkStart w:id="4" w:name="_Toc471221336"/>
      <w:bookmarkEnd w:id="3"/>
      <w:r>
        <w:lastRenderedPageBreak/>
        <w:t>I</w:t>
      </w:r>
      <w:r w:rsidR="00D43EBE">
        <w:t>ntroduction</w:t>
      </w:r>
      <w:bookmarkEnd w:id="4"/>
    </w:p>
    <w:p w:rsidR="00DC7F3D" w:rsidRDefault="00DC7F3D" w:rsidP="00DC7F3D">
      <w:pPr>
        <w:pStyle w:val="BodyText"/>
      </w:pPr>
      <w:r>
        <w:t xml:space="preserve">This Access Arrangement Information document has been prepared, in accordance with Rule 43(1) of the National Gas Rules (NGR), to provide Users and Prospective Users with sufficient information to understand the derivation of the Access Arrangement and its compliance with the NGR. </w:t>
      </w:r>
    </w:p>
    <w:p w:rsidR="00DC7F3D" w:rsidRDefault="00DC7F3D" w:rsidP="00DC7F3D">
      <w:pPr>
        <w:pStyle w:val="BodyText"/>
      </w:pPr>
      <w:r>
        <w:t xml:space="preserve">This Access Arrangement Information accompanies the </w:t>
      </w:r>
      <w:r w:rsidR="00116BCE" w:rsidRPr="00116BCE">
        <w:t>APA VTS Australia (Operations) Pty Limited</w:t>
      </w:r>
      <w:r>
        <w:t xml:space="preserve"> (ACN </w:t>
      </w:r>
      <w:r w:rsidR="00116BCE" w:rsidRPr="00116BCE">
        <w:t>083 009 278</w:t>
      </w:r>
      <w:r>
        <w:t>) (</w:t>
      </w:r>
      <w:r w:rsidR="00116BCE">
        <w:t>APA VTS</w:t>
      </w:r>
      <w:r>
        <w:t xml:space="preserve">) access arrangement for the </w:t>
      </w:r>
      <w:r w:rsidR="00116BCE" w:rsidRPr="00116BCE">
        <w:t xml:space="preserve">Victorian Transmission System </w:t>
      </w:r>
      <w:r>
        <w:t>(</w:t>
      </w:r>
      <w:r w:rsidR="00116BCE">
        <w:t>VTS</w:t>
      </w:r>
      <w:r>
        <w:t xml:space="preserve">). The revised Access Arrangement commences on </w:t>
      </w:r>
      <w:r w:rsidR="009F0403">
        <w:t xml:space="preserve">1 </w:t>
      </w:r>
      <w:r w:rsidR="00116BCE">
        <w:t>January 2018</w:t>
      </w:r>
      <w:r>
        <w:t>.</w:t>
      </w:r>
    </w:p>
    <w:p w:rsidR="00DC7F3D" w:rsidRDefault="00DC7F3D" w:rsidP="00DC7F3D">
      <w:pPr>
        <w:pStyle w:val="BodyText"/>
      </w:pPr>
      <w:r w:rsidRPr="00DC7F3D">
        <w:t>A more detailed description of the Pipeline, including a map, is available on APA Group’s website at www.apa.com.au, which shows the general location and key points of the Pipeline.</w:t>
      </w:r>
    </w:p>
    <w:p w:rsidR="00DC7F3D" w:rsidRDefault="00DC7F3D" w:rsidP="00D43EBE">
      <w:pPr>
        <w:pStyle w:val="BodyText"/>
        <w:rPr>
          <w:rFonts w:ascii="Arial Bold" w:hAnsi="Arial Bold"/>
          <w:b/>
          <w:color w:val="C8102E"/>
        </w:rPr>
      </w:pPr>
      <w:r w:rsidRPr="00DC7F3D">
        <w:rPr>
          <w:rFonts w:ascii="Arial Bold" w:hAnsi="Arial Bold"/>
          <w:b/>
          <w:color w:val="C8102E"/>
        </w:rPr>
        <w:t>1.1</w:t>
      </w:r>
      <w:r w:rsidRPr="00DC7F3D">
        <w:rPr>
          <w:rFonts w:ascii="Arial Bold" w:hAnsi="Arial Bold"/>
          <w:b/>
          <w:color w:val="C8102E"/>
        </w:rPr>
        <w:tab/>
        <w:t>Structure of this document</w:t>
      </w:r>
    </w:p>
    <w:p w:rsidR="00DC7F3D" w:rsidRDefault="00DC7F3D" w:rsidP="00DC7F3D">
      <w:pPr>
        <w:pStyle w:val="BodyText"/>
        <w:rPr>
          <w:lang w:eastAsia="en-AU"/>
        </w:rPr>
      </w:pPr>
      <w:r>
        <w:rPr>
          <w:lang w:eastAsia="en-AU"/>
        </w:rPr>
        <w:t>This document follows the structure of Rule 72</w:t>
      </w:r>
      <w:r>
        <w:rPr>
          <w:rStyle w:val="FootnoteReference"/>
          <w:lang w:eastAsia="en-AU"/>
        </w:rPr>
        <w:footnoteReference w:id="1"/>
      </w:r>
      <w:r>
        <w:rPr>
          <w:lang w:eastAsia="en-AU"/>
        </w:rPr>
        <w:t xml:space="preserve">  setting out the requirements for content of the Access Arrangement Information for a full Access Arrangement proposal. </w:t>
      </w:r>
    </w:p>
    <w:p w:rsidR="00DC7F3D" w:rsidRDefault="00996547" w:rsidP="00DC7F3D">
      <w:pPr>
        <w:pStyle w:val="BodyText"/>
        <w:rPr>
          <w:lang w:eastAsia="en-AU"/>
        </w:rPr>
      </w:pPr>
      <w:r>
        <w:rPr>
          <w:lang w:eastAsia="en-AU"/>
        </w:rPr>
        <w:t xml:space="preserve"> APA VTS’s</w:t>
      </w:r>
      <w:r w:rsidR="00DC7F3D">
        <w:rPr>
          <w:lang w:eastAsia="en-AU"/>
        </w:rPr>
        <w:t xml:space="preserve"> Access Arrangement proposal commences at the end of an earlier Access Arrangement Period, and therefore contains information relevant to the earlier Access Arrangement Period (in this case spanning from 1 </w:t>
      </w:r>
      <w:r w:rsidR="00D248AC">
        <w:rPr>
          <w:lang w:eastAsia="en-AU"/>
        </w:rPr>
        <w:t>July</w:t>
      </w:r>
      <w:r w:rsidR="00DC7F3D">
        <w:rPr>
          <w:lang w:eastAsia="en-AU"/>
        </w:rPr>
        <w:t xml:space="preserve"> 201</w:t>
      </w:r>
      <w:r w:rsidR="00D248AC">
        <w:rPr>
          <w:lang w:eastAsia="en-AU"/>
        </w:rPr>
        <w:t>3</w:t>
      </w:r>
      <w:r w:rsidR="00DC7F3D">
        <w:rPr>
          <w:lang w:eastAsia="en-AU"/>
        </w:rPr>
        <w:t xml:space="preserve"> to </w:t>
      </w:r>
      <w:r w:rsidR="00D248AC">
        <w:rPr>
          <w:lang w:eastAsia="en-AU"/>
        </w:rPr>
        <w:t>31 December</w:t>
      </w:r>
      <w:r w:rsidR="00DC7F3D">
        <w:rPr>
          <w:lang w:eastAsia="en-AU"/>
        </w:rPr>
        <w:t xml:space="preserve"> 2017) as required under the NGR. This information is included in Part 2 of the Access Arrangement Information. The remaining parts of this Access Arrangement Information are as follows:</w:t>
      </w:r>
    </w:p>
    <w:p w:rsidR="00DC7F3D" w:rsidRDefault="00DC7F3D" w:rsidP="00DC7F3D">
      <w:pPr>
        <w:pStyle w:val="ListBullet"/>
        <w:rPr>
          <w:lang w:eastAsia="en-AU"/>
        </w:rPr>
      </w:pPr>
      <w:r>
        <w:rPr>
          <w:lang w:eastAsia="en-AU"/>
        </w:rPr>
        <w:t xml:space="preserve">Part 3 establishes the capital base for the Access Arrangement Period (in this case spanning </w:t>
      </w:r>
      <w:r w:rsidR="00D248AC">
        <w:rPr>
          <w:lang w:eastAsia="en-AU"/>
        </w:rPr>
        <w:t>from 1 July 2013 to 31 December 2017</w:t>
      </w:r>
      <w:r>
        <w:rPr>
          <w:lang w:eastAsia="en-AU"/>
        </w:rPr>
        <w:t>), including forecast capital expenditure for the Access Arrangement Period;</w:t>
      </w:r>
    </w:p>
    <w:p w:rsidR="00DC7F3D" w:rsidRDefault="00DC7F3D" w:rsidP="00DC7F3D">
      <w:pPr>
        <w:pStyle w:val="ListBullet"/>
        <w:rPr>
          <w:lang w:eastAsia="en-AU"/>
        </w:rPr>
      </w:pPr>
      <w:r>
        <w:rPr>
          <w:lang w:eastAsia="en-AU"/>
        </w:rPr>
        <w:t>Part 4 discusses forecast utilisation for the Pipeline, including forecast customer numbers, reserved capacity and volumes used to derive tariffs;</w:t>
      </w:r>
    </w:p>
    <w:p w:rsidR="00DC7F3D" w:rsidRDefault="00DC7F3D" w:rsidP="00DC7F3D">
      <w:pPr>
        <w:pStyle w:val="ListBullet"/>
        <w:rPr>
          <w:lang w:eastAsia="en-AU"/>
        </w:rPr>
      </w:pPr>
      <w:r>
        <w:rPr>
          <w:lang w:eastAsia="en-AU"/>
        </w:rPr>
        <w:t>Part 5 outlines forecast operating expenditure for the Access Arrangement Period;</w:t>
      </w:r>
    </w:p>
    <w:p w:rsidR="00DC7F3D" w:rsidRDefault="00DC7F3D" w:rsidP="00DC7F3D">
      <w:pPr>
        <w:pStyle w:val="ListBullet"/>
        <w:rPr>
          <w:lang w:eastAsia="en-AU"/>
        </w:rPr>
      </w:pPr>
      <w:r>
        <w:rPr>
          <w:lang w:eastAsia="en-AU"/>
        </w:rPr>
        <w:t>Part 6 sets out key performance indicators for the Pipeline;</w:t>
      </w:r>
    </w:p>
    <w:p w:rsidR="00DC7F3D" w:rsidRDefault="00DC7F3D" w:rsidP="00DC7F3D">
      <w:pPr>
        <w:pStyle w:val="ListBullet"/>
        <w:rPr>
          <w:lang w:eastAsia="en-AU"/>
        </w:rPr>
      </w:pPr>
      <w:r>
        <w:rPr>
          <w:lang w:eastAsia="en-AU"/>
        </w:rPr>
        <w:lastRenderedPageBreak/>
        <w:t>Part 7 sets out the rate of return used in the Access Arrangement;</w:t>
      </w:r>
    </w:p>
    <w:p w:rsidR="00DC7F3D" w:rsidRDefault="00DC7F3D" w:rsidP="00DC7F3D">
      <w:pPr>
        <w:pStyle w:val="ListBullet"/>
        <w:rPr>
          <w:lang w:eastAsia="en-AU"/>
        </w:rPr>
      </w:pPr>
      <w:r>
        <w:rPr>
          <w:lang w:eastAsia="en-AU"/>
        </w:rPr>
        <w:t>Part 8 outlines the approach to taxation and how the tax asset base has been calculated;</w:t>
      </w:r>
    </w:p>
    <w:p w:rsidR="00DC7F3D" w:rsidRDefault="00DC7F3D" w:rsidP="00DC7F3D">
      <w:pPr>
        <w:pStyle w:val="ListBullet"/>
        <w:rPr>
          <w:lang w:eastAsia="en-AU"/>
        </w:rPr>
      </w:pPr>
      <w:r>
        <w:rPr>
          <w:lang w:eastAsia="en-AU"/>
        </w:rPr>
        <w:t>Parts 9 and 11 discuss historical and proposed incentive mechanisms;</w:t>
      </w:r>
    </w:p>
    <w:p w:rsidR="00DC7F3D" w:rsidRDefault="00DC7F3D" w:rsidP="00DC7F3D">
      <w:pPr>
        <w:pStyle w:val="ListBullet"/>
        <w:rPr>
          <w:lang w:eastAsia="en-AU"/>
        </w:rPr>
      </w:pPr>
      <w:r>
        <w:rPr>
          <w:lang w:eastAsia="en-AU"/>
        </w:rPr>
        <w:t>Part 10 describes the Reference Services, approach to tariff setting and reference tariff variation mechanism; and</w:t>
      </w:r>
    </w:p>
    <w:p w:rsidR="00DC7F3D" w:rsidRDefault="00DC7F3D" w:rsidP="00DC7F3D">
      <w:pPr>
        <w:pStyle w:val="ListBullet"/>
        <w:rPr>
          <w:lang w:eastAsia="en-AU"/>
        </w:rPr>
      </w:pPr>
      <w:r>
        <w:rPr>
          <w:lang w:eastAsia="en-AU"/>
        </w:rPr>
        <w:t>Part 12 sets out the total revenue requirement for the Pipeline for each year of the access arrangement.</w:t>
      </w:r>
    </w:p>
    <w:p w:rsidR="00DC7F3D" w:rsidRDefault="001C236D" w:rsidP="00DC7F3D">
      <w:pPr>
        <w:pStyle w:val="BodyText"/>
        <w:rPr>
          <w:lang w:eastAsia="en-AU"/>
        </w:rPr>
      </w:pPr>
      <w:r>
        <w:rPr>
          <w:lang w:eastAsia="en-AU"/>
        </w:rPr>
        <w:t>As</w:t>
      </w:r>
      <w:r w:rsidR="00DC7F3D">
        <w:rPr>
          <w:lang w:eastAsia="en-AU"/>
        </w:rPr>
        <w:t xml:space="preserve"> the previous Access Arrangement operated from </w:t>
      </w:r>
      <w:r w:rsidR="00D248AC">
        <w:rPr>
          <w:lang w:eastAsia="en-AU"/>
        </w:rPr>
        <w:t>1 July 2013 to 31</w:t>
      </w:r>
      <w:r>
        <w:rPr>
          <w:lang w:eastAsia="en-AU"/>
        </w:rPr>
        <w:t> </w:t>
      </w:r>
      <w:r w:rsidR="00D248AC">
        <w:rPr>
          <w:lang w:eastAsia="en-AU"/>
        </w:rPr>
        <w:t>December 2017</w:t>
      </w:r>
      <w:r w:rsidR="00DC7F3D">
        <w:rPr>
          <w:lang w:eastAsia="en-AU"/>
        </w:rPr>
        <w:t xml:space="preserve">, financial information </w:t>
      </w:r>
      <w:r>
        <w:rPr>
          <w:lang w:eastAsia="en-AU"/>
        </w:rPr>
        <w:t>related to 2013 is presented for the period from 1 July 2013 to 31 December 2013; all other financial information</w:t>
      </w:r>
      <w:r w:rsidR="00DC7F3D">
        <w:rPr>
          <w:lang w:eastAsia="en-AU"/>
        </w:rPr>
        <w:t xml:space="preserve"> </w:t>
      </w:r>
      <w:r>
        <w:rPr>
          <w:lang w:eastAsia="en-AU"/>
        </w:rPr>
        <w:t xml:space="preserve">in this document </w:t>
      </w:r>
      <w:r w:rsidR="00DC7F3D">
        <w:rPr>
          <w:lang w:eastAsia="en-AU"/>
        </w:rPr>
        <w:t xml:space="preserve">is presented on a </w:t>
      </w:r>
      <w:r w:rsidR="00D248AC">
        <w:rPr>
          <w:lang w:eastAsia="en-AU"/>
        </w:rPr>
        <w:t>calendar</w:t>
      </w:r>
      <w:r w:rsidR="00DC7F3D">
        <w:rPr>
          <w:lang w:eastAsia="en-AU"/>
        </w:rPr>
        <w:t xml:space="preserve"> year basis.</w:t>
      </w:r>
    </w:p>
    <w:p w:rsidR="00DC7F3D" w:rsidRDefault="00DC7F3D" w:rsidP="00D43EBE">
      <w:pPr>
        <w:pStyle w:val="BodyText"/>
        <w:rPr>
          <w:lang w:eastAsia="en-AU"/>
        </w:rPr>
      </w:pPr>
    </w:p>
    <w:p w:rsidR="00DC7F3D" w:rsidRDefault="00DC7F3D" w:rsidP="00D43EBE">
      <w:pPr>
        <w:pStyle w:val="BodyText"/>
        <w:rPr>
          <w:lang w:eastAsia="en-AU"/>
        </w:rPr>
      </w:pPr>
    </w:p>
    <w:p w:rsidR="00DC7F3D" w:rsidRDefault="00AB0990" w:rsidP="00180AD1">
      <w:pPr>
        <w:pStyle w:val="Heading1"/>
        <w:rPr>
          <w:lang w:eastAsia="en-AU"/>
        </w:rPr>
      </w:pPr>
      <w:bookmarkStart w:id="5" w:name="_Toc471221337"/>
      <w:r>
        <w:rPr>
          <w:lang w:eastAsia="en-AU"/>
        </w:rPr>
        <w:lastRenderedPageBreak/>
        <w:t>I</w:t>
      </w:r>
      <w:r w:rsidR="00180AD1" w:rsidRPr="00180AD1">
        <w:rPr>
          <w:lang w:eastAsia="en-AU"/>
        </w:rPr>
        <w:t>nformation relevant to the earlier access arrangement period</w:t>
      </w:r>
      <w:bookmarkEnd w:id="5"/>
    </w:p>
    <w:p w:rsidR="00180AD1" w:rsidRDefault="00180AD1" w:rsidP="00180AD1">
      <w:pPr>
        <w:pStyle w:val="Heading2"/>
        <w:rPr>
          <w:lang w:eastAsia="en-AU"/>
        </w:rPr>
      </w:pPr>
      <w:bookmarkStart w:id="6" w:name="_Toc471221338"/>
      <w:r>
        <w:rPr>
          <w:lang w:eastAsia="en-AU"/>
        </w:rPr>
        <w:t>Capital expenditure</w:t>
      </w:r>
      <w:bookmarkEnd w:id="6"/>
    </w:p>
    <w:p w:rsidR="00180AD1" w:rsidRDefault="00180AD1" w:rsidP="00180AD1">
      <w:pPr>
        <w:pStyle w:val="BodyText"/>
        <w:rPr>
          <w:lang w:eastAsia="en-AU"/>
        </w:rPr>
      </w:pPr>
      <w:r>
        <w:rPr>
          <w:lang w:eastAsia="en-AU"/>
        </w:rPr>
        <w:t>Capital expenditure by asset class over the earlier Access Arrangement Period</w:t>
      </w:r>
      <w:r>
        <w:rPr>
          <w:rStyle w:val="FootnoteReference"/>
          <w:lang w:eastAsia="en-AU"/>
        </w:rPr>
        <w:footnoteReference w:id="2"/>
      </w:r>
      <w:r>
        <w:rPr>
          <w:lang w:eastAsia="en-AU"/>
        </w:rPr>
        <w:t xml:space="preserve"> is set out in Table 2.1 below. These costs are based on actual costs for </w:t>
      </w:r>
      <w:r w:rsidR="00996547">
        <w:rPr>
          <w:lang w:eastAsia="en-AU"/>
        </w:rPr>
        <w:t xml:space="preserve">calendar </w:t>
      </w:r>
      <w:r>
        <w:rPr>
          <w:lang w:eastAsia="en-AU"/>
        </w:rPr>
        <w:t>years 20</w:t>
      </w:r>
      <w:r w:rsidR="00101072">
        <w:rPr>
          <w:lang w:eastAsia="en-AU"/>
        </w:rPr>
        <w:t>13</w:t>
      </w:r>
      <w:r w:rsidR="00996547">
        <w:rPr>
          <w:lang w:eastAsia="en-AU"/>
        </w:rPr>
        <w:t xml:space="preserve"> to 20</w:t>
      </w:r>
      <w:r>
        <w:rPr>
          <w:lang w:eastAsia="en-AU"/>
        </w:rPr>
        <w:t>1</w:t>
      </w:r>
      <w:r w:rsidR="00996547">
        <w:rPr>
          <w:lang w:eastAsia="en-AU"/>
        </w:rPr>
        <w:t>5</w:t>
      </w:r>
      <w:r>
        <w:rPr>
          <w:lang w:eastAsia="en-AU"/>
        </w:rPr>
        <w:t xml:space="preserve">, </w:t>
      </w:r>
      <w:r w:rsidR="00996547">
        <w:rPr>
          <w:lang w:eastAsia="en-AU"/>
        </w:rPr>
        <w:t xml:space="preserve">estimated costs for 2016, </w:t>
      </w:r>
      <w:r>
        <w:rPr>
          <w:lang w:eastAsia="en-AU"/>
        </w:rPr>
        <w:t>and forec</w:t>
      </w:r>
      <w:r w:rsidR="00996547">
        <w:rPr>
          <w:lang w:eastAsia="en-AU"/>
        </w:rPr>
        <w:t>ast costs for financial year 20</w:t>
      </w:r>
      <w:r>
        <w:rPr>
          <w:lang w:eastAsia="en-AU"/>
        </w:rPr>
        <w:t>1</w:t>
      </w:r>
      <w:r w:rsidR="00101072">
        <w:rPr>
          <w:lang w:eastAsia="en-AU"/>
        </w:rPr>
        <w:t>7</w:t>
      </w:r>
      <w:r>
        <w:rPr>
          <w:lang w:eastAsia="en-AU"/>
        </w:rPr>
        <w:t>.</w:t>
      </w:r>
    </w:p>
    <w:p w:rsidR="00DC7F3D" w:rsidRDefault="00180AD1" w:rsidP="00180AD1">
      <w:pPr>
        <w:pStyle w:val="Caption"/>
        <w:rPr>
          <w:lang w:eastAsia="en-AU"/>
        </w:rPr>
      </w:pPr>
      <w:proofErr w:type="gramStart"/>
      <w:r>
        <w:t xml:space="preserve">Table </w:t>
      </w:r>
      <w:fldSimple w:instr=" STYLEREF 1 \s ">
        <w:r w:rsidR="00154DB7">
          <w:rPr>
            <w:noProof/>
          </w:rPr>
          <w:t>2</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1</w:t>
      </w:r>
      <w:r w:rsidR="007D0F77">
        <w:rPr>
          <w:noProof/>
        </w:rPr>
        <w:fldChar w:fldCharType="end"/>
      </w:r>
      <w:r>
        <w:t xml:space="preserve">:  </w:t>
      </w:r>
      <w:r w:rsidRPr="00180AD1">
        <w:t>Capital expenditure by asset class over the earlier access arrangement period</w:t>
      </w:r>
      <w:r w:rsidR="00E47E7B">
        <w:t xml:space="preserve"> ($m nominal)</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704981" w:rsidRPr="00D248AC" w:rsidTr="00E27C66">
        <w:tc>
          <w:tcPr>
            <w:tcW w:w="3055" w:type="dxa"/>
            <w:shd w:val="clear" w:color="auto" w:fill="333333"/>
          </w:tcPr>
          <w:p w:rsidR="00704981" w:rsidRPr="00D248AC" w:rsidRDefault="00996547" w:rsidP="00E27C66">
            <w:pPr>
              <w:pStyle w:val="TableColumnHeadings"/>
              <w:keepNext/>
              <w:jc w:val="left"/>
              <w:rPr>
                <w:rFonts w:ascii="Century Gothic" w:hAnsi="Century Gothic"/>
                <w:szCs w:val="18"/>
              </w:rPr>
            </w:pPr>
            <w:r>
              <w:rPr>
                <w:rFonts w:ascii="Century Gothic" w:hAnsi="Century Gothic"/>
                <w:szCs w:val="18"/>
              </w:rPr>
              <w:t>$m nominal</w:t>
            </w:r>
          </w:p>
        </w:tc>
        <w:tc>
          <w:tcPr>
            <w:tcW w:w="1076" w:type="dxa"/>
            <w:shd w:val="clear" w:color="auto" w:fill="333333"/>
          </w:tcPr>
          <w:p w:rsidR="00704981" w:rsidRPr="00D248AC" w:rsidRDefault="00325A59" w:rsidP="00E27C66">
            <w:pPr>
              <w:pStyle w:val="TableColumnHeadings"/>
              <w:rPr>
                <w:rFonts w:ascii="Century Gothic" w:hAnsi="Century Gothic"/>
                <w:szCs w:val="18"/>
              </w:rPr>
            </w:pPr>
            <w:r>
              <w:rPr>
                <w:rFonts w:ascii="Century Gothic" w:hAnsi="Century Gothic"/>
                <w:szCs w:val="18"/>
              </w:rPr>
              <w:t xml:space="preserve">Jul-Dec </w:t>
            </w:r>
            <w:r w:rsidR="00D248AC" w:rsidRPr="00D248AC">
              <w:rPr>
                <w:rFonts w:ascii="Century Gothic" w:hAnsi="Century Gothic"/>
                <w:szCs w:val="18"/>
              </w:rPr>
              <w:t>2013</w:t>
            </w:r>
          </w:p>
        </w:tc>
        <w:tc>
          <w:tcPr>
            <w:tcW w:w="1076" w:type="dxa"/>
            <w:shd w:val="clear" w:color="auto" w:fill="333333"/>
          </w:tcPr>
          <w:p w:rsidR="00704981" w:rsidRPr="00D248AC" w:rsidRDefault="00D248AC" w:rsidP="00D248AC">
            <w:pPr>
              <w:pStyle w:val="TableColumnHeadings"/>
              <w:rPr>
                <w:rFonts w:ascii="Century Gothic" w:hAnsi="Century Gothic"/>
                <w:szCs w:val="18"/>
              </w:rPr>
            </w:pPr>
            <w:r w:rsidRPr="00D248AC">
              <w:rPr>
                <w:rFonts w:ascii="Century Gothic" w:hAnsi="Century Gothic"/>
                <w:szCs w:val="18"/>
              </w:rPr>
              <w:t>201</w:t>
            </w:r>
            <w:r>
              <w:rPr>
                <w:rFonts w:ascii="Century Gothic" w:hAnsi="Century Gothic"/>
                <w:szCs w:val="18"/>
              </w:rPr>
              <w:t>4</w:t>
            </w:r>
          </w:p>
        </w:tc>
        <w:tc>
          <w:tcPr>
            <w:tcW w:w="1077" w:type="dxa"/>
            <w:shd w:val="clear" w:color="auto" w:fill="333333"/>
          </w:tcPr>
          <w:p w:rsidR="00704981" w:rsidRPr="00D248AC" w:rsidRDefault="00D248AC" w:rsidP="00D248AC">
            <w:pPr>
              <w:pStyle w:val="TableColumnHeadings"/>
              <w:rPr>
                <w:rFonts w:ascii="Century Gothic" w:hAnsi="Century Gothic"/>
                <w:szCs w:val="18"/>
              </w:rPr>
            </w:pPr>
            <w:r w:rsidRPr="00D248AC">
              <w:rPr>
                <w:rFonts w:ascii="Century Gothic" w:hAnsi="Century Gothic"/>
                <w:szCs w:val="18"/>
              </w:rPr>
              <w:t>201</w:t>
            </w:r>
            <w:r>
              <w:rPr>
                <w:rFonts w:ascii="Century Gothic" w:hAnsi="Century Gothic"/>
                <w:szCs w:val="18"/>
              </w:rPr>
              <w:t>5</w:t>
            </w:r>
          </w:p>
        </w:tc>
        <w:tc>
          <w:tcPr>
            <w:tcW w:w="1076" w:type="dxa"/>
            <w:shd w:val="clear" w:color="auto" w:fill="333333"/>
          </w:tcPr>
          <w:p w:rsidR="00704981" w:rsidRPr="00D248AC" w:rsidRDefault="00704981" w:rsidP="00D248AC">
            <w:pPr>
              <w:pStyle w:val="TableColumnHeadings"/>
              <w:rPr>
                <w:rFonts w:ascii="Century Gothic" w:hAnsi="Century Gothic"/>
                <w:szCs w:val="18"/>
              </w:rPr>
            </w:pPr>
            <w:r w:rsidRPr="00D248AC">
              <w:rPr>
                <w:rFonts w:ascii="Century Gothic" w:hAnsi="Century Gothic"/>
                <w:szCs w:val="18"/>
              </w:rPr>
              <w:t>201</w:t>
            </w:r>
            <w:r w:rsidR="00D248AC">
              <w:rPr>
                <w:rFonts w:ascii="Century Gothic" w:hAnsi="Century Gothic"/>
                <w:szCs w:val="18"/>
              </w:rPr>
              <w:t>6</w:t>
            </w:r>
            <w:r w:rsidR="00996547">
              <w:rPr>
                <w:rFonts w:ascii="Century Gothic" w:hAnsi="Century Gothic"/>
                <w:szCs w:val="18"/>
              </w:rPr>
              <w:t xml:space="preserve"> (e)</w:t>
            </w:r>
          </w:p>
        </w:tc>
        <w:tc>
          <w:tcPr>
            <w:tcW w:w="1077" w:type="dxa"/>
            <w:shd w:val="clear" w:color="auto" w:fill="333333"/>
          </w:tcPr>
          <w:p w:rsidR="00704981" w:rsidRPr="00D248AC" w:rsidRDefault="00704981" w:rsidP="00996547">
            <w:pPr>
              <w:pStyle w:val="TableColumnHeadings"/>
              <w:rPr>
                <w:rFonts w:ascii="Century Gothic" w:hAnsi="Century Gothic"/>
                <w:szCs w:val="18"/>
              </w:rPr>
            </w:pPr>
            <w:r w:rsidRPr="00D248AC">
              <w:rPr>
                <w:rFonts w:ascii="Century Gothic" w:hAnsi="Century Gothic"/>
                <w:szCs w:val="18"/>
              </w:rPr>
              <w:t>201</w:t>
            </w:r>
            <w:r w:rsidR="00D248AC">
              <w:rPr>
                <w:rFonts w:ascii="Century Gothic" w:hAnsi="Century Gothic"/>
                <w:szCs w:val="18"/>
              </w:rPr>
              <w:t>7</w:t>
            </w:r>
            <w:r w:rsidR="00996547">
              <w:rPr>
                <w:rFonts w:ascii="Century Gothic" w:hAnsi="Century Gothic"/>
                <w:szCs w:val="18"/>
              </w:rPr>
              <w:t>(f)</w:t>
            </w:r>
          </w:p>
        </w:tc>
      </w:tr>
      <w:tr w:rsidR="000218F6" w:rsidRPr="00D248AC" w:rsidTr="000218F6">
        <w:tc>
          <w:tcPr>
            <w:tcW w:w="3055" w:type="dxa"/>
            <w:shd w:val="clear" w:color="auto" w:fill="auto"/>
          </w:tcPr>
          <w:p w:rsidR="000218F6" w:rsidRPr="000218F6" w:rsidRDefault="000218F6" w:rsidP="000218F6">
            <w:pPr>
              <w:pStyle w:val="TableBody"/>
            </w:pPr>
            <w:r w:rsidRPr="000218F6">
              <w:t>Pipelines</w:t>
            </w:r>
          </w:p>
        </w:tc>
        <w:tc>
          <w:tcPr>
            <w:tcW w:w="1076" w:type="dxa"/>
            <w:shd w:val="clear" w:color="auto" w:fill="auto"/>
          </w:tcPr>
          <w:p w:rsidR="000218F6" w:rsidRPr="000218F6" w:rsidRDefault="000218F6" w:rsidP="000218F6">
            <w:pPr>
              <w:pStyle w:val="TableBody"/>
            </w:pPr>
            <w:r w:rsidRPr="000218F6">
              <w:t xml:space="preserve"> 4.1 </w:t>
            </w:r>
          </w:p>
        </w:tc>
        <w:tc>
          <w:tcPr>
            <w:tcW w:w="1076" w:type="dxa"/>
          </w:tcPr>
          <w:p w:rsidR="000218F6" w:rsidRPr="000218F6" w:rsidRDefault="000218F6" w:rsidP="000218F6">
            <w:pPr>
              <w:pStyle w:val="TableBody"/>
            </w:pPr>
            <w:r w:rsidRPr="000218F6">
              <w:t xml:space="preserve"> 85.8 </w:t>
            </w:r>
          </w:p>
        </w:tc>
        <w:tc>
          <w:tcPr>
            <w:tcW w:w="1077" w:type="dxa"/>
            <w:shd w:val="clear" w:color="auto" w:fill="auto"/>
          </w:tcPr>
          <w:p w:rsidR="000218F6" w:rsidRPr="000218F6" w:rsidRDefault="000218F6" w:rsidP="000218F6">
            <w:pPr>
              <w:pStyle w:val="TableBody"/>
            </w:pPr>
            <w:r w:rsidRPr="000218F6">
              <w:t xml:space="preserve"> 72.1 </w:t>
            </w:r>
          </w:p>
        </w:tc>
        <w:tc>
          <w:tcPr>
            <w:tcW w:w="1076" w:type="dxa"/>
            <w:shd w:val="clear" w:color="auto" w:fill="auto"/>
          </w:tcPr>
          <w:p w:rsidR="000218F6" w:rsidRPr="000218F6" w:rsidRDefault="000218F6" w:rsidP="000218F6">
            <w:pPr>
              <w:pStyle w:val="TableBody"/>
            </w:pPr>
            <w:r w:rsidRPr="000218F6">
              <w:t xml:space="preserve"> 93.3 </w:t>
            </w:r>
          </w:p>
        </w:tc>
        <w:tc>
          <w:tcPr>
            <w:tcW w:w="1077" w:type="dxa"/>
            <w:shd w:val="clear" w:color="auto" w:fill="auto"/>
          </w:tcPr>
          <w:p w:rsidR="000218F6" w:rsidRPr="000218F6" w:rsidRDefault="000218F6" w:rsidP="000218F6">
            <w:pPr>
              <w:pStyle w:val="TableBody"/>
            </w:pPr>
            <w:r w:rsidRPr="000218F6">
              <w:t xml:space="preserve"> 43.3 </w:t>
            </w:r>
          </w:p>
        </w:tc>
      </w:tr>
      <w:tr w:rsidR="000218F6" w:rsidRPr="00D248AC" w:rsidTr="000218F6">
        <w:tc>
          <w:tcPr>
            <w:tcW w:w="3055" w:type="dxa"/>
            <w:shd w:val="clear" w:color="auto" w:fill="auto"/>
          </w:tcPr>
          <w:p w:rsidR="000218F6" w:rsidRPr="000218F6" w:rsidRDefault="000218F6" w:rsidP="000218F6">
            <w:pPr>
              <w:pStyle w:val="TableBody"/>
            </w:pPr>
            <w:r w:rsidRPr="000218F6">
              <w:t>Compressors</w:t>
            </w:r>
          </w:p>
        </w:tc>
        <w:tc>
          <w:tcPr>
            <w:tcW w:w="1076" w:type="dxa"/>
            <w:shd w:val="clear" w:color="auto" w:fill="auto"/>
          </w:tcPr>
          <w:p w:rsidR="000218F6" w:rsidRPr="000218F6" w:rsidRDefault="000218F6" w:rsidP="000218F6">
            <w:pPr>
              <w:pStyle w:val="TableBody"/>
            </w:pPr>
            <w:r w:rsidRPr="000218F6">
              <w:t xml:space="preserve"> 8.4 </w:t>
            </w:r>
          </w:p>
        </w:tc>
        <w:tc>
          <w:tcPr>
            <w:tcW w:w="1076" w:type="dxa"/>
          </w:tcPr>
          <w:p w:rsidR="000218F6" w:rsidRPr="000218F6" w:rsidRDefault="000218F6" w:rsidP="000218F6">
            <w:pPr>
              <w:pStyle w:val="TableBody"/>
            </w:pPr>
            <w:r w:rsidRPr="000218F6">
              <w:t xml:space="preserve"> 27.8 </w:t>
            </w:r>
          </w:p>
        </w:tc>
        <w:tc>
          <w:tcPr>
            <w:tcW w:w="1077" w:type="dxa"/>
            <w:shd w:val="clear" w:color="auto" w:fill="auto"/>
          </w:tcPr>
          <w:p w:rsidR="000218F6" w:rsidRPr="000218F6" w:rsidRDefault="000218F6" w:rsidP="000218F6">
            <w:pPr>
              <w:pStyle w:val="TableBody"/>
            </w:pPr>
            <w:r w:rsidRPr="000218F6">
              <w:t xml:space="preserve"> 7.8 </w:t>
            </w:r>
          </w:p>
        </w:tc>
        <w:tc>
          <w:tcPr>
            <w:tcW w:w="1076" w:type="dxa"/>
            <w:shd w:val="clear" w:color="auto" w:fill="auto"/>
          </w:tcPr>
          <w:p w:rsidR="000218F6" w:rsidRPr="000218F6" w:rsidRDefault="000218F6" w:rsidP="000218F6">
            <w:pPr>
              <w:pStyle w:val="TableBody"/>
            </w:pPr>
            <w:r w:rsidRPr="000218F6">
              <w:t xml:space="preserve"> 6.3 </w:t>
            </w:r>
          </w:p>
        </w:tc>
        <w:tc>
          <w:tcPr>
            <w:tcW w:w="1077" w:type="dxa"/>
            <w:shd w:val="clear" w:color="auto" w:fill="auto"/>
          </w:tcPr>
          <w:p w:rsidR="000218F6" w:rsidRPr="000218F6" w:rsidRDefault="000218F6" w:rsidP="000218F6">
            <w:pPr>
              <w:pStyle w:val="TableBody"/>
            </w:pPr>
            <w:r w:rsidRPr="000218F6">
              <w:t xml:space="preserve"> 1.0 </w:t>
            </w:r>
          </w:p>
        </w:tc>
      </w:tr>
      <w:tr w:rsidR="000218F6" w:rsidRPr="00D248AC" w:rsidTr="000218F6">
        <w:tc>
          <w:tcPr>
            <w:tcW w:w="3055" w:type="dxa"/>
            <w:shd w:val="clear" w:color="auto" w:fill="auto"/>
          </w:tcPr>
          <w:p w:rsidR="000218F6" w:rsidRPr="000218F6" w:rsidRDefault="000218F6" w:rsidP="000218F6">
            <w:pPr>
              <w:pStyle w:val="TableBody"/>
            </w:pPr>
            <w:r w:rsidRPr="000218F6">
              <w:t xml:space="preserve">City Gates &amp; Field </w:t>
            </w:r>
            <w:proofErr w:type="spellStart"/>
            <w:r w:rsidRPr="000218F6">
              <w:t>Regs</w:t>
            </w:r>
            <w:proofErr w:type="spellEnd"/>
          </w:p>
        </w:tc>
        <w:tc>
          <w:tcPr>
            <w:tcW w:w="1076" w:type="dxa"/>
            <w:shd w:val="clear" w:color="auto" w:fill="auto"/>
          </w:tcPr>
          <w:p w:rsidR="000218F6" w:rsidRPr="000218F6" w:rsidRDefault="000218F6" w:rsidP="000218F6">
            <w:pPr>
              <w:pStyle w:val="TableBody"/>
            </w:pPr>
            <w:r w:rsidRPr="000218F6">
              <w:t xml:space="preserve"> 1.1 </w:t>
            </w:r>
          </w:p>
        </w:tc>
        <w:tc>
          <w:tcPr>
            <w:tcW w:w="1076" w:type="dxa"/>
          </w:tcPr>
          <w:p w:rsidR="000218F6" w:rsidRPr="000218F6" w:rsidRDefault="000218F6" w:rsidP="000218F6">
            <w:pPr>
              <w:pStyle w:val="TableBody"/>
            </w:pPr>
            <w:r w:rsidRPr="000218F6">
              <w:t xml:space="preserve"> 5.1 </w:t>
            </w:r>
          </w:p>
        </w:tc>
        <w:tc>
          <w:tcPr>
            <w:tcW w:w="1077" w:type="dxa"/>
            <w:shd w:val="clear" w:color="auto" w:fill="auto"/>
          </w:tcPr>
          <w:p w:rsidR="000218F6" w:rsidRPr="000218F6" w:rsidRDefault="000218F6" w:rsidP="000218F6">
            <w:pPr>
              <w:pStyle w:val="TableBody"/>
            </w:pPr>
            <w:r w:rsidRPr="000218F6">
              <w:t xml:space="preserve"> 8.4 </w:t>
            </w:r>
          </w:p>
        </w:tc>
        <w:tc>
          <w:tcPr>
            <w:tcW w:w="1076" w:type="dxa"/>
            <w:shd w:val="clear" w:color="auto" w:fill="auto"/>
          </w:tcPr>
          <w:p w:rsidR="000218F6" w:rsidRPr="000218F6" w:rsidRDefault="000218F6" w:rsidP="000218F6">
            <w:pPr>
              <w:pStyle w:val="TableBody"/>
            </w:pPr>
            <w:r w:rsidRPr="000218F6">
              <w:t xml:space="preserve"> 1.5 </w:t>
            </w:r>
          </w:p>
        </w:tc>
        <w:tc>
          <w:tcPr>
            <w:tcW w:w="1077" w:type="dxa"/>
            <w:shd w:val="clear" w:color="auto" w:fill="auto"/>
          </w:tcPr>
          <w:p w:rsidR="000218F6" w:rsidRPr="000218F6" w:rsidRDefault="000218F6" w:rsidP="000218F6">
            <w:pPr>
              <w:pStyle w:val="TableBody"/>
            </w:pPr>
            <w:r w:rsidRPr="000218F6">
              <w:t xml:space="preserve"> 2.9 </w:t>
            </w:r>
          </w:p>
        </w:tc>
      </w:tr>
      <w:tr w:rsidR="000218F6" w:rsidRPr="00D248AC" w:rsidTr="000218F6">
        <w:tc>
          <w:tcPr>
            <w:tcW w:w="3055" w:type="dxa"/>
            <w:shd w:val="clear" w:color="auto" w:fill="auto"/>
          </w:tcPr>
          <w:p w:rsidR="000218F6" w:rsidRPr="000218F6" w:rsidRDefault="000218F6" w:rsidP="000218F6">
            <w:pPr>
              <w:pStyle w:val="TableBody"/>
            </w:pPr>
            <w:proofErr w:type="spellStart"/>
            <w:r w:rsidRPr="000218F6">
              <w:t>Odourant</w:t>
            </w:r>
            <w:proofErr w:type="spellEnd"/>
            <w:r w:rsidRPr="000218F6">
              <w:t xml:space="preserve"> Plants</w:t>
            </w:r>
          </w:p>
        </w:tc>
        <w:tc>
          <w:tcPr>
            <w:tcW w:w="1076" w:type="dxa"/>
            <w:shd w:val="clear" w:color="auto" w:fill="auto"/>
          </w:tcPr>
          <w:p w:rsidR="000218F6" w:rsidRPr="000218F6" w:rsidRDefault="000218F6" w:rsidP="000218F6">
            <w:pPr>
              <w:pStyle w:val="TableBody"/>
            </w:pPr>
            <w:r w:rsidRPr="000218F6">
              <w:t xml:space="preserve"> -   </w:t>
            </w:r>
          </w:p>
        </w:tc>
        <w:tc>
          <w:tcPr>
            <w:tcW w:w="1076" w:type="dxa"/>
          </w:tcPr>
          <w:p w:rsidR="000218F6" w:rsidRPr="000218F6" w:rsidRDefault="000218F6" w:rsidP="000218F6">
            <w:pPr>
              <w:pStyle w:val="TableBody"/>
            </w:pPr>
            <w:r w:rsidRPr="000218F6">
              <w:t xml:space="preserve"> -   </w:t>
            </w:r>
          </w:p>
        </w:tc>
        <w:tc>
          <w:tcPr>
            <w:tcW w:w="1077" w:type="dxa"/>
            <w:shd w:val="clear" w:color="auto" w:fill="auto"/>
          </w:tcPr>
          <w:p w:rsidR="000218F6" w:rsidRPr="000218F6" w:rsidRDefault="000218F6" w:rsidP="000218F6">
            <w:pPr>
              <w:pStyle w:val="TableBody"/>
            </w:pPr>
            <w:r w:rsidRPr="000218F6">
              <w:t xml:space="preserve"> -   </w:t>
            </w:r>
          </w:p>
        </w:tc>
        <w:tc>
          <w:tcPr>
            <w:tcW w:w="1076" w:type="dxa"/>
            <w:shd w:val="clear" w:color="auto" w:fill="auto"/>
          </w:tcPr>
          <w:p w:rsidR="000218F6" w:rsidRPr="000218F6" w:rsidRDefault="000218F6" w:rsidP="000218F6">
            <w:pPr>
              <w:pStyle w:val="TableBody"/>
            </w:pPr>
            <w:r w:rsidRPr="000218F6">
              <w:t xml:space="preserve"> -   </w:t>
            </w:r>
          </w:p>
        </w:tc>
        <w:tc>
          <w:tcPr>
            <w:tcW w:w="1077" w:type="dxa"/>
            <w:shd w:val="clear" w:color="auto" w:fill="auto"/>
          </w:tcPr>
          <w:p w:rsidR="000218F6" w:rsidRPr="000218F6" w:rsidRDefault="000218F6" w:rsidP="000218F6">
            <w:pPr>
              <w:pStyle w:val="TableBody"/>
            </w:pPr>
            <w:r w:rsidRPr="000218F6">
              <w:t xml:space="preserve"> -   </w:t>
            </w:r>
          </w:p>
        </w:tc>
      </w:tr>
      <w:tr w:rsidR="000218F6" w:rsidRPr="00D248AC" w:rsidTr="000218F6">
        <w:tc>
          <w:tcPr>
            <w:tcW w:w="3055" w:type="dxa"/>
            <w:shd w:val="clear" w:color="auto" w:fill="auto"/>
          </w:tcPr>
          <w:p w:rsidR="000218F6" w:rsidRPr="000218F6" w:rsidRDefault="000218F6" w:rsidP="000218F6">
            <w:pPr>
              <w:pStyle w:val="TableBody"/>
            </w:pPr>
            <w:r w:rsidRPr="000218F6">
              <w:t>Gas Quality</w:t>
            </w:r>
          </w:p>
        </w:tc>
        <w:tc>
          <w:tcPr>
            <w:tcW w:w="1076" w:type="dxa"/>
            <w:shd w:val="clear" w:color="auto" w:fill="auto"/>
          </w:tcPr>
          <w:p w:rsidR="000218F6" w:rsidRPr="000218F6" w:rsidRDefault="000218F6" w:rsidP="000218F6">
            <w:pPr>
              <w:pStyle w:val="TableBody"/>
            </w:pPr>
            <w:r w:rsidRPr="000218F6">
              <w:t xml:space="preserve"> -   </w:t>
            </w:r>
          </w:p>
        </w:tc>
        <w:tc>
          <w:tcPr>
            <w:tcW w:w="1076" w:type="dxa"/>
          </w:tcPr>
          <w:p w:rsidR="000218F6" w:rsidRPr="000218F6" w:rsidRDefault="000218F6" w:rsidP="000218F6">
            <w:pPr>
              <w:pStyle w:val="TableBody"/>
            </w:pPr>
            <w:r w:rsidRPr="000218F6">
              <w:t xml:space="preserve"> 0.1 </w:t>
            </w:r>
          </w:p>
        </w:tc>
        <w:tc>
          <w:tcPr>
            <w:tcW w:w="1077" w:type="dxa"/>
            <w:shd w:val="clear" w:color="auto" w:fill="auto"/>
          </w:tcPr>
          <w:p w:rsidR="000218F6" w:rsidRPr="000218F6" w:rsidRDefault="000218F6" w:rsidP="000218F6">
            <w:pPr>
              <w:pStyle w:val="TableBody"/>
            </w:pPr>
            <w:r w:rsidRPr="000218F6">
              <w:t xml:space="preserve"> 0.3 </w:t>
            </w:r>
          </w:p>
        </w:tc>
        <w:tc>
          <w:tcPr>
            <w:tcW w:w="1076" w:type="dxa"/>
            <w:shd w:val="clear" w:color="auto" w:fill="auto"/>
          </w:tcPr>
          <w:p w:rsidR="000218F6" w:rsidRPr="000218F6" w:rsidRDefault="000218F6" w:rsidP="000218F6">
            <w:pPr>
              <w:pStyle w:val="TableBody"/>
            </w:pPr>
            <w:r w:rsidRPr="000218F6">
              <w:t xml:space="preserve"> 0.4 </w:t>
            </w:r>
          </w:p>
        </w:tc>
        <w:tc>
          <w:tcPr>
            <w:tcW w:w="1077" w:type="dxa"/>
            <w:shd w:val="clear" w:color="auto" w:fill="auto"/>
          </w:tcPr>
          <w:p w:rsidR="000218F6" w:rsidRPr="000218F6" w:rsidRDefault="000218F6" w:rsidP="000218F6">
            <w:pPr>
              <w:pStyle w:val="TableBody"/>
            </w:pPr>
            <w:r w:rsidRPr="000218F6">
              <w:t xml:space="preserve"> 0.1 </w:t>
            </w:r>
          </w:p>
        </w:tc>
      </w:tr>
      <w:tr w:rsidR="000218F6" w:rsidRPr="00D248AC" w:rsidTr="000218F6">
        <w:tc>
          <w:tcPr>
            <w:tcW w:w="3055" w:type="dxa"/>
            <w:shd w:val="clear" w:color="auto" w:fill="auto"/>
          </w:tcPr>
          <w:p w:rsidR="000218F6" w:rsidRPr="000218F6" w:rsidRDefault="000218F6" w:rsidP="000218F6">
            <w:pPr>
              <w:pStyle w:val="TableBody"/>
            </w:pPr>
            <w:r w:rsidRPr="000218F6">
              <w:t>Other</w:t>
            </w:r>
          </w:p>
        </w:tc>
        <w:tc>
          <w:tcPr>
            <w:tcW w:w="1076" w:type="dxa"/>
            <w:shd w:val="clear" w:color="auto" w:fill="auto"/>
          </w:tcPr>
          <w:p w:rsidR="000218F6" w:rsidRPr="000218F6" w:rsidRDefault="000218F6" w:rsidP="000218F6">
            <w:pPr>
              <w:pStyle w:val="TableBody"/>
            </w:pPr>
            <w:r w:rsidRPr="000218F6">
              <w:t xml:space="preserve"> 1.9 </w:t>
            </w:r>
          </w:p>
        </w:tc>
        <w:tc>
          <w:tcPr>
            <w:tcW w:w="1076" w:type="dxa"/>
          </w:tcPr>
          <w:p w:rsidR="000218F6" w:rsidRPr="000218F6" w:rsidRDefault="000218F6" w:rsidP="000218F6">
            <w:pPr>
              <w:pStyle w:val="TableBody"/>
            </w:pPr>
            <w:r w:rsidRPr="000218F6">
              <w:t xml:space="preserve"> 5.1 </w:t>
            </w:r>
          </w:p>
        </w:tc>
        <w:tc>
          <w:tcPr>
            <w:tcW w:w="1077" w:type="dxa"/>
            <w:shd w:val="clear" w:color="auto" w:fill="auto"/>
          </w:tcPr>
          <w:p w:rsidR="000218F6" w:rsidRPr="000218F6" w:rsidRDefault="000218F6" w:rsidP="000218F6">
            <w:pPr>
              <w:pStyle w:val="TableBody"/>
            </w:pPr>
            <w:r w:rsidRPr="000218F6">
              <w:t xml:space="preserve"> 5.0 </w:t>
            </w:r>
          </w:p>
        </w:tc>
        <w:tc>
          <w:tcPr>
            <w:tcW w:w="1076" w:type="dxa"/>
            <w:shd w:val="clear" w:color="auto" w:fill="auto"/>
          </w:tcPr>
          <w:p w:rsidR="000218F6" w:rsidRPr="000218F6" w:rsidRDefault="000218F6" w:rsidP="000218F6">
            <w:pPr>
              <w:pStyle w:val="TableBody"/>
            </w:pPr>
            <w:r w:rsidRPr="000218F6">
              <w:t xml:space="preserve"> 3.5 </w:t>
            </w:r>
          </w:p>
        </w:tc>
        <w:tc>
          <w:tcPr>
            <w:tcW w:w="1077" w:type="dxa"/>
            <w:shd w:val="clear" w:color="auto" w:fill="auto"/>
          </w:tcPr>
          <w:p w:rsidR="000218F6" w:rsidRPr="000218F6" w:rsidRDefault="000218F6" w:rsidP="000218F6">
            <w:pPr>
              <w:pStyle w:val="TableBody"/>
            </w:pPr>
            <w:r w:rsidRPr="000218F6">
              <w:t xml:space="preserve"> 11.2 </w:t>
            </w:r>
          </w:p>
        </w:tc>
      </w:tr>
      <w:tr w:rsidR="000218F6" w:rsidRPr="00D248AC" w:rsidTr="000218F6">
        <w:tc>
          <w:tcPr>
            <w:tcW w:w="3055" w:type="dxa"/>
            <w:shd w:val="clear" w:color="auto" w:fill="auto"/>
          </w:tcPr>
          <w:p w:rsidR="000218F6" w:rsidRPr="000218F6" w:rsidRDefault="000218F6" w:rsidP="000218F6">
            <w:pPr>
              <w:pStyle w:val="TableBody"/>
            </w:pPr>
            <w:r w:rsidRPr="000218F6">
              <w:t>Buildings</w:t>
            </w:r>
          </w:p>
        </w:tc>
        <w:tc>
          <w:tcPr>
            <w:tcW w:w="1076" w:type="dxa"/>
            <w:shd w:val="clear" w:color="auto" w:fill="auto"/>
          </w:tcPr>
          <w:p w:rsidR="000218F6" w:rsidRPr="000218F6" w:rsidRDefault="000218F6" w:rsidP="000218F6">
            <w:pPr>
              <w:pStyle w:val="TableBody"/>
            </w:pPr>
            <w:r w:rsidRPr="000218F6">
              <w:t xml:space="preserve"> 0.0 </w:t>
            </w:r>
          </w:p>
        </w:tc>
        <w:tc>
          <w:tcPr>
            <w:tcW w:w="1076" w:type="dxa"/>
          </w:tcPr>
          <w:p w:rsidR="000218F6" w:rsidRPr="000218F6" w:rsidRDefault="000218F6" w:rsidP="000218F6">
            <w:pPr>
              <w:pStyle w:val="TableBody"/>
            </w:pPr>
            <w:r w:rsidRPr="000218F6">
              <w:t xml:space="preserve"> 0.2 </w:t>
            </w:r>
          </w:p>
        </w:tc>
        <w:tc>
          <w:tcPr>
            <w:tcW w:w="1077" w:type="dxa"/>
            <w:shd w:val="clear" w:color="auto" w:fill="auto"/>
          </w:tcPr>
          <w:p w:rsidR="000218F6" w:rsidRPr="000218F6" w:rsidRDefault="000218F6" w:rsidP="000218F6">
            <w:pPr>
              <w:pStyle w:val="TableBody"/>
            </w:pPr>
            <w:r w:rsidRPr="000218F6">
              <w:t xml:space="preserve"> 1.0 </w:t>
            </w:r>
          </w:p>
        </w:tc>
        <w:tc>
          <w:tcPr>
            <w:tcW w:w="1076" w:type="dxa"/>
            <w:shd w:val="clear" w:color="auto" w:fill="auto"/>
          </w:tcPr>
          <w:p w:rsidR="000218F6" w:rsidRPr="000218F6" w:rsidRDefault="000218F6" w:rsidP="000218F6">
            <w:pPr>
              <w:pStyle w:val="TableBody"/>
            </w:pPr>
            <w:r w:rsidRPr="000218F6">
              <w:t xml:space="preserve"> 0.1 </w:t>
            </w:r>
          </w:p>
        </w:tc>
        <w:tc>
          <w:tcPr>
            <w:tcW w:w="1077" w:type="dxa"/>
            <w:shd w:val="clear" w:color="auto" w:fill="auto"/>
          </w:tcPr>
          <w:p w:rsidR="000218F6" w:rsidRPr="000218F6" w:rsidRDefault="000218F6" w:rsidP="000218F6">
            <w:pPr>
              <w:pStyle w:val="TableBody"/>
            </w:pPr>
            <w:r w:rsidRPr="000218F6">
              <w:t xml:space="preserve"> 0.0 </w:t>
            </w:r>
          </w:p>
        </w:tc>
      </w:tr>
      <w:tr w:rsidR="000218F6" w:rsidRPr="00D248AC" w:rsidTr="000218F6">
        <w:tc>
          <w:tcPr>
            <w:tcW w:w="3055" w:type="dxa"/>
            <w:shd w:val="clear" w:color="auto" w:fill="auto"/>
          </w:tcPr>
          <w:p w:rsidR="000218F6" w:rsidRPr="000218F6" w:rsidRDefault="000218F6" w:rsidP="000218F6">
            <w:pPr>
              <w:pStyle w:val="TableBody"/>
            </w:pPr>
            <w:r w:rsidRPr="000218F6">
              <w:t>General Land</w:t>
            </w:r>
          </w:p>
        </w:tc>
        <w:tc>
          <w:tcPr>
            <w:tcW w:w="1076" w:type="dxa"/>
            <w:shd w:val="clear" w:color="auto" w:fill="auto"/>
          </w:tcPr>
          <w:p w:rsidR="000218F6" w:rsidRPr="000218F6" w:rsidRDefault="000218F6" w:rsidP="000218F6">
            <w:pPr>
              <w:pStyle w:val="TableBody"/>
            </w:pPr>
            <w:r w:rsidRPr="000218F6">
              <w:t xml:space="preserve"> -   </w:t>
            </w:r>
          </w:p>
        </w:tc>
        <w:tc>
          <w:tcPr>
            <w:tcW w:w="1076" w:type="dxa"/>
          </w:tcPr>
          <w:p w:rsidR="000218F6" w:rsidRPr="000218F6" w:rsidRDefault="000218F6" w:rsidP="000218F6">
            <w:pPr>
              <w:pStyle w:val="TableBody"/>
            </w:pPr>
            <w:r w:rsidRPr="000218F6">
              <w:t xml:space="preserve"> -   </w:t>
            </w:r>
          </w:p>
        </w:tc>
        <w:tc>
          <w:tcPr>
            <w:tcW w:w="1077" w:type="dxa"/>
            <w:shd w:val="clear" w:color="auto" w:fill="auto"/>
          </w:tcPr>
          <w:p w:rsidR="000218F6" w:rsidRPr="000218F6" w:rsidRDefault="000218F6" w:rsidP="000218F6">
            <w:pPr>
              <w:pStyle w:val="TableBody"/>
            </w:pPr>
            <w:r w:rsidRPr="000218F6">
              <w:t xml:space="preserve"> -   </w:t>
            </w:r>
          </w:p>
        </w:tc>
        <w:tc>
          <w:tcPr>
            <w:tcW w:w="1076" w:type="dxa"/>
            <w:shd w:val="clear" w:color="auto" w:fill="auto"/>
          </w:tcPr>
          <w:p w:rsidR="000218F6" w:rsidRPr="000218F6" w:rsidRDefault="000218F6" w:rsidP="000218F6">
            <w:pPr>
              <w:pStyle w:val="TableBody"/>
            </w:pPr>
            <w:r w:rsidRPr="000218F6">
              <w:t xml:space="preserve"> -   </w:t>
            </w:r>
          </w:p>
        </w:tc>
        <w:tc>
          <w:tcPr>
            <w:tcW w:w="1077" w:type="dxa"/>
            <w:shd w:val="clear" w:color="auto" w:fill="auto"/>
          </w:tcPr>
          <w:p w:rsidR="000218F6" w:rsidRPr="000218F6" w:rsidRDefault="000218F6" w:rsidP="000218F6">
            <w:pPr>
              <w:pStyle w:val="TableBody"/>
            </w:pPr>
            <w:r w:rsidRPr="000218F6">
              <w:t xml:space="preserve"> -   </w:t>
            </w:r>
          </w:p>
        </w:tc>
      </w:tr>
      <w:tr w:rsidR="000218F6" w:rsidRPr="007D0F77" w:rsidTr="000218F6">
        <w:tc>
          <w:tcPr>
            <w:tcW w:w="3055" w:type="dxa"/>
            <w:shd w:val="clear" w:color="auto" w:fill="auto"/>
          </w:tcPr>
          <w:p w:rsidR="000218F6" w:rsidRPr="007D0F77" w:rsidRDefault="000218F6" w:rsidP="000218F6">
            <w:pPr>
              <w:pStyle w:val="TableBody"/>
              <w:rPr>
                <w:b/>
              </w:rPr>
            </w:pPr>
            <w:r w:rsidRPr="007D0F77">
              <w:rPr>
                <w:b/>
              </w:rPr>
              <w:t>Total</w:t>
            </w:r>
          </w:p>
        </w:tc>
        <w:tc>
          <w:tcPr>
            <w:tcW w:w="1076" w:type="dxa"/>
            <w:shd w:val="clear" w:color="auto" w:fill="auto"/>
          </w:tcPr>
          <w:p w:rsidR="000218F6" w:rsidRPr="007D0F77" w:rsidRDefault="000218F6" w:rsidP="000218F6">
            <w:pPr>
              <w:pStyle w:val="TableBody"/>
              <w:rPr>
                <w:b/>
              </w:rPr>
            </w:pPr>
            <w:r w:rsidRPr="007D0F77">
              <w:rPr>
                <w:b/>
              </w:rPr>
              <w:t xml:space="preserve"> 15.6 </w:t>
            </w:r>
          </w:p>
        </w:tc>
        <w:tc>
          <w:tcPr>
            <w:tcW w:w="1076" w:type="dxa"/>
          </w:tcPr>
          <w:p w:rsidR="000218F6" w:rsidRPr="007D0F77" w:rsidRDefault="000218F6" w:rsidP="000218F6">
            <w:pPr>
              <w:pStyle w:val="TableBody"/>
              <w:rPr>
                <w:b/>
              </w:rPr>
            </w:pPr>
            <w:r w:rsidRPr="007D0F77">
              <w:rPr>
                <w:b/>
              </w:rPr>
              <w:t xml:space="preserve"> 124.2 </w:t>
            </w:r>
          </w:p>
        </w:tc>
        <w:tc>
          <w:tcPr>
            <w:tcW w:w="1077" w:type="dxa"/>
            <w:shd w:val="clear" w:color="auto" w:fill="auto"/>
          </w:tcPr>
          <w:p w:rsidR="000218F6" w:rsidRPr="007D0F77" w:rsidRDefault="000218F6" w:rsidP="000218F6">
            <w:pPr>
              <w:pStyle w:val="TableBody"/>
              <w:rPr>
                <w:b/>
              </w:rPr>
            </w:pPr>
            <w:r w:rsidRPr="007D0F77">
              <w:rPr>
                <w:b/>
              </w:rPr>
              <w:t xml:space="preserve"> 94.5 </w:t>
            </w:r>
          </w:p>
        </w:tc>
        <w:tc>
          <w:tcPr>
            <w:tcW w:w="1076" w:type="dxa"/>
            <w:shd w:val="clear" w:color="auto" w:fill="auto"/>
          </w:tcPr>
          <w:p w:rsidR="000218F6" w:rsidRPr="007D0F77" w:rsidRDefault="000218F6" w:rsidP="000218F6">
            <w:pPr>
              <w:pStyle w:val="TableBody"/>
              <w:rPr>
                <w:b/>
              </w:rPr>
            </w:pPr>
            <w:r w:rsidRPr="007D0F77">
              <w:rPr>
                <w:b/>
              </w:rPr>
              <w:t xml:space="preserve"> 105.0 </w:t>
            </w:r>
          </w:p>
        </w:tc>
        <w:tc>
          <w:tcPr>
            <w:tcW w:w="1077" w:type="dxa"/>
            <w:shd w:val="clear" w:color="auto" w:fill="auto"/>
          </w:tcPr>
          <w:p w:rsidR="000218F6" w:rsidRPr="007D0F77" w:rsidRDefault="000218F6" w:rsidP="000218F6">
            <w:pPr>
              <w:pStyle w:val="TableBody"/>
              <w:rPr>
                <w:b/>
              </w:rPr>
            </w:pPr>
            <w:r w:rsidRPr="007D0F77">
              <w:rPr>
                <w:b/>
              </w:rPr>
              <w:t xml:space="preserve"> 58.5 </w:t>
            </w:r>
          </w:p>
        </w:tc>
      </w:tr>
    </w:tbl>
    <w:p w:rsidR="00180AD1" w:rsidRDefault="00180AD1" w:rsidP="00180AD1">
      <w:pPr>
        <w:pStyle w:val="Heading2"/>
        <w:rPr>
          <w:lang w:eastAsia="en-AU"/>
        </w:rPr>
      </w:pPr>
      <w:bookmarkStart w:id="7" w:name="_Toc471221339"/>
      <w:r>
        <w:rPr>
          <w:lang w:eastAsia="en-AU"/>
        </w:rPr>
        <w:t>Operating expenditure</w:t>
      </w:r>
      <w:bookmarkEnd w:id="7"/>
    </w:p>
    <w:p w:rsidR="00DC7F3D" w:rsidRDefault="00180AD1" w:rsidP="00180AD1">
      <w:pPr>
        <w:pStyle w:val="BodyText"/>
        <w:rPr>
          <w:lang w:eastAsia="en-AU"/>
        </w:rPr>
      </w:pPr>
      <w:r>
        <w:rPr>
          <w:lang w:eastAsia="en-AU"/>
        </w:rPr>
        <w:t>Operating expenditure by category over the earlier Access Arrangement Period</w:t>
      </w:r>
      <w:r>
        <w:rPr>
          <w:rStyle w:val="FootnoteReference"/>
          <w:lang w:eastAsia="en-AU"/>
        </w:rPr>
        <w:footnoteReference w:id="3"/>
      </w:r>
      <w:r>
        <w:rPr>
          <w:lang w:eastAsia="en-AU"/>
        </w:rPr>
        <w:t xml:space="preserve"> is set out in Table 2.2 below. </w:t>
      </w:r>
      <w:r w:rsidR="00101072">
        <w:rPr>
          <w:lang w:eastAsia="en-AU"/>
        </w:rPr>
        <w:t xml:space="preserve">These costs are based on actual costs for </w:t>
      </w:r>
      <w:r w:rsidR="00D248AC">
        <w:rPr>
          <w:lang w:eastAsia="en-AU"/>
        </w:rPr>
        <w:t>calendar</w:t>
      </w:r>
      <w:r w:rsidR="00996547">
        <w:rPr>
          <w:lang w:eastAsia="en-AU"/>
        </w:rPr>
        <w:t xml:space="preserve"> years 2013 to 2015</w:t>
      </w:r>
      <w:r w:rsidR="00101072">
        <w:rPr>
          <w:lang w:eastAsia="en-AU"/>
        </w:rPr>
        <w:t xml:space="preserve">, </w:t>
      </w:r>
      <w:r w:rsidR="00996547">
        <w:rPr>
          <w:lang w:eastAsia="en-AU"/>
        </w:rPr>
        <w:t xml:space="preserve">estimated costs for 2016, </w:t>
      </w:r>
      <w:r w:rsidR="00101072">
        <w:rPr>
          <w:lang w:eastAsia="en-AU"/>
        </w:rPr>
        <w:t>and forecast costs for 2017.</w:t>
      </w:r>
    </w:p>
    <w:p w:rsidR="00DC7F3D" w:rsidRDefault="00180AD1" w:rsidP="00180AD1">
      <w:pPr>
        <w:pStyle w:val="Caption"/>
        <w:rPr>
          <w:lang w:eastAsia="en-AU"/>
        </w:rPr>
      </w:pPr>
      <w:proofErr w:type="gramStart"/>
      <w:r>
        <w:lastRenderedPageBreak/>
        <w:t xml:space="preserve">Table </w:t>
      </w:r>
      <w:fldSimple w:instr=" STYLEREF 1 \s ">
        <w:r w:rsidR="00154DB7">
          <w:rPr>
            <w:noProof/>
          </w:rPr>
          <w:t>2</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2</w:t>
      </w:r>
      <w:r w:rsidR="007D0F77">
        <w:rPr>
          <w:noProof/>
        </w:rPr>
        <w:fldChar w:fldCharType="end"/>
      </w:r>
      <w:r>
        <w:t xml:space="preserve">:  </w:t>
      </w:r>
      <w:r w:rsidRPr="00180AD1">
        <w:t>Operating expenditure by category over the earlier Access Arrangement Period</w:t>
      </w:r>
      <w:r w:rsidR="005F3368">
        <w:t xml:space="preserve"> ($</w:t>
      </w:r>
      <w:r w:rsidR="00AF0E62">
        <w:t>real 2017</w:t>
      </w:r>
      <w:r w:rsidR="005F3368">
        <w:t>l)</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9C04E5" w:rsidRPr="00D248AC" w:rsidTr="00C45A01">
        <w:tc>
          <w:tcPr>
            <w:tcW w:w="3055" w:type="dxa"/>
            <w:shd w:val="clear" w:color="auto" w:fill="333333"/>
          </w:tcPr>
          <w:p w:rsidR="009C04E5" w:rsidRPr="00D248AC" w:rsidRDefault="009C04E5" w:rsidP="00C45A01">
            <w:pPr>
              <w:pStyle w:val="TableColumnHeadings"/>
              <w:keepNext/>
              <w:jc w:val="left"/>
              <w:rPr>
                <w:rFonts w:ascii="Century Gothic" w:hAnsi="Century Gothic"/>
                <w:szCs w:val="18"/>
              </w:rPr>
            </w:pPr>
          </w:p>
        </w:tc>
        <w:tc>
          <w:tcPr>
            <w:tcW w:w="1076" w:type="dxa"/>
            <w:shd w:val="clear" w:color="auto" w:fill="333333"/>
          </w:tcPr>
          <w:p w:rsidR="009C04E5" w:rsidRPr="00D248AC" w:rsidRDefault="009C04E5" w:rsidP="00D248AC">
            <w:pPr>
              <w:pStyle w:val="TableColumnHeadings"/>
              <w:rPr>
                <w:rFonts w:ascii="Century Gothic" w:hAnsi="Century Gothic"/>
                <w:szCs w:val="18"/>
              </w:rPr>
            </w:pPr>
            <w:r w:rsidRPr="00D248AC">
              <w:rPr>
                <w:rFonts w:ascii="Century Gothic" w:hAnsi="Century Gothic"/>
                <w:szCs w:val="18"/>
              </w:rPr>
              <w:t>2013</w:t>
            </w:r>
          </w:p>
        </w:tc>
        <w:tc>
          <w:tcPr>
            <w:tcW w:w="1076" w:type="dxa"/>
            <w:shd w:val="clear" w:color="auto" w:fill="333333"/>
          </w:tcPr>
          <w:p w:rsidR="009C04E5" w:rsidRPr="00D248AC" w:rsidRDefault="009C04E5" w:rsidP="00D248AC">
            <w:pPr>
              <w:pStyle w:val="TableColumnHeadings"/>
              <w:rPr>
                <w:rFonts w:ascii="Century Gothic" w:hAnsi="Century Gothic"/>
                <w:szCs w:val="18"/>
              </w:rPr>
            </w:pPr>
            <w:r w:rsidRPr="00D248AC">
              <w:rPr>
                <w:rFonts w:ascii="Century Gothic" w:hAnsi="Century Gothic"/>
                <w:szCs w:val="18"/>
              </w:rPr>
              <w:t>2014</w:t>
            </w:r>
          </w:p>
        </w:tc>
        <w:tc>
          <w:tcPr>
            <w:tcW w:w="1077" w:type="dxa"/>
            <w:shd w:val="clear" w:color="auto" w:fill="333333"/>
          </w:tcPr>
          <w:p w:rsidR="009C04E5" w:rsidRPr="00D248AC" w:rsidRDefault="009C04E5" w:rsidP="00D248AC">
            <w:pPr>
              <w:pStyle w:val="TableColumnHeadings"/>
              <w:rPr>
                <w:rFonts w:ascii="Century Gothic" w:hAnsi="Century Gothic"/>
                <w:szCs w:val="18"/>
              </w:rPr>
            </w:pPr>
            <w:r w:rsidRPr="00D248AC">
              <w:rPr>
                <w:rFonts w:ascii="Century Gothic" w:hAnsi="Century Gothic"/>
                <w:szCs w:val="18"/>
              </w:rPr>
              <w:t>2015</w:t>
            </w:r>
          </w:p>
        </w:tc>
        <w:tc>
          <w:tcPr>
            <w:tcW w:w="1076" w:type="dxa"/>
            <w:shd w:val="clear" w:color="auto" w:fill="333333"/>
          </w:tcPr>
          <w:p w:rsidR="009C04E5" w:rsidRPr="00D248AC" w:rsidRDefault="009C04E5" w:rsidP="00D248AC">
            <w:pPr>
              <w:pStyle w:val="TableColumnHeadings"/>
              <w:rPr>
                <w:rFonts w:ascii="Century Gothic" w:hAnsi="Century Gothic"/>
                <w:szCs w:val="18"/>
              </w:rPr>
            </w:pPr>
            <w:r w:rsidRPr="00D248AC">
              <w:rPr>
                <w:rFonts w:ascii="Century Gothic" w:hAnsi="Century Gothic"/>
                <w:szCs w:val="18"/>
              </w:rPr>
              <w:t>2016</w:t>
            </w:r>
            <w:r w:rsidR="00996547">
              <w:rPr>
                <w:rFonts w:ascii="Century Gothic" w:hAnsi="Century Gothic"/>
                <w:szCs w:val="18"/>
              </w:rPr>
              <w:t>(e)</w:t>
            </w:r>
          </w:p>
        </w:tc>
        <w:tc>
          <w:tcPr>
            <w:tcW w:w="1077" w:type="dxa"/>
            <w:shd w:val="clear" w:color="auto" w:fill="333333"/>
          </w:tcPr>
          <w:p w:rsidR="009C04E5" w:rsidRPr="00D248AC" w:rsidRDefault="009C04E5" w:rsidP="00D248AC">
            <w:pPr>
              <w:pStyle w:val="TableColumnHeadings"/>
              <w:rPr>
                <w:rFonts w:ascii="Century Gothic" w:hAnsi="Century Gothic"/>
                <w:szCs w:val="18"/>
              </w:rPr>
            </w:pPr>
            <w:r w:rsidRPr="00D248AC">
              <w:rPr>
                <w:rFonts w:ascii="Century Gothic" w:hAnsi="Century Gothic"/>
                <w:szCs w:val="18"/>
              </w:rPr>
              <w:t>2017</w:t>
            </w:r>
            <w:r w:rsidR="00996547">
              <w:rPr>
                <w:rFonts w:ascii="Century Gothic" w:hAnsi="Century Gothic"/>
                <w:szCs w:val="18"/>
              </w:rPr>
              <w:t>(f)</w:t>
            </w:r>
          </w:p>
        </w:tc>
      </w:tr>
      <w:tr w:rsidR="000218F6" w:rsidRPr="00D248AC" w:rsidTr="000218F6">
        <w:tc>
          <w:tcPr>
            <w:tcW w:w="3055" w:type="dxa"/>
            <w:shd w:val="clear" w:color="auto" w:fill="auto"/>
            <w:vAlign w:val="center"/>
          </w:tcPr>
          <w:p w:rsidR="000218F6" w:rsidRPr="00AF0E62" w:rsidRDefault="000218F6">
            <w:pPr>
              <w:rPr>
                <w:sz w:val="18"/>
                <w:szCs w:val="18"/>
              </w:rPr>
            </w:pPr>
            <w:r w:rsidRPr="00AF0E62">
              <w:rPr>
                <w:sz w:val="18"/>
                <w:szCs w:val="18"/>
              </w:rPr>
              <w:t xml:space="preserve">Asset operations and management </w:t>
            </w:r>
          </w:p>
        </w:tc>
        <w:tc>
          <w:tcPr>
            <w:tcW w:w="1076" w:type="dxa"/>
            <w:shd w:val="clear" w:color="auto" w:fill="auto"/>
          </w:tcPr>
          <w:p w:rsidR="000218F6" w:rsidRPr="000218F6" w:rsidRDefault="000218F6" w:rsidP="000218F6">
            <w:pPr>
              <w:pStyle w:val="TableBodyCells"/>
            </w:pPr>
            <w:r w:rsidRPr="000218F6">
              <w:t xml:space="preserve"> 14.5 </w:t>
            </w:r>
          </w:p>
        </w:tc>
        <w:tc>
          <w:tcPr>
            <w:tcW w:w="1076" w:type="dxa"/>
          </w:tcPr>
          <w:p w:rsidR="000218F6" w:rsidRPr="000218F6" w:rsidRDefault="000218F6" w:rsidP="000218F6">
            <w:pPr>
              <w:pStyle w:val="TableBodyCells"/>
            </w:pPr>
            <w:r w:rsidRPr="000218F6">
              <w:t xml:space="preserve"> 15.1 </w:t>
            </w:r>
          </w:p>
        </w:tc>
        <w:tc>
          <w:tcPr>
            <w:tcW w:w="1077" w:type="dxa"/>
            <w:shd w:val="clear" w:color="auto" w:fill="auto"/>
          </w:tcPr>
          <w:p w:rsidR="000218F6" w:rsidRPr="000218F6" w:rsidRDefault="000218F6" w:rsidP="000218F6">
            <w:pPr>
              <w:pStyle w:val="TableBodyCells"/>
            </w:pPr>
            <w:r w:rsidRPr="000218F6">
              <w:t xml:space="preserve"> 15.0 </w:t>
            </w:r>
          </w:p>
        </w:tc>
        <w:tc>
          <w:tcPr>
            <w:tcW w:w="1076" w:type="dxa"/>
            <w:shd w:val="clear" w:color="auto" w:fill="auto"/>
          </w:tcPr>
          <w:p w:rsidR="000218F6" w:rsidRPr="000218F6" w:rsidRDefault="000218F6" w:rsidP="000218F6">
            <w:pPr>
              <w:pStyle w:val="TableBodyCells"/>
            </w:pPr>
            <w:r w:rsidRPr="000218F6">
              <w:t xml:space="preserve"> 17.0 </w:t>
            </w:r>
          </w:p>
        </w:tc>
        <w:tc>
          <w:tcPr>
            <w:tcW w:w="1077" w:type="dxa"/>
            <w:shd w:val="clear" w:color="auto" w:fill="auto"/>
          </w:tcPr>
          <w:p w:rsidR="000218F6" w:rsidRPr="000218F6" w:rsidRDefault="000218F6" w:rsidP="000218F6">
            <w:pPr>
              <w:pStyle w:val="TableBodyCells"/>
            </w:pPr>
            <w:r w:rsidRPr="000218F6">
              <w:t xml:space="preserve"> 17.8 </w:t>
            </w:r>
          </w:p>
        </w:tc>
      </w:tr>
      <w:tr w:rsidR="000218F6" w:rsidRPr="00D248AC" w:rsidTr="000218F6">
        <w:tc>
          <w:tcPr>
            <w:tcW w:w="3055" w:type="dxa"/>
            <w:shd w:val="clear" w:color="auto" w:fill="auto"/>
            <w:vAlign w:val="center"/>
          </w:tcPr>
          <w:p w:rsidR="000218F6" w:rsidRPr="00AF0E62" w:rsidRDefault="000218F6">
            <w:pPr>
              <w:rPr>
                <w:sz w:val="18"/>
                <w:szCs w:val="18"/>
              </w:rPr>
            </w:pPr>
            <w:r w:rsidRPr="00AF0E62">
              <w:rPr>
                <w:sz w:val="18"/>
                <w:szCs w:val="18"/>
              </w:rPr>
              <w:t>Regulatory (Asset Licences)</w:t>
            </w:r>
          </w:p>
        </w:tc>
        <w:tc>
          <w:tcPr>
            <w:tcW w:w="1076" w:type="dxa"/>
            <w:shd w:val="clear" w:color="auto" w:fill="auto"/>
          </w:tcPr>
          <w:p w:rsidR="000218F6" w:rsidRPr="000218F6" w:rsidRDefault="000218F6" w:rsidP="000218F6">
            <w:pPr>
              <w:pStyle w:val="TableBodyCells"/>
            </w:pPr>
            <w:r w:rsidRPr="000218F6">
              <w:t xml:space="preserve"> 0.4 </w:t>
            </w:r>
          </w:p>
        </w:tc>
        <w:tc>
          <w:tcPr>
            <w:tcW w:w="1076" w:type="dxa"/>
          </w:tcPr>
          <w:p w:rsidR="000218F6" w:rsidRPr="000218F6" w:rsidRDefault="000218F6" w:rsidP="000218F6">
            <w:pPr>
              <w:pStyle w:val="TableBodyCells"/>
            </w:pPr>
            <w:r w:rsidRPr="000218F6">
              <w:t xml:space="preserve"> 0.4 </w:t>
            </w:r>
          </w:p>
        </w:tc>
        <w:tc>
          <w:tcPr>
            <w:tcW w:w="1077" w:type="dxa"/>
            <w:shd w:val="clear" w:color="auto" w:fill="auto"/>
          </w:tcPr>
          <w:p w:rsidR="000218F6" w:rsidRPr="000218F6" w:rsidRDefault="000218F6" w:rsidP="000218F6">
            <w:pPr>
              <w:pStyle w:val="TableBodyCells"/>
            </w:pPr>
            <w:r w:rsidRPr="000218F6">
              <w:t xml:space="preserve"> 0.5 </w:t>
            </w:r>
          </w:p>
        </w:tc>
        <w:tc>
          <w:tcPr>
            <w:tcW w:w="1076" w:type="dxa"/>
            <w:shd w:val="clear" w:color="auto" w:fill="auto"/>
          </w:tcPr>
          <w:p w:rsidR="000218F6" w:rsidRPr="000218F6" w:rsidRDefault="000218F6" w:rsidP="000218F6">
            <w:pPr>
              <w:pStyle w:val="TableBodyCells"/>
            </w:pPr>
            <w:r w:rsidRPr="000218F6">
              <w:t xml:space="preserve"> 0.3 </w:t>
            </w:r>
          </w:p>
        </w:tc>
        <w:tc>
          <w:tcPr>
            <w:tcW w:w="1077" w:type="dxa"/>
            <w:shd w:val="clear" w:color="auto" w:fill="auto"/>
          </w:tcPr>
          <w:p w:rsidR="000218F6" w:rsidRPr="000218F6" w:rsidRDefault="000218F6" w:rsidP="000218F6">
            <w:pPr>
              <w:pStyle w:val="TableBodyCells"/>
            </w:pPr>
            <w:r w:rsidRPr="000218F6">
              <w:t xml:space="preserve"> 0.3 </w:t>
            </w:r>
          </w:p>
        </w:tc>
      </w:tr>
      <w:tr w:rsidR="000218F6" w:rsidRPr="00D248AC" w:rsidTr="000218F6">
        <w:tc>
          <w:tcPr>
            <w:tcW w:w="3055" w:type="dxa"/>
            <w:shd w:val="clear" w:color="auto" w:fill="auto"/>
            <w:vAlign w:val="center"/>
          </w:tcPr>
          <w:p w:rsidR="000218F6" w:rsidRPr="00AF0E62" w:rsidRDefault="000218F6">
            <w:pPr>
              <w:rPr>
                <w:sz w:val="18"/>
                <w:szCs w:val="18"/>
              </w:rPr>
            </w:pPr>
            <w:r w:rsidRPr="00AF0E62">
              <w:rPr>
                <w:sz w:val="18"/>
                <w:szCs w:val="18"/>
              </w:rPr>
              <w:t xml:space="preserve">Insurance </w:t>
            </w:r>
          </w:p>
        </w:tc>
        <w:tc>
          <w:tcPr>
            <w:tcW w:w="1076" w:type="dxa"/>
            <w:shd w:val="clear" w:color="auto" w:fill="auto"/>
          </w:tcPr>
          <w:p w:rsidR="000218F6" w:rsidRPr="000218F6" w:rsidRDefault="000218F6" w:rsidP="000218F6">
            <w:pPr>
              <w:pStyle w:val="TableBodyCells"/>
            </w:pPr>
            <w:r w:rsidRPr="000218F6">
              <w:t xml:space="preserve"> 1.1 </w:t>
            </w:r>
          </w:p>
        </w:tc>
        <w:tc>
          <w:tcPr>
            <w:tcW w:w="1076" w:type="dxa"/>
          </w:tcPr>
          <w:p w:rsidR="000218F6" w:rsidRPr="000218F6" w:rsidRDefault="000218F6" w:rsidP="000218F6">
            <w:pPr>
              <w:pStyle w:val="TableBodyCells"/>
            </w:pPr>
            <w:r w:rsidRPr="000218F6">
              <w:t xml:space="preserve"> 1.3 </w:t>
            </w:r>
          </w:p>
        </w:tc>
        <w:tc>
          <w:tcPr>
            <w:tcW w:w="1077" w:type="dxa"/>
            <w:shd w:val="clear" w:color="auto" w:fill="auto"/>
          </w:tcPr>
          <w:p w:rsidR="000218F6" w:rsidRPr="000218F6" w:rsidRDefault="000218F6" w:rsidP="000218F6">
            <w:pPr>
              <w:pStyle w:val="TableBodyCells"/>
            </w:pPr>
            <w:r w:rsidRPr="000218F6">
              <w:t xml:space="preserve"> 0.9 </w:t>
            </w:r>
          </w:p>
        </w:tc>
        <w:tc>
          <w:tcPr>
            <w:tcW w:w="1076" w:type="dxa"/>
            <w:shd w:val="clear" w:color="auto" w:fill="auto"/>
          </w:tcPr>
          <w:p w:rsidR="000218F6" w:rsidRPr="000218F6" w:rsidRDefault="000218F6" w:rsidP="000218F6">
            <w:pPr>
              <w:pStyle w:val="TableBodyCells"/>
            </w:pPr>
            <w:r w:rsidRPr="000218F6">
              <w:t xml:space="preserve"> 0.9 </w:t>
            </w:r>
          </w:p>
        </w:tc>
        <w:tc>
          <w:tcPr>
            <w:tcW w:w="1077" w:type="dxa"/>
            <w:shd w:val="clear" w:color="auto" w:fill="auto"/>
          </w:tcPr>
          <w:p w:rsidR="000218F6" w:rsidRPr="000218F6" w:rsidRDefault="000218F6" w:rsidP="000218F6">
            <w:pPr>
              <w:pStyle w:val="TableBodyCells"/>
            </w:pPr>
            <w:r w:rsidRPr="000218F6">
              <w:t xml:space="preserve"> 0.7 </w:t>
            </w:r>
          </w:p>
        </w:tc>
      </w:tr>
      <w:tr w:rsidR="000218F6" w:rsidRPr="00D248AC" w:rsidTr="000218F6">
        <w:tc>
          <w:tcPr>
            <w:tcW w:w="3055" w:type="dxa"/>
            <w:shd w:val="clear" w:color="auto" w:fill="auto"/>
            <w:vAlign w:val="center"/>
          </w:tcPr>
          <w:p w:rsidR="000218F6" w:rsidRPr="00AF0E62" w:rsidRDefault="000218F6">
            <w:pPr>
              <w:rPr>
                <w:sz w:val="18"/>
                <w:szCs w:val="18"/>
              </w:rPr>
            </w:pPr>
            <w:r w:rsidRPr="00AF0E62">
              <w:rPr>
                <w:sz w:val="18"/>
                <w:szCs w:val="18"/>
              </w:rPr>
              <w:t xml:space="preserve">Corporate overheads costs </w:t>
            </w:r>
          </w:p>
        </w:tc>
        <w:tc>
          <w:tcPr>
            <w:tcW w:w="1076" w:type="dxa"/>
            <w:shd w:val="clear" w:color="auto" w:fill="auto"/>
          </w:tcPr>
          <w:p w:rsidR="000218F6" w:rsidRPr="000218F6" w:rsidRDefault="000218F6" w:rsidP="000218F6">
            <w:pPr>
              <w:pStyle w:val="TableBodyCells"/>
            </w:pPr>
            <w:r w:rsidRPr="000218F6">
              <w:t xml:space="preserve"> 13.3 </w:t>
            </w:r>
          </w:p>
        </w:tc>
        <w:tc>
          <w:tcPr>
            <w:tcW w:w="1076" w:type="dxa"/>
          </w:tcPr>
          <w:p w:rsidR="000218F6" w:rsidRPr="000218F6" w:rsidRDefault="000218F6" w:rsidP="000218F6">
            <w:pPr>
              <w:pStyle w:val="TableBodyCells"/>
            </w:pPr>
            <w:r w:rsidRPr="000218F6">
              <w:t xml:space="preserve"> 8.6 </w:t>
            </w:r>
          </w:p>
        </w:tc>
        <w:tc>
          <w:tcPr>
            <w:tcW w:w="1077" w:type="dxa"/>
            <w:shd w:val="clear" w:color="auto" w:fill="auto"/>
          </w:tcPr>
          <w:p w:rsidR="000218F6" w:rsidRPr="000218F6" w:rsidRDefault="000218F6" w:rsidP="000218F6">
            <w:pPr>
              <w:pStyle w:val="TableBodyCells"/>
            </w:pPr>
            <w:r w:rsidRPr="000218F6">
              <w:t xml:space="preserve"> 9.4 </w:t>
            </w:r>
          </w:p>
        </w:tc>
        <w:tc>
          <w:tcPr>
            <w:tcW w:w="1076" w:type="dxa"/>
            <w:shd w:val="clear" w:color="auto" w:fill="auto"/>
          </w:tcPr>
          <w:p w:rsidR="000218F6" w:rsidRPr="000218F6" w:rsidRDefault="000218F6" w:rsidP="000218F6">
            <w:pPr>
              <w:pStyle w:val="TableBodyCells"/>
            </w:pPr>
            <w:r w:rsidRPr="000218F6">
              <w:t xml:space="preserve"> 7.8 </w:t>
            </w:r>
          </w:p>
        </w:tc>
        <w:tc>
          <w:tcPr>
            <w:tcW w:w="1077" w:type="dxa"/>
            <w:shd w:val="clear" w:color="auto" w:fill="auto"/>
          </w:tcPr>
          <w:p w:rsidR="000218F6" w:rsidRPr="000218F6" w:rsidRDefault="000218F6" w:rsidP="000218F6">
            <w:pPr>
              <w:pStyle w:val="TableBodyCells"/>
            </w:pPr>
            <w:r w:rsidRPr="000218F6">
              <w:t xml:space="preserve"> 6.5 </w:t>
            </w:r>
          </w:p>
        </w:tc>
      </w:tr>
      <w:tr w:rsidR="000218F6" w:rsidRPr="00D248AC" w:rsidTr="000218F6">
        <w:tc>
          <w:tcPr>
            <w:tcW w:w="3055" w:type="dxa"/>
            <w:shd w:val="clear" w:color="auto" w:fill="auto"/>
            <w:vAlign w:val="center"/>
          </w:tcPr>
          <w:p w:rsidR="000218F6" w:rsidRPr="00AF0E62" w:rsidRDefault="000218F6">
            <w:pPr>
              <w:rPr>
                <w:sz w:val="18"/>
                <w:szCs w:val="18"/>
              </w:rPr>
            </w:pPr>
            <w:r w:rsidRPr="00AF0E62">
              <w:rPr>
                <w:sz w:val="18"/>
                <w:szCs w:val="18"/>
              </w:rPr>
              <w:t>Allowances</w:t>
            </w:r>
          </w:p>
        </w:tc>
        <w:tc>
          <w:tcPr>
            <w:tcW w:w="1076" w:type="dxa"/>
            <w:shd w:val="clear" w:color="auto" w:fill="auto"/>
          </w:tcPr>
          <w:p w:rsidR="000218F6" w:rsidRPr="000218F6" w:rsidRDefault="000218F6" w:rsidP="000218F6">
            <w:pPr>
              <w:pStyle w:val="TableBodyCells"/>
            </w:pPr>
            <w:r w:rsidRPr="000218F6">
              <w:t xml:space="preserve"> -  </w:t>
            </w:r>
          </w:p>
        </w:tc>
        <w:tc>
          <w:tcPr>
            <w:tcW w:w="1076" w:type="dxa"/>
          </w:tcPr>
          <w:p w:rsidR="000218F6" w:rsidRPr="000218F6" w:rsidRDefault="000218F6" w:rsidP="000218F6">
            <w:pPr>
              <w:pStyle w:val="TableBodyCells"/>
            </w:pPr>
            <w:r w:rsidRPr="000218F6">
              <w:t xml:space="preserve"> -  </w:t>
            </w:r>
          </w:p>
        </w:tc>
        <w:tc>
          <w:tcPr>
            <w:tcW w:w="1077" w:type="dxa"/>
            <w:shd w:val="clear" w:color="auto" w:fill="auto"/>
          </w:tcPr>
          <w:p w:rsidR="000218F6" w:rsidRPr="000218F6" w:rsidRDefault="000218F6" w:rsidP="000218F6">
            <w:pPr>
              <w:pStyle w:val="TableBodyCells"/>
            </w:pPr>
            <w:r w:rsidRPr="000218F6">
              <w:t xml:space="preserve"> -  </w:t>
            </w:r>
          </w:p>
        </w:tc>
        <w:tc>
          <w:tcPr>
            <w:tcW w:w="1076" w:type="dxa"/>
            <w:shd w:val="clear" w:color="auto" w:fill="auto"/>
          </w:tcPr>
          <w:p w:rsidR="000218F6" w:rsidRPr="000218F6" w:rsidRDefault="000218F6" w:rsidP="000218F6">
            <w:pPr>
              <w:pStyle w:val="TableBodyCells"/>
            </w:pPr>
            <w:r w:rsidRPr="000218F6">
              <w:t xml:space="preserve"> -  </w:t>
            </w:r>
          </w:p>
        </w:tc>
        <w:tc>
          <w:tcPr>
            <w:tcW w:w="1077" w:type="dxa"/>
            <w:shd w:val="clear" w:color="auto" w:fill="auto"/>
          </w:tcPr>
          <w:p w:rsidR="000218F6" w:rsidRPr="000218F6" w:rsidRDefault="000218F6" w:rsidP="000218F6">
            <w:pPr>
              <w:pStyle w:val="TableBodyCells"/>
            </w:pPr>
            <w:r w:rsidRPr="000218F6">
              <w:t xml:space="preserve"> -  </w:t>
            </w:r>
          </w:p>
        </w:tc>
      </w:tr>
      <w:tr w:rsidR="000218F6" w:rsidRPr="007D0F77" w:rsidTr="000218F6">
        <w:tc>
          <w:tcPr>
            <w:tcW w:w="3055" w:type="dxa"/>
            <w:shd w:val="clear" w:color="auto" w:fill="auto"/>
            <w:vAlign w:val="center"/>
          </w:tcPr>
          <w:p w:rsidR="000218F6" w:rsidRPr="007D0F77" w:rsidRDefault="000218F6">
            <w:pPr>
              <w:rPr>
                <w:b/>
                <w:sz w:val="18"/>
                <w:szCs w:val="18"/>
              </w:rPr>
            </w:pPr>
            <w:r w:rsidRPr="007D0F77">
              <w:rPr>
                <w:b/>
                <w:sz w:val="18"/>
                <w:szCs w:val="18"/>
              </w:rPr>
              <w:t>Total operating expenditure</w:t>
            </w:r>
          </w:p>
        </w:tc>
        <w:tc>
          <w:tcPr>
            <w:tcW w:w="1076" w:type="dxa"/>
            <w:shd w:val="clear" w:color="auto" w:fill="auto"/>
          </w:tcPr>
          <w:p w:rsidR="000218F6" w:rsidRPr="007D0F77" w:rsidRDefault="000218F6" w:rsidP="000218F6">
            <w:pPr>
              <w:pStyle w:val="TableBodyCells"/>
              <w:rPr>
                <w:b/>
              </w:rPr>
            </w:pPr>
            <w:r w:rsidRPr="007D0F77">
              <w:rPr>
                <w:b/>
              </w:rPr>
              <w:t xml:space="preserve"> 29.4 </w:t>
            </w:r>
          </w:p>
        </w:tc>
        <w:tc>
          <w:tcPr>
            <w:tcW w:w="1076" w:type="dxa"/>
          </w:tcPr>
          <w:p w:rsidR="000218F6" w:rsidRPr="007D0F77" w:rsidRDefault="000218F6" w:rsidP="000218F6">
            <w:pPr>
              <w:pStyle w:val="TableBodyCells"/>
              <w:rPr>
                <w:b/>
              </w:rPr>
            </w:pPr>
            <w:r w:rsidRPr="007D0F77">
              <w:rPr>
                <w:b/>
              </w:rPr>
              <w:t xml:space="preserve"> 25.4 </w:t>
            </w:r>
          </w:p>
        </w:tc>
        <w:tc>
          <w:tcPr>
            <w:tcW w:w="1077" w:type="dxa"/>
            <w:shd w:val="clear" w:color="auto" w:fill="auto"/>
          </w:tcPr>
          <w:p w:rsidR="000218F6" w:rsidRPr="007D0F77" w:rsidRDefault="000218F6" w:rsidP="000218F6">
            <w:pPr>
              <w:pStyle w:val="TableBodyCells"/>
              <w:rPr>
                <w:b/>
              </w:rPr>
            </w:pPr>
            <w:r w:rsidRPr="007D0F77">
              <w:rPr>
                <w:b/>
              </w:rPr>
              <w:t xml:space="preserve"> 25.7 </w:t>
            </w:r>
          </w:p>
        </w:tc>
        <w:tc>
          <w:tcPr>
            <w:tcW w:w="1076" w:type="dxa"/>
            <w:shd w:val="clear" w:color="auto" w:fill="auto"/>
          </w:tcPr>
          <w:p w:rsidR="000218F6" w:rsidRPr="007D0F77" w:rsidRDefault="000218F6" w:rsidP="000218F6">
            <w:pPr>
              <w:pStyle w:val="TableBodyCells"/>
              <w:rPr>
                <w:b/>
              </w:rPr>
            </w:pPr>
            <w:r w:rsidRPr="007D0F77">
              <w:rPr>
                <w:b/>
              </w:rPr>
              <w:t xml:space="preserve"> 26.0 </w:t>
            </w:r>
          </w:p>
        </w:tc>
        <w:tc>
          <w:tcPr>
            <w:tcW w:w="1077" w:type="dxa"/>
            <w:shd w:val="clear" w:color="auto" w:fill="auto"/>
          </w:tcPr>
          <w:p w:rsidR="000218F6" w:rsidRPr="007D0F77" w:rsidRDefault="000218F6" w:rsidP="000218F6">
            <w:pPr>
              <w:pStyle w:val="TableBodyCells"/>
              <w:rPr>
                <w:b/>
              </w:rPr>
            </w:pPr>
            <w:r w:rsidRPr="007D0F77">
              <w:rPr>
                <w:b/>
              </w:rPr>
              <w:t xml:space="preserve"> 25.2 </w:t>
            </w:r>
          </w:p>
        </w:tc>
      </w:tr>
    </w:tbl>
    <w:p w:rsidR="00180AD1" w:rsidRDefault="00180AD1" w:rsidP="00180AD1">
      <w:pPr>
        <w:pStyle w:val="Heading2"/>
        <w:rPr>
          <w:lang w:eastAsia="en-AU"/>
        </w:rPr>
      </w:pPr>
      <w:bookmarkStart w:id="8" w:name="_Toc471221340"/>
      <w:r>
        <w:rPr>
          <w:lang w:eastAsia="en-AU"/>
        </w:rPr>
        <w:t>Pipeline usage</w:t>
      </w:r>
      <w:bookmarkEnd w:id="8"/>
    </w:p>
    <w:p w:rsidR="00180AD1" w:rsidRDefault="00180AD1" w:rsidP="00180AD1">
      <w:pPr>
        <w:pStyle w:val="BodyText"/>
        <w:rPr>
          <w:lang w:eastAsia="en-AU"/>
        </w:rPr>
      </w:pPr>
      <w:r>
        <w:rPr>
          <w:lang w:eastAsia="en-AU"/>
        </w:rPr>
        <w:t>Pipeline minimum, maximum and average demand figures over the earlier Access Arrangement Period</w:t>
      </w:r>
      <w:r>
        <w:rPr>
          <w:rStyle w:val="FootnoteReference"/>
          <w:lang w:eastAsia="en-AU"/>
        </w:rPr>
        <w:footnoteReference w:id="4"/>
      </w:r>
      <w:r>
        <w:rPr>
          <w:lang w:eastAsia="en-AU"/>
        </w:rPr>
        <w:t xml:space="preserve"> are set out in Table 2.3 below. These figures are based on actual demand for </w:t>
      </w:r>
      <w:r w:rsidR="00D248AC">
        <w:rPr>
          <w:lang w:eastAsia="en-AU"/>
        </w:rPr>
        <w:t>calendar</w:t>
      </w:r>
      <w:r>
        <w:rPr>
          <w:lang w:eastAsia="en-AU"/>
        </w:rPr>
        <w:t xml:space="preserve"> years 201</w:t>
      </w:r>
      <w:r w:rsidR="00101072">
        <w:rPr>
          <w:lang w:eastAsia="en-AU"/>
        </w:rPr>
        <w:t>3</w:t>
      </w:r>
      <w:r w:rsidR="00C45A01">
        <w:rPr>
          <w:lang w:eastAsia="en-AU"/>
        </w:rPr>
        <w:t xml:space="preserve"> to </w:t>
      </w:r>
      <w:r w:rsidR="00996547">
        <w:rPr>
          <w:lang w:eastAsia="en-AU"/>
        </w:rPr>
        <w:t xml:space="preserve">2015, and estimated demand for </w:t>
      </w:r>
      <w:r w:rsidR="00C45A01">
        <w:rPr>
          <w:lang w:eastAsia="en-AU"/>
        </w:rPr>
        <w:t>2016</w:t>
      </w:r>
      <w:r>
        <w:rPr>
          <w:lang w:eastAsia="en-AU"/>
        </w:rPr>
        <w:t>.</w:t>
      </w:r>
      <w:r w:rsidR="00996547">
        <w:rPr>
          <w:lang w:eastAsia="en-AU"/>
        </w:rPr>
        <w:t xml:space="preserve"> 2013 demand is shown for the full year.</w:t>
      </w:r>
    </w:p>
    <w:p w:rsidR="00C45A01" w:rsidRPr="00C45A01" w:rsidRDefault="00C45A01" w:rsidP="00C45A01">
      <w:pPr>
        <w:pStyle w:val="BodyText"/>
        <w:keepNext/>
        <w:rPr>
          <w:bCs/>
          <w:i/>
          <w:lang w:eastAsia="en-AU"/>
        </w:rPr>
      </w:pPr>
      <w:proofErr w:type="gramStart"/>
      <w:r w:rsidRPr="00C45A01">
        <w:rPr>
          <w:bCs/>
          <w:i/>
          <w:lang w:eastAsia="en-AU"/>
        </w:rPr>
        <w:t xml:space="preserve">Table </w:t>
      </w:r>
      <w:r w:rsidRPr="00C45A01">
        <w:rPr>
          <w:bCs/>
          <w:i/>
          <w:lang w:eastAsia="en-AU"/>
        </w:rPr>
        <w:fldChar w:fldCharType="begin"/>
      </w:r>
      <w:r w:rsidRPr="00C45A01">
        <w:rPr>
          <w:bCs/>
          <w:i/>
          <w:lang w:eastAsia="en-AU"/>
        </w:rPr>
        <w:instrText xml:space="preserve"> STYLEREF 1 \s </w:instrText>
      </w:r>
      <w:r w:rsidRPr="00C45A01">
        <w:rPr>
          <w:bCs/>
          <w:i/>
          <w:lang w:eastAsia="en-AU"/>
        </w:rPr>
        <w:fldChar w:fldCharType="separate"/>
      </w:r>
      <w:r w:rsidR="00154DB7">
        <w:rPr>
          <w:bCs/>
          <w:i/>
          <w:noProof/>
          <w:lang w:eastAsia="en-AU"/>
        </w:rPr>
        <w:t>2</w:t>
      </w:r>
      <w:r w:rsidRPr="00C45A01">
        <w:rPr>
          <w:lang w:eastAsia="en-AU"/>
        </w:rPr>
        <w:fldChar w:fldCharType="end"/>
      </w:r>
      <w:r w:rsidRPr="00C45A01">
        <w:rPr>
          <w:bCs/>
          <w:i/>
          <w:lang w:eastAsia="en-AU"/>
        </w:rPr>
        <w:t>.</w:t>
      </w:r>
      <w:proofErr w:type="gramEnd"/>
      <w:r w:rsidRPr="00C45A01">
        <w:rPr>
          <w:bCs/>
          <w:i/>
          <w:lang w:eastAsia="en-AU"/>
        </w:rPr>
        <w:fldChar w:fldCharType="begin"/>
      </w:r>
      <w:r w:rsidRPr="00C45A01">
        <w:rPr>
          <w:bCs/>
          <w:i/>
          <w:lang w:eastAsia="en-AU"/>
        </w:rPr>
        <w:instrText xml:space="preserve"> SEQ Table \* ARABIC \s 1 </w:instrText>
      </w:r>
      <w:r w:rsidRPr="00C45A01">
        <w:rPr>
          <w:bCs/>
          <w:i/>
          <w:lang w:eastAsia="en-AU"/>
        </w:rPr>
        <w:fldChar w:fldCharType="separate"/>
      </w:r>
      <w:r w:rsidR="00154DB7">
        <w:rPr>
          <w:bCs/>
          <w:i/>
          <w:noProof/>
          <w:lang w:eastAsia="en-AU"/>
        </w:rPr>
        <w:t>3</w:t>
      </w:r>
      <w:r w:rsidRPr="00C45A01">
        <w:rPr>
          <w:lang w:eastAsia="en-AU"/>
        </w:rPr>
        <w:fldChar w:fldCharType="end"/>
      </w:r>
      <w:r w:rsidRPr="00C45A01">
        <w:rPr>
          <w:bCs/>
          <w:i/>
          <w:lang w:eastAsia="en-AU"/>
        </w:rPr>
        <w:t>:  Minimum</w:t>
      </w:r>
      <w:r w:rsidR="00A366A8">
        <w:rPr>
          <w:bCs/>
          <w:i/>
          <w:lang w:eastAsia="en-AU"/>
        </w:rPr>
        <w:t>, average and maximum demand by delivery point</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216"/>
        <w:gridCol w:w="78"/>
        <w:gridCol w:w="793"/>
        <w:gridCol w:w="37"/>
        <w:gridCol w:w="992"/>
        <w:gridCol w:w="13"/>
        <w:gridCol w:w="1177"/>
        <w:gridCol w:w="1079"/>
        <w:gridCol w:w="1052"/>
      </w:tblGrid>
      <w:tr w:rsidR="00A665D0" w:rsidRPr="00C45A01" w:rsidTr="002E7D7E">
        <w:trPr>
          <w:tblHeader/>
        </w:trPr>
        <w:tc>
          <w:tcPr>
            <w:tcW w:w="3294" w:type="dxa"/>
            <w:gridSpan w:val="2"/>
            <w:tcBorders>
              <w:bottom w:val="single" w:sz="6" w:space="0" w:color="000000"/>
            </w:tcBorders>
            <w:shd w:val="clear" w:color="auto" w:fill="333333"/>
          </w:tcPr>
          <w:p w:rsidR="00A665D0" w:rsidRPr="00C45A01" w:rsidRDefault="00A665D0" w:rsidP="00960678">
            <w:pPr>
              <w:pStyle w:val="BodyText"/>
              <w:keepNext/>
              <w:spacing w:before="40" w:after="40" w:line="240" w:lineRule="auto"/>
              <w:jc w:val="left"/>
              <w:rPr>
                <w:b/>
                <w:bCs/>
                <w:color w:val="FFFFFF" w:themeColor="background1"/>
                <w:sz w:val="18"/>
                <w:szCs w:val="18"/>
                <w:lang w:eastAsia="en-AU"/>
              </w:rPr>
            </w:pPr>
            <w:r w:rsidRPr="00C45A01">
              <w:rPr>
                <w:b/>
                <w:bCs/>
                <w:color w:val="FFFFFF" w:themeColor="background1"/>
                <w:sz w:val="18"/>
                <w:szCs w:val="18"/>
                <w:lang w:eastAsia="en-AU"/>
              </w:rPr>
              <w:t>Delivery point</w:t>
            </w:r>
            <w:r w:rsidR="002E7D7E">
              <w:rPr>
                <w:b/>
                <w:bCs/>
                <w:color w:val="FFFFFF" w:themeColor="background1"/>
                <w:sz w:val="18"/>
                <w:szCs w:val="18"/>
                <w:lang w:eastAsia="en-AU"/>
              </w:rPr>
              <w:t xml:space="preserve"> </w:t>
            </w:r>
            <w:r w:rsidRPr="00C45A01">
              <w:rPr>
                <w:b/>
                <w:bCs/>
                <w:color w:val="FFFFFF" w:themeColor="background1"/>
                <w:sz w:val="18"/>
                <w:szCs w:val="18"/>
                <w:lang w:eastAsia="en-AU"/>
              </w:rPr>
              <w:t>Minimum</w:t>
            </w:r>
            <w:r w:rsidR="002E7D7E">
              <w:rPr>
                <w:b/>
                <w:bCs/>
                <w:color w:val="FFFFFF" w:themeColor="background1"/>
                <w:sz w:val="18"/>
                <w:szCs w:val="18"/>
                <w:lang w:eastAsia="en-AU"/>
              </w:rPr>
              <w:t>, Maximum and Average</w:t>
            </w:r>
            <w:r w:rsidRPr="00C45A01">
              <w:rPr>
                <w:b/>
                <w:bCs/>
                <w:color w:val="FFFFFF" w:themeColor="background1"/>
                <w:sz w:val="18"/>
                <w:szCs w:val="18"/>
                <w:lang w:eastAsia="en-AU"/>
              </w:rPr>
              <w:t xml:space="preserve"> Demand (</w:t>
            </w:r>
            <w:r w:rsidR="00960678">
              <w:rPr>
                <w:b/>
                <w:bCs/>
                <w:color w:val="FFFFFF" w:themeColor="background1"/>
                <w:sz w:val="18"/>
                <w:szCs w:val="18"/>
                <w:lang w:eastAsia="en-AU"/>
              </w:rPr>
              <w:t>T</w:t>
            </w:r>
            <w:r w:rsidRPr="00C45A01">
              <w:rPr>
                <w:b/>
                <w:bCs/>
                <w:color w:val="FFFFFF" w:themeColor="background1"/>
                <w:sz w:val="18"/>
                <w:szCs w:val="18"/>
                <w:lang w:eastAsia="en-AU"/>
              </w:rPr>
              <w:t>J</w:t>
            </w:r>
            <w:r w:rsidR="00960678">
              <w:rPr>
                <w:b/>
                <w:bCs/>
                <w:color w:val="FFFFFF" w:themeColor="background1"/>
                <w:sz w:val="18"/>
                <w:szCs w:val="18"/>
                <w:lang w:eastAsia="en-AU"/>
              </w:rPr>
              <w:t>/day</w:t>
            </w:r>
            <w:r w:rsidRPr="00C45A01">
              <w:rPr>
                <w:b/>
                <w:bCs/>
                <w:color w:val="FFFFFF" w:themeColor="background1"/>
                <w:sz w:val="18"/>
                <w:szCs w:val="18"/>
                <w:lang w:eastAsia="en-AU"/>
              </w:rPr>
              <w:t>)</w:t>
            </w:r>
          </w:p>
        </w:tc>
        <w:tc>
          <w:tcPr>
            <w:tcW w:w="830" w:type="dxa"/>
            <w:gridSpan w:val="2"/>
            <w:tcBorders>
              <w:bottom w:val="single" w:sz="6" w:space="0" w:color="000000"/>
            </w:tcBorders>
            <w:shd w:val="clear" w:color="auto" w:fill="333333"/>
          </w:tcPr>
          <w:p w:rsidR="00A665D0" w:rsidRPr="00C45A01" w:rsidRDefault="00A665D0" w:rsidP="005D5766">
            <w:pPr>
              <w:pStyle w:val="BodyText"/>
              <w:spacing w:before="40" w:after="40" w:line="240" w:lineRule="auto"/>
              <w:jc w:val="center"/>
              <w:rPr>
                <w:b/>
                <w:color w:val="FFFFFF" w:themeColor="background1"/>
                <w:sz w:val="18"/>
                <w:szCs w:val="18"/>
                <w:lang w:eastAsia="en-AU"/>
              </w:rPr>
            </w:pPr>
          </w:p>
        </w:tc>
        <w:tc>
          <w:tcPr>
            <w:tcW w:w="992" w:type="dxa"/>
            <w:tcBorders>
              <w:bottom w:val="single" w:sz="6" w:space="0" w:color="000000"/>
            </w:tcBorders>
            <w:shd w:val="clear" w:color="auto" w:fill="333333"/>
            <w:vAlign w:val="center"/>
          </w:tcPr>
          <w:p w:rsidR="00A665D0" w:rsidRPr="00C45A01" w:rsidRDefault="00A665D0" w:rsidP="00D248AC">
            <w:pPr>
              <w:pStyle w:val="BodyText"/>
              <w:spacing w:before="40" w:after="40" w:line="240" w:lineRule="auto"/>
              <w:jc w:val="center"/>
              <w:rPr>
                <w:b/>
                <w:color w:val="FFFFFF" w:themeColor="background1"/>
                <w:sz w:val="18"/>
                <w:szCs w:val="18"/>
                <w:lang w:eastAsia="en-AU"/>
              </w:rPr>
            </w:pPr>
            <w:r w:rsidRPr="00C45A01">
              <w:rPr>
                <w:b/>
                <w:color w:val="FFFFFF" w:themeColor="background1"/>
                <w:sz w:val="18"/>
                <w:szCs w:val="18"/>
                <w:lang w:eastAsia="en-AU"/>
              </w:rPr>
              <w:t>2013</w:t>
            </w:r>
          </w:p>
        </w:tc>
        <w:tc>
          <w:tcPr>
            <w:tcW w:w="1190" w:type="dxa"/>
            <w:gridSpan w:val="2"/>
            <w:tcBorders>
              <w:bottom w:val="single" w:sz="6" w:space="0" w:color="000000"/>
            </w:tcBorders>
            <w:shd w:val="clear" w:color="auto" w:fill="333333"/>
            <w:vAlign w:val="center"/>
          </w:tcPr>
          <w:p w:rsidR="00A665D0" w:rsidRPr="00C45A01" w:rsidRDefault="00A665D0" w:rsidP="00D248AC">
            <w:pPr>
              <w:pStyle w:val="BodyText"/>
              <w:spacing w:before="40" w:after="40" w:line="240" w:lineRule="auto"/>
              <w:jc w:val="center"/>
              <w:rPr>
                <w:b/>
                <w:color w:val="FFFFFF" w:themeColor="background1"/>
                <w:sz w:val="18"/>
                <w:szCs w:val="18"/>
                <w:lang w:eastAsia="en-AU"/>
              </w:rPr>
            </w:pPr>
            <w:r w:rsidRPr="00C45A01">
              <w:rPr>
                <w:b/>
                <w:color w:val="FFFFFF" w:themeColor="background1"/>
                <w:sz w:val="18"/>
                <w:szCs w:val="18"/>
                <w:lang w:eastAsia="en-AU"/>
              </w:rPr>
              <w:t>2014</w:t>
            </w:r>
          </w:p>
        </w:tc>
        <w:tc>
          <w:tcPr>
            <w:tcW w:w="1079" w:type="dxa"/>
            <w:tcBorders>
              <w:bottom w:val="single" w:sz="6" w:space="0" w:color="000000"/>
            </w:tcBorders>
            <w:shd w:val="clear" w:color="auto" w:fill="333333"/>
            <w:vAlign w:val="center"/>
          </w:tcPr>
          <w:p w:rsidR="00A665D0" w:rsidRPr="00C45A01" w:rsidRDefault="00A665D0" w:rsidP="00D248AC">
            <w:pPr>
              <w:pStyle w:val="BodyText"/>
              <w:spacing w:before="40" w:after="40" w:line="240" w:lineRule="auto"/>
              <w:jc w:val="center"/>
              <w:rPr>
                <w:b/>
                <w:color w:val="FFFFFF" w:themeColor="background1"/>
                <w:sz w:val="18"/>
                <w:szCs w:val="18"/>
                <w:lang w:eastAsia="en-AU"/>
              </w:rPr>
            </w:pPr>
            <w:r w:rsidRPr="00C45A01">
              <w:rPr>
                <w:b/>
                <w:color w:val="FFFFFF" w:themeColor="background1"/>
                <w:sz w:val="18"/>
                <w:szCs w:val="18"/>
                <w:lang w:eastAsia="en-AU"/>
              </w:rPr>
              <w:t>2015</w:t>
            </w:r>
          </w:p>
        </w:tc>
        <w:tc>
          <w:tcPr>
            <w:tcW w:w="1052" w:type="dxa"/>
            <w:tcBorders>
              <w:bottom w:val="single" w:sz="6" w:space="0" w:color="000000"/>
            </w:tcBorders>
            <w:shd w:val="clear" w:color="auto" w:fill="333333"/>
            <w:vAlign w:val="center"/>
          </w:tcPr>
          <w:p w:rsidR="00A665D0" w:rsidRPr="00C45A01" w:rsidRDefault="00A665D0" w:rsidP="00D248AC">
            <w:pPr>
              <w:pStyle w:val="BodyText"/>
              <w:spacing w:before="40" w:after="40" w:line="240" w:lineRule="auto"/>
              <w:jc w:val="center"/>
              <w:rPr>
                <w:b/>
                <w:color w:val="FFFFFF" w:themeColor="background1"/>
                <w:sz w:val="18"/>
                <w:szCs w:val="18"/>
                <w:lang w:eastAsia="en-AU"/>
              </w:rPr>
            </w:pPr>
            <w:r w:rsidRPr="00C45A01">
              <w:rPr>
                <w:b/>
                <w:color w:val="FFFFFF" w:themeColor="background1"/>
                <w:sz w:val="18"/>
                <w:szCs w:val="18"/>
                <w:lang w:eastAsia="en-AU"/>
              </w:rPr>
              <w:t>2016</w:t>
            </w:r>
            <w:r w:rsidR="00996547">
              <w:rPr>
                <w:b/>
                <w:color w:val="FFFFFF" w:themeColor="background1"/>
                <w:sz w:val="18"/>
                <w:szCs w:val="18"/>
                <w:lang w:eastAsia="en-AU"/>
              </w:rPr>
              <w:t>(e)</w:t>
            </w:r>
          </w:p>
        </w:tc>
      </w:tr>
      <w:tr w:rsidR="00960678" w:rsidRPr="00C45A01" w:rsidTr="00960678">
        <w:tc>
          <w:tcPr>
            <w:tcW w:w="3294" w:type="dxa"/>
            <w:gridSpan w:val="2"/>
            <w:tcBorders>
              <w:bottom w:val="nil"/>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r w:rsidRPr="00960678">
              <w:rPr>
                <w:sz w:val="18"/>
                <w:szCs w:val="18"/>
                <w:lang w:eastAsia="en-AU"/>
              </w:rPr>
              <w:t>Exports Culcairn</w:t>
            </w:r>
          </w:p>
        </w:tc>
        <w:tc>
          <w:tcPr>
            <w:tcW w:w="830" w:type="dxa"/>
            <w:gridSpan w:val="2"/>
            <w:tcBorders>
              <w:bottom w:val="nil"/>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MIN</w:t>
            </w:r>
          </w:p>
        </w:tc>
        <w:tc>
          <w:tcPr>
            <w:tcW w:w="992"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1.3</w:t>
            </w:r>
          </w:p>
        </w:tc>
        <w:tc>
          <w:tcPr>
            <w:tcW w:w="1190" w:type="dxa"/>
            <w:gridSpan w:val="2"/>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c>
          <w:tcPr>
            <w:tcW w:w="1079"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c>
          <w:tcPr>
            <w:tcW w:w="1052"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3.2</w:t>
            </w:r>
          </w:p>
        </w:tc>
      </w:tr>
      <w:tr w:rsidR="00960678" w:rsidRPr="00C45A01" w:rsidTr="00960678">
        <w:tc>
          <w:tcPr>
            <w:tcW w:w="3294" w:type="dxa"/>
            <w:gridSpan w:val="2"/>
            <w:tcBorders>
              <w:top w:val="nil"/>
              <w:bottom w:val="nil"/>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p>
        </w:tc>
        <w:tc>
          <w:tcPr>
            <w:tcW w:w="830" w:type="dxa"/>
            <w:gridSpan w:val="2"/>
            <w:tcBorders>
              <w:top w:val="nil"/>
              <w:bottom w:val="nil"/>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AVG</w:t>
            </w:r>
          </w:p>
        </w:tc>
        <w:tc>
          <w:tcPr>
            <w:tcW w:w="992"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83.0</w:t>
            </w:r>
          </w:p>
        </w:tc>
        <w:tc>
          <w:tcPr>
            <w:tcW w:w="1190" w:type="dxa"/>
            <w:gridSpan w:val="2"/>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85.3</w:t>
            </w:r>
          </w:p>
        </w:tc>
        <w:tc>
          <w:tcPr>
            <w:tcW w:w="1079"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119.0</w:t>
            </w:r>
          </w:p>
        </w:tc>
        <w:tc>
          <w:tcPr>
            <w:tcW w:w="1052"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128.4</w:t>
            </w:r>
          </w:p>
        </w:tc>
      </w:tr>
      <w:tr w:rsidR="00960678" w:rsidRPr="00C45A01" w:rsidTr="00960678">
        <w:tc>
          <w:tcPr>
            <w:tcW w:w="3216" w:type="dxa"/>
            <w:tcBorders>
              <w:top w:val="nil"/>
              <w:bottom w:val="single" w:sz="6" w:space="0" w:color="000000"/>
            </w:tcBorders>
            <w:shd w:val="clear" w:color="auto" w:fill="auto"/>
            <w:vAlign w:val="center"/>
          </w:tcPr>
          <w:p w:rsidR="00960678" w:rsidRPr="00C45A01" w:rsidRDefault="00960678" w:rsidP="005D5766">
            <w:pPr>
              <w:pStyle w:val="BodyText"/>
              <w:spacing w:before="40" w:after="40" w:line="240" w:lineRule="auto"/>
              <w:rPr>
                <w:sz w:val="18"/>
                <w:szCs w:val="18"/>
                <w:lang w:eastAsia="en-AU"/>
              </w:rPr>
            </w:pPr>
          </w:p>
        </w:tc>
        <w:tc>
          <w:tcPr>
            <w:tcW w:w="871" w:type="dxa"/>
            <w:gridSpan w:val="2"/>
            <w:tcBorders>
              <w:top w:val="nil"/>
              <w:bottom w:val="single" w:sz="6" w:space="0" w:color="000000"/>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MAX</w:t>
            </w:r>
          </w:p>
        </w:tc>
        <w:tc>
          <w:tcPr>
            <w:tcW w:w="1042" w:type="dxa"/>
            <w:gridSpan w:val="3"/>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49.3</w:t>
            </w:r>
          </w:p>
        </w:tc>
        <w:tc>
          <w:tcPr>
            <w:tcW w:w="1177"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27.0</w:t>
            </w:r>
          </w:p>
        </w:tc>
        <w:tc>
          <w:tcPr>
            <w:tcW w:w="1079"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38.9</w:t>
            </w:r>
          </w:p>
        </w:tc>
        <w:tc>
          <w:tcPr>
            <w:tcW w:w="1052"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62.1</w:t>
            </w:r>
          </w:p>
        </w:tc>
      </w:tr>
      <w:tr w:rsidR="00960678" w:rsidRPr="00C45A01" w:rsidTr="00960678">
        <w:tc>
          <w:tcPr>
            <w:tcW w:w="3294" w:type="dxa"/>
            <w:gridSpan w:val="2"/>
            <w:tcBorders>
              <w:bottom w:val="nil"/>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r w:rsidRPr="00960678">
              <w:rPr>
                <w:sz w:val="18"/>
                <w:szCs w:val="18"/>
                <w:lang w:eastAsia="en-AU"/>
              </w:rPr>
              <w:t xml:space="preserve">Exports </w:t>
            </w:r>
            <w:proofErr w:type="spellStart"/>
            <w:r w:rsidRPr="00960678">
              <w:rPr>
                <w:sz w:val="18"/>
                <w:szCs w:val="18"/>
                <w:lang w:eastAsia="en-AU"/>
              </w:rPr>
              <w:t>VicHub</w:t>
            </w:r>
            <w:proofErr w:type="spellEnd"/>
          </w:p>
        </w:tc>
        <w:tc>
          <w:tcPr>
            <w:tcW w:w="830" w:type="dxa"/>
            <w:gridSpan w:val="2"/>
            <w:tcBorders>
              <w:bottom w:val="nil"/>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MIN</w:t>
            </w:r>
          </w:p>
        </w:tc>
        <w:tc>
          <w:tcPr>
            <w:tcW w:w="992"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c>
          <w:tcPr>
            <w:tcW w:w="1190" w:type="dxa"/>
            <w:gridSpan w:val="2"/>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c>
          <w:tcPr>
            <w:tcW w:w="1079"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c>
          <w:tcPr>
            <w:tcW w:w="1052"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r>
      <w:tr w:rsidR="00960678" w:rsidRPr="00C45A01" w:rsidTr="00960678">
        <w:tc>
          <w:tcPr>
            <w:tcW w:w="3294" w:type="dxa"/>
            <w:gridSpan w:val="2"/>
            <w:tcBorders>
              <w:top w:val="nil"/>
              <w:bottom w:val="nil"/>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p>
        </w:tc>
        <w:tc>
          <w:tcPr>
            <w:tcW w:w="830" w:type="dxa"/>
            <w:gridSpan w:val="2"/>
            <w:tcBorders>
              <w:top w:val="nil"/>
              <w:bottom w:val="nil"/>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AVG</w:t>
            </w:r>
          </w:p>
        </w:tc>
        <w:tc>
          <w:tcPr>
            <w:tcW w:w="992"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35.1</w:t>
            </w:r>
          </w:p>
        </w:tc>
        <w:tc>
          <w:tcPr>
            <w:tcW w:w="1190" w:type="dxa"/>
            <w:gridSpan w:val="2"/>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26.2</w:t>
            </w:r>
          </w:p>
        </w:tc>
        <w:tc>
          <w:tcPr>
            <w:tcW w:w="1079"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25.0</w:t>
            </w:r>
          </w:p>
        </w:tc>
        <w:tc>
          <w:tcPr>
            <w:tcW w:w="1052"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26.0</w:t>
            </w:r>
          </w:p>
        </w:tc>
      </w:tr>
      <w:tr w:rsidR="00960678" w:rsidRPr="00C45A01" w:rsidTr="00960678">
        <w:tc>
          <w:tcPr>
            <w:tcW w:w="3216" w:type="dxa"/>
            <w:tcBorders>
              <w:top w:val="nil"/>
              <w:bottom w:val="single" w:sz="6" w:space="0" w:color="000000"/>
            </w:tcBorders>
            <w:shd w:val="clear" w:color="auto" w:fill="auto"/>
            <w:vAlign w:val="center"/>
          </w:tcPr>
          <w:p w:rsidR="00960678" w:rsidRPr="00C45A01" w:rsidRDefault="00960678" w:rsidP="005D5766">
            <w:pPr>
              <w:pStyle w:val="BodyText"/>
              <w:spacing w:before="40" w:after="40" w:line="240" w:lineRule="auto"/>
              <w:rPr>
                <w:sz w:val="18"/>
                <w:szCs w:val="18"/>
                <w:lang w:eastAsia="en-AU"/>
              </w:rPr>
            </w:pPr>
          </w:p>
        </w:tc>
        <w:tc>
          <w:tcPr>
            <w:tcW w:w="871" w:type="dxa"/>
            <w:gridSpan w:val="2"/>
            <w:tcBorders>
              <w:top w:val="nil"/>
              <w:bottom w:val="single" w:sz="6" w:space="0" w:color="000000"/>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MAX</w:t>
            </w:r>
          </w:p>
        </w:tc>
        <w:tc>
          <w:tcPr>
            <w:tcW w:w="1042" w:type="dxa"/>
            <w:gridSpan w:val="3"/>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8.4</w:t>
            </w:r>
          </w:p>
        </w:tc>
        <w:tc>
          <w:tcPr>
            <w:tcW w:w="1177"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5.7</w:t>
            </w:r>
          </w:p>
        </w:tc>
        <w:tc>
          <w:tcPr>
            <w:tcW w:w="1079"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5.2</w:t>
            </w:r>
          </w:p>
        </w:tc>
        <w:tc>
          <w:tcPr>
            <w:tcW w:w="1052"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5.7</w:t>
            </w:r>
          </w:p>
        </w:tc>
      </w:tr>
      <w:tr w:rsidR="00960678" w:rsidRPr="00C45A01" w:rsidTr="00960678">
        <w:tc>
          <w:tcPr>
            <w:tcW w:w="3294" w:type="dxa"/>
            <w:gridSpan w:val="2"/>
            <w:tcBorders>
              <w:bottom w:val="nil"/>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r w:rsidRPr="00960678">
              <w:rPr>
                <w:sz w:val="18"/>
                <w:szCs w:val="18"/>
                <w:lang w:eastAsia="en-AU"/>
              </w:rPr>
              <w:t>Exports Port Campbell</w:t>
            </w:r>
          </w:p>
        </w:tc>
        <w:tc>
          <w:tcPr>
            <w:tcW w:w="830" w:type="dxa"/>
            <w:gridSpan w:val="2"/>
            <w:tcBorders>
              <w:bottom w:val="nil"/>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MIN</w:t>
            </w:r>
          </w:p>
        </w:tc>
        <w:tc>
          <w:tcPr>
            <w:tcW w:w="992"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c>
          <w:tcPr>
            <w:tcW w:w="1190" w:type="dxa"/>
            <w:gridSpan w:val="2"/>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c>
          <w:tcPr>
            <w:tcW w:w="1079"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c>
          <w:tcPr>
            <w:tcW w:w="1052"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r>
      <w:tr w:rsidR="00960678" w:rsidRPr="00C45A01" w:rsidTr="00960678">
        <w:tc>
          <w:tcPr>
            <w:tcW w:w="3294" w:type="dxa"/>
            <w:gridSpan w:val="2"/>
            <w:tcBorders>
              <w:top w:val="nil"/>
              <w:bottom w:val="nil"/>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p>
        </w:tc>
        <w:tc>
          <w:tcPr>
            <w:tcW w:w="830" w:type="dxa"/>
            <w:gridSpan w:val="2"/>
            <w:tcBorders>
              <w:top w:val="nil"/>
              <w:bottom w:val="nil"/>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AVG</w:t>
            </w:r>
          </w:p>
        </w:tc>
        <w:tc>
          <w:tcPr>
            <w:tcW w:w="992"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98.7</w:t>
            </w:r>
          </w:p>
        </w:tc>
        <w:tc>
          <w:tcPr>
            <w:tcW w:w="1190" w:type="dxa"/>
            <w:gridSpan w:val="2"/>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105.4</w:t>
            </w:r>
          </w:p>
        </w:tc>
        <w:tc>
          <w:tcPr>
            <w:tcW w:w="1079"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91.2</w:t>
            </w:r>
          </w:p>
        </w:tc>
        <w:tc>
          <w:tcPr>
            <w:tcW w:w="1052"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104.0</w:t>
            </w:r>
          </w:p>
        </w:tc>
      </w:tr>
      <w:tr w:rsidR="00960678" w:rsidRPr="00C45A01" w:rsidTr="00960678">
        <w:tc>
          <w:tcPr>
            <w:tcW w:w="3216" w:type="dxa"/>
            <w:tcBorders>
              <w:top w:val="nil"/>
              <w:bottom w:val="single" w:sz="6" w:space="0" w:color="000000"/>
            </w:tcBorders>
            <w:shd w:val="clear" w:color="auto" w:fill="auto"/>
            <w:vAlign w:val="center"/>
          </w:tcPr>
          <w:p w:rsidR="00960678" w:rsidRPr="00C45A01" w:rsidRDefault="00960678" w:rsidP="005D5766">
            <w:pPr>
              <w:pStyle w:val="BodyText"/>
              <w:spacing w:before="40" w:after="40" w:line="240" w:lineRule="auto"/>
              <w:rPr>
                <w:sz w:val="18"/>
                <w:szCs w:val="18"/>
                <w:lang w:eastAsia="en-AU"/>
              </w:rPr>
            </w:pPr>
          </w:p>
        </w:tc>
        <w:tc>
          <w:tcPr>
            <w:tcW w:w="871" w:type="dxa"/>
            <w:gridSpan w:val="2"/>
            <w:tcBorders>
              <w:top w:val="nil"/>
              <w:bottom w:val="single" w:sz="6" w:space="0" w:color="000000"/>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MAX</w:t>
            </w:r>
          </w:p>
        </w:tc>
        <w:tc>
          <w:tcPr>
            <w:tcW w:w="1042" w:type="dxa"/>
            <w:gridSpan w:val="3"/>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26.2</w:t>
            </w:r>
          </w:p>
        </w:tc>
        <w:tc>
          <w:tcPr>
            <w:tcW w:w="1177"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27.3</w:t>
            </w:r>
          </w:p>
        </w:tc>
        <w:tc>
          <w:tcPr>
            <w:tcW w:w="1079"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30.5</w:t>
            </w:r>
          </w:p>
        </w:tc>
        <w:tc>
          <w:tcPr>
            <w:tcW w:w="1052"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21.3</w:t>
            </w:r>
          </w:p>
        </w:tc>
      </w:tr>
      <w:tr w:rsidR="00960678" w:rsidRPr="00C45A01" w:rsidTr="00960678">
        <w:tc>
          <w:tcPr>
            <w:tcW w:w="3294" w:type="dxa"/>
            <w:gridSpan w:val="2"/>
            <w:tcBorders>
              <w:bottom w:val="nil"/>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r w:rsidRPr="00960678">
              <w:rPr>
                <w:sz w:val="18"/>
                <w:szCs w:val="18"/>
                <w:lang w:eastAsia="en-AU"/>
              </w:rPr>
              <w:t>GPG</w:t>
            </w:r>
          </w:p>
        </w:tc>
        <w:tc>
          <w:tcPr>
            <w:tcW w:w="830" w:type="dxa"/>
            <w:gridSpan w:val="2"/>
            <w:tcBorders>
              <w:bottom w:val="nil"/>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MIN</w:t>
            </w:r>
          </w:p>
        </w:tc>
        <w:tc>
          <w:tcPr>
            <w:tcW w:w="992"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c>
          <w:tcPr>
            <w:tcW w:w="1190" w:type="dxa"/>
            <w:gridSpan w:val="2"/>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c>
          <w:tcPr>
            <w:tcW w:w="1079"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c>
          <w:tcPr>
            <w:tcW w:w="1052"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r>
      <w:tr w:rsidR="00960678" w:rsidRPr="00C45A01" w:rsidTr="00960678">
        <w:tc>
          <w:tcPr>
            <w:tcW w:w="3294" w:type="dxa"/>
            <w:gridSpan w:val="2"/>
            <w:tcBorders>
              <w:top w:val="nil"/>
              <w:bottom w:val="nil"/>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p>
        </w:tc>
        <w:tc>
          <w:tcPr>
            <w:tcW w:w="830" w:type="dxa"/>
            <w:gridSpan w:val="2"/>
            <w:tcBorders>
              <w:top w:val="nil"/>
              <w:bottom w:val="nil"/>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AVG</w:t>
            </w:r>
          </w:p>
        </w:tc>
        <w:tc>
          <w:tcPr>
            <w:tcW w:w="992"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115.9</w:t>
            </w:r>
          </w:p>
        </w:tc>
        <w:tc>
          <w:tcPr>
            <w:tcW w:w="1190" w:type="dxa"/>
            <w:gridSpan w:val="2"/>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189.7</w:t>
            </w:r>
          </w:p>
        </w:tc>
        <w:tc>
          <w:tcPr>
            <w:tcW w:w="1079"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124.8</w:t>
            </w:r>
          </w:p>
        </w:tc>
        <w:tc>
          <w:tcPr>
            <w:tcW w:w="1052"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177.2</w:t>
            </w:r>
          </w:p>
        </w:tc>
      </w:tr>
      <w:tr w:rsidR="00960678" w:rsidRPr="00C45A01" w:rsidTr="00960678">
        <w:tc>
          <w:tcPr>
            <w:tcW w:w="3216" w:type="dxa"/>
            <w:tcBorders>
              <w:top w:val="nil"/>
              <w:bottom w:val="single" w:sz="6" w:space="0" w:color="000000"/>
            </w:tcBorders>
            <w:shd w:val="clear" w:color="auto" w:fill="auto"/>
            <w:vAlign w:val="center"/>
          </w:tcPr>
          <w:p w:rsidR="00960678" w:rsidRPr="00C45A01" w:rsidRDefault="00960678" w:rsidP="005D5766">
            <w:pPr>
              <w:pStyle w:val="BodyText"/>
              <w:spacing w:before="40" w:after="40" w:line="240" w:lineRule="auto"/>
              <w:rPr>
                <w:sz w:val="18"/>
                <w:szCs w:val="18"/>
                <w:lang w:eastAsia="en-AU"/>
              </w:rPr>
            </w:pPr>
          </w:p>
        </w:tc>
        <w:tc>
          <w:tcPr>
            <w:tcW w:w="871" w:type="dxa"/>
            <w:gridSpan w:val="2"/>
            <w:tcBorders>
              <w:top w:val="nil"/>
              <w:bottom w:val="single" w:sz="6" w:space="0" w:color="000000"/>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MAX</w:t>
            </w:r>
          </w:p>
        </w:tc>
        <w:tc>
          <w:tcPr>
            <w:tcW w:w="1042" w:type="dxa"/>
            <w:gridSpan w:val="3"/>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7.2</w:t>
            </w:r>
          </w:p>
        </w:tc>
        <w:tc>
          <w:tcPr>
            <w:tcW w:w="1177"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11.0</w:t>
            </w:r>
          </w:p>
        </w:tc>
        <w:tc>
          <w:tcPr>
            <w:tcW w:w="1079"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8.6</w:t>
            </w:r>
          </w:p>
        </w:tc>
        <w:tc>
          <w:tcPr>
            <w:tcW w:w="1052"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13.0</w:t>
            </w:r>
          </w:p>
        </w:tc>
      </w:tr>
    </w:tbl>
    <w:p w:rsidR="00C45A01" w:rsidRPr="00C45A01" w:rsidRDefault="00C45A01" w:rsidP="00C45A01">
      <w:pPr>
        <w:pStyle w:val="BodyText"/>
        <w:rPr>
          <w:lang w:eastAsia="en-AU"/>
        </w:rPr>
      </w:pPr>
    </w:p>
    <w:p w:rsidR="00C45A01" w:rsidRPr="00C45A01" w:rsidRDefault="00C45A01" w:rsidP="00C45A01">
      <w:pPr>
        <w:pStyle w:val="BodyText"/>
        <w:keepNext/>
        <w:rPr>
          <w:bCs/>
          <w:i/>
          <w:lang w:eastAsia="en-AU"/>
        </w:rPr>
      </w:pPr>
      <w:proofErr w:type="gramStart"/>
      <w:r w:rsidRPr="00C45A01">
        <w:rPr>
          <w:bCs/>
          <w:i/>
          <w:lang w:eastAsia="en-AU"/>
        </w:rPr>
        <w:t xml:space="preserve">Table </w:t>
      </w:r>
      <w:r w:rsidRPr="00C45A01">
        <w:rPr>
          <w:bCs/>
          <w:i/>
          <w:lang w:eastAsia="en-AU"/>
        </w:rPr>
        <w:fldChar w:fldCharType="begin"/>
      </w:r>
      <w:r w:rsidRPr="00C45A01">
        <w:rPr>
          <w:bCs/>
          <w:i/>
          <w:lang w:eastAsia="en-AU"/>
        </w:rPr>
        <w:instrText xml:space="preserve"> STYLEREF 1 \s </w:instrText>
      </w:r>
      <w:r w:rsidRPr="00C45A01">
        <w:rPr>
          <w:bCs/>
          <w:i/>
          <w:lang w:eastAsia="en-AU"/>
        </w:rPr>
        <w:fldChar w:fldCharType="separate"/>
      </w:r>
      <w:r w:rsidR="00154DB7">
        <w:rPr>
          <w:bCs/>
          <w:i/>
          <w:noProof/>
          <w:lang w:eastAsia="en-AU"/>
        </w:rPr>
        <w:t>2</w:t>
      </w:r>
      <w:r w:rsidRPr="00C45A01">
        <w:rPr>
          <w:lang w:eastAsia="en-AU"/>
        </w:rPr>
        <w:fldChar w:fldCharType="end"/>
      </w:r>
      <w:r w:rsidRPr="00C45A01">
        <w:rPr>
          <w:bCs/>
          <w:i/>
          <w:lang w:eastAsia="en-AU"/>
        </w:rPr>
        <w:t>.</w:t>
      </w:r>
      <w:proofErr w:type="gramEnd"/>
      <w:r w:rsidRPr="00C45A01">
        <w:rPr>
          <w:bCs/>
          <w:i/>
          <w:lang w:eastAsia="en-AU"/>
        </w:rPr>
        <w:fldChar w:fldCharType="begin"/>
      </w:r>
      <w:r w:rsidRPr="00C45A01">
        <w:rPr>
          <w:bCs/>
          <w:i/>
          <w:lang w:eastAsia="en-AU"/>
        </w:rPr>
        <w:instrText xml:space="preserve"> SEQ Table \* ARABIC \s 1 </w:instrText>
      </w:r>
      <w:r w:rsidRPr="00C45A01">
        <w:rPr>
          <w:bCs/>
          <w:i/>
          <w:lang w:eastAsia="en-AU"/>
        </w:rPr>
        <w:fldChar w:fldCharType="separate"/>
      </w:r>
      <w:r w:rsidR="00154DB7">
        <w:rPr>
          <w:bCs/>
          <w:i/>
          <w:noProof/>
          <w:lang w:eastAsia="en-AU"/>
        </w:rPr>
        <w:t>4</w:t>
      </w:r>
      <w:r w:rsidRPr="00C45A01">
        <w:rPr>
          <w:lang w:eastAsia="en-AU"/>
        </w:rPr>
        <w:fldChar w:fldCharType="end"/>
      </w:r>
      <w:r w:rsidRPr="00C45A01">
        <w:rPr>
          <w:bCs/>
          <w:i/>
          <w:lang w:eastAsia="en-AU"/>
        </w:rPr>
        <w:t xml:space="preserve">:  Minimum, Average and </w:t>
      </w:r>
      <w:r w:rsidR="00A366A8">
        <w:rPr>
          <w:bCs/>
          <w:i/>
          <w:lang w:eastAsia="en-AU"/>
        </w:rPr>
        <w:t>Maximum demand by receipt point</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237"/>
        <w:gridCol w:w="50"/>
        <w:gridCol w:w="785"/>
        <w:gridCol w:w="52"/>
        <w:gridCol w:w="996"/>
        <w:gridCol w:w="1185"/>
        <w:gridCol w:w="1080"/>
        <w:gridCol w:w="1052"/>
      </w:tblGrid>
      <w:tr w:rsidR="00A665D0" w:rsidRPr="00C45A01" w:rsidTr="00A665D0">
        <w:tc>
          <w:tcPr>
            <w:tcW w:w="3287" w:type="dxa"/>
            <w:gridSpan w:val="2"/>
            <w:tcBorders>
              <w:bottom w:val="single" w:sz="6" w:space="0" w:color="000000"/>
            </w:tcBorders>
            <w:shd w:val="clear" w:color="auto" w:fill="333333"/>
          </w:tcPr>
          <w:p w:rsidR="00A665D0" w:rsidRPr="00C45A01" w:rsidRDefault="00A665D0" w:rsidP="005D5766">
            <w:pPr>
              <w:pStyle w:val="BodyText"/>
              <w:keepNext/>
              <w:spacing w:before="40" w:after="40" w:line="240" w:lineRule="auto"/>
              <w:jc w:val="left"/>
              <w:rPr>
                <w:b/>
                <w:bCs/>
                <w:color w:val="FFFFFF" w:themeColor="background1"/>
                <w:sz w:val="18"/>
                <w:szCs w:val="18"/>
                <w:lang w:eastAsia="en-AU"/>
              </w:rPr>
            </w:pPr>
            <w:r w:rsidRPr="00C45A01">
              <w:rPr>
                <w:b/>
                <w:bCs/>
                <w:color w:val="FFFFFF" w:themeColor="background1"/>
                <w:sz w:val="18"/>
                <w:szCs w:val="18"/>
                <w:lang w:eastAsia="en-AU"/>
              </w:rPr>
              <w:t>Receipt point</w:t>
            </w:r>
            <w:r>
              <w:rPr>
                <w:b/>
                <w:bCs/>
                <w:color w:val="FFFFFF" w:themeColor="background1"/>
                <w:sz w:val="18"/>
                <w:szCs w:val="18"/>
                <w:lang w:eastAsia="en-AU"/>
              </w:rPr>
              <w:t xml:space="preserve"> Minimum, Average and Maximum </w:t>
            </w:r>
            <w:r w:rsidRPr="00C45A01">
              <w:rPr>
                <w:b/>
                <w:bCs/>
                <w:color w:val="FFFFFF" w:themeColor="background1"/>
                <w:sz w:val="18"/>
                <w:szCs w:val="18"/>
                <w:lang w:eastAsia="en-AU"/>
              </w:rPr>
              <w:t>Demand (GJ)</w:t>
            </w:r>
          </w:p>
        </w:tc>
        <w:tc>
          <w:tcPr>
            <w:tcW w:w="837" w:type="dxa"/>
            <w:gridSpan w:val="2"/>
            <w:tcBorders>
              <w:bottom w:val="single" w:sz="6" w:space="0" w:color="000000"/>
            </w:tcBorders>
            <w:shd w:val="clear" w:color="auto" w:fill="333333"/>
          </w:tcPr>
          <w:p w:rsidR="00A665D0" w:rsidRPr="00C45A01" w:rsidRDefault="00A665D0" w:rsidP="005D5766">
            <w:pPr>
              <w:pStyle w:val="BodyText"/>
              <w:spacing w:before="40" w:after="40" w:line="240" w:lineRule="auto"/>
              <w:jc w:val="center"/>
              <w:rPr>
                <w:b/>
                <w:color w:val="FFFFFF" w:themeColor="background1"/>
                <w:sz w:val="18"/>
                <w:szCs w:val="18"/>
                <w:lang w:eastAsia="en-AU"/>
              </w:rPr>
            </w:pPr>
          </w:p>
        </w:tc>
        <w:tc>
          <w:tcPr>
            <w:tcW w:w="996" w:type="dxa"/>
            <w:tcBorders>
              <w:bottom w:val="single" w:sz="6" w:space="0" w:color="000000"/>
            </w:tcBorders>
            <w:shd w:val="clear" w:color="auto" w:fill="333333"/>
            <w:vAlign w:val="center"/>
          </w:tcPr>
          <w:p w:rsidR="00A665D0" w:rsidRPr="00C45A01" w:rsidRDefault="00A665D0" w:rsidP="00D248AC">
            <w:pPr>
              <w:pStyle w:val="BodyText"/>
              <w:spacing w:before="40" w:after="40" w:line="240" w:lineRule="auto"/>
              <w:jc w:val="center"/>
              <w:rPr>
                <w:b/>
                <w:color w:val="FFFFFF" w:themeColor="background1"/>
                <w:sz w:val="18"/>
                <w:szCs w:val="18"/>
                <w:lang w:eastAsia="en-AU"/>
              </w:rPr>
            </w:pPr>
            <w:r w:rsidRPr="00C45A01">
              <w:rPr>
                <w:b/>
                <w:color w:val="FFFFFF" w:themeColor="background1"/>
                <w:sz w:val="18"/>
                <w:szCs w:val="18"/>
                <w:lang w:eastAsia="en-AU"/>
              </w:rPr>
              <w:t>2013</w:t>
            </w:r>
          </w:p>
        </w:tc>
        <w:tc>
          <w:tcPr>
            <w:tcW w:w="1185" w:type="dxa"/>
            <w:tcBorders>
              <w:bottom w:val="single" w:sz="6" w:space="0" w:color="000000"/>
            </w:tcBorders>
            <w:shd w:val="clear" w:color="auto" w:fill="333333"/>
            <w:vAlign w:val="center"/>
          </w:tcPr>
          <w:p w:rsidR="00A665D0" w:rsidRPr="00C45A01" w:rsidRDefault="00A665D0" w:rsidP="00D248AC">
            <w:pPr>
              <w:pStyle w:val="BodyText"/>
              <w:spacing w:before="40" w:after="40" w:line="240" w:lineRule="auto"/>
              <w:jc w:val="center"/>
              <w:rPr>
                <w:b/>
                <w:color w:val="FFFFFF" w:themeColor="background1"/>
                <w:sz w:val="18"/>
                <w:szCs w:val="18"/>
                <w:lang w:eastAsia="en-AU"/>
              </w:rPr>
            </w:pPr>
            <w:r w:rsidRPr="00C45A01">
              <w:rPr>
                <w:b/>
                <w:color w:val="FFFFFF" w:themeColor="background1"/>
                <w:sz w:val="18"/>
                <w:szCs w:val="18"/>
                <w:lang w:eastAsia="en-AU"/>
              </w:rPr>
              <w:t>2014</w:t>
            </w:r>
          </w:p>
        </w:tc>
        <w:tc>
          <w:tcPr>
            <w:tcW w:w="1080" w:type="dxa"/>
            <w:tcBorders>
              <w:bottom w:val="single" w:sz="6" w:space="0" w:color="000000"/>
            </w:tcBorders>
            <w:shd w:val="clear" w:color="auto" w:fill="333333"/>
            <w:vAlign w:val="center"/>
          </w:tcPr>
          <w:p w:rsidR="00A665D0" w:rsidRPr="00C45A01" w:rsidRDefault="00A665D0" w:rsidP="00D248AC">
            <w:pPr>
              <w:pStyle w:val="BodyText"/>
              <w:spacing w:before="40" w:after="40" w:line="240" w:lineRule="auto"/>
              <w:jc w:val="center"/>
              <w:rPr>
                <w:b/>
                <w:color w:val="FFFFFF" w:themeColor="background1"/>
                <w:sz w:val="18"/>
                <w:szCs w:val="18"/>
                <w:lang w:eastAsia="en-AU"/>
              </w:rPr>
            </w:pPr>
            <w:r w:rsidRPr="00C45A01">
              <w:rPr>
                <w:b/>
                <w:color w:val="FFFFFF" w:themeColor="background1"/>
                <w:sz w:val="18"/>
                <w:szCs w:val="18"/>
                <w:lang w:eastAsia="en-AU"/>
              </w:rPr>
              <w:t>2015</w:t>
            </w:r>
          </w:p>
        </w:tc>
        <w:tc>
          <w:tcPr>
            <w:tcW w:w="1052" w:type="dxa"/>
            <w:tcBorders>
              <w:bottom w:val="single" w:sz="6" w:space="0" w:color="000000"/>
            </w:tcBorders>
            <w:shd w:val="clear" w:color="auto" w:fill="333333"/>
            <w:vAlign w:val="center"/>
          </w:tcPr>
          <w:p w:rsidR="00A665D0" w:rsidRPr="00C45A01" w:rsidRDefault="00A665D0" w:rsidP="00D248AC">
            <w:pPr>
              <w:pStyle w:val="BodyText"/>
              <w:spacing w:before="40" w:after="40" w:line="240" w:lineRule="auto"/>
              <w:jc w:val="center"/>
              <w:rPr>
                <w:b/>
                <w:color w:val="FFFFFF" w:themeColor="background1"/>
                <w:sz w:val="18"/>
                <w:szCs w:val="18"/>
                <w:lang w:eastAsia="en-AU"/>
              </w:rPr>
            </w:pPr>
            <w:r w:rsidRPr="00C45A01">
              <w:rPr>
                <w:b/>
                <w:color w:val="FFFFFF" w:themeColor="background1"/>
                <w:sz w:val="18"/>
                <w:szCs w:val="18"/>
                <w:lang w:eastAsia="en-AU"/>
              </w:rPr>
              <w:t>2016</w:t>
            </w:r>
            <w:r w:rsidR="00996547">
              <w:rPr>
                <w:b/>
                <w:color w:val="FFFFFF" w:themeColor="background1"/>
                <w:sz w:val="18"/>
                <w:szCs w:val="18"/>
                <w:lang w:eastAsia="en-AU"/>
              </w:rPr>
              <w:t>(e)</w:t>
            </w:r>
          </w:p>
        </w:tc>
      </w:tr>
      <w:tr w:rsidR="00960678" w:rsidRPr="00C45A01" w:rsidTr="00960678">
        <w:tc>
          <w:tcPr>
            <w:tcW w:w="3287" w:type="dxa"/>
            <w:gridSpan w:val="2"/>
            <w:tcBorders>
              <w:bottom w:val="nil"/>
            </w:tcBorders>
            <w:shd w:val="clear" w:color="auto" w:fill="auto"/>
            <w:vAlign w:val="center"/>
          </w:tcPr>
          <w:p w:rsidR="00960678" w:rsidRPr="00C45A01" w:rsidRDefault="00996547" w:rsidP="005D5766">
            <w:pPr>
              <w:pStyle w:val="BodyText"/>
              <w:keepNext/>
              <w:spacing w:before="40" w:after="40" w:line="240" w:lineRule="auto"/>
              <w:rPr>
                <w:sz w:val="18"/>
                <w:szCs w:val="18"/>
                <w:lang w:eastAsia="en-AU"/>
              </w:rPr>
            </w:pPr>
            <w:r>
              <w:rPr>
                <w:sz w:val="18"/>
                <w:szCs w:val="18"/>
                <w:lang w:eastAsia="en-AU"/>
              </w:rPr>
              <w:t xml:space="preserve">Longford (including </w:t>
            </w:r>
            <w:proofErr w:type="spellStart"/>
            <w:r>
              <w:rPr>
                <w:sz w:val="18"/>
                <w:szCs w:val="18"/>
                <w:lang w:eastAsia="en-AU"/>
              </w:rPr>
              <w:t>Vic</w:t>
            </w:r>
            <w:r w:rsidR="00960678" w:rsidRPr="00960678">
              <w:rPr>
                <w:sz w:val="18"/>
                <w:szCs w:val="18"/>
                <w:lang w:eastAsia="en-AU"/>
              </w:rPr>
              <w:t>Hub</w:t>
            </w:r>
            <w:proofErr w:type="spellEnd"/>
            <w:r w:rsidR="00960678" w:rsidRPr="00960678">
              <w:rPr>
                <w:sz w:val="18"/>
                <w:szCs w:val="18"/>
                <w:lang w:eastAsia="en-AU"/>
              </w:rPr>
              <w:t>)</w:t>
            </w:r>
          </w:p>
        </w:tc>
        <w:tc>
          <w:tcPr>
            <w:tcW w:w="837" w:type="dxa"/>
            <w:gridSpan w:val="2"/>
            <w:tcBorders>
              <w:bottom w:val="nil"/>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MIN</w:t>
            </w:r>
          </w:p>
        </w:tc>
        <w:tc>
          <w:tcPr>
            <w:tcW w:w="996"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159.1</w:t>
            </w:r>
          </w:p>
        </w:tc>
        <w:tc>
          <w:tcPr>
            <w:tcW w:w="1185"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186.9</w:t>
            </w:r>
          </w:p>
        </w:tc>
        <w:tc>
          <w:tcPr>
            <w:tcW w:w="1080"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144.5</w:t>
            </w:r>
          </w:p>
        </w:tc>
        <w:tc>
          <w:tcPr>
            <w:tcW w:w="1052"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226.0</w:t>
            </w:r>
          </w:p>
        </w:tc>
      </w:tr>
      <w:tr w:rsidR="00960678" w:rsidRPr="00C45A01" w:rsidTr="00960678">
        <w:tc>
          <w:tcPr>
            <w:tcW w:w="3287" w:type="dxa"/>
            <w:gridSpan w:val="2"/>
            <w:tcBorders>
              <w:top w:val="nil"/>
              <w:bottom w:val="nil"/>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p>
        </w:tc>
        <w:tc>
          <w:tcPr>
            <w:tcW w:w="837" w:type="dxa"/>
            <w:gridSpan w:val="2"/>
            <w:tcBorders>
              <w:top w:val="nil"/>
              <w:bottom w:val="nil"/>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AVG</w:t>
            </w:r>
          </w:p>
        </w:tc>
        <w:tc>
          <w:tcPr>
            <w:tcW w:w="996"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817.7</w:t>
            </w:r>
          </w:p>
        </w:tc>
        <w:tc>
          <w:tcPr>
            <w:tcW w:w="1185"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789.9</w:t>
            </w:r>
          </w:p>
        </w:tc>
        <w:tc>
          <w:tcPr>
            <w:tcW w:w="1080"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790.7</w:t>
            </w:r>
          </w:p>
        </w:tc>
        <w:tc>
          <w:tcPr>
            <w:tcW w:w="1052"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861.6</w:t>
            </w:r>
          </w:p>
        </w:tc>
      </w:tr>
      <w:tr w:rsidR="00960678" w:rsidRPr="00C45A01" w:rsidTr="00960678">
        <w:tc>
          <w:tcPr>
            <w:tcW w:w="3237" w:type="dxa"/>
            <w:tcBorders>
              <w:top w:val="nil"/>
              <w:bottom w:val="single" w:sz="6" w:space="0" w:color="000000"/>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p>
        </w:tc>
        <w:tc>
          <w:tcPr>
            <w:tcW w:w="835" w:type="dxa"/>
            <w:gridSpan w:val="2"/>
            <w:tcBorders>
              <w:top w:val="nil"/>
              <w:bottom w:val="single" w:sz="6" w:space="0" w:color="000000"/>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MAX</w:t>
            </w:r>
          </w:p>
        </w:tc>
        <w:tc>
          <w:tcPr>
            <w:tcW w:w="1048" w:type="dxa"/>
            <w:gridSpan w:val="2"/>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459.9</w:t>
            </w:r>
          </w:p>
        </w:tc>
        <w:tc>
          <w:tcPr>
            <w:tcW w:w="1185"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435.8</w:t>
            </w:r>
          </w:p>
        </w:tc>
        <w:tc>
          <w:tcPr>
            <w:tcW w:w="1080"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466.3</w:t>
            </w:r>
          </w:p>
        </w:tc>
        <w:tc>
          <w:tcPr>
            <w:tcW w:w="1052"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578.6</w:t>
            </w:r>
          </w:p>
        </w:tc>
      </w:tr>
      <w:tr w:rsidR="00960678" w:rsidRPr="00C45A01" w:rsidTr="00960678">
        <w:tc>
          <w:tcPr>
            <w:tcW w:w="3287" w:type="dxa"/>
            <w:gridSpan w:val="2"/>
            <w:tcBorders>
              <w:bottom w:val="nil"/>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r w:rsidRPr="00960678">
              <w:rPr>
                <w:sz w:val="18"/>
                <w:szCs w:val="18"/>
                <w:lang w:eastAsia="en-AU"/>
              </w:rPr>
              <w:t>Pakenham</w:t>
            </w:r>
          </w:p>
        </w:tc>
        <w:tc>
          <w:tcPr>
            <w:tcW w:w="837" w:type="dxa"/>
            <w:gridSpan w:val="2"/>
            <w:tcBorders>
              <w:bottom w:val="nil"/>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MIN</w:t>
            </w:r>
          </w:p>
        </w:tc>
        <w:tc>
          <w:tcPr>
            <w:tcW w:w="996"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1.1</w:t>
            </w:r>
          </w:p>
        </w:tc>
        <w:tc>
          <w:tcPr>
            <w:tcW w:w="1185"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1.2</w:t>
            </w:r>
          </w:p>
        </w:tc>
        <w:tc>
          <w:tcPr>
            <w:tcW w:w="1080"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2.0</w:t>
            </w:r>
          </w:p>
        </w:tc>
        <w:tc>
          <w:tcPr>
            <w:tcW w:w="1052"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2.2</w:t>
            </w:r>
          </w:p>
        </w:tc>
      </w:tr>
      <w:tr w:rsidR="00960678" w:rsidRPr="00C45A01" w:rsidTr="00960678">
        <w:tc>
          <w:tcPr>
            <w:tcW w:w="3287" w:type="dxa"/>
            <w:gridSpan w:val="2"/>
            <w:tcBorders>
              <w:top w:val="nil"/>
              <w:bottom w:val="nil"/>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p>
        </w:tc>
        <w:tc>
          <w:tcPr>
            <w:tcW w:w="837" w:type="dxa"/>
            <w:gridSpan w:val="2"/>
            <w:tcBorders>
              <w:top w:val="nil"/>
              <w:bottom w:val="nil"/>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AVG</w:t>
            </w:r>
          </w:p>
        </w:tc>
        <w:tc>
          <w:tcPr>
            <w:tcW w:w="996"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66.8</w:t>
            </w:r>
          </w:p>
        </w:tc>
        <w:tc>
          <w:tcPr>
            <w:tcW w:w="1185"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49.7</w:t>
            </w:r>
          </w:p>
        </w:tc>
        <w:tc>
          <w:tcPr>
            <w:tcW w:w="1080"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63.7</w:t>
            </w:r>
          </w:p>
        </w:tc>
        <w:tc>
          <w:tcPr>
            <w:tcW w:w="1052"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57.8</w:t>
            </w:r>
          </w:p>
        </w:tc>
      </w:tr>
      <w:tr w:rsidR="00960678" w:rsidRPr="00C45A01" w:rsidTr="00960678">
        <w:tc>
          <w:tcPr>
            <w:tcW w:w="3237" w:type="dxa"/>
            <w:tcBorders>
              <w:top w:val="nil"/>
              <w:bottom w:val="single" w:sz="6" w:space="0" w:color="000000"/>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p>
        </w:tc>
        <w:tc>
          <w:tcPr>
            <w:tcW w:w="835" w:type="dxa"/>
            <w:gridSpan w:val="2"/>
            <w:tcBorders>
              <w:top w:val="nil"/>
              <w:bottom w:val="single" w:sz="6" w:space="0" w:color="000000"/>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MAX</w:t>
            </w:r>
          </w:p>
        </w:tc>
        <w:tc>
          <w:tcPr>
            <w:tcW w:w="1048" w:type="dxa"/>
            <w:gridSpan w:val="2"/>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46.5</w:t>
            </w:r>
          </w:p>
        </w:tc>
        <w:tc>
          <w:tcPr>
            <w:tcW w:w="1185"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38.0</w:t>
            </w:r>
          </w:p>
        </w:tc>
        <w:tc>
          <w:tcPr>
            <w:tcW w:w="1080"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41.1</w:t>
            </w:r>
          </w:p>
        </w:tc>
        <w:tc>
          <w:tcPr>
            <w:tcW w:w="1052"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49.2</w:t>
            </w:r>
          </w:p>
        </w:tc>
      </w:tr>
      <w:tr w:rsidR="00960678" w:rsidRPr="00C45A01" w:rsidTr="00960678">
        <w:tc>
          <w:tcPr>
            <w:tcW w:w="3287" w:type="dxa"/>
            <w:gridSpan w:val="2"/>
            <w:tcBorders>
              <w:bottom w:val="nil"/>
            </w:tcBorders>
            <w:shd w:val="clear" w:color="auto" w:fill="auto"/>
            <w:vAlign w:val="center"/>
          </w:tcPr>
          <w:p w:rsidR="00960678" w:rsidRPr="00C45A01" w:rsidRDefault="00960678" w:rsidP="00960678">
            <w:pPr>
              <w:pStyle w:val="BodyText"/>
              <w:keepNext/>
              <w:spacing w:before="40" w:after="40" w:line="240" w:lineRule="auto"/>
              <w:rPr>
                <w:sz w:val="18"/>
                <w:szCs w:val="18"/>
                <w:lang w:eastAsia="en-AU"/>
              </w:rPr>
            </w:pPr>
            <w:r w:rsidRPr="00960678">
              <w:rPr>
                <w:sz w:val="18"/>
                <w:szCs w:val="18"/>
                <w:lang w:eastAsia="en-AU"/>
              </w:rPr>
              <w:t xml:space="preserve">Port Campbell </w:t>
            </w:r>
          </w:p>
        </w:tc>
        <w:tc>
          <w:tcPr>
            <w:tcW w:w="837" w:type="dxa"/>
            <w:gridSpan w:val="2"/>
            <w:tcBorders>
              <w:bottom w:val="nil"/>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MIN</w:t>
            </w:r>
          </w:p>
        </w:tc>
        <w:tc>
          <w:tcPr>
            <w:tcW w:w="996"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25.0</w:t>
            </w:r>
          </w:p>
        </w:tc>
        <w:tc>
          <w:tcPr>
            <w:tcW w:w="1185"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c>
          <w:tcPr>
            <w:tcW w:w="1080"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c>
          <w:tcPr>
            <w:tcW w:w="1052"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r>
      <w:tr w:rsidR="00960678" w:rsidRPr="00C45A01" w:rsidTr="00960678">
        <w:tc>
          <w:tcPr>
            <w:tcW w:w="3287" w:type="dxa"/>
            <w:gridSpan w:val="2"/>
            <w:tcBorders>
              <w:top w:val="nil"/>
              <w:bottom w:val="nil"/>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r w:rsidRPr="00960678">
              <w:rPr>
                <w:sz w:val="18"/>
                <w:szCs w:val="18"/>
                <w:lang w:eastAsia="en-AU"/>
              </w:rPr>
              <w:t xml:space="preserve">(Iona and </w:t>
            </w:r>
            <w:proofErr w:type="spellStart"/>
            <w:r w:rsidRPr="00960678">
              <w:rPr>
                <w:sz w:val="18"/>
                <w:szCs w:val="18"/>
                <w:lang w:eastAsia="en-AU"/>
              </w:rPr>
              <w:t>SEAGas</w:t>
            </w:r>
            <w:proofErr w:type="spellEnd"/>
            <w:r w:rsidRPr="00960678">
              <w:rPr>
                <w:sz w:val="18"/>
                <w:szCs w:val="18"/>
                <w:lang w:eastAsia="en-AU"/>
              </w:rPr>
              <w:t xml:space="preserve"> facilities)</w:t>
            </w:r>
          </w:p>
        </w:tc>
        <w:tc>
          <w:tcPr>
            <w:tcW w:w="837" w:type="dxa"/>
            <w:gridSpan w:val="2"/>
            <w:tcBorders>
              <w:top w:val="nil"/>
              <w:bottom w:val="nil"/>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AVG</w:t>
            </w:r>
          </w:p>
        </w:tc>
        <w:tc>
          <w:tcPr>
            <w:tcW w:w="996"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349.4</w:t>
            </w:r>
          </w:p>
        </w:tc>
        <w:tc>
          <w:tcPr>
            <w:tcW w:w="1185"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351.6</w:t>
            </w:r>
          </w:p>
        </w:tc>
        <w:tc>
          <w:tcPr>
            <w:tcW w:w="1080"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396.3</w:t>
            </w:r>
          </w:p>
        </w:tc>
        <w:tc>
          <w:tcPr>
            <w:tcW w:w="1052"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341.9</w:t>
            </w:r>
          </w:p>
        </w:tc>
      </w:tr>
      <w:tr w:rsidR="00960678" w:rsidRPr="00C45A01" w:rsidTr="00960678">
        <w:tc>
          <w:tcPr>
            <w:tcW w:w="3237" w:type="dxa"/>
            <w:tcBorders>
              <w:top w:val="nil"/>
              <w:bottom w:val="single" w:sz="6" w:space="0" w:color="000000"/>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p>
        </w:tc>
        <w:tc>
          <w:tcPr>
            <w:tcW w:w="835" w:type="dxa"/>
            <w:gridSpan w:val="2"/>
            <w:tcBorders>
              <w:top w:val="nil"/>
              <w:bottom w:val="single" w:sz="6" w:space="0" w:color="000000"/>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MAX</w:t>
            </w:r>
          </w:p>
        </w:tc>
        <w:tc>
          <w:tcPr>
            <w:tcW w:w="1048" w:type="dxa"/>
            <w:gridSpan w:val="2"/>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154.3</w:t>
            </w:r>
          </w:p>
        </w:tc>
        <w:tc>
          <w:tcPr>
            <w:tcW w:w="1185"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120.8</w:t>
            </w:r>
          </w:p>
        </w:tc>
        <w:tc>
          <w:tcPr>
            <w:tcW w:w="1080"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134.5</w:t>
            </w:r>
          </w:p>
        </w:tc>
        <w:tc>
          <w:tcPr>
            <w:tcW w:w="1052"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81.1</w:t>
            </w:r>
          </w:p>
        </w:tc>
      </w:tr>
      <w:tr w:rsidR="00960678" w:rsidRPr="00C45A01" w:rsidTr="00960678">
        <w:tc>
          <w:tcPr>
            <w:tcW w:w="3287" w:type="dxa"/>
            <w:gridSpan w:val="2"/>
            <w:tcBorders>
              <w:bottom w:val="nil"/>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r w:rsidRPr="00960678">
              <w:rPr>
                <w:sz w:val="18"/>
                <w:szCs w:val="18"/>
                <w:lang w:eastAsia="en-AU"/>
              </w:rPr>
              <w:t>Culcairn</w:t>
            </w:r>
          </w:p>
        </w:tc>
        <w:tc>
          <w:tcPr>
            <w:tcW w:w="837" w:type="dxa"/>
            <w:gridSpan w:val="2"/>
            <w:tcBorders>
              <w:bottom w:val="nil"/>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MIN</w:t>
            </w:r>
          </w:p>
        </w:tc>
        <w:tc>
          <w:tcPr>
            <w:tcW w:w="996"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c>
          <w:tcPr>
            <w:tcW w:w="1185"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c>
          <w:tcPr>
            <w:tcW w:w="1080"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c>
          <w:tcPr>
            <w:tcW w:w="1052" w:type="dxa"/>
            <w:tcBorders>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0.0</w:t>
            </w:r>
          </w:p>
        </w:tc>
      </w:tr>
      <w:tr w:rsidR="00960678" w:rsidRPr="00C45A01" w:rsidTr="00960678">
        <w:tc>
          <w:tcPr>
            <w:tcW w:w="3287" w:type="dxa"/>
            <w:gridSpan w:val="2"/>
            <w:tcBorders>
              <w:top w:val="nil"/>
              <w:bottom w:val="nil"/>
            </w:tcBorders>
            <w:shd w:val="clear" w:color="auto" w:fill="auto"/>
            <w:vAlign w:val="center"/>
          </w:tcPr>
          <w:p w:rsidR="00960678" w:rsidRPr="00C45A01" w:rsidRDefault="00960678" w:rsidP="005D5766">
            <w:pPr>
              <w:pStyle w:val="BodyText"/>
              <w:keepNext/>
              <w:spacing w:before="40" w:after="40" w:line="240" w:lineRule="auto"/>
              <w:rPr>
                <w:sz w:val="18"/>
                <w:szCs w:val="18"/>
                <w:lang w:eastAsia="en-AU"/>
              </w:rPr>
            </w:pPr>
          </w:p>
        </w:tc>
        <w:tc>
          <w:tcPr>
            <w:tcW w:w="837" w:type="dxa"/>
            <w:gridSpan w:val="2"/>
            <w:tcBorders>
              <w:top w:val="nil"/>
              <w:bottom w:val="nil"/>
            </w:tcBorders>
          </w:tcPr>
          <w:p w:rsidR="00960678" w:rsidRPr="00C45A01" w:rsidRDefault="00960678" w:rsidP="005D5766">
            <w:pPr>
              <w:pStyle w:val="BodyText"/>
              <w:spacing w:before="40" w:after="40" w:line="240" w:lineRule="auto"/>
              <w:jc w:val="center"/>
              <w:rPr>
                <w:sz w:val="18"/>
                <w:szCs w:val="18"/>
                <w:lang w:eastAsia="en-AU"/>
              </w:rPr>
            </w:pPr>
            <w:r>
              <w:rPr>
                <w:sz w:val="18"/>
                <w:szCs w:val="18"/>
                <w:lang w:eastAsia="en-AU"/>
              </w:rPr>
              <w:t>AVG</w:t>
            </w:r>
          </w:p>
        </w:tc>
        <w:tc>
          <w:tcPr>
            <w:tcW w:w="996"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16.3</w:t>
            </w:r>
          </w:p>
        </w:tc>
        <w:tc>
          <w:tcPr>
            <w:tcW w:w="1185"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84.7</w:t>
            </w:r>
          </w:p>
        </w:tc>
        <w:tc>
          <w:tcPr>
            <w:tcW w:w="1080"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60.0</w:t>
            </w:r>
          </w:p>
        </w:tc>
        <w:tc>
          <w:tcPr>
            <w:tcW w:w="1052" w:type="dxa"/>
            <w:tcBorders>
              <w:top w:val="nil"/>
              <w:bottom w:val="nil"/>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66.0</w:t>
            </w:r>
          </w:p>
        </w:tc>
      </w:tr>
      <w:tr w:rsidR="00960678" w:rsidRPr="00C45A01" w:rsidTr="00960678">
        <w:tc>
          <w:tcPr>
            <w:tcW w:w="3237" w:type="dxa"/>
            <w:tcBorders>
              <w:top w:val="nil"/>
              <w:bottom w:val="single" w:sz="6" w:space="0" w:color="000000"/>
            </w:tcBorders>
            <w:shd w:val="clear" w:color="auto" w:fill="auto"/>
            <w:vAlign w:val="center"/>
          </w:tcPr>
          <w:p w:rsidR="00960678" w:rsidRPr="00C45A01" w:rsidRDefault="00960678" w:rsidP="00960678">
            <w:pPr>
              <w:pStyle w:val="BodyText"/>
              <w:spacing w:before="40" w:after="40" w:line="240" w:lineRule="auto"/>
              <w:rPr>
                <w:sz w:val="18"/>
                <w:szCs w:val="18"/>
                <w:lang w:eastAsia="en-AU"/>
              </w:rPr>
            </w:pPr>
          </w:p>
        </w:tc>
        <w:tc>
          <w:tcPr>
            <w:tcW w:w="835" w:type="dxa"/>
            <w:gridSpan w:val="2"/>
            <w:tcBorders>
              <w:top w:val="nil"/>
              <w:bottom w:val="single" w:sz="6" w:space="0" w:color="000000"/>
            </w:tcBorders>
          </w:tcPr>
          <w:p w:rsidR="00960678" w:rsidRPr="00C45A01" w:rsidRDefault="00960678" w:rsidP="00960678">
            <w:pPr>
              <w:pStyle w:val="BodyText"/>
              <w:spacing w:before="40" w:after="40" w:line="240" w:lineRule="auto"/>
              <w:jc w:val="center"/>
              <w:rPr>
                <w:sz w:val="18"/>
                <w:szCs w:val="18"/>
                <w:lang w:eastAsia="en-AU"/>
              </w:rPr>
            </w:pPr>
            <w:r>
              <w:rPr>
                <w:sz w:val="18"/>
                <w:szCs w:val="18"/>
                <w:lang w:eastAsia="en-AU"/>
              </w:rPr>
              <w:t>MAX</w:t>
            </w:r>
          </w:p>
        </w:tc>
        <w:tc>
          <w:tcPr>
            <w:tcW w:w="1048" w:type="dxa"/>
            <w:gridSpan w:val="2"/>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0.6</w:t>
            </w:r>
          </w:p>
        </w:tc>
        <w:tc>
          <w:tcPr>
            <w:tcW w:w="1185"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11.2</w:t>
            </w:r>
          </w:p>
        </w:tc>
        <w:tc>
          <w:tcPr>
            <w:tcW w:w="1080"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8.7</w:t>
            </w:r>
          </w:p>
        </w:tc>
        <w:tc>
          <w:tcPr>
            <w:tcW w:w="1052" w:type="dxa"/>
            <w:tcBorders>
              <w:top w:val="nil"/>
              <w:bottom w:val="single" w:sz="6" w:space="0" w:color="000000"/>
            </w:tcBorders>
            <w:shd w:val="clear" w:color="auto" w:fill="auto"/>
            <w:vAlign w:val="bottom"/>
          </w:tcPr>
          <w:p w:rsidR="00960678" w:rsidRPr="00960678" w:rsidRDefault="00960678" w:rsidP="00960678">
            <w:pPr>
              <w:pStyle w:val="BodyText"/>
              <w:spacing w:before="40" w:after="40" w:line="240" w:lineRule="auto"/>
              <w:jc w:val="center"/>
              <w:rPr>
                <w:sz w:val="18"/>
                <w:szCs w:val="18"/>
                <w:lang w:eastAsia="en-AU"/>
              </w:rPr>
            </w:pPr>
            <w:r w:rsidRPr="00960678">
              <w:rPr>
                <w:sz w:val="18"/>
                <w:szCs w:val="18"/>
                <w:lang w:eastAsia="en-AU"/>
              </w:rPr>
              <w:t>8.0</w:t>
            </w:r>
          </w:p>
        </w:tc>
      </w:tr>
    </w:tbl>
    <w:p w:rsidR="00AF5CC4" w:rsidRDefault="00AF5CC4" w:rsidP="00180AD1">
      <w:pPr>
        <w:pStyle w:val="BodyText"/>
        <w:rPr>
          <w:lang w:eastAsia="en-AU"/>
        </w:rPr>
      </w:pPr>
    </w:p>
    <w:p w:rsidR="00180AD1" w:rsidRDefault="00180AD1" w:rsidP="00180AD1">
      <w:pPr>
        <w:pStyle w:val="BodyText"/>
        <w:rPr>
          <w:lang w:eastAsia="en-AU"/>
        </w:rPr>
      </w:pPr>
      <w:r>
        <w:rPr>
          <w:lang w:eastAsia="en-AU"/>
        </w:rPr>
        <w:t>Pipeline customer numbers in total and by tariff class over the earlier Access Arrangement Period</w:t>
      </w:r>
      <w:r>
        <w:rPr>
          <w:rStyle w:val="FootnoteReference"/>
          <w:lang w:eastAsia="en-AU"/>
        </w:rPr>
        <w:footnoteReference w:id="5"/>
      </w:r>
      <w:r>
        <w:rPr>
          <w:lang w:eastAsia="en-AU"/>
        </w:rPr>
        <w:t xml:space="preserve"> are set out in Table 2.4 below. These figures are based on actual customer numbers for </w:t>
      </w:r>
      <w:r w:rsidR="00D248AC">
        <w:rPr>
          <w:lang w:eastAsia="en-AU"/>
        </w:rPr>
        <w:t>calendar</w:t>
      </w:r>
      <w:r>
        <w:rPr>
          <w:lang w:eastAsia="en-AU"/>
        </w:rPr>
        <w:t xml:space="preserve"> years 20</w:t>
      </w:r>
      <w:r w:rsidR="00101072">
        <w:rPr>
          <w:lang w:eastAsia="en-AU"/>
        </w:rPr>
        <w:t>13</w:t>
      </w:r>
      <w:r>
        <w:rPr>
          <w:lang w:eastAsia="en-AU"/>
        </w:rPr>
        <w:t xml:space="preserve"> to 20</w:t>
      </w:r>
      <w:r w:rsidR="00996547">
        <w:rPr>
          <w:lang w:eastAsia="en-AU"/>
        </w:rPr>
        <w:t>15, estimated numbers for 2016</w:t>
      </w:r>
      <w:r>
        <w:rPr>
          <w:lang w:eastAsia="en-AU"/>
        </w:rPr>
        <w:t>, and forecast customer numbers for 201</w:t>
      </w:r>
      <w:r w:rsidR="00101072">
        <w:rPr>
          <w:lang w:eastAsia="en-AU"/>
        </w:rPr>
        <w:t>7</w:t>
      </w:r>
      <w:r>
        <w:rPr>
          <w:lang w:eastAsia="en-AU"/>
        </w:rPr>
        <w:t>.</w:t>
      </w:r>
    </w:p>
    <w:p w:rsidR="00180AD1" w:rsidRDefault="00180AD1" w:rsidP="00180AD1">
      <w:pPr>
        <w:pStyle w:val="Caption"/>
        <w:rPr>
          <w:lang w:eastAsia="en-AU"/>
        </w:rPr>
      </w:pPr>
      <w:proofErr w:type="gramStart"/>
      <w:r>
        <w:t xml:space="preserve">Table </w:t>
      </w:r>
      <w:fldSimple w:instr=" STYLEREF 1 \s ">
        <w:r w:rsidR="00154DB7">
          <w:rPr>
            <w:noProof/>
          </w:rPr>
          <w:t>2</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5</w:t>
      </w:r>
      <w:r w:rsidR="007D0F77">
        <w:rPr>
          <w:noProof/>
        </w:rPr>
        <w:fldChar w:fldCharType="end"/>
      </w:r>
      <w:r>
        <w:t xml:space="preserve">:  </w:t>
      </w:r>
      <w:r w:rsidRPr="00180AD1">
        <w:t>Customer numbers</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9C04E5" w:rsidRPr="00D248AC" w:rsidTr="00C45A01">
        <w:tc>
          <w:tcPr>
            <w:tcW w:w="3055" w:type="dxa"/>
            <w:shd w:val="clear" w:color="auto" w:fill="333333"/>
          </w:tcPr>
          <w:p w:rsidR="009C04E5" w:rsidRPr="00D248AC" w:rsidRDefault="009C04E5" w:rsidP="00C45A01">
            <w:pPr>
              <w:pStyle w:val="TableColumnHeadings"/>
              <w:keepNext/>
              <w:jc w:val="left"/>
              <w:rPr>
                <w:rFonts w:ascii="Century Gothic" w:hAnsi="Century Gothic"/>
              </w:rPr>
            </w:pPr>
          </w:p>
        </w:tc>
        <w:tc>
          <w:tcPr>
            <w:tcW w:w="1076" w:type="dxa"/>
            <w:shd w:val="clear" w:color="auto" w:fill="333333"/>
          </w:tcPr>
          <w:p w:rsidR="009C04E5" w:rsidRPr="00D248AC" w:rsidRDefault="009C04E5" w:rsidP="00D248AC">
            <w:pPr>
              <w:pStyle w:val="TableColumnHeadings"/>
              <w:rPr>
                <w:rFonts w:ascii="Century Gothic" w:hAnsi="Century Gothic"/>
              </w:rPr>
            </w:pPr>
            <w:r w:rsidRPr="00D248AC">
              <w:rPr>
                <w:rFonts w:ascii="Century Gothic" w:hAnsi="Century Gothic"/>
              </w:rPr>
              <w:t>2013</w:t>
            </w:r>
          </w:p>
        </w:tc>
        <w:tc>
          <w:tcPr>
            <w:tcW w:w="1076" w:type="dxa"/>
            <w:shd w:val="clear" w:color="auto" w:fill="333333"/>
          </w:tcPr>
          <w:p w:rsidR="009C04E5" w:rsidRPr="00D248AC" w:rsidRDefault="009C04E5" w:rsidP="00D248AC">
            <w:pPr>
              <w:pStyle w:val="TableColumnHeadings"/>
              <w:rPr>
                <w:rFonts w:ascii="Century Gothic" w:hAnsi="Century Gothic"/>
              </w:rPr>
            </w:pPr>
            <w:r w:rsidRPr="00D248AC">
              <w:rPr>
                <w:rFonts w:ascii="Century Gothic" w:hAnsi="Century Gothic"/>
              </w:rPr>
              <w:t>2014</w:t>
            </w:r>
          </w:p>
        </w:tc>
        <w:tc>
          <w:tcPr>
            <w:tcW w:w="1077" w:type="dxa"/>
            <w:shd w:val="clear" w:color="auto" w:fill="333333"/>
          </w:tcPr>
          <w:p w:rsidR="009C04E5" w:rsidRPr="00D248AC" w:rsidRDefault="009C04E5" w:rsidP="00D248AC">
            <w:pPr>
              <w:pStyle w:val="TableColumnHeadings"/>
              <w:rPr>
                <w:rFonts w:ascii="Century Gothic" w:hAnsi="Century Gothic"/>
              </w:rPr>
            </w:pPr>
            <w:r w:rsidRPr="00D248AC">
              <w:rPr>
                <w:rFonts w:ascii="Century Gothic" w:hAnsi="Century Gothic"/>
              </w:rPr>
              <w:t>2015</w:t>
            </w:r>
          </w:p>
        </w:tc>
        <w:tc>
          <w:tcPr>
            <w:tcW w:w="1076" w:type="dxa"/>
            <w:shd w:val="clear" w:color="auto" w:fill="333333"/>
          </w:tcPr>
          <w:p w:rsidR="009C04E5" w:rsidRPr="00D248AC" w:rsidRDefault="009C04E5" w:rsidP="00D248AC">
            <w:pPr>
              <w:pStyle w:val="TableColumnHeadings"/>
              <w:rPr>
                <w:rFonts w:ascii="Century Gothic" w:hAnsi="Century Gothic"/>
              </w:rPr>
            </w:pPr>
            <w:r w:rsidRPr="00D248AC">
              <w:rPr>
                <w:rFonts w:ascii="Century Gothic" w:hAnsi="Century Gothic"/>
              </w:rPr>
              <w:t>2016</w:t>
            </w:r>
            <w:r w:rsidR="00996547">
              <w:rPr>
                <w:rFonts w:ascii="Century Gothic" w:hAnsi="Century Gothic"/>
              </w:rPr>
              <w:t>(e)</w:t>
            </w:r>
          </w:p>
        </w:tc>
        <w:tc>
          <w:tcPr>
            <w:tcW w:w="1077" w:type="dxa"/>
            <w:shd w:val="clear" w:color="auto" w:fill="333333"/>
          </w:tcPr>
          <w:p w:rsidR="009C04E5" w:rsidRPr="00D248AC" w:rsidRDefault="009C04E5" w:rsidP="00D248AC">
            <w:pPr>
              <w:pStyle w:val="TableColumnHeadings"/>
              <w:rPr>
                <w:rFonts w:ascii="Century Gothic" w:hAnsi="Century Gothic"/>
              </w:rPr>
            </w:pPr>
            <w:r w:rsidRPr="00D248AC">
              <w:rPr>
                <w:rFonts w:ascii="Century Gothic" w:hAnsi="Century Gothic"/>
              </w:rPr>
              <w:t>2017</w:t>
            </w:r>
            <w:r w:rsidR="00996547">
              <w:rPr>
                <w:rFonts w:ascii="Century Gothic" w:hAnsi="Century Gothic"/>
              </w:rPr>
              <w:t>(f)</w:t>
            </w:r>
          </w:p>
        </w:tc>
      </w:tr>
      <w:tr w:rsidR="00AF5CC4" w:rsidRPr="00D248AC" w:rsidTr="00AF5CC4">
        <w:tc>
          <w:tcPr>
            <w:tcW w:w="3055" w:type="dxa"/>
            <w:shd w:val="clear" w:color="auto" w:fill="auto"/>
            <w:vAlign w:val="center"/>
          </w:tcPr>
          <w:p w:rsidR="00AF5CC4" w:rsidRPr="00D248AC" w:rsidRDefault="00AF5CC4" w:rsidP="00C45A01">
            <w:pPr>
              <w:pStyle w:val="TableBodyCells"/>
              <w:keepNext/>
              <w:jc w:val="left"/>
            </w:pPr>
            <w:r w:rsidRPr="00D248AC">
              <w:t>Customer numbers</w:t>
            </w:r>
          </w:p>
        </w:tc>
        <w:tc>
          <w:tcPr>
            <w:tcW w:w="1076" w:type="dxa"/>
            <w:shd w:val="clear" w:color="auto" w:fill="auto"/>
            <w:vAlign w:val="center"/>
          </w:tcPr>
          <w:p w:rsidR="00AF5CC4" w:rsidRPr="00AF5CC4" w:rsidRDefault="00AF5CC4" w:rsidP="00AF5CC4">
            <w:pPr>
              <w:pStyle w:val="BodyText"/>
              <w:spacing w:before="40" w:after="40" w:line="240" w:lineRule="auto"/>
              <w:jc w:val="center"/>
              <w:rPr>
                <w:sz w:val="18"/>
                <w:szCs w:val="18"/>
                <w:lang w:eastAsia="en-AU"/>
              </w:rPr>
            </w:pPr>
            <w:r w:rsidRPr="00AF5CC4">
              <w:rPr>
                <w:sz w:val="18"/>
                <w:szCs w:val="18"/>
                <w:lang w:eastAsia="en-AU"/>
              </w:rPr>
              <w:t>23</w:t>
            </w:r>
          </w:p>
        </w:tc>
        <w:tc>
          <w:tcPr>
            <w:tcW w:w="1076" w:type="dxa"/>
            <w:vAlign w:val="center"/>
          </w:tcPr>
          <w:p w:rsidR="00AF5CC4" w:rsidRPr="00AF5CC4" w:rsidRDefault="00AF5CC4" w:rsidP="00AF5CC4">
            <w:pPr>
              <w:pStyle w:val="BodyText"/>
              <w:spacing w:before="40" w:after="40" w:line="240" w:lineRule="auto"/>
              <w:jc w:val="center"/>
              <w:rPr>
                <w:sz w:val="18"/>
                <w:szCs w:val="18"/>
                <w:lang w:eastAsia="en-AU"/>
              </w:rPr>
            </w:pPr>
            <w:r w:rsidRPr="00AF5CC4">
              <w:rPr>
                <w:sz w:val="18"/>
                <w:szCs w:val="18"/>
                <w:lang w:eastAsia="en-AU"/>
              </w:rPr>
              <w:t>23</w:t>
            </w:r>
          </w:p>
        </w:tc>
        <w:tc>
          <w:tcPr>
            <w:tcW w:w="1077" w:type="dxa"/>
            <w:shd w:val="clear" w:color="auto" w:fill="auto"/>
            <w:vAlign w:val="center"/>
          </w:tcPr>
          <w:p w:rsidR="00AF5CC4" w:rsidRPr="00AF5CC4" w:rsidRDefault="00AF5CC4" w:rsidP="00AF5CC4">
            <w:pPr>
              <w:pStyle w:val="BodyText"/>
              <w:spacing w:before="40" w:after="40" w:line="240" w:lineRule="auto"/>
              <w:jc w:val="center"/>
              <w:rPr>
                <w:sz w:val="18"/>
                <w:szCs w:val="18"/>
                <w:lang w:eastAsia="en-AU"/>
              </w:rPr>
            </w:pPr>
            <w:r w:rsidRPr="00AF5CC4">
              <w:rPr>
                <w:sz w:val="18"/>
                <w:szCs w:val="18"/>
                <w:lang w:eastAsia="en-AU"/>
              </w:rPr>
              <w:t>23</w:t>
            </w:r>
          </w:p>
        </w:tc>
        <w:tc>
          <w:tcPr>
            <w:tcW w:w="1076" w:type="dxa"/>
            <w:shd w:val="clear" w:color="auto" w:fill="auto"/>
            <w:vAlign w:val="center"/>
          </w:tcPr>
          <w:p w:rsidR="00AF5CC4" w:rsidRPr="00AF5CC4" w:rsidRDefault="00AF5CC4" w:rsidP="00AF5CC4">
            <w:pPr>
              <w:pStyle w:val="BodyText"/>
              <w:spacing w:before="40" w:after="40" w:line="240" w:lineRule="auto"/>
              <w:jc w:val="center"/>
              <w:rPr>
                <w:sz w:val="18"/>
                <w:szCs w:val="18"/>
                <w:lang w:eastAsia="en-AU"/>
              </w:rPr>
            </w:pPr>
            <w:r w:rsidRPr="00AF5CC4">
              <w:rPr>
                <w:sz w:val="18"/>
                <w:szCs w:val="18"/>
                <w:lang w:eastAsia="en-AU"/>
              </w:rPr>
              <w:t>21</w:t>
            </w:r>
          </w:p>
        </w:tc>
        <w:tc>
          <w:tcPr>
            <w:tcW w:w="1077" w:type="dxa"/>
            <w:shd w:val="clear" w:color="auto" w:fill="auto"/>
            <w:vAlign w:val="center"/>
          </w:tcPr>
          <w:p w:rsidR="00AF5CC4" w:rsidRPr="00AF5CC4" w:rsidRDefault="00AF5CC4" w:rsidP="00AF5CC4">
            <w:pPr>
              <w:pStyle w:val="BodyText"/>
              <w:spacing w:before="40" w:after="40" w:line="240" w:lineRule="auto"/>
              <w:jc w:val="center"/>
              <w:rPr>
                <w:sz w:val="18"/>
                <w:szCs w:val="18"/>
                <w:lang w:eastAsia="en-AU"/>
              </w:rPr>
            </w:pPr>
            <w:r w:rsidRPr="00AF5CC4">
              <w:rPr>
                <w:sz w:val="18"/>
                <w:szCs w:val="18"/>
                <w:lang w:eastAsia="en-AU"/>
              </w:rPr>
              <w:t>23</w:t>
            </w:r>
          </w:p>
        </w:tc>
      </w:tr>
    </w:tbl>
    <w:p w:rsidR="00180AD1" w:rsidRDefault="00996547" w:rsidP="00180AD1">
      <w:pPr>
        <w:pStyle w:val="Heading1"/>
        <w:rPr>
          <w:lang w:eastAsia="en-AU"/>
        </w:rPr>
      </w:pPr>
      <w:bookmarkStart w:id="9" w:name="_Toc471221341"/>
      <w:r>
        <w:rPr>
          <w:lang w:eastAsia="en-AU"/>
        </w:rPr>
        <w:lastRenderedPageBreak/>
        <w:t>T</w:t>
      </w:r>
      <w:r w:rsidR="00180AD1">
        <w:rPr>
          <w:lang w:eastAsia="en-AU"/>
        </w:rPr>
        <w:t>he Capital Base</w:t>
      </w:r>
      <w:bookmarkEnd w:id="9"/>
    </w:p>
    <w:p w:rsidR="00180AD1" w:rsidRDefault="00180AD1" w:rsidP="00180AD1">
      <w:pPr>
        <w:pStyle w:val="Heading2"/>
        <w:rPr>
          <w:lang w:eastAsia="en-AU"/>
        </w:rPr>
      </w:pPr>
      <w:bookmarkStart w:id="10" w:name="_Toc471221342"/>
      <w:r>
        <w:rPr>
          <w:lang w:eastAsia="en-AU"/>
        </w:rPr>
        <w:t>Opening Capital Base</w:t>
      </w:r>
      <w:bookmarkEnd w:id="10"/>
    </w:p>
    <w:p w:rsidR="00180AD1" w:rsidRDefault="00180AD1" w:rsidP="00180AD1">
      <w:pPr>
        <w:pStyle w:val="Heading3"/>
        <w:rPr>
          <w:lang w:eastAsia="en-AU"/>
        </w:rPr>
      </w:pPr>
      <w:bookmarkStart w:id="11" w:name="_Toc471221343"/>
      <w:r>
        <w:rPr>
          <w:lang w:eastAsia="en-AU"/>
        </w:rPr>
        <w:t>Opening Capital Base for Access Arrangement Period</w:t>
      </w:r>
      <w:bookmarkEnd w:id="11"/>
    </w:p>
    <w:p w:rsidR="00180AD1" w:rsidRDefault="00180AD1" w:rsidP="00180AD1">
      <w:pPr>
        <w:pStyle w:val="BodyText"/>
        <w:rPr>
          <w:lang w:eastAsia="en-AU"/>
        </w:rPr>
      </w:pPr>
      <w:r>
        <w:rPr>
          <w:lang w:eastAsia="en-AU"/>
        </w:rPr>
        <w:t>The Opening Capital Base for the Access Arrangement Period</w:t>
      </w:r>
      <w:r>
        <w:rPr>
          <w:rStyle w:val="FootnoteReference"/>
          <w:lang w:eastAsia="en-AU"/>
        </w:rPr>
        <w:footnoteReference w:id="6"/>
      </w:r>
      <w:r>
        <w:rPr>
          <w:lang w:eastAsia="en-AU"/>
        </w:rPr>
        <w:t xml:space="preserve"> is shown in Table 3.1 below.</w:t>
      </w:r>
    </w:p>
    <w:p w:rsidR="00180AD1" w:rsidRDefault="00180AD1" w:rsidP="00180AD1">
      <w:pPr>
        <w:pStyle w:val="Caption"/>
        <w:rPr>
          <w:lang w:eastAsia="en-AU"/>
        </w:rPr>
      </w:pPr>
      <w:proofErr w:type="gramStart"/>
      <w:r>
        <w:t xml:space="preserve">Table </w:t>
      </w:r>
      <w:fldSimple w:instr=" STYLEREF 1 \s ">
        <w:r w:rsidR="00154DB7">
          <w:rPr>
            <w:noProof/>
          </w:rPr>
          <w:t>3</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1</w:t>
      </w:r>
      <w:r w:rsidR="007D0F77">
        <w:rPr>
          <w:noProof/>
        </w:rPr>
        <w:fldChar w:fldCharType="end"/>
      </w:r>
      <w:r>
        <w:t xml:space="preserve">:  </w:t>
      </w:r>
      <w:r w:rsidRPr="00180AD1">
        <w:t>Opening Capital Base for the Access Arrangement Period</w:t>
      </w:r>
      <w:r w:rsidR="001759A1">
        <w:t xml:space="preserve"> ($m nominal)</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9C04E5" w:rsidRPr="00C637FE" w:rsidTr="00C45A01">
        <w:tc>
          <w:tcPr>
            <w:tcW w:w="3055" w:type="dxa"/>
            <w:shd w:val="clear" w:color="auto" w:fill="333333"/>
          </w:tcPr>
          <w:p w:rsidR="009C04E5" w:rsidRPr="00C637FE" w:rsidRDefault="00996547" w:rsidP="00C45A01">
            <w:pPr>
              <w:pStyle w:val="TableColumnHeadings"/>
              <w:keepNext/>
              <w:jc w:val="left"/>
              <w:rPr>
                <w:rFonts w:ascii="Century Gothic" w:hAnsi="Century Gothic"/>
                <w:szCs w:val="18"/>
              </w:rPr>
            </w:pPr>
            <w:r>
              <w:rPr>
                <w:rFonts w:ascii="Century Gothic" w:hAnsi="Century Gothic"/>
                <w:szCs w:val="18"/>
              </w:rPr>
              <w:t>$m nominal</w:t>
            </w:r>
          </w:p>
        </w:tc>
        <w:tc>
          <w:tcPr>
            <w:tcW w:w="1076" w:type="dxa"/>
            <w:shd w:val="clear" w:color="auto" w:fill="333333"/>
          </w:tcPr>
          <w:p w:rsidR="009C04E5" w:rsidRPr="00C637FE" w:rsidRDefault="00325A59" w:rsidP="00D248AC">
            <w:pPr>
              <w:pStyle w:val="TableColumnHeadings"/>
              <w:rPr>
                <w:rFonts w:ascii="Century Gothic" w:hAnsi="Century Gothic"/>
                <w:szCs w:val="18"/>
              </w:rPr>
            </w:pPr>
            <w:r w:rsidRPr="00C637FE">
              <w:rPr>
                <w:rFonts w:ascii="Century Gothic" w:hAnsi="Century Gothic"/>
                <w:szCs w:val="18"/>
              </w:rPr>
              <w:t xml:space="preserve">1 July </w:t>
            </w:r>
            <w:r w:rsidR="009C04E5" w:rsidRPr="00C637FE">
              <w:rPr>
                <w:rFonts w:ascii="Century Gothic" w:hAnsi="Century Gothic"/>
                <w:szCs w:val="18"/>
              </w:rPr>
              <w:t>2013</w:t>
            </w:r>
          </w:p>
        </w:tc>
        <w:tc>
          <w:tcPr>
            <w:tcW w:w="1076" w:type="dxa"/>
            <w:shd w:val="clear" w:color="auto" w:fill="333333"/>
          </w:tcPr>
          <w:p w:rsidR="009C04E5" w:rsidRPr="00C637FE" w:rsidRDefault="009C04E5" w:rsidP="00D248AC">
            <w:pPr>
              <w:pStyle w:val="TableColumnHeadings"/>
              <w:rPr>
                <w:rFonts w:ascii="Century Gothic" w:hAnsi="Century Gothic"/>
                <w:szCs w:val="18"/>
              </w:rPr>
            </w:pPr>
            <w:r w:rsidRPr="00C637FE">
              <w:rPr>
                <w:rFonts w:ascii="Century Gothic" w:hAnsi="Century Gothic"/>
                <w:szCs w:val="18"/>
              </w:rPr>
              <w:t>2014</w:t>
            </w:r>
          </w:p>
        </w:tc>
        <w:tc>
          <w:tcPr>
            <w:tcW w:w="1077" w:type="dxa"/>
            <w:shd w:val="clear" w:color="auto" w:fill="333333"/>
          </w:tcPr>
          <w:p w:rsidR="009C04E5" w:rsidRPr="00C637FE" w:rsidRDefault="009C04E5" w:rsidP="00D248AC">
            <w:pPr>
              <w:pStyle w:val="TableColumnHeadings"/>
              <w:rPr>
                <w:rFonts w:ascii="Century Gothic" w:hAnsi="Century Gothic"/>
                <w:szCs w:val="18"/>
              </w:rPr>
            </w:pPr>
            <w:r w:rsidRPr="00C637FE">
              <w:rPr>
                <w:rFonts w:ascii="Century Gothic" w:hAnsi="Century Gothic"/>
                <w:szCs w:val="18"/>
              </w:rPr>
              <w:t>2015</w:t>
            </w:r>
          </w:p>
        </w:tc>
        <w:tc>
          <w:tcPr>
            <w:tcW w:w="1076" w:type="dxa"/>
            <w:shd w:val="clear" w:color="auto" w:fill="333333"/>
          </w:tcPr>
          <w:p w:rsidR="009C04E5" w:rsidRPr="00C637FE" w:rsidRDefault="009C04E5" w:rsidP="00D248AC">
            <w:pPr>
              <w:pStyle w:val="TableColumnHeadings"/>
              <w:rPr>
                <w:rFonts w:ascii="Century Gothic" w:hAnsi="Century Gothic"/>
                <w:szCs w:val="18"/>
              </w:rPr>
            </w:pPr>
            <w:r w:rsidRPr="00C637FE">
              <w:rPr>
                <w:rFonts w:ascii="Century Gothic" w:hAnsi="Century Gothic"/>
                <w:szCs w:val="18"/>
              </w:rPr>
              <w:t>2016</w:t>
            </w:r>
            <w:r w:rsidR="00996547">
              <w:rPr>
                <w:rFonts w:ascii="Century Gothic" w:hAnsi="Century Gothic"/>
                <w:szCs w:val="18"/>
              </w:rPr>
              <w:t>(e)</w:t>
            </w:r>
          </w:p>
        </w:tc>
        <w:tc>
          <w:tcPr>
            <w:tcW w:w="1077" w:type="dxa"/>
            <w:shd w:val="clear" w:color="auto" w:fill="333333"/>
          </w:tcPr>
          <w:p w:rsidR="009C04E5" w:rsidRPr="00C637FE" w:rsidRDefault="009C04E5" w:rsidP="00D248AC">
            <w:pPr>
              <w:pStyle w:val="TableColumnHeadings"/>
              <w:rPr>
                <w:rFonts w:ascii="Century Gothic" w:hAnsi="Century Gothic"/>
                <w:szCs w:val="18"/>
              </w:rPr>
            </w:pPr>
            <w:r w:rsidRPr="00C637FE">
              <w:rPr>
                <w:rFonts w:ascii="Century Gothic" w:hAnsi="Century Gothic"/>
                <w:szCs w:val="18"/>
              </w:rPr>
              <w:t>2017</w:t>
            </w:r>
            <w:r w:rsidR="00996547">
              <w:rPr>
                <w:rFonts w:ascii="Century Gothic" w:hAnsi="Century Gothic"/>
                <w:szCs w:val="18"/>
              </w:rPr>
              <w:t>(f)</w:t>
            </w:r>
          </w:p>
        </w:tc>
      </w:tr>
      <w:tr w:rsidR="00867A0D" w:rsidRPr="00C637FE" w:rsidTr="005538C0">
        <w:tc>
          <w:tcPr>
            <w:tcW w:w="3055" w:type="dxa"/>
            <w:shd w:val="clear" w:color="auto" w:fill="auto"/>
            <w:vAlign w:val="center"/>
          </w:tcPr>
          <w:p w:rsidR="00867A0D" w:rsidRPr="00C637FE" w:rsidRDefault="007D0F77">
            <w:pPr>
              <w:rPr>
                <w:rFonts w:cs="Arial"/>
                <w:sz w:val="18"/>
                <w:szCs w:val="18"/>
              </w:rPr>
            </w:pPr>
            <w:r>
              <w:rPr>
                <w:rFonts w:cs="Arial"/>
                <w:sz w:val="18"/>
                <w:szCs w:val="18"/>
              </w:rPr>
              <w:t>O</w:t>
            </w:r>
            <w:r w:rsidR="00867A0D" w:rsidRPr="00C637FE">
              <w:rPr>
                <w:rFonts w:cs="Arial"/>
                <w:sz w:val="18"/>
                <w:szCs w:val="18"/>
              </w:rPr>
              <w:t>pening capital base</w:t>
            </w:r>
          </w:p>
        </w:tc>
        <w:tc>
          <w:tcPr>
            <w:tcW w:w="1076" w:type="dxa"/>
            <w:shd w:val="clear" w:color="auto" w:fill="auto"/>
          </w:tcPr>
          <w:p w:rsidR="00867A0D" w:rsidRPr="00BD2618" w:rsidRDefault="00867A0D" w:rsidP="00867A0D">
            <w:pPr>
              <w:pStyle w:val="TableBodyCells"/>
            </w:pPr>
            <w:r w:rsidRPr="00BD2618">
              <w:t xml:space="preserve"> 635.9 </w:t>
            </w:r>
          </w:p>
        </w:tc>
        <w:tc>
          <w:tcPr>
            <w:tcW w:w="1076" w:type="dxa"/>
          </w:tcPr>
          <w:p w:rsidR="00867A0D" w:rsidRPr="00BD2618" w:rsidRDefault="00867A0D" w:rsidP="00867A0D">
            <w:pPr>
              <w:pStyle w:val="TableBodyCells"/>
            </w:pPr>
            <w:r w:rsidRPr="00BD2618">
              <w:t xml:space="preserve"> 646.9 </w:t>
            </w:r>
          </w:p>
        </w:tc>
        <w:tc>
          <w:tcPr>
            <w:tcW w:w="1077" w:type="dxa"/>
            <w:shd w:val="clear" w:color="auto" w:fill="auto"/>
          </w:tcPr>
          <w:p w:rsidR="00867A0D" w:rsidRPr="00BD2618" w:rsidRDefault="00867A0D" w:rsidP="00867A0D">
            <w:pPr>
              <w:pStyle w:val="TableBodyCells"/>
            </w:pPr>
            <w:r w:rsidRPr="00BD2618">
              <w:t xml:space="preserve"> 763.8 </w:t>
            </w:r>
          </w:p>
        </w:tc>
        <w:tc>
          <w:tcPr>
            <w:tcW w:w="1076" w:type="dxa"/>
            <w:shd w:val="clear" w:color="auto" w:fill="auto"/>
          </w:tcPr>
          <w:p w:rsidR="00867A0D" w:rsidRPr="00BD2618" w:rsidRDefault="00867A0D" w:rsidP="00867A0D">
            <w:pPr>
              <w:pStyle w:val="TableBodyCells"/>
            </w:pPr>
            <w:r w:rsidRPr="00BD2618">
              <w:t xml:space="preserve"> 849.6 </w:t>
            </w:r>
          </w:p>
        </w:tc>
        <w:tc>
          <w:tcPr>
            <w:tcW w:w="1077" w:type="dxa"/>
            <w:shd w:val="clear" w:color="auto" w:fill="auto"/>
          </w:tcPr>
          <w:p w:rsidR="00867A0D" w:rsidRPr="00BD2618" w:rsidRDefault="00867A0D" w:rsidP="00867A0D">
            <w:pPr>
              <w:pStyle w:val="TableBodyCells"/>
            </w:pPr>
            <w:r w:rsidRPr="00BD2618">
              <w:t xml:space="preserve"> 944.7 </w:t>
            </w:r>
          </w:p>
        </w:tc>
      </w:tr>
      <w:tr w:rsidR="00867A0D" w:rsidRPr="00C637FE" w:rsidTr="005538C0">
        <w:tc>
          <w:tcPr>
            <w:tcW w:w="3055" w:type="dxa"/>
            <w:shd w:val="clear" w:color="auto" w:fill="auto"/>
            <w:vAlign w:val="center"/>
          </w:tcPr>
          <w:p w:rsidR="00867A0D" w:rsidRPr="00C637FE" w:rsidRDefault="00867A0D">
            <w:pPr>
              <w:rPr>
                <w:rFonts w:cs="Arial"/>
                <w:sz w:val="18"/>
                <w:szCs w:val="18"/>
              </w:rPr>
            </w:pPr>
            <w:r w:rsidRPr="00C637FE">
              <w:rPr>
                <w:rFonts w:cs="Arial"/>
                <w:sz w:val="18"/>
                <w:szCs w:val="18"/>
              </w:rPr>
              <w:t>plus net conforming capex</w:t>
            </w:r>
          </w:p>
        </w:tc>
        <w:tc>
          <w:tcPr>
            <w:tcW w:w="1076" w:type="dxa"/>
            <w:shd w:val="clear" w:color="auto" w:fill="auto"/>
          </w:tcPr>
          <w:p w:rsidR="00867A0D" w:rsidRPr="00BD2618" w:rsidRDefault="00867A0D" w:rsidP="00867A0D">
            <w:pPr>
              <w:pStyle w:val="TableBodyCells"/>
            </w:pPr>
            <w:r w:rsidRPr="00BD2618">
              <w:t xml:space="preserve"> 15.9 </w:t>
            </w:r>
          </w:p>
        </w:tc>
        <w:tc>
          <w:tcPr>
            <w:tcW w:w="1076" w:type="dxa"/>
          </w:tcPr>
          <w:p w:rsidR="00867A0D" w:rsidRPr="00BD2618" w:rsidRDefault="00867A0D" w:rsidP="00867A0D">
            <w:pPr>
              <w:pStyle w:val="TableBodyCells"/>
            </w:pPr>
            <w:r w:rsidRPr="00BD2618">
              <w:t xml:space="preserve"> 127.3 </w:t>
            </w:r>
          </w:p>
        </w:tc>
        <w:tc>
          <w:tcPr>
            <w:tcW w:w="1077" w:type="dxa"/>
            <w:shd w:val="clear" w:color="auto" w:fill="auto"/>
          </w:tcPr>
          <w:p w:rsidR="00867A0D" w:rsidRPr="00BD2618" w:rsidRDefault="00867A0D" w:rsidP="00867A0D">
            <w:pPr>
              <w:pStyle w:val="TableBodyCells"/>
            </w:pPr>
            <w:r w:rsidRPr="00BD2618">
              <w:t xml:space="preserve"> 97.6 </w:t>
            </w:r>
          </w:p>
        </w:tc>
        <w:tc>
          <w:tcPr>
            <w:tcW w:w="1076" w:type="dxa"/>
            <w:shd w:val="clear" w:color="auto" w:fill="auto"/>
          </w:tcPr>
          <w:p w:rsidR="00867A0D" w:rsidRPr="00BD2618" w:rsidRDefault="00867A0D" w:rsidP="00867A0D">
            <w:pPr>
              <w:pStyle w:val="TableBodyCells"/>
            </w:pPr>
            <w:r w:rsidRPr="00BD2618">
              <w:t xml:space="preserve"> 108.6 </w:t>
            </w:r>
          </w:p>
        </w:tc>
        <w:tc>
          <w:tcPr>
            <w:tcW w:w="1077" w:type="dxa"/>
            <w:shd w:val="clear" w:color="auto" w:fill="auto"/>
          </w:tcPr>
          <w:p w:rsidR="00867A0D" w:rsidRPr="00BD2618" w:rsidRDefault="00867A0D" w:rsidP="00867A0D">
            <w:pPr>
              <w:pStyle w:val="TableBodyCells"/>
            </w:pPr>
            <w:r w:rsidRPr="00BD2618">
              <w:t xml:space="preserve"> 60.4 </w:t>
            </w:r>
          </w:p>
        </w:tc>
      </w:tr>
      <w:tr w:rsidR="00867A0D" w:rsidRPr="00C637FE" w:rsidTr="005538C0">
        <w:tc>
          <w:tcPr>
            <w:tcW w:w="3055" w:type="dxa"/>
            <w:shd w:val="clear" w:color="auto" w:fill="auto"/>
            <w:vAlign w:val="center"/>
          </w:tcPr>
          <w:p w:rsidR="00867A0D" w:rsidRPr="00C637FE" w:rsidRDefault="00867A0D">
            <w:pPr>
              <w:rPr>
                <w:rFonts w:cs="Arial"/>
                <w:sz w:val="18"/>
                <w:szCs w:val="18"/>
              </w:rPr>
            </w:pPr>
            <w:r w:rsidRPr="00C637FE">
              <w:rPr>
                <w:rFonts w:cs="Arial"/>
                <w:sz w:val="18"/>
                <w:szCs w:val="18"/>
              </w:rPr>
              <w:t>plus speculative capex</w:t>
            </w:r>
          </w:p>
        </w:tc>
        <w:tc>
          <w:tcPr>
            <w:tcW w:w="1076" w:type="dxa"/>
            <w:shd w:val="clear" w:color="auto" w:fill="auto"/>
          </w:tcPr>
          <w:p w:rsidR="00867A0D" w:rsidRPr="00BD2618" w:rsidRDefault="00867A0D" w:rsidP="00867A0D">
            <w:pPr>
              <w:pStyle w:val="TableBodyCells"/>
            </w:pPr>
            <w:r w:rsidRPr="00BD2618">
              <w:t xml:space="preserve"> -   </w:t>
            </w:r>
          </w:p>
        </w:tc>
        <w:tc>
          <w:tcPr>
            <w:tcW w:w="1076" w:type="dxa"/>
          </w:tcPr>
          <w:p w:rsidR="00867A0D" w:rsidRPr="00BD2618" w:rsidRDefault="00867A0D" w:rsidP="00867A0D">
            <w:pPr>
              <w:pStyle w:val="TableBodyCells"/>
            </w:pPr>
            <w:r w:rsidRPr="00BD2618">
              <w:t xml:space="preserve"> -   </w:t>
            </w:r>
          </w:p>
        </w:tc>
        <w:tc>
          <w:tcPr>
            <w:tcW w:w="1077" w:type="dxa"/>
            <w:shd w:val="clear" w:color="auto" w:fill="auto"/>
          </w:tcPr>
          <w:p w:rsidR="00867A0D" w:rsidRPr="00BD2618" w:rsidRDefault="00867A0D" w:rsidP="00867A0D">
            <w:pPr>
              <w:pStyle w:val="TableBodyCells"/>
            </w:pPr>
            <w:r w:rsidRPr="00BD2618">
              <w:t xml:space="preserve"> -   </w:t>
            </w:r>
          </w:p>
        </w:tc>
        <w:tc>
          <w:tcPr>
            <w:tcW w:w="1076" w:type="dxa"/>
            <w:shd w:val="clear" w:color="auto" w:fill="auto"/>
          </w:tcPr>
          <w:p w:rsidR="00867A0D" w:rsidRPr="00BD2618" w:rsidRDefault="00867A0D" w:rsidP="00867A0D">
            <w:pPr>
              <w:pStyle w:val="TableBodyCells"/>
            </w:pPr>
            <w:r w:rsidRPr="00BD2618">
              <w:t xml:space="preserve"> -   </w:t>
            </w:r>
          </w:p>
        </w:tc>
        <w:tc>
          <w:tcPr>
            <w:tcW w:w="1077" w:type="dxa"/>
            <w:shd w:val="clear" w:color="auto" w:fill="auto"/>
          </w:tcPr>
          <w:p w:rsidR="00867A0D" w:rsidRPr="00BD2618" w:rsidRDefault="00867A0D" w:rsidP="00867A0D">
            <w:pPr>
              <w:pStyle w:val="TableBodyCells"/>
            </w:pPr>
            <w:r w:rsidRPr="00BD2618">
              <w:t xml:space="preserve"> -   </w:t>
            </w:r>
          </w:p>
        </w:tc>
      </w:tr>
      <w:tr w:rsidR="00867A0D" w:rsidRPr="00C637FE" w:rsidTr="005538C0">
        <w:tc>
          <w:tcPr>
            <w:tcW w:w="3055" w:type="dxa"/>
            <w:shd w:val="clear" w:color="auto" w:fill="auto"/>
            <w:vAlign w:val="center"/>
          </w:tcPr>
          <w:p w:rsidR="00867A0D" w:rsidRPr="00C637FE" w:rsidRDefault="00867A0D">
            <w:pPr>
              <w:rPr>
                <w:rFonts w:cs="Arial"/>
                <w:sz w:val="18"/>
                <w:szCs w:val="18"/>
              </w:rPr>
            </w:pPr>
            <w:r w:rsidRPr="00C637FE">
              <w:rPr>
                <w:rFonts w:cs="Arial"/>
                <w:sz w:val="18"/>
                <w:szCs w:val="18"/>
              </w:rPr>
              <w:t>plus reused redundant assets</w:t>
            </w:r>
          </w:p>
        </w:tc>
        <w:tc>
          <w:tcPr>
            <w:tcW w:w="1076" w:type="dxa"/>
            <w:shd w:val="clear" w:color="auto" w:fill="auto"/>
          </w:tcPr>
          <w:p w:rsidR="00867A0D" w:rsidRPr="00BD2618" w:rsidRDefault="00867A0D" w:rsidP="00867A0D">
            <w:pPr>
              <w:pStyle w:val="TableBodyCells"/>
            </w:pPr>
            <w:r w:rsidRPr="00BD2618">
              <w:t xml:space="preserve"> -   </w:t>
            </w:r>
          </w:p>
        </w:tc>
        <w:tc>
          <w:tcPr>
            <w:tcW w:w="1076" w:type="dxa"/>
          </w:tcPr>
          <w:p w:rsidR="00867A0D" w:rsidRPr="00BD2618" w:rsidRDefault="00867A0D" w:rsidP="00867A0D">
            <w:pPr>
              <w:pStyle w:val="TableBodyCells"/>
            </w:pPr>
            <w:r w:rsidRPr="00BD2618">
              <w:t xml:space="preserve"> -   </w:t>
            </w:r>
          </w:p>
        </w:tc>
        <w:tc>
          <w:tcPr>
            <w:tcW w:w="1077" w:type="dxa"/>
            <w:shd w:val="clear" w:color="auto" w:fill="auto"/>
          </w:tcPr>
          <w:p w:rsidR="00867A0D" w:rsidRPr="00BD2618" w:rsidRDefault="00867A0D" w:rsidP="00867A0D">
            <w:pPr>
              <w:pStyle w:val="TableBodyCells"/>
            </w:pPr>
            <w:r w:rsidRPr="00BD2618">
              <w:t xml:space="preserve"> -   </w:t>
            </w:r>
          </w:p>
        </w:tc>
        <w:tc>
          <w:tcPr>
            <w:tcW w:w="1076" w:type="dxa"/>
            <w:shd w:val="clear" w:color="auto" w:fill="auto"/>
          </w:tcPr>
          <w:p w:rsidR="00867A0D" w:rsidRPr="00BD2618" w:rsidRDefault="00867A0D" w:rsidP="00867A0D">
            <w:pPr>
              <w:pStyle w:val="TableBodyCells"/>
            </w:pPr>
            <w:r w:rsidRPr="00BD2618">
              <w:t xml:space="preserve"> -   </w:t>
            </w:r>
          </w:p>
        </w:tc>
        <w:tc>
          <w:tcPr>
            <w:tcW w:w="1077" w:type="dxa"/>
            <w:shd w:val="clear" w:color="auto" w:fill="auto"/>
          </w:tcPr>
          <w:p w:rsidR="00867A0D" w:rsidRPr="00BD2618" w:rsidRDefault="00867A0D" w:rsidP="00867A0D">
            <w:pPr>
              <w:pStyle w:val="TableBodyCells"/>
            </w:pPr>
            <w:r w:rsidRPr="00BD2618">
              <w:t xml:space="preserve"> -   </w:t>
            </w:r>
          </w:p>
        </w:tc>
      </w:tr>
      <w:tr w:rsidR="00867A0D" w:rsidRPr="00C637FE" w:rsidTr="005538C0">
        <w:tc>
          <w:tcPr>
            <w:tcW w:w="3055" w:type="dxa"/>
            <w:shd w:val="clear" w:color="auto" w:fill="auto"/>
            <w:vAlign w:val="center"/>
          </w:tcPr>
          <w:p w:rsidR="00867A0D" w:rsidRPr="00C637FE" w:rsidRDefault="00867A0D" w:rsidP="00C637FE">
            <w:pPr>
              <w:rPr>
                <w:rFonts w:cs="Arial"/>
                <w:sz w:val="18"/>
                <w:szCs w:val="18"/>
              </w:rPr>
            </w:pPr>
            <w:r w:rsidRPr="00C637FE">
              <w:rPr>
                <w:rFonts w:cs="Arial"/>
                <w:sz w:val="18"/>
                <w:szCs w:val="18"/>
              </w:rPr>
              <w:t>less depreciation</w:t>
            </w:r>
          </w:p>
        </w:tc>
        <w:tc>
          <w:tcPr>
            <w:tcW w:w="1076" w:type="dxa"/>
            <w:shd w:val="clear" w:color="auto" w:fill="auto"/>
          </w:tcPr>
          <w:p w:rsidR="00867A0D" w:rsidRPr="00BD2618" w:rsidRDefault="00867A0D" w:rsidP="00867A0D">
            <w:pPr>
              <w:pStyle w:val="TableBodyCells"/>
            </w:pPr>
            <w:r w:rsidRPr="00BD2618">
              <w:t xml:space="preserve">-12.8 </w:t>
            </w:r>
          </w:p>
        </w:tc>
        <w:tc>
          <w:tcPr>
            <w:tcW w:w="1076" w:type="dxa"/>
          </w:tcPr>
          <w:p w:rsidR="00867A0D" w:rsidRPr="00BD2618" w:rsidRDefault="00867A0D" w:rsidP="00867A0D">
            <w:pPr>
              <w:pStyle w:val="TableBodyCells"/>
            </w:pPr>
            <w:r w:rsidRPr="00BD2618">
              <w:t xml:space="preserve">-26.5 </w:t>
            </w:r>
          </w:p>
        </w:tc>
        <w:tc>
          <w:tcPr>
            <w:tcW w:w="1077" w:type="dxa"/>
            <w:shd w:val="clear" w:color="auto" w:fill="auto"/>
          </w:tcPr>
          <w:p w:rsidR="00867A0D" w:rsidRPr="00BD2618" w:rsidRDefault="00867A0D" w:rsidP="00867A0D">
            <w:pPr>
              <w:pStyle w:val="TableBodyCells"/>
            </w:pPr>
            <w:r w:rsidRPr="00BD2618">
              <w:t xml:space="preserve">-30.5 </w:t>
            </w:r>
          </w:p>
        </w:tc>
        <w:tc>
          <w:tcPr>
            <w:tcW w:w="1076" w:type="dxa"/>
            <w:shd w:val="clear" w:color="auto" w:fill="auto"/>
          </w:tcPr>
          <w:p w:rsidR="00867A0D" w:rsidRPr="00BD2618" w:rsidRDefault="00867A0D" w:rsidP="00867A0D">
            <w:pPr>
              <w:pStyle w:val="TableBodyCells"/>
            </w:pPr>
            <w:r w:rsidRPr="00BD2618">
              <w:t xml:space="preserve">-33.6 </w:t>
            </w:r>
          </w:p>
        </w:tc>
        <w:tc>
          <w:tcPr>
            <w:tcW w:w="1077" w:type="dxa"/>
            <w:shd w:val="clear" w:color="auto" w:fill="auto"/>
          </w:tcPr>
          <w:p w:rsidR="00867A0D" w:rsidRPr="00BD2618" w:rsidRDefault="00867A0D" w:rsidP="00867A0D">
            <w:pPr>
              <w:pStyle w:val="TableBodyCells"/>
            </w:pPr>
            <w:r w:rsidRPr="00BD2618">
              <w:t xml:space="preserve">-30.1 </w:t>
            </w:r>
          </w:p>
        </w:tc>
      </w:tr>
      <w:tr w:rsidR="00867A0D" w:rsidRPr="00C637FE" w:rsidTr="005538C0">
        <w:tc>
          <w:tcPr>
            <w:tcW w:w="3055" w:type="dxa"/>
            <w:shd w:val="clear" w:color="auto" w:fill="auto"/>
            <w:vAlign w:val="center"/>
          </w:tcPr>
          <w:p w:rsidR="00867A0D" w:rsidRPr="00C637FE" w:rsidRDefault="00867A0D">
            <w:pPr>
              <w:rPr>
                <w:rFonts w:cs="Arial"/>
                <w:sz w:val="18"/>
                <w:szCs w:val="18"/>
              </w:rPr>
            </w:pPr>
            <w:r w:rsidRPr="00C637FE">
              <w:rPr>
                <w:rFonts w:cs="Arial"/>
                <w:sz w:val="18"/>
                <w:szCs w:val="18"/>
              </w:rPr>
              <w:t>plus indexation</w:t>
            </w:r>
          </w:p>
        </w:tc>
        <w:tc>
          <w:tcPr>
            <w:tcW w:w="1076" w:type="dxa"/>
            <w:shd w:val="clear" w:color="auto" w:fill="auto"/>
          </w:tcPr>
          <w:p w:rsidR="00867A0D" w:rsidRPr="00BD2618" w:rsidRDefault="00867A0D" w:rsidP="00867A0D">
            <w:pPr>
              <w:pStyle w:val="TableBodyCells"/>
            </w:pPr>
            <w:r w:rsidRPr="00BD2618">
              <w:t xml:space="preserve"> 7.9 </w:t>
            </w:r>
          </w:p>
        </w:tc>
        <w:tc>
          <w:tcPr>
            <w:tcW w:w="1076" w:type="dxa"/>
          </w:tcPr>
          <w:p w:rsidR="00867A0D" w:rsidRPr="00BD2618" w:rsidRDefault="00867A0D" w:rsidP="00867A0D">
            <w:pPr>
              <w:pStyle w:val="TableBodyCells"/>
            </w:pPr>
            <w:r w:rsidRPr="00BD2618">
              <w:t xml:space="preserve"> 16.2 </w:t>
            </w:r>
          </w:p>
        </w:tc>
        <w:tc>
          <w:tcPr>
            <w:tcW w:w="1077" w:type="dxa"/>
            <w:shd w:val="clear" w:color="auto" w:fill="auto"/>
          </w:tcPr>
          <w:p w:rsidR="00867A0D" w:rsidRPr="00BD2618" w:rsidRDefault="00867A0D" w:rsidP="00867A0D">
            <w:pPr>
              <w:pStyle w:val="TableBodyCells"/>
            </w:pPr>
            <w:r w:rsidRPr="00BD2618">
              <w:t xml:space="preserve"> 18.9 </w:t>
            </w:r>
          </w:p>
        </w:tc>
        <w:tc>
          <w:tcPr>
            <w:tcW w:w="1076" w:type="dxa"/>
            <w:shd w:val="clear" w:color="auto" w:fill="auto"/>
          </w:tcPr>
          <w:p w:rsidR="00867A0D" w:rsidRPr="00BD2618" w:rsidRDefault="00867A0D" w:rsidP="00867A0D">
            <w:pPr>
              <w:pStyle w:val="TableBodyCells"/>
            </w:pPr>
            <w:r w:rsidRPr="00BD2618">
              <w:t xml:space="preserve"> 20.1 </w:t>
            </w:r>
          </w:p>
        </w:tc>
        <w:tc>
          <w:tcPr>
            <w:tcW w:w="1077" w:type="dxa"/>
            <w:shd w:val="clear" w:color="auto" w:fill="auto"/>
          </w:tcPr>
          <w:p w:rsidR="00867A0D" w:rsidRPr="00BD2618" w:rsidRDefault="00867A0D" w:rsidP="00867A0D">
            <w:pPr>
              <w:pStyle w:val="TableBodyCells"/>
            </w:pPr>
            <w:r w:rsidRPr="00BD2618">
              <w:t xml:space="preserve"> 22.7 </w:t>
            </w:r>
          </w:p>
        </w:tc>
      </w:tr>
      <w:tr w:rsidR="00867A0D" w:rsidRPr="00C637FE" w:rsidTr="005538C0">
        <w:tc>
          <w:tcPr>
            <w:tcW w:w="3055" w:type="dxa"/>
            <w:shd w:val="clear" w:color="auto" w:fill="auto"/>
            <w:vAlign w:val="center"/>
          </w:tcPr>
          <w:p w:rsidR="00867A0D" w:rsidRPr="00C637FE" w:rsidRDefault="00867A0D">
            <w:pPr>
              <w:rPr>
                <w:rFonts w:cs="Arial"/>
                <w:sz w:val="18"/>
                <w:szCs w:val="18"/>
              </w:rPr>
            </w:pPr>
            <w:r w:rsidRPr="00C637FE">
              <w:rPr>
                <w:rFonts w:cs="Arial"/>
                <w:sz w:val="18"/>
                <w:szCs w:val="18"/>
              </w:rPr>
              <w:t>less redundant assets</w:t>
            </w:r>
          </w:p>
        </w:tc>
        <w:tc>
          <w:tcPr>
            <w:tcW w:w="1076" w:type="dxa"/>
            <w:shd w:val="clear" w:color="auto" w:fill="auto"/>
          </w:tcPr>
          <w:p w:rsidR="00867A0D" w:rsidRPr="00BD2618" w:rsidRDefault="00867A0D" w:rsidP="00867A0D">
            <w:pPr>
              <w:pStyle w:val="TableBodyCells"/>
            </w:pPr>
            <w:r w:rsidRPr="00BD2618">
              <w:t xml:space="preserve"> -   </w:t>
            </w:r>
          </w:p>
        </w:tc>
        <w:tc>
          <w:tcPr>
            <w:tcW w:w="1076" w:type="dxa"/>
          </w:tcPr>
          <w:p w:rsidR="00867A0D" w:rsidRPr="00BD2618" w:rsidRDefault="00867A0D" w:rsidP="00867A0D">
            <w:pPr>
              <w:pStyle w:val="TableBodyCells"/>
            </w:pPr>
            <w:r w:rsidRPr="00BD2618">
              <w:t xml:space="preserve"> -   </w:t>
            </w:r>
          </w:p>
        </w:tc>
        <w:tc>
          <w:tcPr>
            <w:tcW w:w="1077" w:type="dxa"/>
            <w:shd w:val="clear" w:color="auto" w:fill="auto"/>
          </w:tcPr>
          <w:p w:rsidR="00867A0D" w:rsidRPr="00BD2618" w:rsidRDefault="00867A0D" w:rsidP="00867A0D">
            <w:pPr>
              <w:pStyle w:val="TableBodyCells"/>
            </w:pPr>
            <w:r w:rsidRPr="00BD2618">
              <w:t xml:space="preserve"> -   </w:t>
            </w:r>
          </w:p>
        </w:tc>
        <w:tc>
          <w:tcPr>
            <w:tcW w:w="1076" w:type="dxa"/>
            <w:shd w:val="clear" w:color="auto" w:fill="auto"/>
          </w:tcPr>
          <w:p w:rsidR="00867A0D" w:rsidRPr="00BD2618" w:rsidRDefault="00867A0D" w:rsidP="00867A0D">
            <w:pPr>
              <w:pStyle w:val="TableBodyCells"/>
            </w:pPr>
            <w:r w:rsidRPr="00BD2618">
              <w:t xml:space="preserve"> -   </w:t>
            </w:r>
          </w:p>
        </w:tc>
        <w:tc>
          <w:tcPr>
            <w:tcW w:w="1077" w:type="dxa"/>
            <w:shd w:val="clear" w:color="auto" w:fill="auto"/>
          </w:tcPr>
          <w:p w:rsidR="00867A0D" w:rsidRPr="00BD2618" w:rsidRDefault="00867A0D" w:rsidP="00867A0D">
            <w:pPr>
              <w:pStyle w:val="TableBodyCells"/>
            </w:pPr>
            <w:r w:rsidRPr="00BD2618">
              <w:t xml:space="preserve"> -   </w:t>
            </w:r>
          </w:p>
        </w:tc>
      </w:tr>
      <w:tr w:rsidR="00867A0D" w:rsidRPr="00C637FE" w:rsidTr="005538C0">
        <w:tc>
          <w:tcPr>
            <w:tcW w:w="3055" w:type="dxa"/>
            <w:shd w:val="clear" w:color="auto" w:fill="auto"/>
            <w:vAlign w:val="center"/>
          </w:tcPr>
          <w:p w:rsidR="00867A0D" w:rsidRPr="00C637FE" w:rsidRDefault="00867A0D">
            <w:pPr>
              <w:rPr>
                <w:rFonts w:cs="Arial"/>
                <w:sz w:val="18"/>
                <w:szCs w:val="18"/>
              </w:rPr>
            </w:pPr>
            <w:r w:rsidRPr="00C637FE">
              <w:rPr>
                <w:rFonts w:cs="Arial"/>
                <w:sz w:val="18"/>
                <w:szCs w:val="18"/>
              </w:rPr>
              <w:t>less disposals</w:t>
            </w:r>
          </w:p>
        </w:tc>
        <w:tc>
          <w:tcPr>
            <w:tcW w:w="1076" w:type="dxa"/>
            <w:shd w:val="clear" w:color="auto" w:fill="auto"/>
          </w:tcPr>
          <w:p w:rsidR="00867A0D" w:rsidRPr="00BD2618" w:rsidRDefault="00867A0D" w:rsidP="00867A0D">
            <w:pPr>
              <w:pStyle w:val="TableBodyCells"/>
            </w:pPr>
            <w:r w:rsidRPr="00BD2618">
              <w:t xml:space="preserve">-0.0 </w:t>
            </w:r>
          </w:p>
        </w:tc>
        <w:tc>
          <w:tcPr>
            <w:tcW w:w="1076" w:type="dxa"/>
          </w:tcPr>
          <w:p w:rsidR="00867A0D" w:rsidRPr="00BD2618" w:rsidRDefault="00867A0D" w:rsidP="00867A0D">
            <w:pPr>
              <w:pStyle w:val="TableBodyCells"/>
            </w:pPr>
            <w:r w:rsidRPr="00BD2618">
              <w:t xml:space="preserve">-0.2 </w:t>
            </w:r>
          </w:p>
        </w:tc>
        <w:tc>
          <w:tcPr>
            <w:tcW w:w="1077" w:type="dxa"/>
            <w:shd w:val="clear" w:color="auto" w:fill="auto"/>
          </w:tcPr>
          <w:p w:rsidR="00867A0D" w:rsidRPr="00BD2618" w:rsidRDefault="00867A0D" w:rsidP="00867A0D">
            <w:pPr>
              <w:pStyle w:val="TableBodyCells"/>
            </w:pPr>
            <w:r w:rsidRPr="00BD2618">
              <w:t xml:space="preserve">-0.0 </w:t>
            </w:r>
          </w:p>
        </w:tc>
        <w:tc>
          <w:tcPr>
            <w:tcW w:w="1076" w:type="dxa"/>
            <w:shd w:val="clear" w:color="auto" w:fill="auto"/>
          </w:tcPr>
          <w:p w:rsidR="00867A0D" w:rsidRPr="00BD2618" w:rsidRDefault="00867A0D" w:rsidP="00867A0D">
            <w:pPr>
              <w:pStyle w:val="TableBodyCells"/>
            </w:pPr>
            <w:r w:rsidRPr="00BD2618">
              <w:t xml:space="preserve">-0.0 </w:t>
            </w:r>
          </w:p>
        </w:tc>
        <w:tc>
          <w:tcPr>
            <w:tcW w:w="1077" w:type="dxa"/>
            <w:shd w:val="clear" w:color="auto" w:fill="auto"/>
          </w:tcPr>
          <w:p w:rsidR="00867A0D" w:rsidRPr="00BD2618" w:rsidRDefault="00867A0D" w:rsidP="00867A0D">
            <w:pPr>
              <w:pStyle w:val="TableBodyCells"/>
            </w:pPr>
            <w:r w:rsidRPr="00BD2618">
              <w:t xml:space="preserve">-0.1 </w:t>
            </w:r>
          </w:p>
        </w:tc>
      </w:tr>
      <w:tr w:rsidR="00867A0D" w:rsidRPr="007D0F77" w:rsidTr="005538C0">
        <w:tc>
          <w:tcPr>
            <w:tcW w:w="3055" w:type="dxa"/>
            <w:shd w:val="clear" w:color="auto" w:fill="auto"/>
            <w:vAlign w:val="center"/>
          </w:tcPr>
          <w:p w:rsidR="00867A0D" w:rsidRPr="007D0F77" w:rsidRDefault="007D0F77">
            <w:pPr>
              <w:rPr>
                <w:rFonts w:cs="Arial"/>
                <w:b/>
                <w:bCs/>
                <w:sz w:val="18"/>
                <w:szCs w:val="18"/>
              </w:rPr>
            </w:pPr>
            <w:r>
              <w:rPr>
                <w:rFonts w:cs="Arial"/>
                <w:b/>
                <w:bCs/>
                <w:sz w:val="18"/>
                <w:szCs w:val="18"/>
              </w:rPr>
              <w:t>C</w:t>
            </w:r>
            <w:r w:rsidR="00867A0D" w:rsidRPr="007D0F77">
              <w:rPr>
                <w:rFonts w:cs="Arial"/>
                <w:b/>
                <w:bCs/>
                <w:sz w:val="18"/>
                <w:szCs w:val="18"/>
              </w:rPr>
              <w:t>losing capital base</w:t>
            </w:r>
          </w:p>
        </w:tc>
        <w:tc>
          <w:tcPr>
            <w:tcW w:w="1076" w:type="dxa"/>
            <w:shd w:val="clear" w:color="auto" w:fill="auto"/>
          </w:tcPr>
          <w:p w:rsidR="00867A0D" w:rsidRPr="007D0F77" w:rsidRDefault="00867A0D" w:rsidP="00867A0D">
            <w:pPr>
              <w:pStyle w:val="TableBodyCells"/>
              <w:rPr>
                <w:b/>
              </w:rPr>
            </w:pPr>
            <w:r w:rsidRPr="007D0F77">
              <w:rPr>
                <w:b/>
              </w:rPr>
              <w:t xml:space="preserve"> 646.9 </w:t>
            </w:r>
          </w:p>
        </w:tc>
        <w:tc>
          <w:tcPr>
            <w:tcW w:w="1076" w:type="dxa"/>
          </w:tcPr>
          <w:p w:rsidR="00867A0D" w:rsidRPr="007D0F77" w:rsidRDefault="00867A0D" w:rsidP="00867A0D">
            <w:pPr>
              <w:pStyle w:val="TableBodyCells"/>
              <w:rPr>
                <w:b/>
              </w:rPr>
            </w:pPr>
            <w:r w:rsidRPr="007D0F77">
              <w:rPr>
                <w:b/>
              </w:rPr>
              <w:t xml:space="preserve"> 763.8 </w:t>
            </w:r>
          </w:p>
        </w:tc>
        <w:tc>
          <w:tcPr>
            <w:tcW w:w="1077" w:type="dxa"/>
            <w:shd w:val="clear" w:color="auto" w:fill="auto"/>
          </w:tcPr>
          <w:p w:rsidR="00867A0D" w:rsidRPr="007D0F77" w:rsidRDefault="00867A0D" w:rsidP="00867A0D">
            <w:pPr>
              <w:pStyle w:val="TableBodyCells"/>
              <w:rPr>
                <w:b/>
              </w:rPr>
            </w:pPr>
            <w:r w:rsidRPr="007D0F77">
              <w:rPr>
                <w:b/>
              </w:rPr>
              <w:t xml:space="preserve"> 849.6 </w:t>
            </w:r>
          </w:p>
        </w:tc>
        <w:tc>
          <w:tcPr>
            <w:tcW w:w="1076" w:type="dxa"/>
            <w:shd w:val="clear" w:color="auto" w:fill="auto"/>
          </w:tcPr>
          <w:p w:rsidR="00867A0D" w:rsidRPr="007D0F77" w:rsidRDefault="00867A0D" w:rsidP="00867A0D">
            <w:pPr>
              <w:pStyle w:val="TableBodyCells"/>
              <w:rPr>
                <w:b/>
              </w:rPr>
            </w:pPr>
            <w:r w:rsidRPr="007D0F77">
              <w:rPr>
                <w:b/>
              </w:rPr>
              <w:t xml:space="preserve"> 944.7 </w:t>
            </w:r>
          </w:p>
        </w:tc>
        <w:tc>
          <w:tcPr>
            <w:tcW w:w="1077" w:type="dxa"/>
            <w:shd w:val="clear" w:color="auto" w:fill="auto"/>
          </w:tcPr>
          <w:p w:rsidR="00867A0D" w:rsidRPr="007D0F77" w:rsidRDefault="00867A0D" w:rsidP="00867A0D">
            <w:pPr>
              <w:pStyle w:val="TableBodyCells"/>
              <w:rPr>
                <w:b/>
              </w:rPr>
            </w:pPr>
            <w:r w:rsidRPr="007D0F77">
              <w:rPr>
                <w:b/>
              </w:rPr>
              <w:t xml:space="preserve"> 997.6 </w:t>
            </w:r>
          </w:p>
        </w:tc>
      </w:tr>
    </w:tbl>
    <w:p w:rsidR="00180AD1" w:rsidRDefault="00180AD1" w:rsidP="00180AD1">
      <w:pPr>
        <w:pStyle w:val="Heading2"/>
        <w:rPr>
          <w:lang w:eastAsia="en-AU"/>
        </w:rPr>
      </w:pPr>
      <w:bookmarkStart w:id="12" w:name="_Toc471221344"/>
      <w:r>
        <w:rPr>
          <w:lang w:eastAsia="en-AU"/>
        </w:rPr>
        <w:t>Projected Capital Base</w:t>
      </w:r>
      <w:bookmarkEnd w:id="12"/>
    </w:p>
    <w:p w:rsidR="00180AD1" w:rsidRDefault="00180AD1" w:rsidP="00180AD1">
      <w:pPr>
        <w:pStyle w:val="BodyText"/>
        <w:rPr>
          <w:lang w:eastAsia="en-AU"/>
        </w:rPr>
      </w:pPr>
      <w:r>
        <w:rPr>
          <w:lang w:eastAsia="en-AU"/>
        </w:rPr>
        <w:t>The projected Capital Base for the Access Arrangement Period is made up of the following components:</w:t>
      </w:r>
    </w:p>
    <w:p w:rsidR="00180AD1" w:rsidRDefault="00180AD1" w:rsidP="00180AD1">
      <w:pPr>
        <w:pStyle w:val="ListBullet"/>
        <w:rPr>
          <w:lang w:eastAsia="en-AU"/>
        </w:rPr>
      </w:pPr>
      <w:r>
        <w:rPr>
          <w:lang w:eastAsia="en-AU"/>
        </w:rPr>
        <w:t>Opening Capital Base; plus</w:t>
      </w:r>
    </w:p>
    <w:p w:rsidR="00180AD1" w:rsidRDefault="00180AD1" w:rsidP="00180AD1">
      <w:pPr>
        <w:pStyle w:val="ListBullet"/>
        <w:rPr>
          <w:lang w:eastAsia="en-AU"/>
        </w:rPr>
      </w:pPr>
      <w:r>
        <w:rPr>
          <w:lang w:eastAsia="en-AU"/>
        </w:rPr>
        <w:t>Forecast conforming capital expenditure; less</w:t>
      </w:r>
    </w:p>
    <w:p w:rsidR="00180AD1" w:rsidRDefault="00180AD1" w:rsidP="00180AD1">
      <w:pPr>
        <w:pStyle w:val="ListBullet"/>
        <w:rPr>
          <w:lang w:eastAsia="en-AU"/>
        </w:rPr>
      </w:pPr>
      <w:r>
        <w:rPr>
          <w:lang w:eastAsia="en-AU"/>
        </w:rPr>
        <w:lastRenderedPageBreak/>
        <w:t>Forecast depreciation; less</w:t>
      </w:r>
    </w:p>
    <w:p w:rsidR="00180AD1" w:rsidRDefault="00180AD1" w:rsidP="00180AD1">
      <w:pPr>
        <w:pStyle w:val="ListBullet"/>
        <w:rPr>
          <w:lang w:eastAsia="en-AU"/>
        </w:rPr>
      </w:pPr>
      <w:r>
        <w:rPr>
          <w:lang w:eastAsia="en-AU"/>
        </w:rPr>
        <w:t>Forecast disposals.</w:t>
      </w:r>
    </w:p>
    <w:p w:rsidR="00180AD1" w:rsidRDefault="00180AD1" w:rsidP="00180AD1">
      <w:pPr>
        <w:pStyle w:val="BodyText"/>
        <w:rPr>
          <w:lang w:eastAsia="en-AU"/>
        </w:rPr>
      </w:pPr>
      <w:r>
        <w:rPr>
          <w:lang w:eastAsia="en-AU"/>
        </w:rPr>
        <w:t xml:space="preserve">These components are described in the following sections, and the projected Capital Base is provided in section </w:t>
      </w:r>
      <w:r w:rsidR="00996547">
        <w:rPr>
          <w:lang w:eastAsia="en-AU"/>
        </w:rPr>
        <w:fldChar w:fldCharType="begin"/>
      </w:r>
      <w:r w:rsidR="00996547">
        <w:rPr>
          <w:lang w:eastAsia="en-AU"/>
        </w:rPr>
        <w:instrText xml:space="preserve"> REF _Ref471123866 \r \h </w:instrText>
      </w:r>
      <w:r w:rsidR="00996547">
        <w:rPr>
          <w:lang w:eastAsia="en-AU"/>
        </w:rPr>
      </w:r>
      <w:r w:rsidR="00996547">
        <w:rPr>
          <w:lang w:eastAsia="en-AU"/>
        </w:rPr>
        <w:fldChar w:fldCharType="separate"/>
      </w:r>
      <w:r w:rsidR="00154DB7">
        <w:rPr>
          <w:lang w:eastAsia="en-AU"/>
        </w:rPr>
        <w:t>3.2.5</w:t>
      </w:r>
      <w:r w:rsidR="00996547">
        <w:rPr>
          <w:lang w:eastAsia="en-AU"/>
        </w:rPr>
        <w:fldChar w:fldCharType="end"/>
      </w:r>
      <w:r w:rsidR="00996547">
        <w:rPr>
          <w:lang w:eastAsia="en-AU"/>
        </w:rPr>
        <w:t xml:space="preserve"> </w:t>
      </w:r>
      <w:r>
        <w:rPr>
          <w:lang w:eastAsia="en-AU"/>
        </w:rPr>
        <w:t>below.</w:t>
      </w:r>
    </w:p>
    <w:p w:rsidR="00180AD1" w:rsidRDefault="00180AD1" w:rsidP="00180AD1">
      <w:pPr>
        <w:pStyle w:val="Heading3"/>
        <w:rPr>
          <w:lang w:eastAsia="en-AU"/>
        </w:rPr>
      </w:pPr>
      <w:bookmarkStart w:id="13" w:name="_Toc471221345"/>
      <w:r>
        <w:rPr>
          <w:lang w:eastAsia="en-AU"/>
        </w:rPr>
        <w:t>Forecast conforming capital expenditure for the Access Arrangement Period</w:t>
      </w:r>
      <w:bookmarkEnd w:id="13"/>
    </w:p>
    <w:p w:rsidR="00180AD1" w:rsidRDefault="00180AD1" w:rsidP="00180AD1">
      <w:pPr>
        <w:pStyle w:val="BodyText"/>
        <w:rPr>
          <w:lang w:eastAsia="en-AU"/>
        </w:rPr>
      </w:pPr>
      <w:r>
        <w:rPr>
          <w:lang w:eastAsia="en-AU"/>
        </w:rPr>
        <w:t>Forecast conforming capital expenditure by asset class over the Access Arrangement Period</w:t>
      </w:r>
      <w:r w:rsidR="00FA5534">
        <w:rPr>
          <w:rStyle w:val="FootnoteReference"/>
          <w:lang w:eastAsia="en-AU"/>
        </w:rPr>
        <w:footnoteReference w:id="7"/>
      </w:r>
      <w:r>
        <w:rPr>
          <w:lang w:eastAsia="en-AU"/>
        </w:rPr>
        <w:t xml:space="preserve"> is set out in Table 3.2 below.</w:t>
      </w:r>
    </w:p>
    <w:p w:rsidR="00180AD1" w:rsidRDefault="00180AD1" w:rsidP="00180AD1">
      <w:pPr>
        <w:pStyle w:val="Caption"/>
        <w:rPr>
          <w:lang w:eastAsia="en-AU"/>
        </w:rPr>
      </w:pPr>
      <w:proofErr w:type="gramStart"/>
      <w:r>
        <w:t xml:space="preserve">Table </w:t>
      </w:r>
      <w:fldSimple w:instr=" STYLEREF 1 \s ">
        <w:r w:rsidR="00154DB7">
          <w:rPr>
            <w:noProof/>
          </w:rPr>
          <w:t>3</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2</w:t>
      </w:r>
      <w:r w:rsidR="007D0F77">
        <w:rPr>
          <w:noProof/>
        </w:rPr>
        <w:fldChar w:fldCharType="end"/>
      </w:r>
      <w:r>
        <w:t xml:space="preserve">:  </w:t>
      </w:r>
      <w:r w:rsidRPr="00180AD1">
        <w:t>Forecast capital expenditure by asset class over the Access Arrangement Period</w:t>
      </w:r>
      <w:r w:rsidR="00FC3E06">
        <w:t xml:space="preserve"> ($m </w:t>
      </w:r>
      <w:r w:rsidR="00996547">
        <w:t xml:space="preserve">real </w:t>
      </w:r>
      <w:r w:rsidR="00FC3E06">
        <w:t>201</w:t>
      </w:r>
      <w:r w:rsidR="00C637FE">
        <w:t>7</w:t>
      </w:r>
      <w:r w:rsidR="00FC3E06">
        <w:t>)</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9C04E5" w:rsidRPr="00FC3E06" w:rsidTr="00C45A01">
        <w:tc>
          <w:tcPr>
            <w:tcW w:w="3055" w:type="dxa"/>
            <w:shd w:val="clear" w:color="auto" w:fill="333333"/>
          </w:tcPr>
          <w:p w:rsidR="009C04E5" w:rsidRPr="00FC3E06" w:rsidRDefault="00996547" w:rsidP="00C45A01">
            <w:pPr>
              <w:pStyle w:val="TableColumnHeadings"/>
              <w:keepNext/>
              <w:jc w:val="left"/>
              <w:rPr>
                <w:rFonts w:ascii="Century Gothic" w:hAnsi="Century Gothic"/>
                <w:szCs w:val="18"/>
              </w:rPr>
            </w:pPr>
            <w:r>
              <w:rPr>
                <w:rFonts w:ascii="Century Gothic" w:hAnsi="Century Gothic"/>
                <w:szCs w:val="18"/>
              </w:rPr>
              <w:t>$m real 2017</w:t>
            </w:r>
          </w:p>
        </w:tc>
        <w:tc>
          <w:tcPr>
            <w:tcW w:w="1076" w:type="dxa"/>
            <w:shd w:val="clear" w:color="auto" w:fill="333333"/>
          </w:tcPr>
          <w:p w:rsidR="009C04E5" w:rsidRPr="00FC3E06" w:rsidRDefault="009C04E5" w:rsidP="00D248AC">
            <w:pPr>
              <w:pStyle w:val="TableColumnHeadings"/>
              <w:rPr>
                <w:rFonts w:ascii="Century Gothic" w:hAnsi="Century Gothic"/>
                <w:szCs w:val="18"/>
              </w:rPr>
            </w:pPr>
            <w:r w:rsidRPr="00FC3E06">
              <w:rPr>
                <w:rFonts w:ascii="Century Gothic" w:hAnsi="Century Gothic"/>
                <w:szCs w:val="18"/>
              </w:rPr>
              <w:t>2018</w:t>
            </w:r>
          </w:p>
        </w:tc>
        <w:tc>
          <w:tcPr>
            <w:tcW w:w="1076" w:type="dxa"/>
            <w:shd w:val="clear" w:color="auto" w:fill="333333"/>
          </w:tcPr>
          <w:p w:rsidR="009C04E5" w:rsidRPr="00FC3E06" w:rsidRDefault="009C04E5" w:rsidP="00D248AC">
            <w:pPr>
              <w:pStyle w:val="TableColumnHeadings"/>
              <w:rPr>
                <w:rFonts w:ascii="Century Gothic" w:hAnsi="Century Gothic"/>
                <w:szCs w:val="18"/>
              </w:rPr>
            </w:pPr>
            <w:r w:rsidRPr="00FC3E06">
              <w:rPr>
                <w:rFonts w:ascii="Century Gothic" w:hAnsi="Century Gothic"/>
                <w:szCs w:val="18"/>
              </w:rPr>
              <w:t>2</w:t>
            </w:r>
            <w:r w:rsidR="00D248AC">
              <w:rPr>
                <w:rFonts w:ascii="Century Gothic" w:hAnsi="Century Gothic"/>
                <w:szCs w:val="18"/>
              </w:rPr>
              <w:t>01</w:t>
            </w:r>
            <w:r w:rsidRPr="00FC3E06">
              <w:rPr>
                <w:rFonts w:ascii="Century Gothic" w:hAnsi="Century Gothic"/>
                <w:szCs w:val="18"/>
              </w:rPr>
              <w:t>9</w:t>
            </w:r>
          </w:p>
        </w:tc>
        <w:tc>
          <w:tcPr>
            <w:tcW w:w="1077" w:type="dxa"/>
            <w:shd w:val="clear" w:color="auto" w:fill="333333"/>
          </w:tcPr>
          <w:p w:rsidR="009C04E5" w:rsidRPr="00FC3E06" w:rsidRDefault="009C04E5" w:rsidP="00D248AC">
            <w:pPr>
              <w:pStyle w:val="TableColumnHeadings"/>
              <w:rPr>
                <w:rFonts w:ascii="Century Gothic" w:hAnsi="Century Gothic"/>
                <w:szCs w:val="18"/>
              </w:rPr>
            </w:pPr>
            <w:r w:rsidRPr="00FC3E06">
              <w:rPr>
                <w:rFonts w:ascii="Century Gothic" w:hAnsi="Century Gothic"/>
                <w:szCs w:val="18"/>
              </w:rPr>
              <w:t>2020</w:t>
            </w:r>
          </w:p>
        </w:tc>
        <w:tc>
          <w:tcPr>
            <w:tcW w:w="1076" w:type="dxa"/>
            <w:shd w:val="clear" w:color="auto" w:fill="333333"/>
          </w:tcPr>
          <w:p w:rsidR="009C04E5" w:rsidRPr="00FC3E06" w:rsidRDefault="009C04E5" w:rsidP="00D248AC">
            <w:pPr>
              <w:pStyle w:val="TableColumnHeadings"/>
              <w:rPr>
                <w:rFonts w:ascii="Century Gothic" w:hAnsi="Century Gothic"/>
                <w:szCs w:val="18"/>
              </w:rPr>
            </w:pPr>
            <w:r w:rsidRPr="00FC3E06">
              <w:rPr>
                <w:rFonts w:ascii="Century Gothic" w:hAnsi="Century Gothic"/>
                <w:szCs w:val="18"/>
              </w:rPr>
              <w:t>2021</w:t>
            </w:r>
          </w:p>
        </w:tc>
        <w:tc>
          <w:tcPr>
            <w:tcW w:w="1077" w:type="dxa"/>
            <w:shd w:val="clear" w:color="auto" w:fill="333333"/>
          </w:tcPr>
          <w:p w:rsidR="009C04E5" w:rsidRPr="00FC3E06" w:rsidRDefault="009C04E5" w:rsidP="00D248AC">
            <w:pPr>
              <w:pStyle w:val="TableColumnHeadings"/>
              <w:rPr>
                <w:rFonts w:ascii="Century Gothic" w:hAnsi="Century Gothic"/>
                <w:szCs w:val="18"/>
              </w:rPr>
            </w:pPr>
            <w:r w:rsidRPr="00FC3E06">
              <w:rPr>
                <w:rFonts w:ascii="Century Gothic" w:hAnsi="Century Gothic"/>
                <w:szCs w:val="18"/>
              </w:rPr>
              <w:t>2022</w:t>
            </w:r>
          </w:p>
        </w:tc>
      </w:tr>
      <w:tr w:rsidR="00867A0D" w:rsidRPr="003662A4" w:rsidTr="005538C0">
        <w:tc>
          <w:tcPr>
            <w:tcW w:w="3055" w:type="dxa"/>
            <w:shd w:val="clear" w:color="auto" w:fill="auto"/>
          </w:tcPr>
          <w:p w:rsidR="00867A0D" w:rsidRPr="00611EDD" w:rsidRDefault="00867A0D" w:rsidP="00867A0D">
            <w:pPr>
              <w:pStyle w:val="TableBodyCells"/>
              <w:jc w:val="left"/>
            </w:pPr>
            <w:r w:rsidRPr="00611EDD">
              <w:t>Pipelines</w:t>
            </w:r>
          </w:p>
        </w:tc>
        <w:tc>
          <w:tcPr>
            <w:tcW w:w="1076" w:type="dxa"/>
            <w:shd w:val="clear" w:color="auto" w:fill="auto"/>
          </w:tcPr>
          <w:p w:rsidR="00867A0D" w:rsidRPr="00611EDD" w:rsidRDefault="00867A0D" w:rsidP="00867A0D">
            <w:pPr>
              <w:pStyle w:val="TableBodyCells"/>
            </w:pPr>
            <w:r w:rsidRPr="00611EDD">
              <w:t xml:space="preserve"> 40.3 </w:t>
            </w:r>
          </w:p>
        </w:tc>
        <w:tc>
          <w:tcPr>
            <w:tcW w:w="1076" w:type="dxa"/>
          </w:tcPr>
          <w:p w:rsidR="00867A0D" w:rsidRPr="00611EDD" w:rsidRDefault="00867A0D" w:rsidP="00867A0D">
            <w:pPr>
              <w:pStyle w:val="TableBodyCells"/>
            </w:pPr>
            <w:r w:rsidRPr="00611EDD">
              <w:t xml:space="preserve"> 50.6 </w:t>
            </w:r>
          </w:p>
        </w:tc>
        <w:tc>
          <w:tcPr>
            <w:tcW w:w="1077" w:type="dxa"/>
            <w:shd w:val="clear" w:color="auto" w:fill="auto"/>
          </w:tcPr>
          <w:p w:rsidR="00867A0D" w:rsidRPr="00611EDD" w:rsidRDefault="00867A0D" w:rsidP="00867A0D">
            <w:pPr>
              <w:pStyle w:val="TableBodyCells"/>
            </w:pPr>
            <w:r w:rsidRPr="00611EDD">
              <w:t xml:space="preserve"> 51.2 </w:t>
            </w:r>
          </w:p>
        </w:tc>
        <w:tc>
          <w:tcPr>
            <w:tcW w:w="1076" w:type="dxa"/>
            <w:shd w:val="clear" w:color="auto" w:fill="auto"/>
          </w:tcPr>
          <w:p w:rsidR="00867A0D" w:rsidRPr="00611EDD" w:rsidRDefault="00867A0D" w:rsidP="00867A0D">
            <w:pPr>
              <w:pStyle w:val="TableBodyCells"/>
            </w:pPr>
            <w:r w:rsidRPr="00611EDD">
              <w:t xml:space="preserve"> 0.2 </w:t>
            </w:r>
          </w:p>
        </w:tc>
        <w:tc>
          <w:tcPr>
            <w:tcW w:w="1077" w:type="dxa"/>
            <w:shd w:val="clear" w:color="auto" w:fill="auto"/>
          </w:tcPr>
          <w:p w:rsidR="00867A0D" w:rsidRPr="00611EDD" w:rsidRDefault="00867A0D" w:rsidP="00867A0D">
            <w:pPr>
              <w:pStyle w:val="TableBodyCells"/>
            </w:pPr>
            <w:r w:rsidRPr="00611EDD">
              <w:t xml:space="preserve"> 2.1 </w:t>
            </w:r>
          </w:p>
        </w:tc>
      </w:tr>
      <w:tr w:rsidR="00867A0D" w:rsidRPr="003662A4" w:rsidTr="005538C0">
        <w:tc>
          <w:tcPr>
            <w:tcW w:w="3055" w:type="dxa"/>
            <w:shd w:val="clear" w:color="auto" w:fill="auto"/>
          </w:tcPr>
          <w:p w:rsidR="00867A0D" w:rsidRPr="00611EDD" w:rsidRDefault="00867A0D" w:rsidP="00867A0D">
            <w:pPr>
              <w:pStyle w:val="TableBodyCells"/>
              <w:jc w:val="left"/>
            </w:pPr>
            <w:r w:rsidRPr="00611EDD">
              <w:t>Compressors</w:t>
            </w:r>
          </w:p>
        </w:tc>
        <w:tc>
          <w:tcPr>
            <w:tcW w:w="1076" w:type="dxa"/>
            <w:shd w:val="clear" w:color="auto" w:fill="auto"/>
          </w:tcPr>
          <w:p w:rsidR="00867A0D" w:rsidRPr="00611EDD" w:rsidRDefault="00867A0D" w:rsidP="00867A0D">
            <w:pPr>
              <w:pStyle w:val="TableBodyCells"/>
            </w:pPr>
            <w:r w:rsidRPr="00611EDD">
              <w:t xml:space="preserve"> 15.2 </w:t>
            </w:r>
          </w:p>
        </w:tc>
        <w:tc>
          <w:tcPr>
            <w:tcW w:w="1076" w:type="dxa"/>
          </w:tcPr>
          <w:p w:rsidR="00867A0D" w:rsidRPr="00611EDD" w:rsidRDefault="00867A0D" w:rsidP="00867A0D">
            <w:pPr>
              <w:pStyle w:val="TableBodyCells"/>
            </w:pPr>
            <w:r w:rsidRPr="00611EDD">
              <w:t xml:space="preserve"> 13.6 </w:t>
            </w:r>
          </w:p>
        </w:tc>
        <w:tc>
          <w:tcPr>
            <w:tcW w:w="1077" w:type="dxa"/>
            <w:shd w:val="clear" w:color="auto" w:fill="auto"/>
          </w:tcPr>
          <w:p w:rsidR="00867A0D" w:rsidRPr="00611EDD" w:rsidRDefault="00867A0D" w:rsidP="00867A0D">
            <w:pPr>
              <w:pStyle w:val="TableBodyCells"/>
            </w:pPr>
            <w:r w:rsidRPr="00611EDD">
              <w:t xml:space="preserve"> 13.0 </w:t>
            </w:r>
          </w:p>
        </w:tc>
        <w:tc>
          <w:tcPr>
            <w:tcW w:w="1076" w:type="dxa"/>
            <w:shd w:val="clear" w:color="auto" w:fill="auto"/>
          </w:tcPr>
          <w:p w:rsidR="00867A0D" w:rsidRPr="00611EDD" w:rsidRDefault="00867A0D" w:rsidP="00867A0D">
            <w:pPr>
              <w:pStyle w:val="TableBodyCells"/>
            </w:pPr>
            <w:r w:rsidRPr="00611EDD">
              <w:t xml:space="preserve"> 6.1 </w:t>
            </w:r>
          </w:p>
        </w:tc>
        <w:tc>
          <w:tcPr>
            <w:tcW w:w="1077" w:type="dxa"/>
            <w:shd w:val="clear" w:color="auto" w:fill="auto"/>
          </w:tcPr>
          <w:p w:rsidR="00867A0D" w:rsidRPr="00611EDD" w:rsidRDefault="00867A0D" w:rsidP="00867A0D">
            <w:pPr>
              <w:pStyle w:val="TableBodyCells"/>
            </w:pPr>
            <w:r w:rsidRPr="00611EDD">
              <w:t xml:space="preserve"> 6.6 </w:t>
            </w:r>
          </w:p>
        </w:tc>
      </w:tr>
      <w:tr w:rsidR="00867A0D" w:rsidRPr="003662A4" w:rsidTr="005538C0">
        <w:tc>
          <w:tcPr>
            <w:tcW w:w="3055" w:type="dxa"/>
            <w:shd w:val="clear" w:color="auto" w:fill="auto"/>
          </w:tcPr>
          <w:p w:rsidR="00867A0D" w:rsidRPr="00611EDD" w:rsidRDefault="00867A0D" w:rsidP="00867A0D">
            <w:pPr>
              <w:pStyle w:val="TableBodyCells"/>
              <w:jc w:val="left"/>
            </w:pPr>
            <w:r w:rsidRPr="00611EDD">
              <w:t xml:space="preserve">City Gates &amp; Field </w:t>
            </w:r>
            <w:proofErr w:type="spellStart"/>
            <w:r w:rsidRPr="00611EDD">
              <w:t>Regs</w:t>
            </w:r>
            <w:proofErr w:type="spellEnd"/>
          </w:p>
        </w:tc>
        <w:tc>
          <w:tcPr>
            <w:tcW w:w="1076" w:type="dxa"/>
            <w:shd w:val="clear" w:color="auto" w:fill="auto"/>
          </w:tcPr>
          <w:p w:rsidR="00867A0D" w:rsidRPr="00611EDD" w:rsidRDefault="00867A0D" w:rsidP="00867A0D">
            <w:pPr>
              <w:pStyle w:val="TableBodyCells"/>
            </w:pPr>
            <w:r w:rsidRPr="00611EDD">
              <w:t xml:space="preserve"> -  </w:t>
            </w:r>
          </w:p>
        </w:tc>
        <w:tc>
          <w:tcPr>
            <w:tcW w:w="1076" w:type="dxa"/>
          </w:tcPr>
          <w:p w:rsidR="00867A0D" w:rsidRPr="00611EDD" w:rsidRDefault="00867A0D" w:rsidP="00867A0D">
            <w:pPr>
              <w:pStyle w:val="TableBodyCells"/>
            </w:pPr>
            <w:r w:rsidRPr="00611EDD">
              <w:t xml:space="preserve"> 2.3 </w:t>
            </w:r>
          </w:p>
        </w:tc>
        <w:tc>
          <w:tcPr>
            <w:tcW w:w="1077" w:type="dxa"/>
            <w:shd w:val="clear" w:color="auto" w:fill="auto"/>
          </w:tcPr>
          <w:p w:rsidR="00867A0D" w:rsidRPr="00611EDD" w:rsidRDefault="00867A0D" w:rsidP="00867A0D">
            <w:pPr>
              <w:pStyle w:val="TableBodyCells"/>
            </w:pPr>
            <w:r w:rsidRPr="00611EDD">
              <w:t xml:space="preserve"> 2.4 </w:t>
            </w:r>
          </w:p>
        </w:tc>
        <w:tc>
          <w:tcPr>
            <w:tcW w:w="1076" w:type="dxa"/>
            <w:shd w:val="clear" w:color="auto" w:fill="auto"/>
          </w:tcPr>
          <w:p w:rsidR="00867A0D" w:rsidRPr="00611EDD" w:rsidRDefault="00867A0D" w:rsidP="00867A0D">
            <w:pPr>
              <w:pStyle w:val="TableBodyCells"/>
            </w:pPr>
            <w:r w:rsidRPr="00611EDD">
              <w:t xml:space="preserve"> 0.7 </w:t>
            </w:r>
          </w:p>
        </w:tc>
        <w:tc>
          <w:tcPr>
            <w:tcW w:w="1077" w:type="dxa"/>
            <w:shd w:val="clear" w:color="auto" w:fill="auto"/>
          </w:tcPr>
          <w:p w:rsidR="00867A0D" w:rsidRPr="00611EDD" w:rsidRDefault="00867A0D" w:rsidP="00867A0D">
            <w:pPr>
              <w:pStyle w:val="TableBodyCells"/>
            </w:pPr>
            <w:r w:rsidRPr="00611EDD">
              <w:t xml:space="preserve"> 0.2 </w:t>
            </w:r>
          </w:p>
        </w:tc>
      </w:tr>
      <w:tr w:rsidR="00867A0D" w:rsidRPr="003662A4" w:rsidTr="005538C0">
        <w:tc>
          <w:tcPr>
            <w:tcW w:w="3055" w:type="dxa"/>
            <w:shd w:val="clear" w:color="auto" w:fill="auto"/>
          </w:tcPr>
          <w:p w:rsidR="00867A0D" w:rsidRPr="00611EDD" w:rsidRDefault="00867A0D" w:rsidP="00867A0D">
            <w:pPr>
              <w:pStyle w:val="TableBodyCells"/>
              <w:jc w:val="left"/>
            </w:pPr>
            <w:proofErr w:type="spellStart"/>
            <w:r w:rsidRPr="00611EDD">
              <w:t>Odourant</w:t>
            </w:r>
            <w:proofErr w:type="spellEnd"/>
            <w:r w:rsidRPr="00611EDD">
              <w:t xml:space="preserve"> Plants</w:t>
            </w:r>
          </w:p>
        </w:tc>
        <w:tc>
          <w:tcPr>
            <w:tcW w:w="1076" w:type="dxa"/>
            <w:shd w:val="clear" w:color="auto" w:fill="auto"/>
          </w:tcPr>
          <w:p w:rsidR="00867A0D" w:rsidRPr="00611EDD" w:rsidRDefault="00867A0D" w:rsidP="00867A0D">
            <w:pPr>
              <w:pStyle w:val="TableBodyCells"/>
            </w:pPr>
            <w:r w:rsidRPr="00611EDD">
              <w:t xml:space="preserve"> 0.1 </w:t>
            </w:r>
          </w:p>
        </w:tc>
        <w:tc>
          <w:tcPr>
            <w:tcW w:w="1076" w:type="dxa"/>
          </w:tcPr>
          <w:p w:rsidR="00867A0D" w:rsidRPr="00611EDD" w:rsidRDefault="00867A0D" w:rsidP="00867A0D">
            <w:pPr>
              <w:pStyle w:val="TableBodyCells"/>
            </w:pPr>
            <w:r w:rsidRPr="00611EDD">
              <w:t xml:space="preserve"> -  </w:t>
            </w:r>
          </w:p>
        </w:tc>
        <w:tc>
          <w:tcPr>
            <w:tcW w:w="1077" w:type="dxa"/>
            <w:shd w:val="clear" w:color="auto" w:fill="auto"/>
          </w:tcPr>
          <w:p w:rsidR="00867A0D" w:rsidRPr="00611EDD" w:rsidRDefault="00867A0D" w:rsidP="00867A0D">
            <w:pPr>
              <w:pStyle w:val="TableBodyCells"/>
            </w:pPr>
            <w:r w:rsidRPr="00611EDD">
              <w:t xml:space="preserve"> -  </w:t>
            </w:r>
          </w:p>
        </w:tc>
        <w:tc>
          <w:tcPr>
            <w:tcW w:w="1076" w:type="dxa"/>
            <w:shd w:val="clear" w:color="auto" w:fill="auto"/>
          </w:tcPr>
          <w:p w:rsidR="00867A0D" w:rsidRPr="00611EDD" w:rsidRDefault="00867A0D" w:rsidP="00867A0D">
            <w:pPr>
              <w:pStyle w:val="TableBodyCells"/>
            </w:pPr>
            <w:r w:rsidRPr="00611EDD">
              <w:t xml:space="preserve"> -  </w:t>
            </w:r>
          </w:p>
        </w:tc>
        <w:tc>
          <w:tcPr>
            <w:tcW w:w="1077" w:type="dxa"/>
            <w:shd w:val="clear" w:color="auto" w:fill="auto"/>
          </w:tcPr>
          <w:p w:rsidR="00867A0D" w:rsidRPr="00611EDD" w:rsidRDefault="00867A0D" w:rsidP="00867A0D">
            <w:pPr>
              <w:pStyle w:val="TableBodyCells"/>
            </w:pPr>
            <w:r w:rsidRPr="00611EDD">
              <w:t xml:space="preserve"> -  </w:t>
            </w:r>
          </w:p>
        </w:tc>
      </w:tr>
      <w:tr w:rsidR="00867A0D" w:rsidRPr="003662A4" w:rsidTr="005538C0">
        <w:tc>
          <w:tcPr>
            <w:tcW w:w="3055" w:type="dxa"/>
            <w:shd w:val="clear" w:color="auto" w:fill="auto"/>
          </w:tcPr>
          <w:p w:rsidR="00867A0D" w:rsidRPr="00611EDD" w:rsidRDefault="00867A0D" w:rsidP="00867A0D">
            <w:pPr>
              <w:pStyle w:val="TableBodyCells"/>
              <w:jc w:val="left"/>
            </w:pPr>
            <w:r w:rsidRPr="00611EDD">
              <w:t>Gas Quality</w:t>
            </w:r>
          </w:p>
        </w:tc>
        <w:tc>
          <w:tcPr>
            <w:tcW w:w="1076" w:type="dxa"/>
            <w:shd w:val="clear" w:color="auto" w:fill="auto"/>
          </w:tcPr>
          <w:p w:rsidR="00867A0D" w:rsidRPr="00611EDD" w:rsidRDefault="00867A0D" w:rsidP="00867A0D">
            <w:pPr>
              <w:pStyle w:val="TableBodyCells"/>
            </w:pPr>
            <w:r w:rsidRPr="00611EDD">
              <w:t xml:space="preserve"> 1.0 </w:t>
            </w:r>
          </w:p>
        </w:tc>
        <w:tc>
          <w:tcPr>
            <w:tcW w:w="1076" w:type="dxa"/>
          </w:tcPr>
          <w:p w:rsidR="00867A0D" w:rsidRPr="00611EDD" w:rsidRDefault="00867A0D" w:rsidP="00867A0D">
            <w:pPr>
              <w:pStyle w:val="TableBodyCells"/>
            </w:pPr>
            <w:r w:rsidRPr="00611EDD">
              <w:t xml:space="preserve"> -  </w:t>
            </w:r>
          </w:p>
        </w:tc>
        <w:tc>
          <w:tcPr>
            <w:tcW w:w="1077" w:type="dxa"/>
            <w:shd w:val="clear" w:color="auto" w:fill="auto"/>
          </w:tcPr>
          <w:p w:rsidR="00867A0D" w:rsidRPr="00611EDD" w:rsidRDefault="00867A0D" w:rsidP="00867A0D">
            <w:pPr>
              <w:pStyle w:val="TableBodyCells"/>
            </w:pPr>
            <w:r w:rsidRPr="00611EDD">
              <w:t xml:space="preserve"> -  </w:t>
            </w:r>
          </w:p>
        </w:tc>
        <w:tc>
          <w:tcPr>
            <w:tcW w:w="1076" w:type="dxa"/>
            <w:shd w:val="clear" w:color="auto" w:fill="auto"/>
          </w:tcPr>
          <w:p w:rsidR="00867A0D" w:rsidRPr="00611EDD" w:rsidRDefault="00867A0D" w:rsidP="00867A0D">
            <w:pPr>
              <w:pStyle w:val="TableBodyCells"/>
            </w:pPr>
            <w:r w:rsidRPr="00611EDD">
              <w:t xml:space="preserve"> -  </w:t>
            </w:r>
          </w:p>
        </w:tc>
        <w:tc>
          <w:tcPr>
            <w:tcW w:w="1077" w:type="dxa"/>
            <w:shd w:val="clear" w:color="auto" w:fill="auto"/>
          </w:tcPr>
          <w:p w:rsidR="00867A0D" w:rsidRPr="00611EDD" w:rsidRDefault="00867A0D" w:rsidP="00867A0D">
            <w:pPr>
              <w:pStyle w:val="TableBodyCells"/>
            </w:pPr>
            <w:r w:rsidRPr="00611EDD">
              <w:t xml:space="preserve"> -  </w:t>
            </w:r>
          </w:p>
        </w:tc>
      </w:tr>
      <w:tr w:rsidR="00867A0D" w:rsidRPr="003662A4" w:rsidTr="005538C0">
        <w:tc>
          <w:tcPr>
            <w:tcW w:w="3055" w:type="dxa"/>
            <w:shd w:val="clear" w:color="auto" w:fill="auto"/>
          </w:tcPr>
          <w:p w:rsidR="00867A0D" w:rsidRPr="00611EDD" w:rsidRDefault="00867A0D" w:rsidP="00867A0D">
            <w:pPr>
              <w:pStyle w:val="TableBodyCells"/>
              <w:jc w:val="left"/>
            </w:pPr>
            <w:r w:rsidRPr="00611EDD">
              <w:t>Other</w:t>
            </w:r>
          </w:p>
        </w:tc>
        <w:tc>
          <w:tcPr>
            <w:tcW w:w="1076" w:type="dxa"/>
            <w:shd w:val="clear" w:color="auto" w:fill="auto"/>
          </w:tcPr>
          <w:p w:rsidR="00867A0D" w:rsidRPr="00611EDD" w:rsidRDefault="00867A0D" w:rsidP="00867A0D">
            <w:pPr>
              <w:pStyle w:val="TableBodyCells"/>
            </w:pPr>
            <w:r w:rsidRPr="00611EDD">
              <w:t xml:space="preserve"> 8.5 </w:t>
            </w:r>
          </w:p>
        </w:tc>
        <w:tc>
          <w:tcPr>
            <w:tcW w:w="1076" w:type="dxa"/>
          </w:tcPr>
          <w:p w:rsidR="00867A0D" w:rsidRPr="00611EDD" w:rsidRDefault="00867A0D" w:rsidP="00867A0D">
            <w:pPr>
              <w:pStyle w:val="TableBodyCells"/>
            </w:pPr>
            <w:r w:rsidRPr="00611EDD">
              <w:t xml:space="preserve"> 6.3 </w:t>
            </w:r>
          </w:p>
        </w:tc>
        <w:tc>
          <w:tcPr>
            <w:tcW w:w="1077" w:type="dxa"/>
            <w:shd w:val="clear" w:color="auto" w:fill="auto"/>
          </w:tcPr>
          <w:p w:rsidR="00867A0D" w:rsidRPr="00611EDD" w:rsidRDefault="00867A0D" w:rsidP="00867A0D">
            <w:pPr>
              <w:pStyle w:val="TableBodyCells"/>
            </w:pPr>
            <w:r w:rsidRPr="00611EDD">
              <w:t xml:space="preserve"> 4.3 </w:t>
            </w:r>
          </w:p>
        </w:tc>
        <w:tc>
          <w:tcPr>
            <w:tcW w:w="1076" w:type="dxa"/>
            <w:shd w:val="clear" w:color="auto" w:fill="auto"/>
          </w:tcPr>
          <w:p w:rsidR="00867A0D" w:rsidRPr="00611EDD" w:rsidRDefault="00867A0D" w:rsidP="00867A0D">
            <w:pPr>
              <w:pStyle w:val="TableBodyCells"/>
            </w:pPr>
            <w:r w:rsidRPr="00611EDD">
              <w:t xml:space="preserve"> 8.6 </w:t>
            </w:r>
          </w:p>
        </w:tc>
        <w:tc>
          <w:tcPr>
            <w:tcW w:w="1077" w:type="dxa"/>
            <w:shd w:val="clear" w:color="auto" w:fill="auto"/>
          </w:tcPr>
          <w:p w:rsidR="00867A0D" w:rsidRPr="00611EDD" w:rsidRDefault="00867A0D" w:rsidP="00867A0D">
            <w:pPr>
              <w:pStyle w:val="TableBodyCells"/>
            </w:pPr>
            <w:r w:rsidRPr="00611EDD">
              <w:t xml:space="preserve"> 7.3 </w:t>
            </w:r>
          </w:p>
        </w:tc>
      </w:tr>
      <w:tr w:rsidR="00867A0D" w:rsidRPr="003662A4" w:rsidTr="005538C0">
        <w:tc>
          <w:tcPr>
            <w:tcW w:w="3055" w:type="dxa"/>
            <w:shd w:val="clear" w:color="auto" w:fill="auto"/>
          </w:tcPr>
          <w:p w:rsidR="00867A0D" w:rsidRPr="00611EDD" w:rsidRDefault="00867A0D" w:rsidP="00867A0D">
            <w:pPr>
              <w:pStyle w:val="TableBodyCells"/>
              <w:jc w:val="left"/>
            </w:pPr>
            <w:r w:rsidRPr="00611EDD">
              <w:t>Buildings</w:t>
            </w:r>
          </w:p>
        </w:tc>
        <w:tc>
          <w:tcPr>
            <w:tcW w:w="1076" w:type="dxa"/>
            <w:shd w:val="clear" w:color="auto" w:fill="auto"/>
          </w:tcPr>
          <w:p w:rsidR="00867A0D" w:rsidRPr="00611EDD" w:rsidRDefault="00867A0D" w:rsidP="00867A0D">
            <w:pPr>
              <w:pStyle w:val="TableBodyCells"/>
            </w:pPr>
            <w:r w:rsidRPr="00611EDD">
              <w:t xml:space="preserve"> 0.7 </w:t>
            </w:r>
          </w:p>
        </w:tc>
        <w:tc>
          <w:tcPr>
            <w:tcW w:w="1076" w:type="dxa"/>
          </w:tcPr>
          <w:p w:rsidR="00867A0D" w:rsidRPr="00611EDD" w:rsidRDefault="00867A0D" w:rsidP="00867A0D">
            <w:pPr>
              <w:pStyle w:val="TableBodyCells"/>
            </w:pPr>
            <w:r w:rsidRPr="00611EDD">
              <w:t xml:space="preserve"> 1.0 </w:t>
            </w:r>
          </w:p>
        </w:tc>
        <w:tc>
          <w:tcPr>
            <w:tcW w:w="1077" w:type="dxa"/>
            <w:shd w:val="clear" w:color="auto" w:fill="auto"/>
          </w:tcPr>
          <w:p w:rsidR="00867A0D" w:rsidRPr="00611EDD" w:rsidRDefault="00867A0D" w:rsidP="00867A0D">
            <w:pPr>
              <w:pStyle w:val="TableBodyCells"/>
            </w:pPr>
            <w:r w:rsidRPr="00611EDD">
              <w:t xml:space="preserve"> 1.0 </w:t>
            </w:r>
          </w:p>
        </w:tc>
        <w:tc>
          <w:tcPr>
            <w:tcW w:w="1076" w:type="dxa"/>
            <w:shd w:val="clear" w:color="auto" w:fill="auto"/>
          </w:tcPr>
          <w:p w:rsidR="00867A0D" w:rsidRPr="00611EDD" w:rsidRDefault="00867A0D" w:rsidP="00867A0D">
            <w:pPr>
              <w:pStyle w:val="TableBodyCells"/>
            </w:pPr>
            <w:r w:rsidRPr="00611EDD">
              <w:t xml:space="preserve"> 1.0 </w:t>
            </w:r>
          </w:p>
        </w:tc>
        <w:tc>
          <w:tcPr>
            <w:tcW w:w="1077" w:type="dxa"/>
            <w:shd w:val="clear" w:color="auto" w:fill="auto"/>
          </w:tcPr>
          <w:p w:rsidR="00867A0D" w:rsidRPr="00611EDD" w:rsidRDefault="00867A0D" w:rsidP="00867A0D">
            <w:pPr>
              <w:pStyle w:val="TableBodyCells"/>
            </w:pPr>
            <w:r w:rsidRPr="00611EDD">
              <w:t xml:space="preserve"> 0.4 </w:t>
            </w:r>
          </w:p>
        </w:tc>
      </w:tr>
      <w:tr w:rsidR="00867A0D" w:rsidRPr="003662A4" w:rsidTr="005538C0">
        <w:tc>
          <w:tcPr>
            <w:tcW w:w="3055" w:type="dxa"/>
            <w:shd w:val="clear" w:color="auto" w:fill="auto"/>
          </w:tcPr>
          <w:p w:rsidR="00867A0D" w:rsidRPr="00611EDD" w:rsidRDefault="00867A0D" w:rsidP="00867A0D">
            <w:pPr>
              <w:pStyle w:val="TableBodyCells"/>
              <w:jc w:val="left"/>
            </w:pPr>
            <w:r w:rsidRPr="00611EDD">
              <w:t>General Land</w:t>
            </w:r>
          </w:p>
        </w:tc>
        <w:tc>
          <w:tcPr>
            <w:tcW w:w="1076" w:type="dxa"/>
            <w:shd w:val="clear" w:color="auto" w:fill="auto"/>
          </w:tcPr>
          <w:p w:rsidR="00867A0D" w:rsidRPr="00611EDD" w:rsidRDefault="00867A0D" w:rsidP="00867A0D">
            <w:pPr>
              <w:pStyle w:val="TableBodyCells"/>
            </w:pPr>
            <w:r w:rsidRPr="00611EDD">
              <w:t xml:space="preserve"> -  </w:t>
            </w:r>
          </w:p>
        </w:tc>
        <w:tc>
          <w:tcPr>
            <w:tcW w:w="1076" w:type="dxa"/>
          </w:tcPr>
          <w:p w:rsidR="00867A0D" w:rsidRPr="00611EDD" w:rsidRDefault="00867A0D" w:rsidP="00867A0D">
            <w:pPr>
              <w:pStyle w:val="TableBodyCells"/>
            </w:pPr>
            <w:r w:rsidRPr="00611EDD">
              <w:t xml:space="preserve"> -  </w:t>
            </w:r>
          </w:p>
        </w:tc>
        <w:tc>
          <w:tcPr>
            <w:tcW w:w="1077" w:type="dxa"/>
            <w:shd w:val="clear" w:color="auto" w:fill="auto"/>
          </w:tcPr>
          <w:p w:rsidR="00867A0D" w:rsidRPr="00611EDD" w:rsidRDefault="00867A0D" w:rsidP="00867A0D">
            <w:pPr>
              <w:pStyle w:val="TableBodyCells"/>
            </w:pPr>
            <w:r w:rsidRPr="00611EDD">
              <w:t xml:space="preserve"> -  </w:t>
            </w:r>
          </w:p>
        </w:tc>
        <w:tc>
          <w:tcPr>
            <w:tcW w:w="1076" w:type="dxa"/>
            <w:shd w:val="clear" w:color="auto" w:fill="auto"/>
          </w:tcPr>
          <w:p w:rsidR="00867A0D" w:rsidRPr="00611EDD" w:rsidRDefault="00867A0D" w:rsidP="00867A0D">
            <w:pPr>
              <w:pStyle w:val="TableBodyCells"/>
            </w:pPr>
            <w:r w:rsidRPr="00611EDD">
              <w:t xml:space="preserve"> -  </w:t>
            </w:r>
          </w:p>
        </w:tc>
        <w:tc>
          <w:tcPr>
            <w:tcW w:w="1077" w:type="dxa"/>
            <w:shd w:val="clear" w:color="auto" w:fill="auto"/>
          </w:tcPr>
          <w:p w:rsidR="00867A0D" w:rsidRPr="00611EDD" w:rsidRDefault="00867A0D" w:rsidP="00867A0D">
            <w:pPr>
              <w:pStyle w:val="TableBodyCells"/>
            </w:pPr>
            <w:r w:rsidRPr="00611EDD">
              <w:t xml:space="preserve"> -  </w:t>
            </w:r>
          </w:p>
        </w:tc>
      </w:tr>
      <w:tr w:rsidR="00867A0D" w:rsidRPr="007D0F77" w:rsidTr="005538C0">
        <w:tc>
          <w:tcPr>
            <w:tcW w:w="3055" w:type="dxa"/>
            <w:shd w:val="clear" w:color="auto" w:fill="auto"/>
          </w:tcPr>
          <w:p w:rsidR="00867A0D" w:rsidRPr="007D0F77" w:rsidRDefault="00867A0D" w:rsidP="00867A0D">
            <w:pPr>
              <w:pStyle w:val="TableBodyCells"/>
              <w:jc w:val="left"/>
              <w:rPr>
                <w:b/>
              </w:rPr>
            </w:pPr>
            <w:r w:rsidRPr="007D0F77">
              <w:rPr>
                <w:b/>
              </w:rPr>
              <w:t>Total</w:t>
            </w:r>
          </w:p>
        </w:tc>
        <w:tc>
          <w:tcPr>
            <w:tcW w:w="1076" w:type="dxa"/>
            <w:shd w:val="clear" w:color="auto" w:fill="auto"/>
          </w:tcPr>
          <w:p w:rsidR="00867A0D" w:rsidRPr="007D0F77" w:rsidRDefault="00867A0D" w:rsidP="00867A0D">
            <w:pPr>
              <w:pStyle w:val="TableBodyCells"/>
              <w:rPr>
                <w:b/>
              </w:rPr>
            </w:pPr>
            <w:r w:rsidRPr="007D0F77">
              <w:rPr>
                <w:b/>
              </w:rPr>
              <w:t xml:space="preserve"> 65.7 </w:t>
            </w:r>
          </w:p>
        </w:tc>
        <w:tc>
          <w:tcPr>
            <w:tcW w:w="1076" w:type="dxa"/>
          </w:tcPr>
          <w:p w:rsidR="00867A0D" w:rsidRPr="007D0F77" w:rsidRDefault="00867A0D" w:rsidP="00867A0D">
            <w:pPr>
              <w:pStyle w:val="TableBodyCells"/>
              <w:rPr>
                <w:b/>
              </w:rPr>
            </w:pPr>
            <w:r w:rsidRPr="007D0F77">
              <w:rPr>
                <w:b/>
              </w:rPr>
              <w:t xml:space="preserve"> 73.8 </w:t>
            </w:r>
          </w:p>
        </w:tc>
        <w:tc>
          <w:tcPr>
            <w:tcW w:w="1077" w:type="dxa"/>
            <w:shd w:val="clear" w:color="auto" w:fill="auto"/>
          </w:tcPr>
          <w:p w:rsidR="00867A0D" w:rsidRPr="007D0F77" w:rsidRDefault="00867A0D" w:rsidP="00867A0D">
            <w:pPr>
              <w:pStyle w:val="TableBodyCells"/>
              <w:rPr>
                <w:b/>
              </w:rPr>
            </w:pPr>
            <w:r w:rsidRPr="007D0F77">
              <w:rPr>
                <w:b/>
              </w:rPr>
              <w:t xml:space="preserve"> 71.8 </w:t>
            </w:r>
          </w:p>
        </w:tc>
        <w:tc>
          <w:tcPr>
            <w:tcW w:w="1076" w:type="dxa"/>
            <w:shd w:val="clear" w:color="auto" w:fill="auto"/>
          </w:tcPr>
          <w:p w:rsidR="00867A0D" w:rsidRPr="007D0F77" w:rsidRDefault="00867A0D" w:rsidP="00867A0D">
            <w:pPr>
              <w:pStyle w:val="TableBodyCells"/>
              <w:rPr>
                <w:b/>
              </w:rPr>
            </w:pPr>
            <w:r w:rsidRPr="007D0F77">
              <w:rPr>
                <w:b/>
              </w:rPr>
              <w:t xml:space="preserve"> 16.5 </w:t>
            </w:r>
          </w:p>
        </w:tc>
        <w:tc>
          <w:tcPr>
            <w:tcW w:w="1077" w:type="dxa"/>
            <w:shd w:val="clear" w:color="auto" w:fill="auto"/>
          </w:tcPr>
          <w:p w:rsidR="00867A0D" w:rsidRPr="007D0F77" w:rsidRDefault="00867A0D" w:rsidP="00867A0D">
            <w:pPr>
              <w:pStyle w:val="TableBodyCells"/>
              <w:rPr>
                <w:b/>
              </w:rPr>
            </w:pPr>
            <w:r w:rsidRPr="007D0F77">
              <w:rPr>
                <w:b/>
              </w:rPr>
              <w:t xml:space="preserve"> 16.5 </w:t>
            </w:r>
          </w:p>
        </w:tc>
      </w:tr>
    </w:tbl>
    <w:p w:rsidR="00FA5534" w:rsidRDefault="00996547" w:rsidP="00FA5534">
      <w:pPr>
        <w:pStyle w:val="BodyText"/>
        <w:rPr>
          <w:lang w:eastAsia="en-AU"/>
        </w:rPr>
      </w:pPr>
      <w:r>
        <w:rPr>
          <w:lang w:eastAsia="en-AU"/>
        </w:rPr>
        <w:t xml:space="preserve"> APA VTS’s</w:t>
      </w:r>
      <w:r w:rsidR="00FA5534">
        <w:rPr>
          <w:lang w:eastAsia="en-AU"/>
        </w:rPr>
        <w:t xml:space="preserve"> capital expenditure forecast is derived based on purpose in categories as follows:</w:t>
      </w:r>
    </w:p>
    <w:p w:rsidR="00FA5534" w:rsidRDefault="00996547" w:rsidP="00FA5534">
      <w:pPr>
        <w:pStyle w:val="ListBullet"/>
        <w:rPr>
          <w:lang w:eastAsia="en-AU"/>
        </w:rPr>
      </w:pPr>
      <w:r>
        <w:rPr>
          <w:lang w:eastAsia="en-AU"/>
        </w:rPr>
        <w:t>Refurbishment and Upgrade</w:t>
      </w:r>
      <w:r w:rsidR="00FA5534">
        <w:rPr>
          <w:lang w:eastAsia="en-AU"/>
        </w:rPr>
        <w:t xml:space="preserve"> capital expenditure – routine capital activities targeted at maintaining the Pipeline in good working order in the long term;</w:t>
      </w:r>
    </w:p>
    <w:p w:rsidR="00FA5534" w:rsidRDefault="00996547" w:rsidP="00FA5534">
      <w:pPr>
        <w:pStyle w:val="ListBullet"/>
        <w:rPr>
          <w:lang w:eastAsia="en-AU"/>
        </w:rPr>
      </w:pPr>
      <w:r>
        <w:rPr>
          <w:lang w:eastAsia="en-AU"/>
        </w:rPr>
        <w:lastRenderedPageBreak/>
        <w:t>Augmentation</w:t>
      </w:r>
      <w:r w:rsidR="00FA5534">
        <w:rPr>
          <w:lang w:eastAsia="en-AU"/>
        </w:rPr>
        <w:t xml:space="preserve"> capital expenditure – expenditure required to maintain capacity to meet current customer demand and to provide additional capacity to meet future customer demand.</w:t>
      </w:r>
    </w:p>
    <w:p w:rsidR="00FA5534" w:rsidRDefault="00FA5534" w:rsidP="001759A1">
      <w:pPr>
        <w:pStyle w:val="ListBullet"/>
        <w:rPr>
          <w:lang w:eastAsia="en-AU"/>
        </w:rPr>
      </w:pPr>
      <w:r>
        <w:rPr>
          <w:lang w:eastAsia="en-AU"/>
        </w:rPr>
        <w:t>Non-system capital expenditure is related to IT systems and software, motor vehicles, and plant and equipment which are not part of the Pipeline, but which are otherwise required to deliver Pipeline Services.</w:t>
      </w:r>
    </w:p>
    <w:p w:rsidR="00FA5534" w:rsidRDefault="00FA5534" w:rsidP="00FA5534">
      <w:pPr>
        <w:pStyle w:val="BodyText"/>
        <w:rPr>
          <w:lang w:eastAsia="en-AU"/>
        </w:rPr>
      </w:pPr>
      <w:r>
        <w:rPr>
          <w:lang w:eastAsia="en-AU"/>
        </w:rPr>
        <w:t>Forecast conforming capital expenditure by category over the Access Arrangement Period in shown in Table 3.3 below.</w:t>
      </w:r>
    </w:p>
    <w:p w:rsidR="00180AD1" w:rsidRDefault="00FA5534" w:rsidP="00FA5534">
      <w:pPr>
        <w:pStyle w:val="Caption"/>
        <w:rPr>
          <w:lang w:eastAsia="en-AU"/>
        </w:rPr>
      </w:pPr>
      <w:proofErr w:type="gramStart"/>
      <w:r>
        <w:t xml:space="preserve">Table </w:t>
      </w:r>
      <w:fldSimple w:instr=" STYLEREF 1 \s ">
        <w:r w:rsidR="00154DB7">
          <w:rPr>
            <w:noProof/>
          </w:rPr>
          <w:t>3</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3</w:t>
      </w:r>
      <w:r w:rsidR="007D0F77">
        <w:rPr>
          <w:noProof/>
        </w:rPr>
        <w:fldChar w:fldCharType="end"/>
      </w:r>
      <w:r>
        <w:t xml:space="preserve">:  </w:t>
      </w:r>
      <w:r w:rsidRPr="00FA5534">
        <w:t>Forecast conforming capital expenditure by category over the Access Arrangement Period</w:t>
      </w:r>
      <w:r w:rsidR="00FC3E06">
        <w:t xml:space="preserve"> ($m </w:t>
      </w:r>
      <w:r w:rsidR="00996547">
        <w:t xml:space="preserve">real </w:t>
      </w:r>
      <w:r w:rsidR="00FC3E06">
        <w:t>201</w:t>
      </w:r>
      <w:r w:rsidR="00C637FE">
        <w:t>7</w:t>
      </w:r>
      <w:r w:rsidR="00FC3E06">
        <w:t>)</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9C04E5" w:rsidRPr="00FC3E06" w:rsidTr="00C45A01">
        <w:tc>
          <w:tcPr>
            <w:tcW w:w="3055" w:type="dxa"/>
            <w:shd w:val="clear" w:color="auto" w:fill="333333"/>
          </w:tcPr>
          <w:p w:rsidR="009C04E5" w:rsidRPr="00FC3E06" w:rsidRDefault="00996547" w:rsidP="00C45A01">
            <w:pPr>
              <w:pStyle w:val="TableColumnHeadings"/>
              <w:keepNext/>
              <w:jc w:val="left"/>
              <w:rPr>
                <w:rFonts w:ascii="Century Gothic" w:hAnsi="Century Gothic"/>
                <w:szCs w:val="18"/>
              </w:rPr>
            </w:pPr>
            <w:r>
              <w:rPr>
                <w:rFonts w:ascii="Century Gothic" w:hAnsi="Century Gothic"/>
                <w:szCs w:val="18"/>
              </w:rPr>
              <w:t>$m real 2017</w:t>
            </w:r>
          </w:p>
        </w:tc>
        <w:tc>
          <w:tcPr>
            <w:tcW w:w="1076" w:type="dxa"/>
            <w:shd w:val="clear" w:color="auto" w:fill="333333"/>
          </w:tcPr>
          <w:p w:rsidR="009C04E5" w:rsidRPr="00FC3E06" w:rsidRDefault="009C04E5" w:rsidP="00D248AC">
            <w:pPr>
              <w:pStyle w:val="TableColumnHeadings"/>
              <w:rPr>
                <w:rFonts w:ascii="Century Gothic" w:hAnsi="Century Gothic"/>
                <w:szCs w:val="18"/>
              </w:rPr>
            </w:pPr>
            <w:r w:rsidRPr="00FC3E06">
              <w:rPr>
                <w:rFonts w:ascii="Century Gothic" w:hAnsi="Century Gothic"/>
                <w:szCs w:val="18"/>
              </w:rPr>
              <w:t>2018</w:t>
            </w:r>
          </w:p>
        </w:tc>
        <w:tc>
          <w:tcPr>
            <w:tcW w:w="1076" w:type="dxa"/>
            <w:shd w:val="clear" w:color="auto" w:fill="333333"/>
          </w:tcPr>
          <w:p w:rsidR="009C04E5" w:rsidRPr="00FC3E06" w:rsidRDefault="009C04E5" w:rsidP="00D248AC">
            <w:pPr>
              <w:pStyle w:val="TableColumnHeadings"/>
              <w:rPr>
                <w:rFonts w:ascii="Century Gothic" w:hAnsi="Century Gothic"/>
                <w:szCs w:val="18"/>
              </w:rPr>
            </w:pPr>
            <w:r w:rsidRPr="00FC3E06">
              <w:rPr>
                <w:rFonts w:ascii="Century Gothic" w:hAnsi="Century Gothic"/>
                <w:szCs w:val="18"/>
              </w:rPr>
              <w:t>2</w:t>
            </w:r>
            <w:r w:rsidR="00D248AC">
              <w:rPr>
                <w:rFonts w:ascii="Century Gothic" w:hAnsi="Century Gothic"/>
                <w:szCs w:val="18"/>
              </w:rPr>
              <w:t>0</w:t>
            </w:r>
            <w:r w:rsidRPr="00FC3E06">
              <w:rPr>
                <w:rFonts w:ascii="Century Gothic" w:hAnsi="Century Gothic"/>
                <w:szCs w:val="18"/>
              </w:rPr>
              <w:t>19</w:t>
            </w:r>
          </w:p>
        </w:tc>
        <w:tc>
          <w:tcPr>
            <w:tcW w:w="1077" w:type="dxa"/>
            <w:shd w:val="clear" w:color="auto" w:fill="333333"/>
          </w:tcPr>
          <w:p w:rsidR="009C04E5" w:rsidRPr="00FC3E06" w:rsidRDefault="009C04E5" w:rsidP="00D248AC">
            <w:pPr>
              <w:pStyle w:val="TableColumnHeadings"/>
              <w:rPr>
                <w:rFonts w:ascii="Century Gothic" w:hAnsi="Century Gothic"/>
                <w:szCs w:val="18"/>
              </w:rPr>
            </w:pPr>
            <w:r w:rsidRPr="00FC3E06">
              <w:rPr>
                <w:rFonts w:ascii="Century Gothic" w:hAnsi="Century Gothic"/>
                <w:szCs w:val="18"/>
              </w:rPr>
              <w:t>2020</w:t>
            </w:r>
          </w:p>
        </w:tc>
        <w:tc>
          <w:tcPr>
            <w:tcW w:w="1076" w:type="dxa"/>
            <w:shd w:val="clear" w:color="auto" w:fill="333333"/>
          </w:tcPr>
          <w:p w:rsidR="009C04E5" w:rsidRPr="00FC3E06" w:rsidRDefault="009C04E5" w:rsidP="00D248AC">
            <w:pPr>
              <w:pStyle w:val="TableColumnHeadings"/>
              <w:rPr>
                <w:rFonts w:ascii="Century Gothic" w:hAnsi="Century Gothic"/>
                <w:szCs w:val="18"/>
              </w:rPr>
            </w:pPr>
            <w:r w:rsidRPr="00FC3E06">
              <w:rPr>
                <w:rFonts w:ascii="Century Gothic" w:hAnsi="Century Gothic"/>
                <w:szCs w:val="18"/>
              </w:rPr>
              <w:t>2021</w:t>
            </w:r>
          </w:p>
        </w:tc>
        <w:tc>
          <w:tcPr>
            <w:tcW w:w="1077" w:type="dxa"/>
            <w:shd w:val="clear" w:color="auto" w:fill="333333"/>
          </w:tcPr>
          <w:p w:rsidR="009C04E5" w:rsidRPr="00FC3E06" w:rsidRDefault="009C04E5" w:rsidP="00D248AC">
            <w:pPr>
              <w:pStyle w:val="TableColumnHeadings"/>
              <w:rPr>
                <w:rFonts w:ascii="Century Gothic" w:hAnsi="Century Gothic"/>
                <w:szCs w:val="18"/>
              </w:rPr>
            </w:pPr>
            <w:r w:rsidRPr="00FC3E06">
              <w:rPr>
                <w:rFonts w:ascii="Century Gothic" w:hAnsi="Century Gothic"/>
                <w:szCs w:val="18"/>
              </w:rPr>
              <w:t>2022</w:t>
            </w:r>
          </w:p>
        </w:tc>
      </w:tr>
      <w:tr w:rsidR="00867A0D" w:rsidRPr="003662A4" w:rsidTr="005538C0">
        <w:tc>
          <w:tcPr>
            <w:tcW w:w="3055" w:type="dxa"/>
            <w:shd w:val="clear" w:color="auto" w:fill="auto"/>
            <w:vAlign w:val="bottom"/>
          </w:tcPr>
          <w:p w:rsidR="00867A0D" w:rsidRDefault="00867A0D" w:rsidP="00867A0D">
            <w:pPr>
              <w:pStyle w:val="TableBodyCells"/>
              <w:jc w:val="left"/>
            </w:pPr>
            <w:r>
              <w:t>Augmentation</w:t>
            </w:r>
          </w:p>
        </w:tc>
        <w:tc>
          <w:tcPr>
            <w:tcW w:w="1076" w:type="dxa"/>
            <w:shd w:val="clear" w:color="auto" w:fill="auto"/>
          </w:tcPr>
          <w:p w:rsidR="00867A0D" w:rsidRPr="00AA4723" w:rsidRDefault="00867A0D" w:rsidP="00867A0D">
            <w:pPr>
              <w:pStyle w:val="TableBodyCells"/>
            </w:pPr>
            <w:r w:rsidRPr="00AA4723">
              <w:t xml:space="preserve"> 49.4 </w:t>
            </w:r>
          </w:p>
        </w:tc>
        <w:tc>
          <w:tcPr>
            <w:tcW w:w="1076" w:type="dxa"/>
          </w:tcPr>
          <w:p w:rsidR="00867A0D" w:rsidRPr="00AA4723" w:rsidRDefault="00867A0D" w:rsidP="00867A0D">
            <w:pPr>
              <w:pStyle w:val="TableBodyCells"/>
            </w:pPr>
            <w:r w:rsidRPr="00AA4723">
              <w:t xml:space="preserve"> 59.0 </w:t>
            </w:r>
          </w:p>
        </w:tc>
        <w:tc>
          <w:tcPr>
            <w:tcW w:w="1077" w:type="dxa"/>
            <w:shd w:val="clear" w:color="auto" w:fill="auto"/>
          </w:tcPr>
          <w:p w:rsidR="00867A0D" w:rsidRPr="00AA4723" w:rsidRDefault="00867A0D" w:rsidP="00867A0D">
            <w:pPr>
              <w:pStyle w:val="TableBodyCells"/>
            </w:pPr>
            <w:r w:rsidRPr="00AA4723">
              <w:t xml:space="preserve"> 58.9 </w:t>
            </w:r>
          </w:p>
        </w:tc>
        <w:tc>
          <w:tcPr>
            <w:tcW w:w="1076" w:type="dxa"/>
            <w:shd w:val="clear" w:color="auto" w:fill="auto"/>
          </w:tcPr>
          <w:p w:rsidR="00867A0D" w:rsidRPr="00AA4723" w:rsidRDefault="00867A0D" w:rsidP="00867A0D">
            <w:pPr>
              <w:pStyle w:val="TableBodyCells"/>
            </w:pPr>
            <w:r w:rsidRPr="00AA4723">
              <w:t xml:space="preserve"> -  </w:t>
            </w:r>
          </w:p>
        </w:tc>
        <w:tc>
          <w:tcPr>
            <w:tcW w:w="1077" w:type="dxa"/>
            <w:shd w:val="clear" w:color="auto" w:fill="auto"/>
          </w:tcPr>
          <w:p w:rsidR="00867A0D" w:rsidRPr="00AA4723" w:rsidRDefault="00867A0D" w:rsidP="00867A0D">
            <w:pPr>
              <w:pStyle w:val="TableBodyCells"/>
            </w:pPr>
            <w:r w:rsidRPr="00AA4723">
              <w:t xml:space="preserve"> -  </w:t>
            </w:r>
          </w:p>
        </w:tc>
      </w:tr>
      <w:tr w:rsidR="00867A0D" w:rsidRPr="003662A4" w:rsidTr="005538C0">
        <w:tc>
          <w:tcPr>
            <w:tcW w:w="3055" w:type="dxa"/>
            <w:shd w:val="clear" w:color="auto" w:fill="auto"/>
            <w:vAlign w:val="bottom"/>
          </w:tcPr>
          <w:p w:rsidR="00867A0D" w:rsidRDefault="00867A0D" w:rsidP="00867A0D">
            <w:pPr>
              <w:pStyle w:val="TableBodyCells"/>
              <w:jc w:val="left"/>
            </w:pPr>
            <w:r>
              <w:t>Refurbishment and Upgrade</w:t>
            </w:r>
          </w:p>
        </w:tc>
        <w:tc>
          <w:tcPr>
            <w:tcW w:w="1076" w:type="dxa"/>
            <w:shd w:val="clear" w:color="auto" w:fill="auto"/>
          </w:tcPr>
          <w:p w:rsidR="00867A0D" w:rsidRPr="00AA4723" w:rsidRDefault="00867A0D" w:rsidP="00867A0D">
            <w:pPr>
              <w:pStyle w:val="TableBodyCells"/>
            </w:pPr>
            <w:r w:rsidRPr="00AA4723">
              <w:t xml:space="preserve"> 12.0 </w:t>
            </w:r>
          </w:p>
        </w:tc>
        <w:tc>
          <w:tcPr>
            <w:tcW w:w="1076" w:type="dxa"/>
          </w:tcPr>
          <w:p w:rsidR="00867A0D" w:rsidRPr="00AA4723" w:rsidRDefault="00867A0D" w:rsidP="00867A0D">
            <w:pPr>
              <w:pStyle w:val="TableBodyCells"/>
            </w:pPr>
            <w:r w:rsidRPr="00AA4723">
              <w:t xml:space="preserve"> 11.2 </w:t>
            </w:r>
          </w:p>
        </w:tc>
        <w:tc>
          <w:tcPr>
            <w:tcW w:w="1077" w:type="dxa"/>
            <w:shd w:val="clear" w:color="auto" w:fill="auto"/>
          </w:tcPr>
          <w:p w:rsidR="00867A0D" w:rsidRPr="00AA4723" w:rsidRDefault="00867A0D" w:rsidP="00867A0D">
            <w:pPr>
              <w:pStyle w:val="TableBodyCells"/>
            </w:pPr>
            <w:r w:rsidRPr="00AA4723">
              <w:t xml:space="preserve"> 9.5 </w:t>
            </w:r>
          </w:p>
        </w:tc>
        <w:tc>
          <w:tcPr>
            <w:tcW w:w="1076" w:type="dxa"/>
            <w:shd w:val="clear" w:color="auto" w:fill="auto"/>
          </w:tcPr>
          <w:p w:rsidR="00867A0D" w:rsidRPr="00AA4723" w:rsidRDefault="00867A0D" w:rsidP="00867A0D">
            <w:pPr>
              <w:pStyle w:val="TableBodyCells"/>
            </w:pPr>
            <w:r w:rsidRPr="00AA4723">
              <w:t xml:space="preserve"> 12.9 </w:t>
            </w:r>
          </w:p>
        </w:tc>
        <w:tc>
          <w:tcPr>
            <w:tcW w:w="1077" w:type="dxa"/>
            <w:shd w:val="clear" w:color="auto" w:fill="auto"/>
          </w:tcPr>
          <w:p w:rsidR="00867A0D" w:rsidRPr="00AA4723" w:rsidRDefault="00867A0D" w:rsidP="00867A0D">
            <w:pPr>
              <w:pStyle w:val="TableBodyCells"/>
            </w:pPr>
            <w:r w:rsidRPr="00AA4723">
              <w:t xml:space="preserve"> 14.2 </w:t>
            </w:r>
          </w:p>
        </w:tc>
      </w:tr>
      <w:tr w:rsidR="00867A0D" w:rsidRPr="003662A4" w:rsidTr="005538C0">
        <w:tc>
          <w:tcPr>
            <w:tcW w:w="3055" w:type="dxa"/>
            <w:shd w:val="clear" w:color="auto" w:fill="auto"/>
            <w:vAlign w:val="bottom"/>
          </w:tcPr>
          <w:p w:rsidR="00867A0D" w:rsidRDefault="00867A0D" w:rsidP="00867A0D">
            <w:pPr>
              <w:pStyle w:val="TableBodyCells"/>
              <w:jc w:val="left"/>
            </w:pPr>
            <w:r>
              <w:t>Non-System</w:t>
            </w:r>
          </w:p>
        </w:tc>
        <w:tc>
          <w:tcPr>
            <w:tcW w:w="1076" w:type="dxa"/>
            <w:shd w:val="clear" w:color="auto" w:fill="auto"/>
          </w:tcPr>
          <w:p w:rsidR="00867A0D" w:rsidRPr="00AA4723" w:rsidRDefault="00867A0D" w:rsidP="00867A0D">
            <w:pPr>
              <w:pStyle w:val="TableBodyCells"/>
            </w:pPr>
            <w:r w:rsidRPr="00AA4723">
              <w:t xml:space="preserve"> 4.3 </w:t>
            </w:r>
          </w:p>
        </w:tc>
        <w:tc>
          <w:tcPr>
            <w:tcW w:w="1076" w:type="dxa"/>
          </w:tcPr>
          <w:p w:rsidR="00867A0D" w:rsidRPr="00AA4723" w:rsidRDefault="00867A0D" w:rsidP="00867A0D">
            <w:pPr>
              <w:pStyle w:val="TableBodyCells"/>
            </w:pPr>
            <w:r w:rsidRPr="00AA4723">
              <w:t xml:space="preserve"> 3.6 </w:t>
            </w:r>
          </w:p>
        </w:tc>
        <w:tc>
          <w:tcPr>
            <w:tcW w:w="1077" w:type="dxa"/>
            <w:shd w:val="clear" w:color="auto" w:fill="auto"/>
          </w:tcPr>
          <w:p w:rsidR="00867A0D" w:rsidRPr="00AA4723" w:rsidRDefault="00867A0D" w:rsidP="00867A0D">
            <w:pPr>
              <w:pStyle w:val="TableBodyCells"/>
            </w:pPr>
            <w:r w:rsidRPr="00AA4723">
              <w:t xml:space="preserve"> 3.3 </w:t>
            </w:r>
          </w:p>
        </w:tc>
        <w:tc>
          <w:tcPr>
            <w:tcW w:w="1076" w:type="dxa"/>
            <w:shd w:val="clear" w:color="auto" w:fill="auto"/>
          </w:tcPr>
          <w:p w:rsidR="00867A0D" w:rsidRPr="00AA4723" w:rsidRDefault="00867A0D" w:rsidP="00867A0D">
            <w:pPr>
              <w:pStyle w:val="TableBodyCells"/>
            </w:pPr>
            <w:r w:rsidRPr="00AA4723">
              <w:t xml:space="preserve"> 3.6 </w:t>
            </w:r>
          </w:p>
        </w:tc>
        <w:tc>
          <w:tcPr>
            <w:tcW w:w="1077" w:type="dxa"/>
            <w:shd w:val="clear" w:color="auto" w:fill="auto"/>
          </w:tcPr>
          <w:p w:rsidR="00867A0D" w:rsidRPr="00AA4723" w:rsidRDefault="00867A0D" w:rsidP="00867A0D">
            <w:pPr>
              <w:pStyle w:val="TableBodyCells"/>
            </w:pPr>
            <w:r w:rsidRPr="00AA4723">
              <w:t xml:space="preserve"> 2.3 </w:t>
            </w:r>
          </w:p>
        </w:tc>
      </w:tr>
      <w:tr w:rsidR="00867A0D" w:rsidRPr="007D0F77" w:rsidTr="005538C0">
        <w:tc>
          <w:tcPr>
            <w:tcW w:w="3055" w:type="dxa"/>
            <w:shd w:val="clear" w:color="auto" w:fill="auto"/>
            <w:vAlign w:val="bottom"/>
          </w:tcPr>
          <w:p w:rsidR="00867A0D" w:rsidRPr="007D0F77" w:rsidRDefault="00867A0D" w:rsidP="00867A0D">
            <w:pPr>
              <w:pStyle w:val="TableBodyCells"/>
              <w:jc w:val="left"/>
              <w:rPr>
                <w:b/>
                <w:bCs/>
              </w:rPr>
            </w:pPr>
            <w:r w:rsidRPr="007D0F77">
              <w:rPr>
                <w:b/>
                <w:bCs/>
              </w:rPr>
              <w:t>Total</w:t>
            </w:r>
          </w:p>
        </w:tc>
        <w:tc>
          <w:tcPr>
            <w:tcW w:w="1076" w:type="dxa"/>
            <w:shd w:val="clear" w:color="auto" w:fill="auto"/>
          </w:tcPr>
          <w:p w:rsidR="00867A0D" w:rsidRPr="007D0F77" w:rsidRDefault="00867A0D" w:rsidP="00867A0D">
            <w:pPr>
              <w:pStyle w:val="TableBodyCells"/>
              <w:rPr>
                <w:b/>
              </w:rPr>
            </w:pPr>
            <w:r w:rsidRPr="007D0F77">
              <w:rPr>
                <w:b/>
              </w:rPr>
              <w:t xml:space="preserve"> 65.7 </w:t>
            </w:r>
          </w:p>
        </w:tc>
        <w:tc>
          <w:tcPr>
            <w:tcW w:w="1076" w:type="dxa"/>
          </w:tcPr>
          <w:p w:rsidR="00867A0D" w:rsidRPr="007D0F77" w:rsidRDefault="00867A0D" w:rsidP="00867A0D">
            <w:pPr>
              <w:pStyle w:val="TableBodyCells"/>
              <w:rPr>
                <w:b/>
              </w:rPr>
            </w:pPr>
            <w:r w:rsidRPr="007D0F77">
              <w:rPr>
                <w:b/>
              </w:rPr>
              <w:t xml:space="preserve"> 73.8 </w:t>
            </w:r>
          </w:p>
        </w:tc>
        <w:tc>
          <w:tcPr>
            <w:tcW w:w="1077" w:type="dxa"/>
            <w:shd w:val="clear" w:color="auto" w:fill="auto"/>
          </w:tcPr>
          <w:p w:rsidR="00867A0D" w:rsidRPr="007D0F77" w:rsidRDefault="00867A0D" w:rsidP="00867A0D">
            <w:pPr>
              <w:pStyle w:val="TableBodyCells"/>
              <w:rPr>
                <w:b/>
              </w:rPr>
            </w:pPr>
            <w:r w:rsidRPr="007D0F77">
              <w:rPr>
                <w:b/>
              </w:rPr>
              <w:t xml:space="preserve"> 71.8 </w:t>
            </w:r>
          </w:p>
        </w:tc>
        <w:tc>
          <w:tcPr>
            <w:tcW w:w="1076" w:type="dxa"/>
            <w:shd w:val="clear" w:color="auto" w:fill="auto"/>
          </w:tcPr>
          <w:p w:rsidR="00867A0D" w:rsidRPr="007D0F77" w:rsidRDefault="00867A0D" w:rsidP="00867A0D">
            <w:pPr>
              <w:pStyle w:val="TableBodyCells"/>
              <w:rPr>
                <w:b/>
              </w:rPr>
            </w:pPr>
            <w:r w:rsidRPr="007D0F77">
              <w:rPr>
                <w:b/>
              </w:rPr>
              <w:t xml:space="preserve"> 16.5 </w:t>
            </w:r>
          </w:p>
        </w:tc>
        <w:tc>
          <w:tcPr>
            <w:tcW w:w="1077" w:type="dxa"/>
            <w:shd w:val="clear" w:color="auto" w:fill="auto"/>
          </w:tcPr>
          <w:p w:rsidR="00867A0D" w:rsidRPr="007D0F77" w:rsidRDefault="00867A0D" w:rsidP="00867A0D">
            <w:pPr>
              <w:pStyle w:val="TableBodyCells"/>
              <w:rPr>
                <w:b/>
              </w:rPr>
            </w:pPr>
            <w:r w:rsidRPr="007D0F77">
              <w:rPr>
                <w:b/>
              </w:rPr>
              <w:t xml:space="preserve"> 16.5 </w:t>
            </w:r>
          </w:p>
        </w:tc>
      </w:tr>
    </w:tbl>
    <w:p w:rsidR="00FA5534" w:rsidRDefault="00FA5534" w:rsidP="00FA5534">
      <w:pPr>
        <w:pStyle w:val="Heading3"/>
        <w:rPr>
          <w:lang w:eastAsia="en-AU"/>
        </w:rPr>
      </w:pPr>
      <w:bookmarkStart w:id="14" w:name="_Toc471221346"/>
      <w:r>
        <w:rPr>
          <w:lang w:eastAsia="en-AU"/>
        </w:rPr>
        <w:t>Forecast depreciation</w:t>
      </w:r>
      <w:bookmarkEnd w:id="14"/>
    </w:p>
    <w:p w:rsidR="00FA5534" w:rsidRDefault="00FA5534" w:rsidP="00FA5534">
      <w:pPr>
        <w:pStyle w:val="BodyText"/>
        <w:rPr>
          <w:lang w:eastAsia="en-AU"/>
        </w:rPr>
      </w:pPr>
      <w:r>
        <w:rPr>
          <w:lang w:eastAsia="en-AU"/>
        </w:rPr>
        <w:t>Forecast depreciation by asset class over the Access Arrangement Period</w:t>
      </w:r>
      <w:r>
        <w:rPr>
          <w:rStyle w:val="FootnoteReference"/>
          <w:lang w:eastAsia="en-AU"/>
        </w:rPr>
        <w:footnoteReference w:id="8"/>
      </w:r>
      <w:r>
        <w:rPr>
          <w:lang w:eastAsia="en-AU"/>
        </w:rPr>
        <w:t xml:space="preserve"> is shown in Table 3.4 below.</w:t>
      </w:r>
    </w:p>
    <w:p w:rsidR="00C42B06" w:rsidRDefault="00FA5534" w:rsidP="00FA5534">
      <w:pPr>
        <w:pStyle w:val="Caption"/>
        <w:rPr>
          <w:lang w:eastAsia="en-AU"/>
        </w:rPr>
      </w:pPr>
      <w:proofErr w:type="gramStart"/>
      <w:r>
        <w:t xml:space="preserve">Table </w:t>
      </w:r>
      <w:fldSimple w:instr=" STYLEREF 1 \s ">
        <w:r w:rsidR="00154DB7">
          <w:rPr>
            <w:noProof/>
          </w:rPr>
          <w:t>3</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4</w:t>
      </w:r>
      <w:r w:rsidR="007D0F77">
        <w:rPr>
          <w:noProof/>
        </w:rPr>
        <w:fldChar w:fldCharType="end"/>
      </w:r>
      <w:r w:rsidR="007D0F77">
        <w:t>:</w:t>
      </w:r>
      <w:r>
        <w:t xml:space="preserve"> </w:t>
      </w:r>
      <w:r w:rsidRPr="00FA5534">
        <w:t>Forecast depreciation over the Access Arrangement Period</w:t>
      </w:r>
      <w:r w:rsidR="004021F4">
        <w:t xml:space="preserve"> ($m 201</w:t>
      </w:r>
      <w:r w:rsidR="00C637FE">
        <w:t>7</w:t>
      </w:r>
      <w:r w:rsidR="004021F4">
        <w:t>)</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9C04E5" w:rsidRPr="00FC3E06" w:rsidTr="00C45A01">
        <w:tc>
          <w:tcPr>
            <w:tcW w:w="3055" w:type="dxa"/>
            <w:shd w:val="clear" w:color="auto" w:fill="333333"/>
          </w:tcPr>
          <w:p w:rsidR="009C04E5" w:rsidRPr="00FC3E06" w:rsidRDefault="00996547" w:rsidP="00C45A01">
            <w:pPr>
              <w:pStyle w:val="TableColumnHeadings"/>
              <w:keepNext/>
              <w:jc w:val="left"/>
              <w:rPr>
                <w:rFonts w:ascii="Century Gothic" w:hAnsi="Century Gothic"/>
              </w:rPr>
            </w:pPr>
            <w:r>
              <w:rPr>
                <w:rFonts w:ascii="Century Gothic" w:hAnsi="Century Gothic"/>
              </w:rPr>
              <w:t>$m real 2017</w:t>
            </w:r>
          </w:p>
        </w:tc>
        <w:tc>
          <w:tcPr>
            <w:tcW w:w="1076" w:type="dxa"/>
            <w:shd w:val="clear" w:color="auto" w:fill="333333"/>
          </w:tcPr>
          <w:p w:rsidR="009C04E5" w:rsidRPr="00FC3E06" w:rsidRDefault="009C04E5" w:rsidP="00D248AC">
            <w:pPr>
              <w:pStyle w:val="TableColumnHeadings"/>
              <w:rPr>
                <w:rFonts w:ascii="Century Gothic" w:hAnsi="Century Gothic"/>
              </w:rPr>
            </w:pPr>
            <w:r w:rsidRPr="00FC3E06">
              <w:rPr>
                <w:rFonts w:ascii="Century Gothic" w:hAnsi="Century Gothic"/>
              </w:rPr>
              <w:t>2018</w:t>
            </w:r>
          </w:p>
        </w:tc>
        <w:tc>
          <w:tcPr>
            <w:tcW w:w="1076" w:type="dxa"/>
            <w:shd w:val="clear" w:color="auto" w:fill="333333"/>
          </w:tcPr>
          <w:p w:rsidR="009C04E5" w:rsidRPr="00FC3E06" w:rsidRDefault="009C04E5" w:rsidP="00D248AC">
            <w:pPr>
              <w:pStyle w:val="TableColumnHeadings"/>
              <w:rPr>
                <w:rFonts w:ascii="Century Gothic" w:hAnsi="Century Gothic"/>
              </w:rPr>
            </w:pPr>
            <w:r w:rsidRPr="00FC3E06">
              <w:rPr>
                <w:rFonts w:ascii="Century Gothic" w:hAnsi="Century Gothic"/>
              </w:rPr>
              <w:t>2019</w:t>
            </w:r>
          </w:p>
        </w:tc>
        <w:tc>
          <w:tcPr>
            <w:tcW w:w="1077" w:type="dxa"/>
            <w:shd w:val="clear" w:color="auto" w:fill="333333"/>
          </w:tcPr>
          <w:p w:rsidR="009C04E5" w:rsidRPr="00FC3E06" w:rsidRDefault="009C04E5" w:rsidP="00D248AC">
            <w:pPr>
              <w:pStyle w:val="TableColumnHeadings"/>
              <w:rPr>
                <w:rFonts w:ascii="Century Gothic" w:hAnsi="Century Gothic"/>
              </w:rPr>
            </w:pPr>
            <w:r w:rsidRPr="00FC3E06">
              <w:rPr>
                <w:rFonts w:ascii="Century Gothic" w:hAnsi="Century Gothic"/>
              </w:rPr>
              <w:t>2020</w:t>
            </w:r>
          </w:p>
        </w:tc>
        <w:tc>
          <w:tcPr>
            <w:tcW w:w="1076" w:type="dxa"/>
            <w:shd w:val="clear" w:color="auto" w:fill="333333"/>
          </w:tcPr>
          <w:p w:rsidR="009C04E5" w:rsidRPr="00FC3E06" w:rsidRDefault="009C04E5" w:rsidP="00D248AC">
            <w:pPr>
              <w:pStyle w:val="TableColumnHeadings"/>
              <w:rPr>
                <w:rFonts w:ascii="Century Gothic" w:hAnsi="Century Gothic"/>
              </w:rPr>
            </w:pPr>
            <w:r w:rsidRPr="00FC3E06">
              <w:rPr>
                <w:rFonts w:ascii="Century Gothic" w:hAnsi="Century Gothic"/>
              </w:rPr>
              <w:t>2021</w:t>
            </w:r>
          </w:p>
        </w:tc>
        <w:tc>
          <w:tcPr>
            <w:tcW w:w="1077" w:type="dxa"/>
            <w:shd w:val="clear" w:color="auto" w:fill="333333"/>
          </w:tcPr>
          <w:p w:rsidR="009C04E5" w:rsidRPr="00FC3E06" w:rsidRDefault="009C04E5" w:rsidP="00D248AC">
            <w:pPr>
              <w:pStyle w:val="TableColumnHeadings"/>
              <w:rPr>
                <w:rFonts w:ascii="Century Gothic" w:hAnsi="Century Gothic"/>
              </w:rPr>
            </w:pPr>
            <w:r w:rsidRPr="00FC3E06">
              <w:rPr>
                <w:rFonts w:ascii="Century Gothic" w:hAnsi="Century Gothic"/>
              </w:rPr>
              <w:t>2022</w:t>
            </w:r>
          </w:p>
        </w:tc>
      </w:tr>
      <w:tr w:rsidR="00867A0D" w:rsidRPr="008A4AF0" w:rsidTr="005538C0">
        <w:tc>
          <w:tcPr>
            <w:tcW w:w="3055" w:type="dxa"/>
            <w:shd w:val="clear" w:color="auto" w:fill="auto"/>
          </w:tcPr>
          <w:p w:rsidR="00867A0D" w:rsidRPr="00D67E98" w:rsidRDefault="00867A0D" w:rsidP="00867A0D">
            <w:pPr>
              <w:pStyle w:val="TableBodyCells"/>
              <w:jc w:val="left"/>
            </w:pPr>
            <w:r w:rsidRPr="00D67E98">
              <w:t xml:space="preserve">Pipelines </w:t>
            </w:r>
          </w:p>
        </w:tc>
        <w:tc>
          <w:tcPr>
            <w:tcW w:w="1076" w:type="dxa"/>
            <w:shd w:val="clear" w:color="auto" w:fill="auto"/>
          </w:tcPr>
          <w:p w:rsidR="00867A0D" w:rsidRPr="00D67E98" w:rsidRDefault="00867A0D" w:rsidP="00867A0D">
            <w:pPr>
              <w:pStyle w:val="TableBodyCells"/>
            </w:pPr>
            <w:r w:rsidRPr="00D67E98">
              <w:t xml:space="preserve"> 19.5 </w:t>
            </w:r>
          </w:p>
        </w:tc>
        <w:tc>
          <w:tcPr>
            <w:tcW w:w="1076" w:type="dxa"/>
          </w:tcPr>
          <w:p w:rsidR="00867A0D" w:rsidRPr="00D67E98" w:rsidRDefault="00867A0D" w:rsidP="00867A0D">
            <w:pPr>
              <w:pStyle w:val="TableBodyCells"/>
            </w:pPr>
            <w:r w:rsidRPr="00D67E98">
              <w:t xml:space="preserve"> 19.6 </w:t>
            </w:r>
          </w:p>
        </w:tc>
        <w:tc>
          <w:tcPr>
            <w:tcW w:w="1077" w:type="dxa"/>
            <w:shd w:val="clear" w:color="auto" w:fill="auto"/>
          </w:tcPr>
          <w:p w:rsidR="00867A0D" w:rsidRPr="00D67E98" w:rsidRDefault="00867A0D" w:rsidP="00867A0D">
            <w:pPr>
              <w:pStyle w:val="TableBodyCells"/>
            </w:pPr>
            <w:r w:rsidRPr="00D67E98">
              <w:t xml:space="preserve"> 20.2 </w:t>
            </w:r>
          </w:p>
        </w:tc>
        <w:tc>
          <w:tcPr>
            <w:tcW w:w="1076" w:type="dxa"/>
            <w:shd w:val="clear" w:color="auto" w:fill="auto"/>
          </w:tcPr>
          <w:p w:rsidR="00867A0D" w:rsidRPr="00D67E98" w:rsidRDefault="00867A0D" w:rsidP="00867A0D">
            <w:pPr>
              <w:pStyle w:val="TableBodyCells"/>
            </w:pPr>
            <w:r w:rsidRPr="00D67E98">
              <w:t xml:space="preserve"> 22.2 </w:t>
            </w:r>
          </w:p>
        </w:tc>
        <w:tc>
          <w:tcPr>
            <w:tcW w:w="1077" w:type="dxa"/>
            <w:shd w:val="clear" w:color="auto" w:fill="auto"/>
          </w:tcPr>
          <w:p w:rsidR="00867A0D" w:rsidRPr="00D67E98" w:rsidRDefault="00867A0D" w:rsidP="00867A0D">
            <w:pPr>
              <w:pStyle w:val="TableBodyCells"/>
            </w:pPr>
            <w:r w:rsidRPr="00D67E98">
              <w:t xml:space="preserve"> 22.2 </w:t>
            </w:r>
          </w:p>
        </w:tc>
      </w:tr>
      <w:tr w:rsidR="00867A0D" w:rsidRPr="008A4AF0" w:rsidTr="005538C0">
        <w:tc>
          <w:tcPr>
            <w:tcW w:w="3055" w:type="dxa"/>
            <w:shd w:val="clear" w:color="auto" w:fill="auto"/>
          </w:tcPr>
          <w:p w:rsidR="00867A0D" w:rsidRPr="00D67E98" w:rsidRDefault="00867A0D" w:rsidP="00867A0D">
            <w:pPr>
              <w:pStyle w:val="TableBodyCells"/>
              <w:jc w:val="left"/>
            </w:pPr>
            <w:r w:rsidRPr="00D67E98">
              <w:t xml:space="preserve">Compressors </w:t>
            </w:r>
          </w:p>
        </w:tc>
        <w:tc>
          <w:tcPr>
            <w:tcW w:w="1076" w:type="dxa"/>
            <w:shd w:val="clear" w:color="auto" w:fill="auto"/>
          </w:tcPr>
          <w:p w:rsidR="00867A0D" w:rsidRPr="00D67E98" w:rsidRDefault="00867A0D" w:rsidP="00867A0D">
            <w:pPr>
              <w:pStyle w:val="TableBodyCells"/>
            </w:pPr>
            <w:r w:rsidRPr="00D67E98">
              <w:t xml:space="preserve"> 7.4 </w:t>
            </w:r>
          </w:p>
        </w:tc>
        <w:tc>
          <w:tcPr>
            <w:tcW w:w="1076" w:type="dxa"/>
          </w:tcPr>
          <w:p w:rsidR="00867A0D" w:rsidRPr="00D67E98" w:rsidRDefault="00867A0D" w:rsidP="00867A0D">
            <w:pPr>
              <w:pStyle w:val="TableBodyCells"/>
            </w:pPr>
            <w:r w:rsidRPr="00D67E98">
              <w:t xml:space="preserve"> 7.9 </w:t>
            </w:r>
          </w:p>
        </w:tc>
        <w:tc>
          <w:tcPr>
            <w:tcW w:w="1077" w:type="dxa"/>
            <w:shd w:val="clear" w:color="auto" w:fill="auto"/>
          </w:tcPr>
          <w:p w:rsidR="00867A0D" w:rsidRPr="00D67E98" w:rsidRDefault="00867A0D" w:rsidP="00867A0D">
            <w:pPr>
              <w:pStyle w:val="TableBodyCells"/>
            </w:pPr>
            <w:r w:rsidRPr="00D67E98">
              <w:t xml:space="preserve"> 7.9 </w:t>
            </w:r>
          </w:p>
        </w:tc>
        <w:tc>
          <w:tcPr>
            <w:tcW w:w="1076" w:type="dxa"/>
            <w:shd w:val="clear" w:color="auto" w:fill="auto"/>
          </w:tcPr>
          <w:p w:rsidR="00867A0D" w:rsidRPr="00D67E98" w:rsidRDefault="00867A0D" w:rsidP="00867A0D">
            <w:pPr>
              <w:pStyle w:val="TableBodyCells"/>
            </w:pPr>
            <w:r w:rsidRPr="00D67E98">
              <w:t xml:space="preserve"> 9.0 </w:t>
            </w:r>
          </w:p>
        </w:tc>
        <w:tc>
          <w:tcPr>
            <w:tcW w:w="1077" w:type="dxa"/>
            <w:shd w:val="clear" w:color="auto" w:fill="auto"/>
          </w:tcPr>
          <w:p w:rsidR="00867A0D" w:rsidRPr="00D67E98" w:rsidRDefault="00867A0D" w:rsidP="00867A0D">
            <w:pPr>
              <w:pStyle w:val="TableBodyCells"/>
            </w:pPr>
            <w:r w:rsidRPr="00D67E98">
              <w:t xml:space="preserve"> 9.1 </w:t>
            </w:r>
          </w:p>
        </w:tc>
      </w:tr>
      <w:tr w:rsidR="00867A0D" w:rsidRPr="008A4AF0" w:rsidTr="005538C0">
        <w:tc>
          <w:tcPr>
            <w:tcW w:w="3055" w:type="dxa"/>
            <w:shd w:val="clear" w:color="auto" w:fill="auto"/>
          </w:tcPr>
          <w:p w:rsidR="00867A0D" w:rsidRPr="00D67E98" w:rsidRDefault="00867A0D" w:rsidP="00867A0D">
            <w:pPr>
              <w:pStyle w:val="TableBodyCells"/>
              <w:jc w:val="left"/>
            </w:pPr>
            <w:r w:rsidRPr="00D67E98">
              <w:t>City Gates &amp; Field Regulators</w:t>
            </w:r>
          </w:p>
        </w:tc>
        <w:tc>
          <w:tcPr>
            <w:tcW w:w="1076" w:type="dxa"/>
            <w:shd w:val="clear" w:color="auto" w:fill="auto"/>
          </w:tcPr>
          <w:p w:rsidR="00867A0D" w:rsidRPr="00D67E98" w:rsidRDefault="00867A0D" w:rsidP="00867A0D">
            <w:pPr>
              <w:pStyle w:val="TableBodyCells"/>
            </w:pPr>
            <w:r w:rsidRPr="00D67E98">
              <w:t xml:space="preserve"> 2.6 </w:t>
            </w:r>
          </w:p>
        </w:tc>
        <w:tc>
          <w:tcPr>
            <w:tcW w:w="1076" w:type="dxa"/>
          </w:tcPr>
          <w:p w:rsidR="00867A0D" w:rsidRPr="00D67E98" w:rsidRDefault="00867A0D" w:rsidP="00867A0D">
            <w:pPr>
              <w:pStyle w:val="TableBodyCells"/>
            </w:pPr>
            <w:r w:rsidRPr="00D67E98">
              <w:t xml:space="preserve"> 2.6 </w:t>
            </w:r>
          </w:p>
        </w:tc>
        <w:tc>
          <w:tcPr>
            <w:tcW w:w="1077" w:type="dxa"/>
            <w:shd w:val="clear" w:color="auto" w:fill="auto"/>
          </w:tcPr>
          <w:p w:rsidR="00867A0D" w:rsidRPr="00D67E98" w:rsidRDefault="00867A0D" w:rsidP="00867A0D">
            <w:pPr>
              <w:pStyle w:val="TableBodyCells"/>
            </w:pPr>
            <w:r w:rsidRPr="00D67E98">
              <w:t xml:space="preserve"> 2.7 </w:t>
            </w:r>
          </w:p>
        </w:tc>
        <w:tc>
          <w:tcPr>
            <w:tcW w:w="1076" w:type="dxa"/>
            <w:shd w:val="clear" w:color="auto" w:fill="auto"/>
          </w:tcPr>
          <w:p w:rsidR="00867A0D" w:rsidRPr="00D67E98" w:rsidRDefault="00867A0D" w:rsidP="00867A0D">
            <w:pPr>
              <w:pStyle w:val="TableBodyCells"/>
            </w:pPr>
            <w:r w:rsidRPr="00D67E98">
              <w:t xml:space="preserve"> 2.8 </w:t>
            </w:r>
          </w:p>
        </w:tc>
        <w:tc>
          <w:tcPr>
            <w:tcW w:w="1077" w:type="dxa"/>
            <w:shd w:val="clear" w:color="auto" w:fill="auto"/>
          </w:tcPr>
          <w:p w:rsidR="00867A0D" w:rsidRPr="00D67E98" w:rsidRDefault="00867A0D" w:rsidP="00867A0D">
            <w:pPr>
              <w:pStyle w:val="TableBodyCells"/>
            </w:pPr>
            <w:r w:rsidRPr="00D67E98">
              <w:t xml:space="preserve"> 2.8 </w:t>
            </w:r>
          </w:p>
        </w:tc>
      </w:tr>
      <w:tr w:rsidR="00867A0D" w:rsidRPr="008A4AF0" w:rsidTr="005538C0">
        <w:tc>
          <w:tcPr>
            <w:tcW w:w="3055" w:type="dxa"/>
            <w:shd w:val="clear" w:color="auto" w:fill="auto"/>
          </w:tcPr>
          <w:p w:rsidR="00867A0D" w:rsidRPr="00D67E98" w:rsidRDefault="00867A0D" w:rsidP="00867A0D">
            <w:pPr>
              <w:pStyle w:val="TableBodyCells"/>
              <w:jc w:val="left"/>
            </w:pPr>
            <w:proofErr w:type="spellStart"/>
            <w:r w:rsidRPr="00D67E98">
              <w:t>Odourant</w:t>
            </w:r>
            <w:proofErr w:type="spellEnd"/>
            <w:r w:rsidRPr="00D67E98">
              <w:t xml:space="preserve"> Plants</w:t>
            </w:r>
          </w:p>
        </w:tc>
        <w:tc>
          <w:tcPr>
            <w:tcW w:w="1076" w:type="dxa"/>
            <w:shd w:val="clear" w:color="auto" w:fill="auto"/>
          </w:tcPr>
          <w:p w:rsidR="00867A0D" w:rsidRPr="00D67E98" w:rsidRDefault="00867A0D" w:rsidP="00867A0D">
            <w:pPr>
              <w:pStyle w:val="TableBodyCells"/>
            </w:pPr>
            <w:r w:rsidRPr="00D67E98">
              <w:t xml:space="preserve"> 0.0 </w:t>
            </w:r>
          </w:p>
        </w:tc>
        <w:tc>
          <w:tcPr>
            <w:tcW w:w="1076" w:type="dxa"/>
          </w:tcPr>
          <w:p w:rsidR="00867A0D" w:rsidRPr="00D67E98" w:rsidRDefault="00867A0D" w:rsidP="00867A0D">
            <w:pPr>
              <w:pStyle w:val="TableBodyCells"/>
            </w:pPr>
            <w:r w:rsidRPr="00D67E98">
              <w:t xml:space="preserve"> 0.0 </w:t>
            </w:r>
          </w:p>
        </w:tc>
        <w:tc>
          <w:tcPr>
            <w:tcW w:w="1077" w:type="dxa"/>
            <w:shd w:val="clear" w:color="auto" w:fill="auto"/>
          </w:tcPr>
          <w:p w:rsidR="00867A0D" w:rsidRPr="00D67E98" w:rsidRDefault="00867A0D" w:rsidP="00867A0D">
            <w:pPr>
              <w:pStyle w:val="TableBodyCells"/>
            </w:pPr>
            <w:r w:rsidRPr="00D67E98">
              <w:t xml:space="preserve"> 0.0 </w:t>
            </w:r>
          </w:p>
        </w:tc>
        <w:tc>
          <w:tcPr>
            <w:tcW w:w="1076" w:type="dxa"/>
            <w:shd w:val="clear" w:color="auto" w:fill="auto"/>
          </w:tcPr>
          <w:p w:rsidR="00867A0D" w:rsidRPr="00D67E98" w:rsidRDefault="00867A0D" w:rsidP="00867A0D">
            <w:pPr>
              <w:pStyle w:val="TableBodyCells"/>
            </w:pPr>
            <w:r w:rsidRPr="00D67E98">
              <w:t xml:space="preserve"> 0.0 </w:t>
            </w:r>
          </w:p>
        </w:tc>
        <w:tc>
          <w:tcPr>
            <w:tcW w:w="1077" w:type="dxa"/>
            <w:shd w:val="clear" w:color="auto" w:fill="auto"/>
          </w:tcPr>
          <w:p w:rsidR="00867A0D" w:rsidRPr="00D67E98" w:rsidRDefault="00867A0D" w:rsidP="00867A0D">
            <w:pPr>
              <w:pStyle w:val="TableBodyCells"/>
            </w:pPr>
            <w:r w:rsidRPr="00D67E98">
              <w:t xml:space="preserve"> 0.0 </w:t>
            </w:r>
          </w:p>
        </w:tc>
      </w:tr>
      <w:tr w:rsidR="00867A0D" w:rsidRPr="008A4AF0" w:rsidTr="005538C0">
        <w:tc>
          <w:tcPr>
            <w:tcW w:w="3055" w:type="dxa"/>
            <w:shd w:val="clear" w:color="auto" w:fill="auto"/>
          </w:tcPr>
          <w:p w:rsidR="00867A0D" w:rsidRPr="00D67E98" w:rsidRDefault="00867A0D" w:rsidP="00867A0D">
            <w:pPr>
              <w:pStyle w:val="TableBodyCells"/>
              <w:jc w:val="left"/>
            </w:pPr>
            <w:r w:rsidRPr="00D67E98">
              <w:lastRenderedPageBreak/>
              <w:t>Gas Quality</w:t>
            </w:r>
          </w:p>
        </w:tc>
        <w:tc>
          <w:tcPr>
            <w:tcW w:w="1076" w:type="dxa"/>
            <w:shd w:val="clear" w:color="auto" w:fill="auto"/>
          </w:tcPr>
          <w:p w:rsidR="00867A0D" w:rsidRPr="00D67E98" w:rsidRDefault="00867A0D" w:rsidP="00867A0D">
            <w:pPr>
              <w:pStyle w:val="TableBodyCells"/>
            </w:pPr>
            <w:r w:rsidRPr="00D67E98">
              <w:t xml:space="preserve"> 0.1 </w:t>
            </w:r>
          </w:p>
        </w:tc>
        <w:tc>
          <w:tcPr>
            <w:tcW w:w="1076" w:type="dxa"/>
          </w:tcPr>
          <w:p w:rsidR="00867A0D" w:rsidRPr="00D67E98" w:rsidRDefault="00867A0D" w:rsidP="00867A0D">
            <w:pPr>
              <w:pStyle w:val="TableBodyCells"/>
            </w:pPr>
            <w:r w:rsidRPr="00D67E98">
              <w:t xml:space="preserve"> 0.2 </w:t>
            </w:r>
          </w:p>
        </w:tc>
        <w:tc>
          <w:tcPr>
            <w:tcW w:w="1077" w:type="dxa"/>
            <w:shd w:val="clear" w:color="auto" w:fill="auto"/>
          </w:tcPr>
          <w:p w:rsidR="00867A0D" w:rsidRPr="00D67E98" w:rsidRDefault="00867A0D" w:rsidP="00867A0D">
            <w:pPr>
              <w:pStyle w:val="TableBodyCells"/>
            </w:pPr>
            <w:r w:rsidRPr="00D67E98">
              <w:t xml:space="preserve"> 0.2 </w:t>
            </w:r>
          </w:p>
        </w:tc>
        <w:tc>
          <w:tcPr>
            <w:tcW w:w="1076" w:type="dxa"/>
            <w:shd w:val="clear" w:color="auto" w:fill="auto"/>
          </w:tcPr>
          <w:p w:rsidR="00867A0D" w:rsidRPr="00D67E98" w:rsidRDefault="00867A0D" w:rsidP="00867A0D">
            <w:pPr>
              <w:pStyle w:val="TableBodyCells"/>
            </w:pPr>
            <w:r w:rsidRPr="00D67E98">
              <w:t xml:space="preserve"> 0.2 </w:t>
            </w:r>
          </w:p>
        </w:tc>
        <w:tc>
          <w:tcPr>
            <w:tcW w:w="1077" w:type="dxa"/>
            <w:shd w:val="clear" w:color="auto" w:fill="auto"/>
          </w:tcPr>
          <w:p w:rsidR="00867A0D" w:rsidRPr="00D67E98" w:rsidRDefault="00867A0D" w:rsidP="00867A0D">
            <w:pPr>
              <w:pStyle w:val="TableBodyCells"/>
            </w:pPr>
            <w:r w:rsidRPr="00D67E98">
              <w:t xml:space="preserve"> 0.2 </w:t>
            </w:r>
          </w:p>
        </w:tc>
      </w:tr>
      <w:tr w:rsidR="00867A0D" w:rsidRPr="008A4AF0" w:rsidTr="005538C0">
        <w:tc>
          <w:tcPr>
            <w:tcW w:w="3055" w:type="dxa"/>
            <w:shd w:val="clear" w:color="auto" w:fill="auto"/>
          </w:tcPr>
          <w:p w:rsidR="00867A0D" w:rsidRPr="00D67E98" w:rsidRDefault="00867A0D" w:rsidP="00867A0D">
            <w:pPr>
              <w:pStyle w:val="TableBodyCells"/>
              <w:jc w:val="left"/>
            </w:pPr>
            <w:r w:rsidRPr="00D67E98">
              <w:t xml:space="preserve">Other </w:t>
            </w:r>
          </w:p>
        </w:tc>
        <w:tc>
          <w:tcPr>
            <w:tcW w:w="1076" w:type="dxa"/>
            <w:shd w:val="clear" w:color="auto" w:fill="auto"/>
          </w:tcPr>
          <w:p w:rsidR="00867A0D" w:rsidRPr="00D67E98" w:rsidRDefault="00867A0D" w:rsidP="00867A0D">
            <w:pPr>
              <w:pStyle w:val="TableBodyCells"/>
            </w:pPr>
            <w:r w:rsidRPr="00D67E98">
              <w:t xml:space="preserve"> 6.2 </w:t>
            </w:r>
          </w:p>
        </w:tc>
        <w:tc>
          <w:tcPr>
            <w:tcW w:w="1076" w:type="dxa"/>
          </w:tcPr>
          <w:p w:rsidR="00867A0D" w:rsidRPr="00D67E98" w:rsidRDefault="00867A0D" w:rsidP="00867A0D">
            <w:pPr>
              <w:pStyle w:val="TableBodyCells"/>
            </w:pPr>
            <w:r w:rsidRPr="00D67E98">
              <w:t xml:space="preserve"> 8.6 </w:t>
            </w:r>
          </w:p>
        </w:tc>
        <w:tc>
          <w:tcPr>
            <w:tcW w:w="1077" w:type="dxa"/>
            <w:shd w:val="clear" w:color="auto" w:fill="auto"/>
          </w:tcPr>
          <w:p w:rsidR="00867A0D" w:rsidRPr="00D67E98" w:rsidRDefault="00867A0D" w:rsidP="00867A0D">
            <w:pPr>
              <w:pStyle w:val="TableBodyCells"/>
            </w:pPr>
            <w:r w:rsidRPr="00D67E98">
              <w:t xml:space="preserve"> 10.0 </w:t>
            </w:r>
          </w:p>
        </w:tc>
        <w:tc>
          <w:tcPr>
            <w:tcW w:w="1076" w:type="dxa"/>
            <w:shd w:val="clear" w:color="auto" w:fill="auto"/>
          </w:tcPr>
          <w:p w:rsidR="00867A0D" w:rsidRPr="00D67E98" w:rsidRDefault="00867A0D" w:rsidP="00867A0D">
            <w:pPr>
              <w:pStyle w:val="TableBodyCells"/>
            </w:pPr>
            <w:r w:rsidRPr="00D67E98">
              <w:t xml:space="preserve"> 10.5 </w:t>
            </w:r>
          </w:p>
        </w:tc>
        <w:tc>
          <w:tcPr>
            <w:tcW w:w="1077" w:type="dxa"/>
            <w:shd w:val="clear" w:color="auto" w:fill="auto"/>
          </w:tcPr>
          <w:p w:rsidR="00867A0D" w:rsidRPr="00D67E98" w:rsidRDefault="00867A0D" w:rsidP="00867A0D">
            <w:pPr>
              <w:pStyle w:val="TableBodyCells"/>
            </w:pPr>
            <w:r w:rsidRPr="00D67E98">
              <w:t xml:space="preserve"> 7.3 </w:t>
            </w:r>
          </w:p>
        </w:tc>
      </w:tr>
      <w:tr w:rsidR="00867A0D" w:rsidRPr="008A4AF0" w:rsidTr="005538C0">
        <w:tc>
          <w:tcPr>
            <w:tcW w:w="3055" w:type="dxa"/>
            <w:shd w:val="clear" w:color="auto" w:fill="auto"/>
          </w:tcPr>
          <w:p w:rsidR="00867A0D" w:rsidRPr="00D67E98" w:rsidRDefault="00867A0D" w:rsidP="00867A0D">
            <w:pPr>
              <w:pStyle w:val="TableBodyCells"/>
              <w:jc w:val="left"/>
            </w:pPr>
            <w:r w:rsidRPr="00D67E98">
              <w:t>General Building</w:t>
            </w:r>
          </w:p>
        </w:tc>
        <w:tc>
          <w:tcPr>
            <w:tcW w:w="1076" w:type="dxa"/>
            <w:shd w:val="clear" w:color="auto" w:fill="auto"/>
          </w:tcPr>
          <w:p w:rsidR="00867A0D" w:rsidRPr="00D67E98" w:rsidRDefault="00867A0D" w:rsidP="00867A0D">
            <w:pPr>
              <w:pStyle w:val="TableBodyCells"/>
            </w:pPr>
            <w:r w:rsidRPr="00D67E98">
              <w:t xml:space="preserve"> 0.2 </w:t>
            </w:r>
          </w:p>
        </w:tc>
        <w:tc>
          <w:tcPr>
            <w:tcW w:w="1076" w:type="dxa"/>
          </w:tcPr>
          <w:p w:rsidR="00867A0D" w:rsidRPr="00D67E98" w:rsidRDefault="00867A0D" w:rsidP="00867A0D">
            <w:pPr>
              <w:pStyle w:val="TableBodyCells"/>
            </w:pPr>
            <w:r w:rsidRPr="00D67E98">
              <w:t xml:space="preserve"> 0.2 </w:t>
            </w:r>
          </w:p>
        </w:tc>
        <w:tc>
          <w:tcPr>
            <w:tcW w:w="1077" w:type="dxa"/>
            <w:shd w:val="clear" w:color="auto" w:fill="auto"/>
          </w:tcPr>
          <w:p w:rsidR="00867A0D" w:rsidRPr="00D67E98" w:rsidRDefault="00867A0D" w:rsidP="00867A0D">
            <w:pPr>
              <w:pStyle w:val="TableBodyCells"/>
            </w:pPr>
            <w:r w:rsidRPr="00D67E98">
              <w:t xml:space="preserve"> 0.2 </w:t>
            </w:r>
          </w:p>
        </w:tc>
        <w:tc>
          <w:tcPr>
            <w:tcW w:w="1076" w:type="dxa"/>
            <w:shd w:val="clear" w:color="auto" w:fill="auto"/>
          </w:tcPr>
          <w:p w:rsidR="00867A0D" w:rsidRPr="00D67E98" w:rsidRDefault="00867A0D" w:rsidP="00867A0D">
            <w:pPr>
              <w:pStyle w:val="TableBodyCells"/>
            </w:pPr>
            <w:r w:rsidRPr="00D67E98">
              <w:t xml:space="preserve"> 0.3 </w:t>
            </w:r>
          </w:p>
        </w:tc>
        <w:tc>
          <w:tcPr>
            <w:tcW w:w="1077" w:type="dxa"/>
            <w:shd w:val="clear" w:color="auto" w:fill="auto"/>
          </w:tcPr>
          <w:p w:rsidR="00867A0D" w:rsidRPr="00D67E98" w:rsidRDefault="00867A0D" w:rsidP="00867A0D">
            <w:pPr>
              <w:pStyle w:val="TableBodyCells"/>
            </w:pPr>
            <w:r w:rsidRPr="00D67E98">
              <w:t xml:space="preserve"> 0.3 </w:t>
            </w:r>
          </w:p>
        </w:tc>
      </w:tr>
      <w:tr w:rsidR="00867A0D" w:rsidRPr="008A4AF0" w:rsidTr="005538C0">
        <w:tc>
          <w:tcPr>
            <w:tcW w:w="3055" w:type="dxa"/>
            <w:shd w:val="clear" w:color="auto" w:fill="auto"/>
          </w:tcPr>
          <w:p w:rsidR="00867A0D" w:rsidRPr="00D67E98" w:rsidRDefault="00867A0D" w:rsidP="00867A0D">
            <w:pPr>
              <w:pStyle w:val="TableBodyCells"/>
              <w:jc w:val="left"/>
            </w:pPr>
            <w:r w:rsidRPr="00D67E98">
              <w:t>General Land</w:t>
            </w:r>
          </w:p>
        </w:tc>
        <w:tc>
          <w:tcPr>
            <w:tcW w:w="1076" w:type="dxa"/>
            <w:shd w:val="clear" w:color="auto" w:fill="auto"/>
          </w:tcPr>
          <w:p w:rsidR="00867A0D" w:rsidRPr="00D67E98" w:rsidRDefault="00867A0D" w:rsidP="00867A0D">
            <w:pPr>
              <w:pStyle w:val="TableBodyCells"/>
            </w:pPr>
            <w:r w:rsidRPr="00D67E98">
              <w:t xml:space="preserve"> -  </w:t>
            </w:r>
          </w:p>
        </w:tc>
        <w:tc>
          <w:tcPr>
            <w:tcW w:w="1076" w:type="dxa"/>
          </w:tcPr>
          <w:p w:rsidR="00867A0D" w:rsidRPr="00D67E98" w:rsidRDefault="00867A0D" w:rsidP="00867A0D">
            <w:pPr>
              <w:pStyle w:val="TableBodyCells"/>
            </w:pPr>
            <w:r w:rsidRPr="00D67E98">
              <w:t xml:space="preserve"> -  </w:t>
            </w:r>
          </w:p>
        </w:tc>
        <w:tc>
          <w:tcPr>
            <w:tcW w:w="1077" w:type="dxa"/>
            <w:shd w:val="clear" w:color="auto" w:fill="auto"/>
          </w:tcPr>
          <w:p w:rsidR="00867A0D" w:rsidRPr="00D67E98" w:rsidRDefault="00867A0D" w:rsidP="00867A0D">
            <w:pPr>
              <w:pStyle w:val="TableBodyCells"/>
            </w:pPr>
            <w:r w:rsidRPr="00D67E98">
              <w:t xml:space="preserve"> -  </w:t>
            </w:r>
          </w:p>
        </w:tc>
        <w:tc>
          <w:tcPr>
            <w:tcW w:w="1076" w:type="dxa"/>
            <w:shd w:val="clear" w:color="auto" w:fill="auto"/>
          </w:tcPr>
          <w:p w:rsidR="00867A0D" w:rsidRPr="00D67E98" w:rsidRDefault="00867A0D" w:rsidP="00867A0D">
            <w:pPr>
              <w:pStyle w:val="TableBodyCells"/>
            </w:pPr>
            <w:r w:rsidRPr="00D67E98">
              <w:t xml:space="preserve"> -  </w:t>
            </w:r>
          </w:p>
        </w:tc>
        <w:tc>
          <w:tcPr>
            <w:tcW w:w="1077" w:type="dxa"/>
            <w:shd w:val="clear" w:color="auto" w:fill="auto"/>
          </w:tcPr>
          <w:p w:rsidR="00867A0D" w:rsidRPr="00D67E98" w:rsidRDefault="00867A0D" w:rsidP="00867A0D">
            <w:pPr>
              <w:pStyle w:val="TableBodyCells"/>
            </w:pPr>
            <w:r w:rsidRPr="00D67E98">
              <w:t xml:space="preserve"> -  </w:t>
            </w:r>
          </w:p>
        </w:tc>
      </w:tr>
      <w:tr w:rsidR="00867A0D" w:rsidRPr="00FC3E06" w:rsidTr="005538C0">
        <w:tc>
          <w:tcPr>
            <w:tcW w:w="3055" w:type="dxa"/>
            <w:shd w:val="clear" w:color="auto" w:fill="auto"/>
          </w:tcPr>
          <w:p w:rsidR="00867A0D" w:rsidRPr="00867A0D" w:rsidRDefault="00867A0D" w:rsidP="00867A0D">
            <w:pPr>
              <w:pStyle w:val="TableBodyCells"/>
              <w:jc w:val="left"/>
              <w:rPr>
                <w:b/>
              </w:rPr>
            </w:pPr>
            <w:r w:rsidRPr="00867A0D">
              <w:rPr>
                <w:b/>
              </w:rPr>
              <w:t>Total</w:t>
            </w:r>
          </w:p>
        </w:tc>
        <w:tc>
          <w:tcPr>
            <w:tcW w:w="1076" w:type="dxa"/>
            <w:shd w:val="clear" w:color="auto" w:fill="auto"/>
          </w:tcPr>
          <w:p w:rsidR="00867A0D" w:rsidRPr="00867A0D" w:rsidRDefault="00867A0D" w:rsidP="00867A0D">
            <w:pPr>
              <w:pStyle w:val="TableBodyCells"/>
              <w:rPr>
                <w:b/>
              </w:rPr>
            </w:pPr>
            <w:r w:rsidRPr="00867A0D">
              <w:rPr>
                <w:b/>
              </w:rPr>
              <w:t xml:space="preserve"> 36.1 </w:t>
            </w:r>
          </w:p>
        </w:tc>
        <w:tc>
          <w:tcPr>
            <w:tcW w:w="1076" w:type="dxa"/>
          </w:tcPr>
          <w:p w:rsidR="00867A0D" w:rsidRPr="00867A0D" w:rsidRDefault="00867A0D" w:rsidP="00867A0D">
            <w:pPr>
              <w:pStyle w:val="TableBodyCells"/>
              <w:rPr>
                <w:b/>
              </w:rPr>
            </w:pPr>
            <w:r w:rsidRPr="00867A0D">
              <w:rPr>
                <w:b/>
              </w:rPr>
              <w:t xml:space="preserve"> 39.1 </w:t>
            </w:r>
          </w:p>
        </w:tc>
        <w:tc>
          <w:tcPr>
            <w:tcW w:w="1077" w:type="dxa"/>
            <w:shd w:val="clear" w:color="auto" w:fill="auto"/>
          </w:tcPr>
          <w:p w:rsidR="00867A0D" w:rsidRPr="00867A0D" w:rsidRDefault="00867A0D" w:rsidP="00867A0D">
            <w:pPr>
              <w:pStyle w:val="TableBodyCells"/>
              <w:rPr>
                <w:b/>
              </w:rPr>
            </w:pPr>
            <w:r w:rsidRPr="00867A0D">
              <w:rPr>
                <w:b/>
              </w:rPr>
              <w:t xml:space="preserve"> 41.2 </w:t>
            </w:r>
          </w:p>
        </w:tc>
        <w:tc>
          <w:tcPr>
            <w:tcW w:w="1076" w:type="dxa"/>
            <w:shd w:val="clear" w:color="auto" w:fill="auto"/>
          </w:tcPr>
          <w:p w:rsidR="00867A0D" w:rsidRPr="00867A0D" w:rsidRDefault="00867A0D" w:rsidP="00867A0D">
            <w:pPr>
              <w:pStyle w:val="TableBodyCells"/>
              <w:rPr>
                <w:b/>
              </w:rPr>
            </w:pPr>
            <w:r w:rsidRPr="00867A0D">
              <w:rPr>
                <w:b/>
              </w:rPr>
              <w:t xml:space="preserve"> 45.0 </w:t>
            </w:r>
          </w:p>
        </w:tc>
        <w:tc>
          <w:tcPr>
            <w:tcW w:w="1077" w:type="dxa"/>
            <w:shd w:val="clear" w:color="auto" w:fill="auto"/>
          </w:tcPr>
          <w:p w:rsidR="00867A0D" w:rsidRPr="00867A0D" w:rsidRDefault="00867A0D" w:rsidP="00867A0D">
            <w:pPr>
              <w:pStyle w:val="TableBodyCells"/>
              <w:rPr>
                <w:b/>
              </w:rPr>
            </w:pPr>
            <w:r w:rsidRPr="00867A0D">
              <w:rPr>
                <w:b/>
              </w:rPr>
              <w:t xml:space="preserve"> 41.9 </w:t>
            </w:r>
          </w:p>
        </w:tc>
      </w:tr>
    </w:tbl>
    <w:p w:rsidR="007D0F77" w:rsidRDefault="007D0F77" w:rsidP="00FA5534">
      <w:pPr>
        <w:pStyle w:val="BodyText"/>
        <w:rPr>
          <w:lang w:eastAsia="en-AU"/>
        </w:rPr>
      </w:pPr>
    </w:p>
    <w:p w:rsidR="00FA5534" w:rsidRDefault="00FA5534" w:rsidP="00FA5534">
      <w:pPr>
        <w:pStyle w:val="BodyText"/>
        <w:rPr>
          <w:lang w:eastAsia="en-AU"/>
        </w:rPr>
      </w:pPr>
      <w:r>
        <w:rPr>
          <w:lang w:eastAsia="en-AU"/>
        </w:rPr>
        <w:t xml:space="preserve">Table 3.5 sets out </w:t>
      </w:r>
      <w:r w:rsidR="00996547">
        <w:rPr>
          <w:lang w:eastAsia="en-AU"/>
        </w:rPr>
        <w:t>APA VTS’</w:t>
      </w:r>
      <w:r>
        <w:rPr>
          <w:lang w:eastAsia="en-AU"/>
        </w:rPr>
        <w:t>s asset economic lives.</w:t>
      </w:r>
    </w:p>
    <w:p w:rsidR="00C42B06" w:rsidRDefault="00FA5534" w:rsidP="00FA5534">
      <w:pPr>
        <w:pStyle w:val="Caption"/>
        <w:rPr>
          <w:lang w:eastAsia="en-AU"/>
        </w:rPr>
      </w:pPr>
      <w:proofErr w:type="gramStart"/>
      <w:r>
        <w:t xml:space="preserve">Table </w:t>
      </w:r>
      <w:fldSimple w:instr=" STYLEREF 1 \s ">
        <w:r w:rsidR="00154DB7">
          <w:rPr>
            <w:noProof/>
          </w:rPr>
          <w:t>3</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5</w:t>
      </w:r>
      <w:r w:rsidR="007D0F77">
        <w:rPr>
          <w:noProof/>
        </w:rPr>
        <w:fldChar w:fldCharType="end"/>
      </w:r>
      <w:r>
        <w:t xml:space="preserve">:  </w:t>
      </w:r>
      <w:r w:rsidRPr="00FA5534">
        <w:t xml:space="preserve">Asset </w:t>
      </w:r>
      <w:r w:rsidR="00E757D6">
        <w:t xml:space="preserve">remaining </w:t>
      </w:r>
      <w:r w:rsidRPr="00FA5534">
        <w:t>economic lives (years)</w:t>
      </w:r>
    </w:p>
    <w:tbl>
      <w:tblPr>
        <w:tblW w:w="8506" w:type="dxa"/>
        <w:tblInd w:w="-34" w:type="dxa"/>
        <w:tblBorders>
          <w:top w:val="single" w:sz="6" w:space="0" w:color="000000"/>
          <w:bottom w:val="single" w:sz="6" w:space="0" w:color="000000"/>
          <w:insideH w:val="single" w:sz="6" w:space="0" w:color="000000"/>
        </w:tblBorders>
        <w:tblLook w:val="01E0" w:firstRow="1" w:lastRow="1" w:firstColumn="1" w:lastColumn="1" w:noHBand="0" w:noVBand="0"/>
      </w:tblPr>
      <w:tblGrid>
        <w:gridCol w:w="3119"/>
        <w:gridCol w:w="2693"/>
        <w:gridCol w:w="2694"/>
      </w:tblGrid>
      <w:tr w:rsidR="00FC3E06" w:rsidRPr="00FC3E06" w:rsidTr="00FC3E06">
        <w:tc>
          <w:tcPr>
            <w:tcW w:w="3119" w:type="dxa"/>
            <w:shd w:val="clear" w:color="auto" w:fill="333333"/>
          </w:tcPr>
          <w:p w:rsidR="00FC3E06" w:rsidRPr="00FC3E06" w:rsidRDefault="00FC3E06" w:rsidP="00C45A01">
            <w:pPr>
              <w:pStyle w:val="TableColumnHeadings"/>
              <w:keepNext/>
              <w:jc w:val="left"/>
              <w:rPr>
                <w:rFonts w:ascii="Century Gothic" w:hAnsi="Century Gothic"/>
                <w:szCs w:val="18"/>
              </w:rPr>
            </w:pPr>
          </w:p>
        </w:tc>
        <w:tc>
          <w:tcPr>
            <w:tcW w:w="2693" w:type="dxa"/>
            <w:shd w:val="clear" w:color="auto" w:fill="333333"/>
          </w:tcPr>
          <w:p w:rsidR="00FC3E06" w:rsidRPr="00FC3E06" w:rsidRDefault="00FC3E06" w:rsidP="00C45A01">
            <w:pPr>
              <w:pStyle w:val="TableColumnHeadings"/>
              <w:rPr>
                <w:rFonts w:ascii="Century Gothic" w:hAnsi="Century Gothic"/>
                <w:szCs w:val="18"/>
              </w:rPr>
            </w:pPr>
            <w:r>
              <w:rPr>
                <w:rFonts w:ascii="Century Gothic" w:hAnsi="Century Gothic"/>
                <w:szCs w:val="18"/>
              </w:rPr>
              <w:t>Standard life</w:t>
            </w:r>
          </w:p>
        </w:tc>
        <w:tc>
          <w:tcPr>
            <w:tcW w:w="2694" w:type="dxa"/>
            <w:shd w:val="clear" w:color="auto" w:fill="333333"/>
          </w:tcPr>
          <w:p w:rsidR="00FC3E06" w:rsidRPr="00FC3E06" w:rsidRDefault="00FC3E06" w:rsidP="00C45A01">
            <w:pPr>
              <w:pStyle w:val="TableColumnHeadings"/>
              <w:rPr>
                <w:rFonts w:ascii="Century Gothic" w:hAnsi="Century Gothic"/>
                <w:szCs w:val="18"/>
              </w:rPr>
            </w:pPr>
            <w:r>
              <w:rPr>
                <w:rFonts w:ascii="Century Gothic" w:hAnsi="Century Gothic"/>
                <w:szCs w:val="18"/>
              </w:rPr>
              <w:t>Remaining life</w:t>
            </w:r>
          </w:p>
        </w:tc>
      </w:tr>
      <w:tr w:rsidR="00E12FC2" w:rsidRPr="003662A4" w:rsidTr="005538C0">
        <w:tc>
          <w:tcPr>
            <w:tcW w:w="3119" w:type="dxa"/>
            <w:shd w:val="clear" w:color="auto" w:fill="auto"/>
            <w:vAlign w:val="center"/>
          </w:tcPr>
          <w:p w:rsidR="00E12FC2" w:rsidRPr="00A702CB" w:rsidRDefault="00E12FC2">
            <w:pPr>
              <w:rPr>
                <w:rFonts w:cs="Arial"/>
                <w:sz w:val="18"/>
                <w:szCs w:val="18"/>
              </w:rPr>
            </w:pPr>
            <w:r w:rsidRPr="00A702CB">
              <w:rPr>
                <w:rFonts w:cs="Arial"/>
                <w:sz w:val="18"/>
                <w:szCs w:val="18"/>
              </w:rPr>
              <w:t xml:space="preserve">Pipelines </w:t>
            </w:r>
          </w:p>
        </w:tc>
        <w:tc>
          <w:tcPr>
            <w:tcW w:w="2693" w:type="dxa"/>
          </w:tcPr>
          <w:p w:rsidR="00E12FC2" w:rsidRPr="00B339A5" w:rsidRDefault="00E12FC2" w:rsidP="00E12FC2">
            <w:pPr>
              <w:pStyle w:val="TableBodyCells"/>
            </w:pPr>
            <w:r w:rsidRPr="00B339A5">
              <w:t xml:space="preserve"> 55.0 </w:t>
            </w:r>
          </w:p>
        </w:tc>
        <w:tc>
          <w:tcPr>
            <w:tcW w:w="2694" w:type="dxa"/>
            <w:shd w:val="clear" w:color="auto" w:fill="auto"/>
          </w:tcPr>
          <w:p w:rsidR="00E12FC2" w:rsidRPr="00B339A5" w:rsidRDefault="00E12FC2" w:rsidP="00E12FC2">
            <w:pPr>
              <w:pStyle w:val="TableBodyCells"/>
            </w:pPr>
            <w:r w:rsidRPr="00B339A5">
              <w:t xml:space="preserve"> 37.6 </w:t>
            </w:r>
          </w:p>
        </w:tc>
      </w:tr>
      <w:tr w:rsidR="00E12FC2" w:rsidRPr="003662A4" w:rsidTr="005538C0">
        <w:tc>
          <w:tcPr>
            <w:tcW w:w="3119" w:type="dxa"/>
            <w:shd w:val="clear" w:color="auto" w:fill="auto"/>
            <w:vAlign w:val="center"/>
          </w:tcPr>
          <w:p w:rsidR="00E12FC2" w:rsidRPr="00A702CB" w:rsidRDefault="00E12FC2">
            <w:pPr>
              <w:rPr>
                <w:rFonts w:cs="Arial"/>
                <w:sz w:val="18"/>
                <w:szCs w:val="18"/>
              </w:rPr>
            </w:pPr>
            <w:r w:rsidRPr="00A702CB">
              <w:rPr>
                <w:rFonts w:cs="Arial"/>
                <w:sz w:val="18"/>
                <w:szCs w:val="18"/>
              </w:rPr>
              <w:t xml:space="preserve">Compressors </w:t>
            </w:r>
          </w:p>
        </w:tc>
        <w:tc>
          <w:tcPr>
            <w:tcW w:w="2693" w:type="dxa"/>
          </w:tcPr>
          <w:p w:rsidR="00E12FC2" w:rsidRPr="00B339A5" w:rsidRDefault="00E12FC2" w:rsidP="00E12FC2">
            <w:pPr>
              <w:pStyle w:val="TableBodyCells"/>
            </w:pPr>
            <w:r w:rsidRPr="00B339A5">
              <w:t xml:space="preserve"> 30.0 </w:t>
            </w:r>
          </w:p>
        </w:tc>
        <w:tc>
          <w:tcPr>
            <w:tcW w:w="2694" w:type="dxa"/>
            <w:shd w:val="clear" w:color="auto" w:fill="auto"/>
          </w:tcPr>
          <w:p w:rsidR="00E12FC2" w:rsidRPr="00B339A5" w:rsidRDefault="00E12FC2" w:rsidP="00E12FC2">
            <w:pPr>
              <w:pStyle w:val="TableBodyCells"/>
            </w:pPr>
            <w:r w:rsidRPr="00B339A5">
              <w:t xml:space="preserve"> 21.9 </w:t>
            </w:r>
          </w:p>
        </w:tc>
      </w:tr>
      <w:tr w:rsidR="00E12FC2" w:rsidRPr="003662A4" w:rsidTr="005538C0">
        <w:tc>
          <w:tcPr>
            <w:tcW w:w="3119" w:type="dxa"/>
            <w:shd w:val="clear" w:color="auto" w:fill="auto"/>
            <w:vAlign w:val="center"/>
          </w:tcPr>
          <w:p w:rsidR="00E12FC2" w:rsidRPr="00A702CB" w:rsidRDefault="00E12FC2">
            <w:pPr>
              <w:rPr>
                <w:rFonts w:cs="Arial"/>
                <w:sz w:val="18"/>
                <w:szCs w:val="18"/>
              </w:rPr>
            </w:pPr>
            <w:r w:rsidRPr="00A702CB">
              <w:rPr>
                <w:rFonts w:cs="Arial"/>
                <w:sz w:val="18"/>
                <w:szCs w:val="18"/>
              </w:rPr>
              <w:t>City Gates &amp; Field Regulators</w:t>
            </w:r>
          </w:p>
        </w:tc>
        <w:tc>
          <w:tcPr>
            <w:tcW w:w="2693" w:type="dxa"/>
          </w:tcPr>
          <w:p w:rsidR="00E12FC2" w:rsidRPr="00B339A5" w:rsidRDefault="00E12FC2" w:rsidP="00E12FC2">
            <w:pPr>
              <w:pStyle w:val="TableBodyCells"/>
            </w:pPr>
            <w:r w:rsidRPr="00B339A5">
              <w:t xml:space="preserve"> 30.0 </w:t>
            </w:r>
          </w:p>
        </w:tc>
        <w:tc>
          <w:tcPr>
            <w:tcW w:w="2694" w:type="dxa"/>
            <w:shd w:val="clear" w:color="auto" w:fill="auto"/>
          </w:tcPr>
          <w:p w:rsidR="00E12FC2" w:rsidRPr="00B339A5" w:rsidRDefault="00E12FC2" w:rsidP="00E12FC2">
            <w:pPr>
              <w:pStyle w:val="TableBodyCells"/>
            </w:pPr>
            <w:r w:rsidRPr="00B339A5">
              <w:t xml:space="preserve"> 22.5 </w:t>
            </w:r>
          </w:p>
        </w:tc>
      </w:tr>
      <w:tr w:rsidR="00E12FC2" w:rsidRPr="003662A4" w:rsidTr="005538C0">
        <w:tc>
          <w:tcPr>
            <w:tcW w:w="3119" w:type="dxa"/>
            <w:shd w:val="clear" w:color="auto" w:fill="auto"/>
            <w:vAlign w:val="center"/>
          </w:tcPr>
          <w:p w:rsidR="00E12FC2" w:rsidRPr="00A702CB" w:rsidRDefault="00E12FC2">
            <w:pPr>
              <w:rPr>
                <w:rFonts w:cs="Arial"/>
                <w:sz w:val="18"/>
                <w:szCs w:val="18"/>
              </w:rPr>
            </w:pPr>
            <w:proofErr w:type="spellStart"/>
            <w:r w:rsidRPr="00A702CB">
              <w:rPr>
                <w:rFonts w:cs="Arial"/>
                <w:sz w:val="18"/>
                <w:szCs w:val="18"/>
              </w:rPr>
              <w:t>Odourant</w:t>
            </w:r>
            <w:proofErr w:type="spellEnd"/>
            <w:r w:rsidRPr="00A702CB">
              <w:rPr>
                <w:rFonts w:cs="Arial"/>
                <w:sz w:val="18"/>
                <w:szCs w:val="18"/>
              </w:rPr>
              <w:t xml:space="preserve"> Plants</w:t>
            </w:r>
          </w:p>
        </w:tc>
        <w:tc>
          <w:tcPr>
            <w:tcW w:w="2693" w:type="dxa"/>
          </w:tcPr>
          <w:p w:rsidR="00E12FC2" w:rsidRPr="00B339A5" w:rsidRDefault="00E12FC2" w:rsidP="00E12FC2">
            <w:pPr>
              <w:pStyle w:val="TableBodyCells"/>
            </w:pPr>
            <w:r w:rsidRPr="00B339A5">
              <w:t xml:space="preserve"> 30.0 </w:t>
            </w:r>
          </w:p>
        </w:tc>
        <w:tc>
          <w:tcPr>
            <w:tcW w:w="2694" w:type="dxa"/>
            <w:shd w:val="clear" w:color="auto" w:fill="auto"/>
          </w:tcPr>
          <w:p w:rsidR="00E12FC2" w:rsidRPr="00B339A5" w:rsidRDefault="00E12FC2" w:rsidP="00E12FC2">
            <w:pPr>
              <w:pStyle w:val="TableBodyCells"/>
            </w:pPr>
            <w:r w:rsidRPr="00B339A5">
              <w:t xml:space="preserve"> 18.0 </w:t>
            </w:r>
          </w:p>
        </w:tc>
      </w:tr>
      <w:tr w:rsidR="00E12FC2" w:rsidRPr="003662A4" w:rsidTr="005538C0">
        <w:tc>
          <w:tcPr>
            <w:tcW w:w="3119" w:type="dxa"/>
            <w:shd w:val="clear" w:color="auto" w:fill="auto"/>
            <w:vAlign w:val="center"/>
          </w:tcPr>
          <w:p w:rsidR="00E12FC2" w:rsidRPr="00A702CB" w:rsidRDefault="00E12FC2">
            <w:pPr>
              <w:rPr>
                <w:rFonts w:cs="Arial"/>
                <w:sz w:val="18"/>
                <w:szCs w:val="18"/>
              </w:rPr>
            </w:pPr>
            <w:r w:rsidRPr="00A702CB">
              <w:rPr>
                <w:rFonts w:cs="Arial"/>
                <w:sz w:val="18"/>
                <w:szCs w:val="18"/>
              </w:rPr>
              <w:t>Gas Quality</w:t>
            </w:r>
          </w:p>
        </w:tc>
        <w:tc>
          <w:tcPr>
            <w:tcW w:w="2693" w:type="dxa"/>
          </w:tcPr>
          <w:p w:rsidR="00E12FC2" w:rsidRPr="00B339A5" w:rsidRDefault="00E12FC2" w:rsidP="00E12FC2">
            <w:pPr>
              <w:pStyle w:val="TableBodyCells"/>
            </w:pPr>
            <w:r w:rsidRPr="00B339A5">
              <w:t xml:space="preserve"> 10.0 </w:t>
            </w:r>
          </w:p>
        </w:tc>
        <w:tc>
          <w:tcPr>
            <w:tcW w:w="2694" w:type="dxa"/>
            <w:shd w:val="clear" w:color="auto" w:fill="auto"/>
          </w:tcPr>
          <w:p w:rsidR="00E12FC2" w:rsidRPr="00B339A5" w:rsidRDefault="00E12FC2" w:rsidP="00E12FC2">
            <w:pPr>
              <w:pStyle w:val="TableBodyCells"/>
            </w:pPr>
            <w:r w:rsidRPr="00B339A5">
              <w:t xml:space="preserve"> 9.0 </w:t>
            </w:r>
          </w:p>
        </w:tc>
      </w:tr>
      <w:tr w:rsidR="00E12FC2" w:rsidRPr="003662A4" w:rsidTr="005538C0">
        <w:tc>
          <w:tcPr>
            <w:tcW w:w="3119" w:type="dxa"/>
            <w:shd w:val="clear" w:color="auto" w:fill="auto"/>
            <w:vAlign w:val="center"/>
          </w:tcPr>
          <w:p w:rsidR="00E12FC2" w:rsidRPr="00A702CB" w:rsidRDefault="00E12FC2">
            <w:pPr>
              <w:rPr>
                <w:rFonts w:cs="Arial"/>
                <w:sz w:val="18"/>
                <w:szCs w:val="18"/>
              </w:rPr>
            </w:pPr>
            <w:r w:rsidRPr="00A702CB">
              <w:rPr>
                <w:rFonts w:cs="Arial"/>
                <w:sz w:val="18"/>
                <w:szCs w:val="18"/>
              </w:rPr>
              <w:t xml:space="preserve">Other </w:t>
            </w:r>
          </w:p>
        </w:tc>
        <w:tc>
          <w:tcPr>
            <w:tcW w:w="2693" w:type="dxa"/>
          </w:tcPr>
          <w:p w:rsidR="00E12FC2" w:rsidRPr="00B339A5" w:rsidRDefault="00E12FC2" w:rsidP="00E12FC2">
            <w:pPr>
              <w:pStyle w:val="TableBodyCells"/>
            </w:pPr>
            <w:r w:rsidRPr="00B339A5">
              <w:t xml:space="preserve"> 5.0 </w:t>
            </w:r>
          </w:p>
        </w:tc>
        <w:tc>
          <w:tcPr>
            <w:tcW w:w="2694" w:type="dxa"/>
            <w:shd w:val="clear" w:color="auto" w:fill="auto"/>
          </w:tcPr>
          <w:p w:rsidR="00E12FC2" w:rsidRPr="00B339A5" w:rsidRDefault="00E12FC2" w:rsidP="00E12FC2">
            <w:pPr>
              <w:pStyle w:val="TableBodyCells"/>
            </w:pPr>
            <w:r w:rsidRPr="00B339A5">
              <w:t xml:space="preserve"> 4.2 </w:t>
            </w:r>
          </w:p>
        </w:tc>
      </w:tr>
      <w:tr w:rsidR="00E12FC2" w:rsidRPr="003662A4" w:rsidTr="005538C0">
        <w:tc>
          <w:tcPr>
            <w:tcW w:w="3119" w:type="dxa"/>
            <w:shd w:val="clear" w:color="auto" w:fill="auto"/>
            <w:vAlign w:val="center"/>
          </w:tcPr>
          <w:p w:rsidR="00E12FC2" w:rsidRPr="00A702CB" w:rsidRDefault="00E12FC2">
            <w:pPr>
              <w:rPr>
                <w:rFonts w:cs="Arial"/>
                <w:sz w:val="18"/>
                <w:szCs w:val="18"/>
              </w:rPr>
            </w:pPr>
            <w:r w:rsidRPr="00A702CB">
              <w:rPr>
                <w:rFonts w:cs="Arial"/>
                <w:sz w:val="18"/>
                <w:szCs w:val="18"/>
              </w:rPr>
              <w:t>General Building</w:t>
            </w:r>
          </w:p>
        </w:tc>
        <w:tc>
          <w:tcPr>
            <w:tcW w:w="2693" w:type="dxa"/>
          </w:tcPr>
          <w:p w:rsidR="00E12FC2" w:rsidRPr="00B339A5" w:rsidRDefault="00E12FC2" w:rsidP="00E12FC2">
            <w:pPr>
              <w:pStyle w:val="TableBodyCells"/>
            </w:pPr>
            <w:r w:rsidRPr="00B339A5">
              <w:t xml:space="preserve"> 60.0 </w:t>
            </w:r>
          </w:p>
        </w:tc>
        <w:tc>
          <w:tcPr>
            <w:tcW w:w="2694" w:type="dxa"/>
            <w:shd w:val="clear" w:color="auto" w:fill="auto"/>
          </w:tcPr>
          <w:p w:rsidR="00E12FC2" w:rsidRPr="00B339A5" w:rsidRDefault="00E12FC2" w:rsidP="00E12FC2">
            <w:pPr>
              <w:pStyle w:val="TableBodyCells"/>
            </w:pPr>
            <w:r w:rsidRPr="00B339A5">
              <w:t xml:space="preserve"> 34.1 </w:t>
            </w:r>
          </w:p>
        </w:tc>
      </w:tr>
      <w:tr w:rsidR="00E12FC2" w:rsidRPr="003662A4" w:rsidTr="005538C0">
        <w:tc>
          <w:tcPr>
            <w:tcW w:w="3119" w:type="dxa"/>
            <w:shd w:val="clear" w:color="auto" w:fill="auto"/>
            <w:vAlign w:val="center"/>
          </w:tcPr>
          <w:p w:rsidR="00E12FC2" w:rsidRPr="00A702CB" w:rsidRDefault="00E12FC2">
            <w:pPr>
              <w:rPr>
                <w:rFonts w:cs="Arial"/>
                <w:sz w:val="18"/>
                <w:szCs w:val="18"/>
              </w:rPr>
            </w:pPr>
            <w:r w:rsidRPr="00A702CB">
              <w:rPr>
                <w:rFonts w:cs="Arial"/>
                <w:sz w:val="18"/>
                <w:szCs w:val="18"/>
              </w:rPr>
              <w:t>General Land</w:t>
            </w:r>
          </w:p>
        </w:tc>
        <w:tc>
          <w:tcPr>
            <w:tcW w:w="2693" w:type="dxa"/>
          </w:tcPr>
          <w:p w:rsidR="00E12FC2" w:rsidRPr="00B339A5" w:rsidRDefault="00E12FC2" w:rsidP="00E12FC2">
            <w:pPr>
              <w:pStyle w:val="TableBodyCells"/>
            </w:pPr>
            <w:r w:rsidRPr="00B339A5">
              <w:t xml:space="preserve"> n/a </w:t>
            </w:r>
          </w:p>
        </w:tc>
        <w:tc>
          <w:tcPr>
            <w:tcW w:w="2694" w:type="dxa"/>
            <w:shd w:val="clear" w:color="auto" w:fill="auto"/>
          </w:tcPr>
          <w:p w:rsidR="00E12FC2" w:rsidRDefault="00E12FC2" w:rsidP="00E12FC2">
            <w:pPr>
              <w:pStyle w:val="TableBodyCells"/>
            </w:pPr>
            <w:r w:rsidRPr="00B339A5">
              <w:t xml:space="preserve"> n/a </w:t>
            </w:r>
          </w:p>
        </w:tc>
      </w:tr>
    </w:tbl>
    <w:p w:rsidR="00996547" w:rsidRDefault="00996547" w:rsidP="00FA5534">
      <w:pPr>
        <w:pStyle w:val="BodyText"/>
        <w:rPr>
          <w:lang w:eastAsia="en-AU"/>
        </w:rPr>
      </w:pPr>
    </w:p>
    <w:p w:rsidR="00FA5534" w:rsidRDefault="0071340F" w:rsidP="00FA5534">
      <w:pPr>
        <w:pStyle w:val="BodyText"/>
        <w:rPr>
          <w:lang w:eastAsia="en-AU"/>
        </w:rPr>
      </w:pPr>
      <w:r>
        <w:rPr>
          <w:lang w:eastAsia="en-AU"/>
        </w:rPr>
        <w:t>APA VTS</w:t>
      </w:r>
      <w:r w:rsidR="00FA5534">
        <w:rPr>
          <w:lang w:eastAsia="en-AU"/>
        </w:rPr>
        <w:t xml:space="preserve"> has applied a straight-line methodology in determining future depreciation. </w:t>
      </w:r>
    </w:p>
    <w:p w:rsidR="00FA5534" w:rsidRDefault="00FA5534" w:rsidP="00FA5534">
      <w:pPr>
        <w:pStyle w:val="Heading3"/>
        <w:rPr>
          <w:lang w:eastAsia="en-AU"/>
        </w:rPr>
      </w:pPr>
      <w:bookmarkStart w:id="15" w:name="_Toc471221347"/>
      <w:r>
        <w:rPr>
          <w:lang w:eastAsia="en-AU"/>
        </w:rPr>
        <w:t>Forecast disposals</w:t>
      </w:r>
      <w:bookmarkEnd w:id="15"/>
    </w:p>
    <w:p w:rsidR="00FA5534" w:rsidRDefault="00FA5534" w:rsidP="00FA5534">
      <w:pPr>
        <w:pStyle w:val="BodyText"/>
        <w:rPr>
          <w:lang w:eastAsia="en-AU"/>
        </w:rPr>
      </w:pPr>
      <w:r>
        <w:rPr>
          <w:lang w:eastAsia="en-AU"/>
        </w:rPr>
        <w:t>Forecast disposals for the Access Arrangement Period are set out in Table 3.6 below.</w:t>
      </w:r>
    </w:p>
    <w:p w:rsidR="00180AD1" w:rsidRDefault="00FA5534" w:rsidP="00FA5534">
      <w:pPr>
        <w:pStyle w:val="Caption"/>
        <w:rPr>
          <w:lang w:eastAsia="en-AU"/>
        </w:rPr>
      </w:pPr>
      <w:proofErr w:type="gramStart"/>
      <w:r>
        <w:lastRenderedPageBreak/>
        <w:t xml:space="preserve">Table </w:t>
      </w:r>
      <w:fldSimple w:instr=" STYLEREF 1 \s ">
        <w:r w:rsidR="00154DB7">
          <w:rPr>
            <w:noProof/>
          </w:rPr>
          <w:t>3</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6</w:t>
      </w:r>
      <w:r w:rsidR="007D0F77">
        <w:rPr>
          <w:noProof/>
        </w:rPr>
        <w:fldChar w:fldCharType="end"/>
      </w:r>
      <w:r>
        <w:t xml:space="preserve">:  </w:t>
      </w:r>
      <w:r w:rsidRPr="00FA5534">
        <w:t xml:space="preserve">Forecast disposals over the Access </w:t>
      </w:r>
      <w:r w:rsidRPr="00AF0E62">
        <w:t>Arrangement Period</w:t>
      </w:r>
      <w:r w:rsidR="004021F4" w:rsidRPr="00AF0E62">
        <w:t xml:space="preserve"> ($m 201</w:t>
      </w:r>
      <w:r w:rsidR="00AF0E62" w:rsidRPr="00AF0E62">
        <w:t>7</w:t>
      </w:r>
      <w:r w:rsidR="004021F4" w:rsidRPr="00AF0E62">
        <w:t>)</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9C04E5" w:rsidRPr="00FC3E06" w:rsidTr="00C45A01">
        <w:tc>
          <w:tcPr>
            <w:tcW w:w="3055" w:type="dxa"/>
            <w:shd w:val="clear" w:color="auto" w:fill="333333"/>
          </w:tcPr>
          <w:p w:rsidR="009C04E5" w:rsidRPr="00FC3E06" w:rsidRDefault="009C04E5" w:rsidP="00C45A01">
            <w:pPr>
              <w:pStyle w:val="TableColumnHeadings"/>
              <w:keepNext/>
              <w:jc w:val="left"/>
              <w:rPr>
                <w:rFonts w:ascii="Century Gothic" w:hAnsi="Century Gothic"/>
                <w:szCs w:val="18"/>
              </w:rPr>
            </w:pPr>
          </w:p>
        </w:tc>
        <w:tc>
          <w:tcPr>
            <w:tcW w:w="1076" w:type="dxa"/>
            <w:shd w:val="clear" w:color="auto" w:fill="333333"/>
          </w:tcPr>
          <w:p w:rsidR="009C04E5" w:rsidRPr="00FC3E06" w:rsidRDefault="009C04E5" w:rsidP="0071340F">
            <w:pPr>
              <w:pStyle w:val="TableColumnHeadings"/>
              <w:rPr>
                <w:rFonts w:ascii="Century Gothic" w:hAnsi="Century Gothic"/>
                <w:szCs w:val="18"/>
              </w:rPr>
            </w:pPr>
            <w:r w:rsidRPr="00FC3E06">
              <w:rPr>
                <w:rFonts w:ascii="Century Gothic" w:hAnsi="Century Gothic"/>
                <w:szCs w:val="18"/>
              </w:rPr>
              <w:t>2018</w:t>
            </w:r>
          </w:p>
        </w:tc>
        <w:tc>
          <w:tcPr>
            <w:tcW w:w="1076" w:type="dxa"/>
            <w:shd w:val="clear" w:color="auto" w:fill="333333"/>
          </w:tcPr>
          <w:p w:rsidR="009C04E5" w:rsidRPr="00FC3E06" w:rsidRDefault="009C04E5" w:rsidP="0071340F">
            <w:pPr>
              <w:pStyle w:val="TableColumnHeadings"/>
              <w:rPr>
                <w:rFonts w:ascii="Century Gothic" w:hAnsi="Century Gothic"/>
                <w:szCs w:val="18"/>
              </w:rPr>
            </w:pPr>
            <w:r w:rsidRPr="00FC3E06">
              <w:rPr>
                <w:rFonts w:ascii="Century Gothic" w:hAnsi="Century Gothic"/>
                <w:szCs w:val="18"/>
              </w:rPr>
              <w:t>2019</w:t>
            </w:r>
          </w:p>
        </w:tc>
        <w:tc>
          <w:tcPr>
            <w:tcW w:w="1077" w:type="dxa"/>
            <w:shd w:val="clear" w:color="auto" w:fill="333333"/>
          </w:tcPr>
          <w:p w:rsidR="009C04E5" w:rsidRPr="00FC3E06" w:rsidRDefault="009C04E5" w:rsidP="0071340F">
            <w:pPr>
              <w:pStyle w:val="TableColumnHeadings"/>
              <w:rPr>
                <w:rFonts w:ascii="Century Gothic" w:hAnsi="Century Gothic"/>
                <w:szCs w:val="18"/>
              </w:rPr>
            </w:pPr>
            <w:r w:rsidRPr="00FC3E06">
              <w:rPr>
                <w:rFonts w:ascii="Century Gothic" w:hAnsi="Century Gothic"/>
                <w:szCs w:val="18"/>
              </w:rPr>
              <w:t>2020</w:t>
            </w:r>
          </w:p>
        </w:tc>
        <w:tc>
          <w:tcPr>
            <w:tcW w:w="1076" w:type="dxa"/>
            <w:shd w:val="clear" w:color="auto" w:fill="333333"/>
          </w:tcPr>
          <w:p w:rsidR="009C04E5" w:rsidRPr="00FC3E06" w:rsidRDefault="009C04E5" w:rsidP="0071340F">
            <w:pPr>
              <w:pStyle w:val="TableColumnHeadings"/>
              <w:rPr>
                <w:rFonts w:ascii="Century Gothic" w:hAnsi="Century Gothic"/>
                <w:szCs w:val="18"/>
              </w:rPr>
            </w:pPr>
            <w:r w:rsidRPr="00FC3E06">
              <w:rPr>
                <w:rFonts w:ascii="Century Gothic" w:hAnsi="Century Gothic"/>
                <w:szCs w:val="18"/>
              </w:rPr>
              <w:t>2021</w:t>
            </w:r>
          </w:p>
        </w:tc>
        <w:tc>
          <w:tcPr>
            <w:tcW w:w="1077" w:type="dxa"/>
            <w:shd w:val="clear" w:color="auto" w:fill="333333"/>
          </w:tcPr>
          <w:p w:rsidR="009C04E5" w:rsidRPr="00FC3E06" w:rsidRDefault="009C04E5" w:rsidP="0071340F">
            <w:pPr>
              <w:pStyle w:val="TableColumnHeadings"/>
              <w:rPr>
                <w:rFonts w:ascii="Century Gothic" w:hAnsi="Century Gothic"/>
                <w:szCs w:val="18"/>
              </w:rPr>
            </w:pPr>
            <w:r w:rsidRPr="00FC3E06">
              <w:rPr>
                <w:rFonts w:ascii="Century Gothic" w:hAnsi="Century Gothic"/>
                <w:szCs w:val="18"/>
              </w:rPr>
              <w:t>2022</w:t>
            </w:r>
          </w:p>
        </w:tc>
      </w:tr>
      <w:tr w:rsidR="009C04E5" w:rsidRPr="003662A4" w:rsidTr="00C45A01">
        <w:tc>
          <w:tcPr>
            <w:tcW w:w="3055" w:type="dxa"/>
            <w:shd w:val="clear" w:color="auto" w:fill="auto"/>
            <w:vAlign w:val="center"/>
          </w:tcPr>
          <w:p w:rsidR="009C04E5" w:rsidRPr="003662A4" w:rsidRDefault="004021F4" w:rsidP="00C45A01">
            <w:pPr>
              <w:pStyle w:val="TableTotalRowcells"/>
              <w:jc w:val="left"/>
            </w:pPr>
            <w:r w:rsidRPr="003662A4">
              <w:t>Disposals</w:t>
            </w:r>
          </w:p>
        </w:tc>
        <w:tc>
          <w:tcPr>
            <w:tcW w:w="1076" w:type="dxa"/>
            <w:shd w:val="clear" w:color="auto" w:fill="auto"/>
            <w:vAlign w:val="center"/>
          </w:tcPr>
          <w:p w:rsidR="009C04E5" w:rsidRPr="003662A4" w:rsidRDefault="004021F4" w:rsidP="00C45A01">
            <w:pPr>
              <w:pStyle w:val="TableTotalRowcells"/>
            </w:pPr>
            <w:r w:rsidRPr="003662A4">
              <w:t>0</w:t>
            </w:r>
          </w:p>
        </w:tc>
        <w:tc>
          <w:tcPr>
            <w:tcW w:w="1076" w:type="dxa"/>
          </w:tcPr>
          <w:p w:rsidR="009C04E5" w:rsidRPr="003662A4" w:rsidRDefault="004021F4" w:rsidP="00C45A01">
            <w:pPr>
              <w:pStyle w:val="TableTotalRowcells"/>
            </w:pPr>
            <w:r w:rsidRPr="003662A4">
              <w:t>0</w:t>
            </w:r>
          </w:p>
        </w:tc>
        <w:tc>
          <w:tcPr>
            <w:tcW w:w="1077" w:type="dxa"/>
            <w:shd w:val="clear" w:color="auto" w:fill="auto"/>
            <w:vAlign w:val="center"/>
          </w:tcPr>
          <w:p w:rsidR="009C04E5" w:rsidRPr="003662A4" w:rsidRDefault="004021F4" w:rsidP="00C45A01">
            <w:pPr>
              <w:pStyle w:val="TableTotalRowcells"/>
            </w:pPr>
            <w:r w:rsidRPr="003662A4">
              <w:t>0</w:t>
            </w:r>
          </w:p>
        </w:tc>
        <w:tc>
          <w:tcPr>
            <w:tcW w:w="1076" w:type="dxa"/>
            <w:shd w:val="clear" w:color="auto" w:fill="auto"/>
            <w:vAlign w:val="center"/>
          </w:tcPr>
          <w:p w:rsidR="009C04E5" w:rsidRPr="003662A4" w:rsidRDefault="004021F4" w:rsidP="00C45A01">
            <w:pPr>
              <w:pStyle w:val="TableTotalRowcells"/>
            </w:pPr>
            <w:r w:rsidRPr="003662A4">
              <w:t>0</w:t>
            </w:r>
          </w:p>
        </w:tc>
        <w:tc>
          <w:tcPr>
            <w:tcW w:w="1077" w:type="dxa"/>
            <w:shd w:val="clear" w:color="auto" w:fill="auto"/>
            <w:vAlign w:val="center"/>
          </w:tcPr>
          <w:p w:rsidR="009C04E5" w:rsidRPr="003662A4" w:rsidRDefault="004021F4" w:rsidP="00C45A01">
            <w:pPr>
              <w:pStyle w:val="TableTotalRowcells"/>
            </w:pPr>
            <w:r w:rsidRPr="003662A4">
              <w:t>0</w:t>
            </w:r>
          </w:p>
        </w:tc>
      </w:tr>
    </w:tbl>
    <w:p w:rsidR="00FA5534" w:rsidRDefault="00FA5534" w:rsidP="00FA5534">
      <w:pPr>
        <w:pStyle w:val="Heading3"/>
        <w:rPr>
          <w:lang w:eastAsia="en-AU"/>
        </w:rPr>
      </w:pPr>
      <w:bookmarkStart w:id="16" w:name="_Toc471221348"/>
      <w:r>
        <w:rPr>
          <w:lang w:eastAsia="en-AU"/>
        </w:rPr>
        <w:t>Forecast redundant assets</w:t>
      </w:r>
      <w:bookmarkEnd w:id="16"/>
    </w:p>
    <w:p w:rsidR="00FA5534" w:rsidRDefault="00FA5534" w:rsidP="00FA5534">
      <w:pPr>
        <w:pStyle w:val="BodyText"/>
        <w:rPr>
          <w:lang w:eastAsia="en-AU"/>
        </w:rPr>
      </w:pPr>
      <w:r>
        <w:rPr>
          <w:lang w:eastAsia="en-AU"/>
        </w:rPr>
        <w:t xml:space="preserve">The forecast of assets that will be made redundant in the Access Arrangement Period in set out in Table 3.7 below. </w:t>
      </w:r>
    </w:p>
    <w:p w:rsidR="00180AD1" w:rsidRDefault="00FA5534" w:rsidP="00FA5534">
      <w:pPr>
        <w:pStyle w:val="Caption"/>
        <w:rPr>
          <w:lang w:eastAsia="en-AU"/>
        </w:rPr>
      </w:pPr>
      <w:proofErr w:type="gramStart"/>
      <w:r>
        <w:t xml:space="preserve">Table </w:t>
      </w:r>
      <w:fldSimple w:instr=" STYLEREF 1 \s ">
        <w:r w:rsidR="00154DB7">
          <w:rPr>
            <w:noProof/>
          </w:rPr>
          <w:t>3</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7</w:t>
      </w:r>
      <w:r w:rsidR="007D0F77">
        <w:rPr>
          <w:noProof/>
        </w:rPr>
        <w:fldChar w:fldCharType="end"/>
      </w:r>
      <w:r>
        <w:t xml:space="preserve">:  </w:t>
      </w:r>
      <w:r w:rsidRPr="00FA5534">
        <w:t>Forecast redundant assets over the Access Arrangement Period</w:t>
      </w:r>
      <w:r w:rsidR="00E757D6">
        <w:t xml:space="preserve"> </w:t>
      </w:r>
      <w:r w:rsidR="00E757D6" w:rsidRPr="00AF0E62">
        <w:t>($m 201</w:t>
      </w:r>
      <w:r w:rsidR="00AF0E62" w:rsidRPr="00AF0E62">
        <w:t>7</w:t>
      </w:r>
      <w:r w:rsidR="00E757D6" w:rsidRPr="00AF0E62">
        <w:t>)</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9C04E5" w:rsidRPr="00FC3E06" w:rsidTr="00C45A01">
        <w:tc>
          <w:tcPr>
            <w:tcW w:w="3055" w:type="dxa"/>
            <w:shd w:val="clear" w:color="auto" w:fill="333333"/>
          </w:tcPr>
          <w:p w:rsidR="009C04E5" w:rsidRPr="00FC3E06" w:rsidRDefault="009C04E5" w:rsidP="00C45A01">
            <w:pPr>
              <w:pStyle w:val="TableColumnHeadings"/>
              <w:keepNext/>
              <w:jc w:val="left"/>
              <w:rPr>
                <w:rFonts w:ascii="Century Gothic" w:hAnsi="Century Gothic"/>
                <w:szCs w:val="18"/>
              </w:rPr>
            </w:pPr>
          </w:p>
        </w:tc>
        <w:tc>
          <w:tcPr>
            <w:tcW w:w="1076" w:type="dxa"/>
            <w:shd w:val="clear" w:color="auto" w:fill="333333"/>
          </w:tcPr>
          <w:p w:rsidR="009C04E5" w:rsidRPr="00FC3E06" w:rsidRDefault="009C04E5" w:rsidP="0071340F">
            <w:pPr>
              <w:pStyle w:val="TableColumnHeadings"/>
              <w:rPr>
                <w:rFonts w:ascii="Century Gothic" w:hAnsi="Century Gothic"/>
                <w:szCs w:val="18"/>
              </w:rPr>
            </w:pPr>
            <w:r w:rsidRPr="00FC3E06">
              <w:rPr>
                <w:rFonts w:ascii="Century Gothic" w:hAnsi="Century Gothic"/>
                <w:szCs w:val="18"/>
              </w:rPr>
              <w:t>2018</w:t>
            </w:r>
          </w:p>
        </w:tc>
        <w:tc>
          <w:tcPr>
            <w:tcW w:w="1076" w:type="dxa"/>
            <w:shd w:val="clear" w:color="auto" w:fill="333333"/>
          </w:tcPr>
          <w:p w:rsidR="009C04E5" w:rsidRPr="00FC3E06" w:rsidRDefault="009C04E5" w:rsidP="0071340F">
            <w:pPr>
              <w:pStyle w:val="TableColumnHeadings"/>
              <w:rPr>
                <w:rFonts w:ascii="Century Gothic" w:hAnsi="Century Gothic"/>
                <w:szCs w:val="18"/>
              </w:rPr>
            </w:pPr>
            <w:r w:rsidRPr="00FC3E06">
              <w:rPr>
                <w:rFonts w:ascii="Century Gothic" w:hAnsi="Century Gothic"/>
                <w:szCs w:val="18"/>
              </w:rPr>
              <w:t>2019</w:t>
            </w:r>
          </w:p>
        </w:tc>
        <w:tc>
          <w:tcPr>
            <w:tcW w:w="1077" w:type="dxa"/>
            <w:shd w:val="clear" w:color="auto" w:fill="333333"/>
          </w:tcPr>
          <w:p w:rsidR="009C04E5" w:rsidRPr="00FC3E06" w:rsidRDefault="009C04E5" w:rsidP="0071340F">
            <w:pPr>
              <w:pStyle w:val="TableColumnHeadings"/>
              <w:rPr>
                <w:rFonts w:ascii="Century Gothic" w:hAnsi="Century Gothic"/>
                <w:szCs w:val="18"/>
              </w:rPr>
            </w:pPr>
            <w:r w:rsidRPr="00FC3E06">
              <w:rPr>
                <w:rFonts w:ascii="Century Gothic" w:hAnsi="Century Gothic"/>
                <w:szCs w:val="18"/>
              </w:rPr>
              <w:t>2020</w:t>
            </w:r>
          </w:p>
        </w:tc>
        <w:tc>
          <w:tcPr>
            <w:tcW w:w="1076" w:type="dxa"/>
            <w:shd w:val="clear" w:color="auto" w:fill="333333"/>
          </w:tcPr>
          <w:p w:rsidR="009C04E5" w:rsidRPr="00FC3E06" w:rsidRDefault="009C04E5" w:rsidP="0071340F">
            <w:pPr>
              <w:pStyle w:val="TableColumnHeadings"/>
              <w:rPr>
                <w:rFonts w:ascii="Century Gothic" w:hAnsi="Century Gothic"/>
                <w:szCs w:val="18"/>
              </w:rPr>
            </w:pPr>
            <w:r w:rsidRPr="00FC3E06">
              <w:rPr>
                <w:rFonts w:ascii="Century Gothic" w:hAnsi="Century Gothic"/>
                <w:szCs w:val="18"/>
              </w:rPr>
              <w:t>2021</w:t>
            </w:r>
          </w:p>
        </w:tc>
        <w:tc>
          <w:tcPr>
            <w:tcW w:w="1077" w:type="dxa"/>
            <w:shd w:val="clear" w:color="auto" w:fill="333333"/>
          </w:tcPr>
          <w:p w:rsidR="009C04E5" w:rsidRPr="00FC3E06" w:rsidRDefault="009C04E5" w:rsidP="0071340F">
            <w:pPr>
              <w:pStyle w:val="TableColumnHeadings"/>
              <w:rPr>
                <w:rFonts w:ascii="Century Gothic" w:hAnsi="Century Gothic"/>
                <w:szCs w:val="18"/>
              </w:rPr>
            </w:pPr>
            <w:r w:rsidRPr="00FC3E06">
              <w:rPr>
                <w:rFonts w:ascii="Century Gothic" w:hAnsi="Century Gothic"/>
                <w:szCs w:val="18"/>
              </w:rPr>
              <w:t>2022</w:t>
            </w:r>
          </w:p>
        </w:tc>
      </w:tr>
      <w:tr w:rsidR="009C04E5" w:rsidRPr="003662A4" w:rsidTr="00C45A01">
        <w:tc>
          <w:tcPr>
            <w:tcW w:w="3055" w:type="dxa"/>
            <w:shd w:val="clear" w:color="auto" w:fill="auto"/>
            <w:vAlign w:val="center"/>
          </w:tcPr>
          <w:p w:rsidR="009C04E5" w:rsidRPr="003662A4" w:rsidRDefault="00E757D6" w:rsidP="00C45A01">
            <w:pPr>
              <w:pStyle w:val="TableBodyCells"/>
              <w:keepNext/>
              <w:jc w:val="left"/>
              <w:rPr>
                <w:b/>
              </w:rPr>
            </w:pPr>
            <w:r w:rsidRPr="003662A4">
              <w:rPr>
                <w:b/>
              </w:rPr>
              <w:t>Forecast redundant assets</w:t>
            </w:r>
          </w:p>
        </w:tc>
        <w:tc>
          <w:tcPr>
            <w:tcW w:w="1076" w:type="dxa"/>
            <w:shd w:val="clear" w:color="auto" w:fill="auto"/>
            <w:vAlign w:val="center"/>
          </w:tcPr>
          <w:p w:rsidR="009C04E5" w:rsidRPr="003662A4" w:rsidRDefault="00E757D6" w:rsidP="00C45A01">
            <w:pPr>
              <w:pStyle w:val="TableBodyCells"/>
              <w:rPr>
                <w:b/>
              </w:rPr>
            </w:pPr>
            <w:r w:rsidRPr="003662A4">
              <w:rPr>
                <w:b/>
              </w:rPr>
              <w:t>0</w:t>
            </w:r>
          </w:p>
        </w:tc>
        <w:tc>
          <w:tcPr>
            <w:tcW w:w="1076" w:type="dxa"/>
          </w:tcPr>
          <w:p w:rsidR="009C04E5" w:rsidRPr="003662A4" w:rsidRDefault="00E757D6" w:rsidP="00C45A01">
            <w:pPr>
              <w:pStyle w:val="TableBodyCells"/>
              <w:rPr>
                <w:b/>
              </w:rPr>
            </w:pPr>
            <w:r w:rsidRPr="003662A4">
              <w:rPr>
                <w:b/>
              </w:rPr>
              <w:t>0</w:t>
            </w:r>
          </w:p>
        </w:tc>
        <w:tc>
          <w:tcPr>
            <w:tcW w:w="1077" w:type="dxa"/>
            <w:shd w:val="clear" w:color="auto" w:fill="auto"/>
            <w:vAlign w:val="center"/>
          </w:tcPr>
          <w:p w:rsidR="009C04E5" w:rsidRPr="003662A4" w:rsidRDefault="00E757D6" w:rsidP="00C45A01">
            <w:pPr>
              <w:pStyle w:val="TableBodyCells"/>
              <w:rPr>
                <w:b/>
              </w:rPr>
            </w:pPr>
            <w:r w:rsidRPr="003662A4">
              <w:rPr>
                <w:b/>
              </w:rPr>
              <w:t>0</w:t>
            </w:r>
          </w:p>
        </w:tc>
        <w:tc>
          <w:tcPr>
            <w:tcW w:w="1076" w:type="dxa"/>
            <w:shd w:val="clear" w:color="auto" w:fill="auto"/>
            <w:vAlign w:val="center"/>
          </w:tcPr>
          <w:p w:rsidR="009C04E5" w:rsidRPr="003662A4" w:rsidRDefault="00E757D6" w:rsidP="00C45A01">
            <w:pPr>
              <w:pStyle w:val="TableBodyCells"/>
              <w:rPr>
                <w:b/>
              </w:rPr>
            </w:pPr>
            <w:r w:rsidRPr="003662A4">
              <w:rPr>
                <w:b/>
              </w:rPr>
              <w:t>0</w:t>
            </w:r>
          </w:p>
        </w:tc>
        <w:tc>
          <w:tcPr>
            <w:tcW w:w="1077" w:type="dxa"/>
            <w:shd w:val="clear" w:color="auto" w:fill="auto"/>
            <w:vAlign w:val="center"/>
          </w:tcPr>
          <w:p w:rsidR="009C04E5" w:rsidRPr="003662A4" w:rsidRDefault="00E757D6" w:rsidP="00C45A01">
            <w:pPr>
              <w:pStyle w:val="TableBodyCells"/>
              <w:rPr>
                <w:b/>
              </w:rPr>
            </w:pPr>
            <w:r w:rsidRPr="003662A4">
              <w:rPr>
                <w:b/>
              </w:rPr>
              <w:t>0</w:t>
            </w:r>
          </w:p>
        </w:tc>
      </w:tr>
    </w:tbl>
    <w:p w:rsidR="00FA5534" w:rsidRDefault="00FA5534" w:rsidP="00FA5534">
      <w:pPr>
        <w:pStyle w:val="Heading3"/>
        <w:rPr>
          <w:lang w:eastAsia="en-AU"/>
        </w:rPr>
      </w:pPr>
      <w:bookmarkStart w:id="17" w:name="_Ref471123866"/>
      <w:bookmarkStart w:id="18" w:name="_Toc471221349"/>
      <w:r>
        <w:rPr>
          <w:lang w:eastAsia="en-AU"/>
        </w:rPr>
        <w:t>Projected Capital Base over the Access Arrangement Period</w:t>
      </w:r>
      <w:bookmarkEnd w:id="17"/>
      <w:bookmarkEnd w:id="18"/>
    </w:p>
    <w:p w:rsidR="00FA5534" w:rsidRDefault="00FA5534" w:rsidP="00FA5534">
      <w:pPr>
        <w:pStyle w:val="BodyText"/>
        <w:rPr>
          <w:lang w:eastAsia="en-AU"/>
        </w:rPr>
      </w:pPr>
      <w:r>
        <w:rPr>
          <w:lang w:eastAsia="en-AU"/>
        </w:rPr>
        <w:t>The projected Capital Base for the Access Arrangement Period</w:t>
      </w:r>
      <w:r>
        <w:rPr>
          <w:rStyle w:val="FootnoteReference"/>
          <w:lang w:eastAsia="en-AU"/>
        </w:rPr>
        <w:footnoteReference w:id="9"/>
      </w:r>
      <w:r>
        <w:rPr>
          <w:lang w:eastAsia="en-AU"/>
        </w:rPr>
        <w:t xml:space="preserve"> is shown in Table 3.8 below. </w:t>
      </w:r>
    </w:p>
    <w:p w:rsidR="00FA5534" w:rsidRDefault="00FA5534" w:rsidP="00FA5534">
      <w:pPr>
        <w:pStyle w:val="Caption"/>
        <w:rPr>
          <w:lang w:eastAsia="en-AU"/>
        </w:rPr>
      </w:pPr>
      <w:proofErr w:type="gramStart"/>
      <w:r>
        <w:t xml:space="preserve">Table </w:t>
      </w:r>
      <w:fldSimple w:instr=" STYLEREF 1 \s ">
        <w:r w:rsidR="00154DB7">
          <w:rPr>
            <w:noProof/>
          </w:rPr>
          <w:t>3</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8</w:t>
      </w:r>
      <w:r w:rsidR="007D0F77">
        <w:rPr>
          <w:noProof/>
        </w:rPr>
        <w:fldChar w:fldCharType="end"/>
      </w:r>
      <w:r>
        <w:t xml:space="preserve">:  </w:t>
      </w:r>
      <w:r w:rsidRPr="00FA5534">
        <w:t>Projected Capital Base for the Access Arrangement Period</w:t>
      </w:r>
      <w:r w:rsidR="00FC3E06">
        <w:t xml:space="preserve"> ($m nominal)</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9C04E5" w:rsidRPr="00FC3E06" w:rsidTr="00C45A01">
        <w:tc>
          <w:tcPr>
            <w:tcW w:w="3055" w:type="dxa"/>
            <w:shd w:val="clear" w:color="auto" w:fill="333333"/>
          </w:tcPr>
          <w:p w:rsidR="009C04E5" w:rsidRPr="00FC3E06" w:rsidRDefault="00996547" w:rsidP="00CF04DB">
            <w:pPr>
              <w:pStyle w:val="TableColumnHeadings"/>
              <w:keepNext/>
              <w:jc w:val="left"/>
              <w:rPr>
                <w:rFonts w:ascii="Century Gothic" w:hAnsi="Century Gothic"/>
                <w:szCs w:val="18"/>
              </w:rPr>
            </w:pPr>
            <w:r>
              <w:rPr>
                <w:rFonts w:ascii="Century Gothic" w:hAnsi="Century Gothic"/>
                <w:szCs w:val="18"/>
              </w:rPr>
              <w:t>$m nominal</w:t>
            </w:r>
          </w:p>
        </w:tc>
        <w:tc>
          <w:tcPr>
            <w:tcW w:w="1076" w:type="dxa"/>
            <w:shd w:val="clear" w:color="auto" w:fill="333333"/>
          </w:tcPr>
          <w:p w:rsidR="009C04E5" w:rsidRPr="00FC3E06" w:rsidRDefault="009C04E5" w:rsidP="0071340F">
            <w:pPr>
              <w:pStyle w:val="TableColumnHeadings"/>
              <w:rPr>
                <w:rFonts w:ascii="Century Gothic" w:hAnsi="Century Gothic"/>
                <w:szCs w:val="18"/>
              </w:rPr>
            </w:pPr>
            <w:r w:rsidRPr="00FC3E06">
              <w:rPr>
                <w:rFonts w:ascii="Century Gothic" w:hAnsi="Century Gothic"/>
                <w:szCs w:val="18"/>
              </w:rPr>
              <w:t>2018</w:t>
            </w:r>
          </w:p>
        </w:tc>
        <w:tc>
          <w:tcPr>
            <w:tcW w:w="1076" w:type="dxa"/>
            <w:shd w:val="clear" w:color="auto" w:fill="333333"/>
          </w:tcPr>
          <w:p w:rsidR="009C04E5" w:rsidRPr="00FC3E06" w:rsidRDefault="009C04E5" w:rsidP="0071340F">
            <w:pPr>
              <w:pStyle w:val="TableColumnHeadings"/>
              <w:rPr>
                <w:rFonts w:ascii="Century Gothic" w:hAnsi="Century Gothic"/>
                <w:szCs w:val="18"/>
              </w:rPr>
            </w:pPr>
            <w:r w:rsidRPr="00FC3E06">
              <w:rPr>
                <w:rFonts w:ascii="Century Gothic" w:hAnsi="Century Gothic"/>
                <w:szCs w:val="18"/>
              </w:rPr>
              <w:t>2019</w:t>
            </w:r>
          </w:p>
        </w:tc>
        <w:tc>
          <w:tcPr>
            <w:tcW w:w="1077" w:type="dxa"/>
            <w:shd w:val="clear" w:color="auto" w:fill="333333"/>
          </w:tcPr>
          <w:p w:rsidR="009C04E5" w:rsidRPr="00FC3E06" w:rsidRDefault="009C04E5" w:rsidP="0071340F">
            <w:pPr>
              <w:pStyle w:val="TableColumnHeadings"/>
              <w:rPr>
                <w:rFonts w:ascii="Century Gothic" w:hAnsi="Century Gothic"/>
                <w:szCs w:val="18"/>
              </w:rPr>
            </w:pPr>
            <w:r w:rsidRPr="00FC3E06">
              <w:rPr>
                <w:rFonts w:ascii="Century Gothic" w:hAnsi="Century Gothic"/>
                <w:szCs w:val="18"/>
              </w:rPr>
              <w:t>2020</w:t>
            </w:r>
          </w:p>
        </w:tc>
        <w:tc>
          <w:tcPr>
            <w:tcW w:w="1076" w:type="dxa"/>
            <w:shd w:val="clear" w:color="auto" w:fill="333333"/>
          </w:tcPr>
          <w:p w:rsidR="009C04E5" w:rsidRPr="00FC3E06" w:rsidRDefault="009C04E5" w:rsidP="0071340F">
            <w:pPr>
              <w:pStyle w:val="TableColumnHeadings"/>
              <w:rPr>
                <w:rFonts w:ascii="Century Gothic" w:hAnsi="Century Gothic"/>
                <w:szCs w:val="18"/>
              </w:rPr>
            </w:pPr>
            <w:r w:rsidRPr="00FC3E06">
              <w:rPr>
                <w:rFonts w:ascii="Century Gothic" w:hAnsi="Century Gothic"/>
                <w:szCs w:val="18"/>
              </w:rPr>
              <w:t>2021</w:t>
            </w:r>
          </w:p>
        </w:tc>
        <w:tc>
          <w:tcPr>
            <w:tcW w:w="1077" w:type="dxa"/>
            <w:shd w:val="clear" w:color="auto" w:fill="333333"/>
          </w:tcPr>
          <w:p w:rsidR="009C04E5" w:rsidRPr="00FC3E06" w:rsidRDefault="009C04E5" w:rsidP="0071340F">
            <w:pPr>
              <w:pStyle w:val="TableColumnHeadings"/>
              <w:rPr>
                <w:rFonts w:ascii="Century Gothic" w:hAnsi="Century Gothic"/>
                <w:szCs w:val="18"/>
              </w:rPr>
            </w:pPr>
            <w:r w:rsidRPr="00FC3E06">
              <w:rPr>
                <w:rFonts w:ascii="Century Gothic" w:hAnsi="Century Gothic"/>
                <w:szCs w:val="18"/>
              </w:rPr>
              <w:t>2022</w:t>
            </w:r>
          </w:p>
        </w:tc>
      </w:tr>
      <w:tr w:rsidR="00C64356" w:rsidRPr="003662A4" w:rsidTr="005538C0">
        <w:tc>
          <w:tcPr>
            <w:tcW w:w="3055" w:type="dxa"/>
            <w:shd w:val="clear" w:color="auto" w:fill="auto"/>
          </w:tcPr>
          <w:p w:rsidR="00C64356" w:rsidRPr="00EB7B07" w:rsidRDefault="00C64356" w:rsidP="005538C0">
            <w:pPr>
              <w:pStyle w:val="TableBodyCells"/>
              <w:jc w:val="left"/>
            </w:pPr>
            <w:r w:rsidRPr="00EB7B07">
              <w:t>Opening capital base</w:t>
            </w:r>
          </w:p>
        </w:tc>
        <w:tc>
          <w:tcPr>
            <w:tcW w:w="1076" w:type="dxa"/>
            <w:shd w:val="clear" w:color="auto" w:fill="auto"/>
          </w:tcPr>
          <w:p w:rsidR="00C64356" w:rsidRPr="002C2A57" w:rsidRDefault="00C64356" w:rsidP="00C64356">
            <w:pPr>
              <w:pStyle w:val="TableBodyCells"/>
            </w:pPr>
            <w:r w:rsidRPr="002C2A57">
              <w:t xml:space="preserve"> 997.6 </w:t>
            </w:r>
          </w:p>
        </w:tc>
        <w:tc>
          <w:tcPr>
            <w:tcW w:w="1076" w:type="dxa"/>
          </w:tcPr>
          <w:p w:rsidR="00C64356" w:rsidRPr="002C2A57" w:rsidRDefault="00C64356" w:rsidP="00C64356">
            <w:pPr>
              <w:pStyle w:val="TableBodyCells"/>
            </w:pPr>
            <w:r w:rsidRPr="002C2A57">
              <w:t xml:space="preserve"> 1,054.1 </w:t>
            </w:r>
          </w:p>
        </w:tc>
        <w:tc>
          <w:tcPr>
            <w:tcW w:w="1077" w:type="dxa"/>
            <w:shd w:val="clear" w:color="auto" w:fill="auto"/>
          </w:tcPr>
          <w:p w:rsidR="00C64356" w:rsidRPr="002C2A57" w:rsidRDefault="00C64356" w:rsidP="00C64356">
            <w:pPr>
              <w:pStyle w:val="TableBodyCells"/>
            </w:pPr>
            <w:r w:rsidRPr="002C2A57">
              <w:t xml:space="preserve"> 1,118.3 </w:t>
            </w:r>
          </w:p>
        </w:tc>
        <w:tc>
          <w:tcPr>
            <w:tcW w:w="1076" w:type="dxa"/>
            <w:shd w:val="clear" w:color="auto" w:fill="auto"/>
          </w:tcPr>
          <w:p w:rsidR="00C64356" w:rsidRPr="002C2A57" w:rsidRDefault="00C64356" w:rsidP="00C64356">
            <w:pPr>
              <w:pStyle w:val="TableBodyCells"/>
            </w:pPr>
            <w:r w:rsidRPr="002C2A57">
              <w:t xml:space="preserve"> 1,180.5 </w:t>
            </w:r>
          </w:p>
        </w:tc>
        <w:tc>
          <w:tcPr>
            <w:tcW w:w="1077" w:type="dxa"/>
            <w:shd w:val="clear" w:color="auto" w:fill="auto"/>
          </w:tcPr>
          <w:p w:rsidR="00C64356" w:rsidRPr="002C2A57" w:rsidRDefault="00C64356" w:rsidP="00C64356">
            <w:pPr>
              <w:pStyle w:val="TableBodyCells"/>
            </w:pPr>
            <w:r w:rsidRPr="002C2A57">
              <w:t xml:space="preserve"> 1,178.5 </w:t>
            </w:r>
          </w:p>
        </w:tc>
      </w:tr>
      <w:tr w:rsidR="00C64356" w:rsidRPr="003662A4" w:rsidTr="005538C0">
        <w:tc>
          <w:tcPr>
            <w:tcW w:w="3055" w:type="dxa"/>
            <w:shd w:val="clear" w:color="auto" w:fill="auto"/>
          </w:tcPr>
          <w:p w:rsidR="00C64356" w:rsidRPr="00EB7B07" w:rsidRDefault="00C64356" w:rsidP="005E7FD3">
            <w:pPr>
              <w:pStyle w:val="TableBodyCells"/>
              <w:ind w:left="567"/>
              <w:jc w:val="left"/>
            </w:pPr>
            <w:r w:rsidRPr="00EB7B07">
              <w:t>Plus conforming capex</w:t>
            </w:r>
          </w:p>
        </w:tc>
        <w:tc>
          <w:tcPr>
            <w:tcW w:w="1076" w:type="dxa"/>
            <w:shd w:val="clear" w:color="auto" w:fill="auto"/>
          </w:tcPr>
          <w:p w:rsidR="00C64356" w:rsidRPr="002C2A57" w:rsidRDefault="00C64356" w:rsidP="00C64356">
            <w:pPr>
              <w:pStyle w:val="TableBodyCells"/>
            </w:pPr>
            <w:r w:rsidRPr="002C2A57">
              <w:t xml:space="preserve"> 69.0 </w:t>
            </w:r>
          </w:p>
        </w:tc>
        <w:tc>
          <w:tcPr>
            <w:tcW w:w="1076" w:type="dxa"/>
          </w:tcPr>
          <w:p w:rsidR="00C64356" w:rsidRPr="002C2A57" w:rsidRDefault="00C64356" w:rsidP="00C64356">
            <w:pPr>
              <w:pStyle w:val="TableBodyCells"/>
            </w:pPr>
            <w:r w:rsidRPr="002C2A57">
              <w:t xml:space="preserve"> 79.4 </w:t>
            </w:r>
          </w:p>
        </w:tc>
        <w:tc>
          <w:tcPr>
            <w:tcW w:w="1077" w:type="dxa"/>
            <w:shd w:val="clear" w:color="auto" w:fill="auto"/>
          </w:tcPr>
          <w:p w:rsidR="00C64356" w:rsidRPr="002C2A57" w:rsidRDefault="00C64356" w:rsidP="00C64356">
            <w:pPr>
              <w:pStyle w:val="TableBodyCells"/>
            </w:pPr>
            <w:r w:rsidRPr="002C2A57">
              <w:t xml:space="preserve"> 79.1 </w:t>
            </w:r>
          </w:p>
        </w:tc>
        <w:tc>
          <w:tcPr>
            <w:tcW w:w="1076" w:type="dxa"/>
            <w:shd w:val="clear" w:color="auto" w:fill="auto"/>
          </w:tcPr>
          <w:p w:rsidR="00C64356" w:rsidRPr="002C2A57" w:rsidRDefault="00C64356" w:rsidP="00C64356">
            <w:pPr>
              <w:pStyle w:val="TableBodyCells"/>
            </w:pPr>
            <w:r w:rsidRPr="002C2A57">
              <w:t xml:space="preserve"> 18.6 </w:t>
            </w:r>
          </w:p>
        </w:tc>
        <w:tc>
          <w:tcPr>
            <w:tcW w:w="1077" w:type="dxa"/>
            <w:shd w:val="clear" w:color="auto" w:fill="auto"/>
          </w:tcPr>
          <w:p w:rsidR="00C64356" w:rsidRPr="002C2A57" w:rsidRDefault="00C64356" w:rsidP="00C64356">
            <w:pPr>
              <w:pStyle w:val="TableBodyCells"/>
            </w:pPr>
            <w:r w:rsidRPr="002C2A57">
              <w:t xml:space="preserve"> 19.1 </w:t>
            </w:r>
          </w:p>
        </w:tc>
      </w:tr>
      <w:tr w:rsidR="00C64356" w:rsidRPr="003662A4" w:rsidTr="005538C0">
        <w:tc>
          <w:tcPr>
            <w:tcW w:w="3055" w:type="dxa"/>
            <w:shd w:val="clear" w:color="auto" w:fill="auto"/>
          </w:tcPr>
          <w:p w:rsidR="00C64356" w:rsidRPr="00EB7B07" w:rsidRDefault="00C64356" w:rsidP="005E7FD3">
            <w:pPr>
              <w:pStyle w:val="TableBodyCells"/>
              <w:ind w:left="567"/>
              <w:jc w:val="left"/>
            </w:pPr>
            <w:r w:rsidRPr="00EB7B07">
              <w:t>Plus speculative capex</w:t>
            </w:r>
          </w:p>
        </w:tc>
        <w:tc>
          <w:tcPr>
            <w:tcW w:w="1076" w:type="dxa"/>
            <w:shd w:val="clear" w:color="auto" w:fill="auto"/>
          </w:tcPr>
          <w:p w:rsidR="00C64356" w:rsidRPr="002C2A57" w:rsidRDefault="00C64356" w:rsidP="00C64356">
            <w:pPr>
              <w:pStyle w:val="TableBodyCells"/>
            </w:pPr>
            <w:r w:rsidRPr="002C2A57">
              <w:t xml:space="preserve"> -  </w:t>
            </w:r>
          </w:p>
        </w:tc>
        <w:tc>
          <w:tcPr>
            <w:tcW w:w="1076" w:type="dxa"/>
          </w:tcPr>
          <w:p w:rsidR="00C64356" w:rsidRPr="002C2A57" w:rsidRDefault="00C64356" w:rsidP="00C64356">
            <w:pPr>
              <w:pStyle w:val="TableBodyCells"/>
            </w:pPr>
            <w:r w:rsidRPr="002C2A57">
              <w:t xml:space="preserve"> -  </w:t>
            </w:r>
          </w:p>
        </w:tc>
        <w:tc>
          <w:tcPr>
            <w:tcW w:w="1077" w:type="dxa"/>
            <w:shd w:val="clear" w:color="auto" w:fill="auto"/>
          </w:tcPr>
          <w:p w:rsidR="00C64356" w:rsidRPr="002C2A57" w:rsidRDefault="00C64356" w:rsidP="00C64356">
            <w:pPr>
              <w:pStyle w:val="TableBodyCells"/>
            </w:pPr>
            <w:r w:rsidRPr="002C2A57">
              <w:t xml:space="preserve"> -  </w:t>
            </w:r>
          </w:p>
        </w:tc>
        <w:tc>
          <w:tcPr>
            <w:tcW w:w="1076" w:type="dxa"/>
            <w:shd w:val="clear" w:color="auto" w:fill="auto"/>
          </w:tcPr>
          <w:p w:rsidR="00C64356" w:rsidRPr="002C2A57" w:rsidRDefault="00C64356" w:rsidP="00C64356">
            <w:pPr>
              <w:pStyle w:val="TableBodyCells"/>
            </w:pPr>
            <w:r w:rsidRPr="002C2A57">
              <w:t xml:space="preserve"> -  </w:t>
            </w:r>
          </w:p>
        </w:tc>
        <w:tc>
          <w:tcPr>
            <w:tcW w:w="1077" w:type="dxa"/>
            <w:shd w:val="clear" w:color="auto" w:fill="auto"/>
          </w:tcPr>
          <w:p w:rsidR="00C64356" w:rsidRPr="002C2A57" w:rsidRDefault="00C64356" w:rsidP="00C64356">
            <w:pPr>
              <w:pStyle w:val="TableBodyCells"/>
            </w:pPr>
            <w:r w:rsidRPr="002C2A57">
              <w:t xml:space="preserve"> -  </w:t>
            </w:r>
          </w:p>
        </w:tc>
      </w:tr>
      <w:tr w:rsidR="00C64356" w:rsidRPr="003662A4" w:rsidTr="005538C0">
        <w:tc>
          <w:tcPr>
            <w:tcW w:w="3055" w:type="dxa"/>
            <w:shd w:val="clear" w:color="auto" w:fill="auto"/>
          </w:tcPr>
          <w:p w:rsidR="00C64356" w:rsidRPr="00EB7B07" w:rsidRDefault="00C64356" w:rsidP="005E7FD3">
            <w:pPr>
              <w:pStyle w:val="TableBodyCells"/>
              <w:ind w:left="567"/>
              <w:jc w:val="left"/>
            </w:pPr>
            <w:r w:rsidRPr="00EB7B07">
              <w:t>Plus reused redundant assets</w:t>
            </w:r>
          </w:p>
        </w:tc>
        <w:tc>
          <w:tcPr>
            <w:tcW w:w="1076" w:type="dxa"/>
            <w:shd w:val="clear" w:color="auto" w:fill="auto"/>
          </w:tcPr>
          <w:p w:rsidR="00C64356" w:rsidRPr="002C2A57" w:rsidRDefault="00C64356" w:rsidP="00C64356">
            <w:pPr>
              <w:pStyle w:val="TableBodyCells"/>
            </w:pPr>
            <w:r w:rsidRPr="002C2A57">
              <w:t xml:space="preserve"> -  </w:t>
            </w:r>
          </w:p>
        </w:tc>
        <w:tc>
          <w:tcPr>
            <w:tcW w:w="1076" w:type="dxa"/>
          </w:tcPr>
          <w:p w:rsidR="00C64356" w:rsidRPr="002C2A57" w:rsidRDefault="00C64356" w:rsidP="00C64356">
            <w:pPr>
              <w:pStyle w:val="TableBodyCells"/>
            </w:pPr>
            <w:r w:rsidRPr="002C2A57">
              <w:t xml:space="preserve"> -  </w:t>
            </w:r>
          </w:p>
        </w:tc>
        <w:tc>
          <w:tcPr>
            <w:tcW w:w="1077" w:type="dxa"/>
            <w:shd w:val="clear" w:color="auto" w:fill="auto"/>
          </w:tcPr>
          <w:p w:rsidR="00C64356" w:rsidRPr="002C2A57" w:rsidRDefault="00C64356" w:rsidP="00C64356">
            <w:pPr>
              <w:pStyle w:val="TableBodyCells"/>
            </w:pPr>
            <w:r w:rsidRPr="002C2A57">
              <w:t xml:space="preserve"> -  </w:t>
            </w:r>
          </w:p>
        </w:tc>
        <w:tc>
          <w:tcPr>
            <w:tcW w:w="1076" w:type="dxa"/>
            <w:shd w:val="clear" w:color="auto" w:fill="auto"/>
          </w:tcPr>
          <w:p w:rsidR="00C64356" w:rsidRPr="002C2A57" w:rsidRDefault="00C64356" w:rsidP="00C64356">
            <w:pPr>
              <w:pStyle w:val="TableBodyCells"/>
            </w:pPr>
            <w:r w:rsidRPr="002C2A57">
              <w:t xml:space="preserve"> -  </w:t>
            </w:r>
          </w:p>
        </w:tc>
        <w:tc>
          <w:tcPr>
            <w:tcW w:w="1077" w:type="dxa"/>
            <w:shd w:val="clear" w:color="auto" w:fill="auto"/>
          </w:tcPr>
          <w:p w:rsidR="00C64356" w:rsidRPr="002C2A57" w:rsidRDefault="00C64356" w:rsidP="00C64356">
            <w:pPr>
              <w:pStyle w:val="TableBodyCells"/>
            </w:pPr>
            <w:r w:rsidRPr="002C2A57">
              <w:t xml:space="preserve"> -  </w:t>
            </w:r>
          </w:p>
        </w:tc>
      </w:tr>
      <w:tr w:rsidR="00C64356" w:rsidRPr="003662A4" w:rsidTr="005538C0">
        <w:tc>
          <w:tcPr>
            <w:tcW w:w="3055" w:type="dxa"/>
            <w:shd w:val="clear" w:color="auto" w:fill="auto"/>
          </w:tcPr>
          <w:p w:rsidR="00C64356" w:rsidRPr="00EB7B07" w:rsidRDefault="00C64356" w:rsidP="005E7FD3">
            <w:pPr>
              <w:pStyle w:val="TableBodyCells"/>
              <w:ind w:left="567"/>
              <w:jc w:val="left"/>
            </w:pPr>
            <w:r w:rsidRPr="00EB7B07">
              <w:t>Less depreciation</w:t>
            </w:r>
          </w:p>
        </w:tc>
        <w:tc>
          <w:tcPr>
            <w:tcW w:w="1076" w:type="dxa"/>
            <w:shd w:val="clear" w:color="auto" w:fill="auto"/>
          </w:tcPr>
          <w:p w:rsidR="00C64356" w:rsidRPr="002C2A57" w:rsidRDefault="00C64356" w:rsidP="00C64356">
            <w:pPr>
              <w:pStyle w:val="TableBodyCells"/>
            </w:pPr>
            <w:r w:rsidRPr="002C2A57">
              <w:t xml:space="preserve">-37.0 </w:t>
            </w:r>
          </w:p>
        </w:tc>
        <w:tc>
          <w:tcPr>
            <w:tcW w:w="1076" w:type="dxa"/>
          </w:tcPr>
          <w:p w:rsidR="00C64356" w:rsidRPr="002C2A57" w:rsidRDefault="00C64356" w:rsidP="00C64356">
            <w:pPr>
              <w:pStyle w:val="TableBodyCells"/>
            </w:pPr>
            <w:r w:rsidRPr="002C2A57">
              <w:t xml:space="preserve">-41.1 </w:t>
            </w:r>
          </w:p>
        </w:tc>
        <w:tc>
          <w:tcPr>
            <w:tcW w:w="1077" w:type="dxa"/>
            <w:shd w:val="clear" w:color="auto" w:fill="auto"/>
          </w:tcPr>
          <w:p w:rsidR="00C64356" w:rsidRPr="002C2A57" w:rsidRDefault="00C64356" w:rsidP="00C64356">
            <w:pPr>
              <w:pStyle w:val="TableBodyCells"/>
            </w:pPr>
            <w:r w:rsidRPr="002C2A57">
              <w:t xml:space="preserve">-44.3 </w:t>
            </w:r>
          </w:p>
        </w:tc>
        <w:tc>
          <w:tcPr>
            <w:tcW w:w="1076" w:type="dxa"/>
            <w:shd w:val="clear" w:color="auto" w:fill="auto"/>
          </w:tcPr>
          <w:p w:rsidR="00C64356" w:rsidRPr="002C2A57" w:rsidRDefault="00C64356" w:rsidP="00C64356">
            <w:pPr>
              <w:pStyle w:val="TableBodyCells"/>
            </w:pPr>
            <w:r w:rsidRPr="002C2A57">
              <w:t xml:space="preserve">-49.5 </w:t>
            </w:r>
          </w:p>
        </w:tc>
        <w:tc>
          <w:tcPr>
            <w:tcW w:w="1077" w:type="dxa"/>
            <w:shd w:val="clear" w:color="auto" w:fill="auto"/>
          </w:tcPr>
          <w:p w:rsidR="00C64356" w:rsidRPr="002C2A57" w:rsidRDefault="00C64356" w:rsidP="00C64356">
            <w:pPr>
              <w:pStyle w:val="TableBodyCells"/>
            </w:pPr>
            <w:r w:rsidRPr="002C2A57">
              <w:t xml:space="preserve">-47.3 </w:t>
            </w:r>
          </w:p>
        </w:tc>
      </w:tr>
      <w:tr w:rsidR="00C64356" w:rsidRPr="003662A4" w:rsidTr="005538C0">
        <w:tc>
          <w:tcPr>
            <w:tcW w:w="3055" w:type="dxa"/>
            <w:shd w:val="clear" w:color="auto" w:fill="auto"/>
          </w:tcPr>
          <w:p w:rsidR="00C64356" w:rsidRPr="00EB7B07" w:rsidRDefault="00C64356" w:rsidP="005E7FD3">
            <w:pPr>
              <w:pStyle w:val="TableBodyCells"/>
              <w:ind w:left="567"/>
              <w:jc w:val="left"/>
            </w:pPr>
            <w:r w:rsidRPr="00EB7B07">
              <w:t>Plus indexation</w:t>
            </w:r>
          </w:p>
        </w:tc>
        <w:tc>
          <w:tcPr>
            <w:tcW w:w="1076" w:type="dxa"/>
            <w:shd w:val="clear" w:color="auto" w:fill="auto"/>
          </w:tcPr>
          <w:p w:rsidR="00C64356" w:rsidRPr="002C2A57" w:rsidRDefault="00C64356" w:rsidP="00C64356">
            <w:pPr>
              <w:pStyle w:val="TableBodyCells"/>
            </w:pPr>
            <w:r w:rsidRPr="002C2A57">
              <w:t xml:space="preserve"> 24.4 </w:t>
            </w:r>
          </w:p>
        </w:tc>
        <w:tc>
          <w:tcPr>
            <w:tcW w:w="1076" w:type="dxa"/>
          </w:tcPr>
          <w:p w:rsidR="00C64356" w:rsidRPr="002C2A57" w:rsidRDefault="00C64356" w:rsidP="00C64356">
            <w:pPr>
              <w:pStyle w:val="TableBodyCells"/>
            </w:pPr>
            <w:r w:rsidRPr="002C2A57">
              <w:t xml:space="preserve"> 25.8 </w:t>
            </w:r>
          </w:p>
        </w:tc>
        <w:tc>
          <w:tcPr>
            <w:tcW w:w="1077" w:type="dxa"/>
            <w:shd w:val="clear" w:color="auto" w:fill="auto"/>
          </w:tcPr>
          <w:p w:rsidR="00C64356" w:rsidRPr="002C2A57" w:rsidRDefault="00C64356" w:rsidP="00C64356">
            <w:pPr>
              <w:pStyle w:val="TableBodyCells"/>
            </w:pPr>
            <w:r w:rsidRPr="002C2A57">
              <w:t xml:space="preserve"> 27.4 </w:t>
            </w:r>
          </w:p>
        </w:tc>
        <w:tc>
          <w:tcPr>
            <w:tcW w:w="1076" w:type="dxa"/>
            <w:shd w:val="clear" w:color="auto" w:fill="auto"/>
          </w:tcPr>
          <w:p w:rsidR="00C64356" w:rsidRPr="002C2A57" w:rsidRDefault="00C64356" w:rsidP="00C64356">
            <w:pPr>
              <w:pStyle w:val="TableBodyCells"/>
            </w:pPr>
            <w:r w:rsidRPr="002C2A57">
              <w:t xml:space="preserve"> 28.9 </w:t>
            </w:r>
          </w:p>
        </w:tc>
        <w:tc>
          <w:tcPr>
            <w:tcW w:w="1077" w:type="dxa"/>
            <w:shd w:val="clear" w:color="auto" w:fill="auto"/>
          </w:tcPr>
          <w:p w:rsidR="00C64356" w:rsidRPr="002C2A57" w:rsidRDefault="00C64356" w:rsidP="00C64356">
            <w:pPr>
              <w:pStyle w:val="TableBodyCells"/>
            </w:pPr>
            <w:r w:rsidRPr="002C2A57">
              <w:t xml:space="preserve"> 28.9 </w:t>
            </w:r>
          </w:p>
        </w:tc>
      </w:tr>
      <w:tr w:rsidR="00C64356" w:rsidRPr="003662A4" w:rsidTr="005538C0">
        <w:tc>
          <w:tcPr>
            <w:tcW w:w="3055" w:type="dxa"/>
            <w:shd w:val="clear" w:color="auto" w:fill="auto"/>
          </w:tcPr>
          <w:p w:rsidR="00C64356" w:rsidRPr="00EB7B07" w:rsidRDefault="00C64356" w:rsidP="005E7FD3">
            <w:pPr>
              <w:pStyle w:val="TableBodyCells"/>
              <w:ind w:left="567"/>
              <w:jc w:val="left"/>
            </w:pPr>
            <w:r w:rsidRPr="00EB7B07">
              <w:t>Less redundant assets</w:t>
            </w:r>
          </w:p>
        </w:tc>
        <w:tc>
          <w:tcPr>
            <w:tcW w:w="1076" w:type="dxa"/>
            <w:shd w:val="clear" w:color="auto" w:fill="auto"/>
          </w:tcPr>
          <w:p w:rsidR="00C64356" w:rsidRPr="002C2A57" w:rsidRDefault="00C64356" w:rsidP="00C64356">
            <w:pPr>
              <w:pStyle w:val="TableBodyCells"/>
            </w:pPr>
            <w:r w:rsidRPr="002C2A57">
              <w:t xml:space="preserve"> -  </w:t>
            </w:r>
          </w:p>
        </w:tc>
        <w:tc>
          <w:tcPr>
            <w:tcW w:w="1076" w:type="dxa"/>
          </w:tcPr>
          <w:p w:rsidR="00C64356" w:rsidRPr="002C2A57" w:rsidRDefault="00C64356" w:rsidP="00C64356">
            <w:pPr>
              <w:pStyle w:val="TableBodyCells"/>
            </w:pPr>
            <w:r w:rsidRPr="002C2A57">
              <w:t xml:space="preserve"> -  </w:t>
            </w:r>
          </w:p>
        </w:tc>
        <w:tc>
          <w:tcPr>
            <w:tcW w:w="1077" w:type="dxa"/>
            <w:shd w:val="clear" w:color="auto" w:fill="auto"/>
          </w:tcPr>
          <w:p w:rsidR="00C64356" w:rsidRPr="002C2A57" w:rsidRDefault="00C64356" w:rsidP="00C64356">
            <w:pPr>
              <w:pStyle w:val="TableBodyCells"/>
            </w:pPr>
            <w:r w:rsidRPr="002C2A57">
              <w:t xml:space="preserve"> -  </w:t>
            </w:r>
          </w:p>
        </w:tc>
        <w:tc>
          <w:tcPr>
            <w:tcW w:w="1076" w:type="dxa"/>
            <w:shd w:val="clear" w:color="auto" w:fill="auto"/>
          </w:tcPr>
          <w:p w:rsidR="00C64356" w:rsidRPr="002C2A57" w:rsidRDefault="00C64356" w:rsidP="00C64356">
            <w:pPr>
              <w:pStyle w:val="TableBodyCells"/>
            </w:pPr>
            <w:r w:rsidRPr="002C2A57">
              <w:t xml:space="preserve"> -  </w:t>
            </w:r>
          </w:p>
        </w:tc>
        <w:tc>
          <w:tcPr>
            <w:tcW w:w="1077" w:type="dxa"/>
            <w:shd w:val="clear" w:color="auto" w:fill="auto"/>
          </w:tcPr>
          <w:p w:rsidR="00C64356" w:rsidRPr="002C2A57" w:rsidRDefault="00C64356" w:rsidP="00C64356">
            <w:pPr>
              <w:pStyle w:val="TableBodyCells"/>
            </w:pPr>
            <w:r w:rsidRPr="002C2A57">
              <w:t xml:space="preserve"> -  </w:t>
            </w:r>
          </w:p>
        </w:tc>
      </w:tr>
      <w:tr w:rsidR="00C64356" w:rsidRPr="003662A4" w:rsidTr="005538C0">
        <w:tc>
          <w:tcPr>
            <w:tcW w:w="3055" w:type="dxa"/>
            <w:shd w:val="clear" w:color="auto" w:fill="auto"/>
          </w:tcPr>
          <w:p w:rsidR="00C64356" w:rsidRPr="00EB7B07" w:rsidRDefault="00C64356" w:rsidP="005E7FD3">
            <w:pPr>
              <w:pStyle w:val="TableBodyCells"/>
              <w:ind w:left="567"/>
              <w:jc w:val="left"/>
            </w:pPr>
            <w:r w:rsidRPr="00EB7B07">
              <w:lastRenderedPageBreak/>
              <w:t>Less disposals</w:t>
            </w:r>
          </w:p>
        </w:tc>
        <w:tc>
          <w:tcPr>
            <w:tcW w:w="1076" w:type="dxa"/>
            <w:shd w:val="clear" w:color="auto" w:fill="auto"/>
          </w:tcPr>
          <w:p w:rsidR="00C64356" w:rsidRPr="002C2A57" w:rsidRDefault="00C64356" w:rsidP="00C64356">
            <w:pPr>
              <w:pStyle w:val="TableBodyCells"/>
            </w:pPr>
            <w:r w:rsidRPr="002C2A57">
              <w:t xml:space="preserve"> -  </w:t>
            </w:r>
          </w:p>
        </w:tc>
        <w:tc>
          <w:tcPr>
            <w:tcW w:w="1076" w:type="dxa"/>
          </w:tcPr>
          <w:p w:rsidR="00C64356" w:rsidRPr="002C2A57" w:rsidRDefault="00C64356" w:rsidP="00C64356">
            <w:pPr>
              <w:pStyle w:val="TableBodyCells"/>
            </w:pPr>
            <w:r w:rsidRPr="002C2A57">
              <w:t xml:space="preserve"> -  </w:t>
            </w:r>
          </w:p>
        </w:tc>
        <w:tc>
          <w:tcPr>
            <w:tcW w:w="1077" w:type="dxa"/>
            <w:shd w:val="clear" w:color="auto" w:fill="auto"/>
          </w:tcPr>
          <w:p w:rsidR="00C64356" w:rsidRPr="002C2A57" w:rsidRDefault="00C64356" w:rsidP="00C64356">
            <w:pPr>
              <w:pStyle w:val="TableBodyCells"/>
            </w:pPr>
            <w:r w:rsidRPr="002C2A57">
              <w:t xml:space="preserve"> -  </w:t>
            </w:r>
          </w:p>
        </w:tc>
        <w:tc>
          <w:tcPr>
            <w:tcW w:w="1076" w:type="dxa"/>
            <w:shd w:val="clear" w:color="auto" w:fill="auto"/>
          </w:tcPr>
          <w:p w:rsidR="00C64356" w:rsidRPr="002C2A57" w:rsidRDefault="00C64356" w:rsidP="00C64356">
            <w:pPr>
              <w:pStyle w:val="TableBodyCells"/>
            </w:pPr>
            <w:r w:rsidRPr="002C2A57">
              <w:t xml:space="preserve"> -  </w:t>
            </w:r>
          </w:p>
        </w:tc>
        <w:tc>
          <w:tcPr>
            <w:tcW w:w="1077" w:type="dxa"/>
            <w:shd w:val="clear" w:color="auto" w:fill="auto"/>
          </w:tcPr>
          <w:p w:rsidR="00C64356" w:rsidRPr="002C2A57" w:rsidRDefault="00C64356" w:rsidP="00C64356">
            <w:pPr>
              <w:pStyle w:val="TableBodyCells"/>
            </w:pPr>
            <w:r w:rsidRPr="002C2A57">
              <w:t xml:space="preserve"> -  </w:t>
            </w:r>
          </w:p>
        </w:tc>
      </w:tr>
      <w:tr w:rsidR="00C64356" w:rsidRPr="00F07A8F" w:rsidTr="005538C0">
        <w:tc>
          <w:tcPr>
            <w:tcW w:w="3055" w:type="dxa"/>
            <w:shd w:val="clear" w:color="auto" w:fill="auto"/>
          </w:tcPr>
          <w:p w:rsidR="00C64356" w:rsidRPr="00F07A8F" w:rsidRDefault="00C64356" w:rsidP="005538C0">
            <w:pPr>
              <w:pStyle w:val="TableBodyCells"/>
              <w:jc w:val="left"/>
              <w:rPr>
                <w:b/>
              </w:rPr>
            </w:pPr>
            <w:r w:rsidRPr="00F07A8F">
              <w:rPr>
                <w:b/>
              </w:rPr>
              <w:t>Closing capital base</w:t>
            </w:r>
          </w:p>
        </w:tc>
        <w:tc>
          <w:tcPr>
            <w:tcW w:w="1076" w:type="dxa"/>
            <w:shd w:val="clear" w:color="auto" w:fill="auto"/>
          </w:tcPr>
          <w:p w:rsidR="00C64356" w:rsidRPr="00F07A8F" w:rsidRDefault="00C64356" w:rsidP="00C64356">
            <w:pPr>
              <w:pStyle w:val="TableBodyCells"/>
              <w:rPr>
                <w:b/>
              </w:rPr>
            </w:pPr>
            <w:r w:rsidRPr="00F07A8F">
              <w:rPr>
                <w:b/>
              </w:rPr>
              <w:t xml:space="preserve"> 1,054.1 </w:t>
            </w:r>
          </w:p>
        </w:tc>
        <w:tc>
          <w:tcPr>
            <w:tcW w:w="1076" w:type="dxa"/>
          </w:tcPr>
          <w:p w:rsidR="00C64356" w:rsidRPr="00F07A8F" w:rsidRDefault="00C64356" w:rsidP="00C64356">
            <w:pPr>
              <w:pStyle w:val="TableBodyCells"/>
              <w:rPr>
                <w:b/>
              </w:rPr>
            </w:pPr>
            <w:r w:rsidRPr="00F07A8F">
              <w:rPr>
                <w:b/>
              </w:rPr>
              <w:t xml:space="preserve"> 1,118.3 </w:t>
            </w:r>
          </w:p>
        </w:tc>
        <w:tc>
          <w:tcPr>
            <w:tcW w:w="1077" w:type="dxa"/>
            <w:shd w:val="clear" w:color="auto" w:fill="auto"/>
          </w:tcPr>
          <w:p w:rsidR="00C64356" w:rsidRPr="00F07A8F" w:rsidRDefault="00C64356" w:rsidP="00C64356">
            <w:pPr>
              <w:pStyle w:val="TableBodyCells"/>
              <w:rPr>
                <w:b/>
              </w:rPr>
            </w:pPr>
            <w:r w:rsidRPr="00F07A8F">
              <w:rPr>
                <w:b/>
              </w:rPr>
              <w:t xml:space="preserve"> 1,180.5 </w:t>
            </w:r>
          </w:p>
        </w:tc>
        <w:tc>
          <w:tcPr>
            <w:tcW w:w="1076" w:type="dxa"/>
            <w:shd w:val="clear" w:color="auto" w:fill="auto"/>
          </w:tcPr>
          <w:p w:rsidR="00C64356" w:rsidRPr="00F07A8F" w:rsidRDefault="00C64356" w:rsidP="00C64356">
            <w:pPr>
              <w:pStyle w:val="TableBodyCells"/>
              <w:rPr>
                <w:b/>
              </w:rPr>
            </w:pPr>
            <w:r w:rsidRPr="00F07A8F">
              <w:rPr>
                <w:b/>
              </w:rPr>
              <w:t xml:space="preserve"> 1,178.5 </w:t>
            </w:r>
          </w:p>
        </w:tc>
        <w:tc>
          <w:tcPr>
            <w:tcW w:w="1077" w:type="dxa"/>
            <w:shd w:val="clear" w:color="auto" w:fill="auto"/>
          </w:tcPr>
          <w:p w:rsidR="00C64356" w:rsidRPr="00F07A8F" w:rsidRDefault="00C64356" w:rsidP="00C64356">
            <w:pPr>
              <w:pStyle w:val="TableBodyCells"/>
              <w:rPr>
                <w:b/>
              </w:rPr>
            </w:pPr>
            <w:r w:rsidRPr="00F07A8F">
              <w:rPr>
                <w:b/>
              </w:rPr>
              <w:t xml:space="preserve"> 1,179.2 </w:t>
            </w:r>
          </w:p>
        </w:tc>
      </w:tr>
    </w:tbl>
    <w:p w:rsidR="00180AD1" w:rsidRDefault="00180AD1" w:rsidP="00D43EBE">
      <w:pPr>
        <w:pStyle w:val="BodyText"/>
        <w:rPr>
          <w:lang w:eastAsia="en-AU"/>
        </w:rPr>
      </w:pPr>
    </w:p>
    <w:p w:rsidR="00180AD1" w:rsidRDefault="00180AD1" w:rsidP="00D43EBE">
      <w:pPr>
        <w:pStyle w:val="BodyText"/>
        <w:rPr>
          <w:lang w:eastAsia="en-AU"/>
        </w:rPr>
      </w:pPr>
    </w:p>
    <w:p w:rsidR="00180AD1" w:rsidRDefault="00180AD1" w:rsidP="00D43EBE">
      <w:pPr>
        <w:pStyle w:val="BodyText"/>
        <w:rPr>
          <w:lang w:eastAsia="en-AU"/>
        </w:rPr>
      </w:pPr>
    </w:p>
    <w:p w:rsidR="00180AD1" w:rsidRDefault="00180AD1" w:rsidP="00D43EBE">
      <w:pPr>
        <w:pStyle w:val="BodyText"/>
        <w:rPr>
          <w:lang w:eastAsia="en-AU"/>
        </w:rPr>
      </w:pPr>
    </w:p>
    <w:p w:rsidR="00FA5534" w:rsidRDefault="00AB0990" w:rsidP="00FA5534">
      <w:pPr>
        <w:pStyle w:val="Heading1"/>
        <w:rPr>
          <w:lang w:eastAsia="en-AU"/>
        </w:rPr>
      </w:pPr>
      <w:bookmarkStart w:id="19" w:name="_Toc471221350"/>
      <w:r>
        <w:rPr>
          <w:lang w:eastAsia="en-AU"/>
        </w:rPr>
        <w:lastRenderedPageBreak/>
        <w:t>F</w:t>
      </w:r>
      <w:r w:rsidR="00FA5534">
        <w:rPr>
          <w:lang w:eastAsia="en-AU"/>
        </w:rPr>
        <w:t>orecast network demand and utilisation</w:t>
      </w:r>
      <w:bookmarkEnd w:id="19"/>
    </w:p>
    <w:p w:rsidR="00FA5534" w:rsidRDefault="00FA5534" w:rsidP="00FA5534">
      <w:pPr>
        <w:pStyle w:val="Heading2"/>
        <w:rPr>
          <w:lang w:eastAsia="en-AU"/>
        </w:rPr>
      </w:pPr>
      <w:bookmarkStart w:id="20" w:name="_Toc471221351"/>
      <w:r>
        <w:rPr>
          <w:lang w:eastAsia="en-AU"/>
        </w:rPr>
        <w:t>Forecast customer numbers and volumes</w:t>
      </w:r>
      <w:bookmarkEnd w:id="20"/>
    </w:p>
    <w:p w:rsidR="00FA5534" w:rsidRDefault="00FA5534" w:rsidP="00FA5534">
      <w:pPr>
        <w:pStyle w:val="BodyText"/>
        <w:rPr>
          <w:lang w:eastAsia="en-AU"/>
        </w:rPr>
      </w:pPr>
      <w:r>
        <w:rPr>
          <w:lang w:eastAsia="en-AU"/>
        </w:rPr>
        <w:t xml:space="preserve">Forecast customer numbers and volumes by customer class for the access arrangement period are set out in Table 4.1 below. </w:t>
      </w:r>
    </w:p>
    <w:p w:rsidR="00035608" w:rsidRPr="008A4AF0" w:rsidRDefault="00FA5534" w:rsidP="00FA5534">
      <w:pPr>
        <w:pStyle w:val="Caption"/>
      </w:pPr>
      <w:proofErr w:type="gramStart"/>
      <w:r>
        <w:t xml:space="preserve">Table </w:t>
      </w:r>
      <w:fldSimple w:instr=" STYLEREF 1 \s ">
        <w:r w:rsidR="00154DB7">
          <w:rPr>
            <w:noProof/>
          </w:rPr>
          <w:t>4</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1</w:t>
      </w:r>
      <w:r w:rsidR="007D0F77">
        <w:rPr>
          <w:noProof/>
        </w:rPr>
        <w:fldChar w:fldCharType="end"/>
      </w:r>
      <w:r>
        <w:t xml:space="preserve">:  </w:t>
      </w:r>
      <w:r w:rsidRPr="00FA5534">
        <w:t>Forecast customer numbers and volumes by customer class over the Access Arrangement Period</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9C04E5" w:rsidRPr="00AD5B4E" w:rsidTr="00C45A01">
        <w:tc>
          <w:tcPr>
            <w:tcW w:w="3055" w:type="dxa"/>
            <w:shd w:val="clear" w:color="auto" w:fill="333333"/>
          </w:tcPr>
          <w:p w:rsidR="009C04E5" w:rsidRPr="00AD5B4E" w:rsidRDefault="009C04E5" w:rsidP="00C45A01">
            <w:pPr>
              <w:pStyle w:val="TableColumnHeadings"/>
              <w:keepNext/>
              <w:jc w:val="left"/>
              <w:rPr>
                <w:rFonts w:ascii="Century Gothic" w:hAnsi="Century Gothic"/>
              </w:rPr>
            </w:pPr>
          </w:p>
        </w:tc>
        <w:tc>
          <w:tcPr>
            <w:tcW w:w="1076" w:type="dxa"/>
            <w:shd w:val="clear" w:color="auto" w:fill="333333"/>
          </w:tcPr>
          <w:p w:rsidR="009C04E5" w:rsidRPr="00AD5B4E" w:rsidRDefault="009C04E5" w:rsidP="0071340F">
            <w:pPr>
              <w:pStyle w:val="TableColumnHeadings"/>
              <w:rPr>
                <w:rFonts w:ascii="Century Gothic" w:hAnsi="Century Gothic"/>
              </w:rPr>
            </w:pPr>
            <w:r w:rsidRPr="00AD5B4E">
              <w:rPr>
                <w:rFonts w:ascii="Century Gothic" w:hAnsi="Century Gothic"/>
              </w:rPr>
              <w:t>20</w:t>
            </w:r>
            <w:r w:rsidR="00AF5CC4">
              <w:rPr>
                <w:rFonts w:ascii="Century Gothic" w:hAnsi="Century Gothic"/>
              </w:rPr>
              <w:t>1</w:t>
            </w:r>
            <w:r w:rsidRPr="00AD5B4E">
              <w:rPr>
                <w:rFonts w:ascii="Century Gothic" w:hAnsi="Century Gothic"/>
              </w:rPr>
              <w:t>8</w:t>
            </w:r>
          </w:p>
        </w:tc>
        <w:tc>
          <w:tcPr>
            <w:tcW w:w="1076" w:type="dxa"/>
            <w:shd w:val="clear" w:color="auto" w:fill="333333"/>
          </w:tcPr>
          <w:p w:rsidR="009C04E5" w:rsidRPr="00AD5B4E" w:rsidRDefault="009C04E5" w:rsidP="0071340F">
            <w:pPr>
              <w:pStyle w:val="TableColumnHeadings"/>
              <w:rPr>
                <w:rFonts w:ascii="Century Gothic" w:hAnsi="Century Gothic"/>
              </w:rPr>
            </w:pPr>
            <w:r w:rsidRPr="00AD5B4E">
              <w:rPr>
                <w:rFonts w:ascii="Century Gothic" w:hAnsi="Century Gothic"/>
              </w:rPr>
              <w:t>2019</w:t>
            </w:r>
          </w:p>
        </w:tc>
        <w:tc>
          <w:tcPr>
            <w:tcW w:w="1077" w:type="dxa"/>
            <w:shd w:val="clear" w:color="auto" w:fill="333333"/>
          </w:tcPr>
          <w:p w:rsidR="009C04E5" w:rsidRPr="00AD5B4E" w:rsidRDefault="009C04E5" w:rsidP="0071340F">
            <w:pPr>
              <w:pStyle w:val="TableColumnHeadings"/>
              <w:rPr>
                <w:rFonts w:ascii="Century Gothic" w:hAnsi="Century Gothic"/>
              </w:rPr>
            </w:pPr>
            <w:r w:rsidRPr="00AD5B4E">
              <w:rPr>
                <w:rFonts w:ascii="Century Gothic" w:hAnsi="Century Gothic"/>
              </w:rPr>
              <w:t>2020</w:t>
            </w:r>
          </w:p>
        </w:tc>
        <w:tc>
          <w:tcPr>
            <w:tcW w:w="1076" w:type="dxa"/>
            <w:shd w:val="clear" w:color="auto" w:fill="333333"/>
          </w:tcPr>
          <w:p w:rsidR="009C04E5" w:rsidRPr="00AD5B4E" w:rsidRDefault="009C04E5" w:rsidP="0071340F">
            <w:pPr>
              <w:pStyle w:val="TableColumnHeadings"/>
              <w:rPr>
                <w:rFonts w:ascii="Century Gothic" w:hAnsi="Century Gothic"/>
              </w:rPr>
            </w:pPr>
            <w:r w:rsidRPr="00AD5B4E">
              <w:rPr>
                <w:rFonts w:ascii="Century Gothic" w:hAnsi="Century Gothic"/>
              </w:rPr>
              <w:t>2021</w:t>
            </w:r>
          </w:p>
        </w:tc>
        <w:tc>
          <w:tcPr>
            <w:tcW w:w="1077" w:type="dxa"/>
            <w:shd w:val="clear" w:color="auto" w:fill="333333"/>
          </w:tcPr>
          <w:p w:rsidR="009C04E5" w:rsidRPr="00AD5B4E" w:rsidRDefault="009C04E5" w:rsidP="0071340F">
            <w:pPr>
              <w:pStyle w:val="TableColumnHeadings"/>
              <w:rPr>
                <w:rFonts w:ascii="Century Gothic" w:hAnsi="Century Gothic"/>
              </w:rPr>
            </w:pPr>
            <w:r w:rsidRPr="00AD5B4E">
              <w:rPr>
                <w:rFonts w:ascii="Century Gothic" w:hAnsi="Century Gothic"/>
              </w:rPr>
              <w:t>2022</w:t>
            </w:r>
          </w:p>
        </w:tc>
      </w:tr>
      <w:tr w:rsidR="00AF5CC4" w:rsidRPr="00AD5B4E" w:rsidTr="00AF5CC4">
        <w:tc>
          <w:tcPr>
            <w:tcW w:w="3055" w:type="dxa"/>
            <w:shd w:val="clear" w:color="auto" w:fill="auto"/>
            <w:vAlign w:val="center"/>
          </w:tcPr>
          <w:p w:rsidR="00AF5CC4" w:rsidRPr="00AD5B4E" w:rsidRDefault="00AF5CC4" w:rsidP="00C45A01">
            <w:pPr>
              <w:pStyle w:val="TableTotalRowcells"/>
              <w:jc w:val="left"/>
              <w:rPr>
                <w:b w:val="0"/>
              </w:rPr>
            </w:pPr>
            <w:r w:rsidRPr="00AD5B4E">
              <w:rPr>
                <w:b w:val="0"/>
              </w:rPr>
              <w:t>Total</w:t>
            </w:r>
          </w:p>
        </w:tc>
        <w:tc>
          <w:tcPr>
            <w:tcW w:w="1076" w:type="dxa"/>
            <w:shd w:val="clear" w:color="auto" w:fill="auto"/>
            <w:vAlign w:val="center"/>
          </w:tcPr>
          <w:p w:rsidR="00AF5CC4" w:rsidRPr="00AF5CC4" w:rsidRDefault="00AF5CC4" w:rsidP="00AF5CC4">
            <w:pPr>
              <w:jc w:val="center"/>
              <w:rPr>
                <w:sz w:val="18"/>
                <w:szCs w:val="18"/>
              </w:rPr>
            </w:pPr>
            <w:r w:rsidRPr="00AF5CC4">
              <w:rPr>
                <w:sz w:val="18"/>
                <w:szCs w:val="18"/>
              </w:rPr>
              <w:t>23</w:t>
            </w:r>
          </w:p>
        </w:tc>
        <w:tc>
          <w:tcPr>
            <w:tcW w:w="1076" w:type="dxa"/>
            <w:vAlign w:val="center"/>
          </w:tcPr>
          <w:p w:rsidR="00AF5CC4" w:rsidRPr="00AF5CC4" w:rsidRDefault="00AF5CC4" w:rsidP="00AF5CC4">
            <w:pPr>
              <w:jc w:val="center"/>
              <w:rPr>
                <w:sz w:val="18"/>
                <w:szCs w:val="18"/>
              </w:rPr>
            </w:pPr>
            <w:r w:rsidRPr="00AF5CC4">
              <w:rPr>
                <w:sz w:val="18"/>
                <w:szCs w:val="18"/>
              </w:rPr>
              <w:t>23</w:t>
            </w:r>
          </w:p>
        </w:tc>
        <w:tc>
          <w:tcPr>
            <w:tcW w:w="1077" w:type="dxa"/>
            <w:shd w:val="clear" w:color="auto" w:fill="auto"/>
            <w:vAlign w:val="center"/>
          </w:tcPr>
          <w:p w:rsidR="00AF5CC4" w:rsidRPr="00AF5CC4" w:rsidRDefault="00AF5CC4" w:rsidP="00AF5CC4">
            <w:pPr>
              <w:jc w:val="center"/>
              <w:rPr>
                <w:sz w:val="18"/>
                <w:szCs w:val="18"/>
              </w:rPr>
            </w:pPr>
            <w:r w:rsidRPr="00AF5CC4">
              <w:rPr>
                <w:sz w:val="18"/>
                <w:szCs w:val="18"/>
              </w:rPr>
              <w:t>23</w:t>
            </w:r>
          </w:p>
        </w:tc>
        <w:tc>
          <w:tcPr>
            <w:tcW w:w="1076" w:type="dxa"/>
            <w:shd w:val="clear" w:color="auto" w:fill="auto"/>
            <w:vAlign w:val="center"/>
          </w:tcPr>
          <w:p w:rsidR="00AF5CC4" w:rsidRPr="00AF5CC4" w:rsidRDefault="00AF5CC4" w:rsidP="00AF5CC4">
            <w:pPr>
              <w:jc w:val="center"/>
              <w:rPr>
                <w:sz w:val="18"/>
                <w:szCs w:val="18"/>
              </w:rPr>
            </w:pPr>
            <w:r w:rsidRPr="00AF5CC4">
              <w:rPr>
                <w:sz w:val="18"/>
                <w:szCs w:val="18"/>
              </w:rPr>
              <w:t>23</w:t>
            </w:r>
          </w:p>
        </w:tc>
        <w:tc>
          <w:tcPr>
            <w:tcW w:w="1077" w:type="dxa"/>
            <w:shd w:val="clear" w:color="auto" w:fill="auto"/>
            <w:vAlign w:val="center"/>
          </w:tcPr>
          <w:p w:rsidR="00AF5CC4" w:rsidRPr="00AF5CC4" w:rsidRDefault="00AF5CC4" w:rsidP="00AF5CC4">
            <w:pPr>
              <w:jc w:val="center"/>
              <w:rPr>
                <w:sz w:val="18"/>
                <w:szCs w:val="18"/>
              </w:rPr>
            </w:pPr>
            <w:r w:rsidRPr="00AF5CC4">
              <w:rPr>
                <w:sz w:val="18"/>
                <w:szCs w:val="18"/>
              </w:rPr>
              <w:t>23</w:t>
            </w:r>
          </w:p>
        </w:tc>
      </w:tr>
    </w:tbl>
    <w:p w:rsidR="00FA5534" w:rsidRDefault="00FA5534" w:rsidP="00FA5534">
      <w:pPr>
        <w:pStyle w:val="Heading2"/>
      </w:pPr>
      <w:bookmarkStart w:id="21" w:name="_Toc471221352"/>
      <w:r>
        <w:t>Forecast network capacity and utilisation</w:t>
      </w:r>
      <w:bookmarkEnd w:id="21"/>
    </w:p>
    <w:p w:rsidR="00FA5534" w:rsidRDefault="00FA5534" w:rsidP="00FA5534">
      <w:pPr>
        <w:pStyle w:val="BodyText"/>
      </w:pPr>
      <w:r>
        <w:t>Forecast network capacity and utilisation for the Access Arrangement Period</w:t>
      </w:r>
      <w:r>
        <w:rPr>
          <w:rStyle w:val="FootnoteReference"/>
        </w:rPr>
        <w:footnoteReference w:id="10"/>
      </w:r>
      <w:r>
        <w:t xml:space="preserve"> is shown in Table</w:t>
      </w:r>
      <w:r w:rsidR="005A1BDD">
        <w:t>s</w:t>
      </w:r>
      <w:r>
        <w:t xml:space="preserve"> 4.2 </w:t>
      </w:r>
      <w:r w:rsidR="005A1BDD">
        <w:t>th</w:t>
      </w:r>
      <w:r w:rsidR="00B5516B">
        <w:t>r</w:t>
      </w:r>
      <w:r w:rsidR="005A1BDD">
        <w:t xml:space="preserve">ough 4.5 </w:t>
      </w:r>
      <w:r>
        <w:t>below.</w:t>
      </w:r>
      <w:r w:rsidR="00AD5B4E">
        <w:t xml:space="preserve">  </w:t>
      </w:r>
    </w:p>
    <w:p w:rsidR="005A1BDD" w:rsidRDefault="005A1BDD" w:rsidP="005A1BDD">
      <w:pPr>
        <w:pStyle w:val="Caption"/>
      </w:pPr>
      <w:bookmarkStart w:id="22" w:name="_Ref470079485"/>
      <w:bookmarkStart w:id="23" w:name="_Toc469584929"/>
      <w:bookmarkStart w:id="24" w:name="_Toc470248118"/>
      <w:proofErr w:type="gramStart"/>
      <w:r>
        <w:t xml:space="preserve">Table </w:t>
      </w:r>
      <w:fldSimple w:instr=" STYLEREF 1 \s ">
        <w:r w:rsidR="00154DB7">
          <w:rPr>
            <w:noProof/>
          </w:rPr>
          <w:t>4</w:t>
        </w:r>
      </w:fldSimple>
      <w:r w:rsidR="0068050F">
        <w:t>.</w:t>
      </w:r>
      <w:proofErr w:type="gramEnd"/>
      <w:r w:rsidR="007D0F77">
        <w:fldChar w:fldCharType="begin"/>
      </w:r>
      <w:r w:rsidR="007D0F77">
        <w:instrText xml:space="preserve"> SEQ Table \* ARABIC \s 1 </w:instrText>
      </w:r>
      <w:r w:rsidR="007D0F77">
        <w:fldChar w:fldCharType="separate"/>
      </w:r>
      <w:r w:rsidR="00154DB7">
        <w:rPr>
          <w:noProof/>
        </w:rPr>
        <w:t>2</w:t>
      </w:r>
      <w:r w:rsidR="007D0F77">
        <w:rPr>
          <w:noProof/>
        </w:rPr>
        <w:fldChar w:fldCharType="end"/>
      </w:r>
      <w:bookmarkEnd w:id="22"/>
      <w:r>
        <w:t xml:space="preserve"> – Pipeline capacity 2018-2022 – flows towards Melbourne</w:t>
      </w:r>
      <w:bookmarkEnd w:id="23"/>
      <w:bookmarkEnd w:id="24"/>
      <w:r w:rsidR="00996547">
        <w:t xml:space="preserve"> (TJ/day)</w:t>
      </w:r>
    </w:p>
    <w:tbl>
      <w:tblPr>
        <w:tblStyle w:val="TableGrid"/>
        <w:tblW w:w="0" w:type="auto"/>
        <w:tblLook w:val="04A0" w:firstRow="1" w:lastRow="0" w:firstColumn="1" w:lastColumn="0" w:noHBand="0" w:noVBand="1"/>
      </w:tblPr>
      <w:tblGrid>
        <w:gridCol w:w="2812"/>
        <w:gridCol w:w="2812"/>
        <w:gridCol w:w="2813"/>
      </w:tblGrid>
      <w:tr w:rsidR="005A1BDD" w:rsidTr="005A1BDD">
        <w:tc>
          <w:tcPr>
            <w:tcW w:w="2812" w:type="dxa"/>
            <w:tcBorders>
              <w:bottom w:val="single" w:sz="4" w:space="0" w:color="auto"/>
              <w:right w:val="nil"/>
            </w:tcBorders>
            <w:shd w:val="clear" w:color="auto" w:fill="25282A" w:themeFill="text1"/>
          </w:tcPr>
          <w:p w:rsidR="005A1BDD" w:rsidRPr="00B95D69" w:rsidRDefault="00996547" w:rsidP="005A1BDD">
            <w:pPr>
              <w:pStyle w:val="TableColumnHeadings"/>
              <w:keepNext/>
              <w:keepLines/>
              <w:jc w:val="left"/>
              <w:rPr>
                <w:rFonts w:ascii="Century Gothic" w:hAnsi="Century Gothic"/>
              </w:rPr>
            </w:pPr>
            <w:r>
              <w:rPr>
                <w:rFonts w:ascii="Century Gothic" w:hAnsi="Century Gothic"/>
              </w:rPr>
              <w:t xml:space="preserve">Pipeline </w:t>
            </w:r>
            <w:r w:rsidR="005A1BDD">
              <w:rPr>
                <w:rFonts w:ascii="Century Gothic" w:hAnsi="Century Gothic"/>
              </w:rPr>
              <w:t>TJ/day</w:t>
            </w:r>
          </w:p>
        </w:tc>
        <w:tc>
          <w:tcPr>
            <w:tcW w:w="2812" w:type="dxa"/>
            <w:tcBorders>
              <w:left w:val="nil"/>
              <w:bottom w:val="single" w:sz="4" w:space="0" w:color="auto"/>
              <w:right w:val="nil"/>
            </w:tcBorders>
            <w:shd w:val="clear" w:color="auto" w:fill="25282A" w:themeFill="text1"/>
          </w:tcPr>
          <w:p w:rsidR="005A1BDD" w:rsidRPr="00B95D69" w:rsidRDefault="005A1BDD" w:rsidP="005A1BDD">
            <w:pPr>
              <w:pStyle w:val="TableColumnHeadings"/>
              <w:keepNext/>
              <w:keepLines/>
              <w:tabs>
                <w:tab w:val="center" w:pos="1298"/>
              </w:tabs>
              <w:rPr>
                <w:rFonts w:ascii="Century Gothic" w:hAnsi="Century Gothic"/>
              </w:rPr>
            </w:pPr>
            <w:r>
              <w:rPr>
                <w:rFonts w:ascii="Century Gothic" w:hAnsi="Century Gothic"/>
              </w:rPr>
              <w:t>2018</w:t>
            </w:r>
          </w:p>
        </w:tc>
        <w:tc>
          <w:tcPr>
            <w:tcW w:w="2813" w:type="dxa"/>
            <w:tcBorders>
              <w:left w:val="nil"/>
              <w:bottom w:val="single" w:sz="4" w:space="0" w:color="auto"/>
            </w:tcBorders>
            <w:shd w:val="clear" w:color="auto" w:fill="25282A" w:themeFill="text1"/>
          </w:tcPr>
          <w:p w:rsidR="005A1BDD" w:rsidRPr="00B95D69" w:rsidRDefault="005A1BDD" w:rsidP="005A1BDD">
            <w:pPr>
              <w:pStyle w:val="TableColumnHeadings"/>
              <w:keepNext/>
              <w:keepLines/>
              <w:rPr>
                <w:rFonts w:ascii="Century Gothic" w:hAnsi="Century Gothic"/>
              </w:rPr>
            </w:pPr>
            <w:r>
              <w:rPr>
                <w:rFonts w:ascii="Century Gothic" w:hAnsi="Century Gothic"/>
              </w:rPr>
              <w:t>2022</w:t>
            </w:r>
          </w:p>
        </w:tc>
      </w:tr>
      <w:tr w:rsidR="005A1BDD" w:rsidTr="005A1BDD">
        <w:tc>
          <w:tcPr>
            <w:tcW w:w="2812" w:type="dxa"/>
            <w:tcBorders>
              <w:left w:val="nil"/>
              <w:bottom w:val="single" w:sz="4" w:space="0" w:color="auto"/>
              <w:right w:val="nil"/>
            </w:tcBorders>
          </w:tcPr>
          <w:p w:rsidR="005A1BDD" w:rsidRDefault="005A1BDD" w:rsidP="005A1BDD">
            <w:pPr>
              <w:pStyle w:val="TableBodyCells"/>
              <w:keepNext/>
              <w:keepLines/>
              <w:jc w:val="left"/>
            </w:pPr>
            <w:r>
              <w:t>Longford to Melbourne</w:t>
            </w:r>
          </w:p>
        </w:tc>
        <w:tc>
          <w:tcPr>
            <w:tcW w:w="2812" w:type="dxa"/>
            <w:tcBorders>
              <w:left w:val="nil"/>
              <w:bottom w:val="single" w:sz="4" w:space="0" w:color="auto"/>
              <w:right w:val="nil"/>
            </w:tcBorders>
          </w:tcPr>
          <w:p w:rsidR="005A1BDD" w:rsidRDefault="005A1BDD" w:rsidP="005A1BDD">
            <w:pPr>
              <w:pStyle w:val="TableBodyCells"/>
              <w:keepNext/>
              <w:keepLines/>
            </w:pPr>
            <w:r>
              <w:t>1030</w:t>
            </w:r>
          </w:p>
        </w:tc>
        <w:tc>
          <w:tcPr>
            <w:tcW w:w="2813" w:type="dxa"/>
            <w:tcBorders>
              <w:left w:val="nil"/>
              <w:bottom w:val="single" w:sz="4" w:space="0" w:color="auto"/>
              <w:right w:val="nil"/>
            </w:tcBorders>
          </w:tcPr>
          <w:p w:rsidR="005A1BDD" w:rsidRDefault="005A1BDD" w:rsidP="005A1BDD">
            <w:pPr>
              <w:pStyle w:val="TableBodyCells"/>
              <w:keepNext/>
              <w:keepLines/>
            </w:pPr>
            <w:r>
              <w:t>1030</w:t>
            </w:r>
          </w:p>
        </w:tc>
      </w:tr>
      <w:tr w:rsidR="005A1BDD" w:rsidTr="005A1BDD">
        <w:tc>
          <w:tcPr>
            <w:tcW w:w="2812" w:type="dxa"/>
            <w:tcBorders>
              <w:top w:val="single" w:sz="4" w:space="0" w:color="auto"/>
              <w:left w:val="nil"/>
              <w:bottom w:val="single" w:sz="4" w:space="0" w:color="auto"/>
              <w:right w:val="nil"/>
            </w:tcBorders>
          </w:tcPr>
          <w:p w:rsidR="005A1BDD" w:rsidRDefault="005A1BDD" w:rsidP="005A1BDD">
            <w:pPr>
              <w:pStyle w:val="TableBodyCells"/>
              <w:keepNext/>
              <w:keepLines/>
              <w:jc w:val="left"/>
            </w:pPr>
            <w:r>
              <w:t>South West Pipeline</w:t>
            </w:r>
          </w:p>
        </w:tc>
        <w:tc>
          <w:tcPr>
            <w:tcW w:w="2812" w:type="dxa"/>
            <w:tcBorders>
              <w:top w:val="single" w:sz="4" w:space="0" w:color="auto"/>
              <w:left w:val="nil"/>
              <w:bottom w:val="single" w:sz="4" w:space="0" w:color="auto"/>
              <w:right w:val="nil"/>
            </w:tcBorders>
          </w:tcPr>
          <w:p w:rsidR="005A1BDD" w:rsidRDefault="007D0F77" w:rsidP="005A1BDD">
            <w:pPr>
              <w:pStyle w:val="TableBodyCells"/>
              <w:keepNext/>
              <w:keepLines/>
            </w:pPr>
            <w:r>
              <w:t>413</w:t>
            </w:r>
          </w:p>
        </w:tc>
        <w:tc>
          <w:tcPr>
            <w:tcW w:w="2813" w:type="dxa"/>
            <w:tcBorders>
              <w:top w:val="single" w:sz="4" w:space="0" w:color="auto"/>
              <w:left w:val="nil"/>
              <w:bottom w:val="single" w:sz="4" w:space="0" w:color="auto"/>
              <w:right w:val="nil"/>
            </w:tcBorders>
          </w:tcPr>
          <w:p w:rsidR="005A1BDD" w:rsidRDefault="005A1BDD" w:rsidP="005A1BDD">
            <w:pPr>
              <w:pStyle w:val="TableBodyCells"/>
              <w:keepNext/>
              <w:keepLines/>
            </w:pPr>
            <w:r>
              <w:t>4</w:t>
            </w:r>
            <w:r w:rsidR="007D0F77">
              <w:t>35</w:t>
            </w:r>
          </w:p>
        </w:tc>
      </w:tr>
      <w:tr w:rsidR="005A1BDD" w:rsidTr="005A1BDD">
        <w:tc>
          <w:tcPr>
            <w:tcW w:w="2812" w:type="dxa"/>
            <w:tcBorders>
              <w:top w:val="single" w:sz="4" w:space="0" w:color="auto"/>
              <w:left w:val="nil"/>
              <w:bottom w:val="single" w:sz="4" w:space="0" w:color="auto"/>
              <w:right w:val="nil"/>
            </w:tcBorders>
          </w:tcPr>
          <w:p w:rsidR="005A1BDD" w:rsidRDefault="005A1BDD" w:rsidP="005A1BDD">
            <w:pPr>
              <w:pStyle w:val="TableBodyCells"/>
              <w:keepNext/>
              <w:keepLines/>
              <w:jc w:val="left"/>
            </w:pPr>
            <w:r>
              <w:t>NSW Interconnect</w:t>
            </w:r>
          </w:p>
        </w:tc>
        <w:tc>
          <w:tcPr>
            <w:tcW w:w="2812" w:type="dxa"/>
            <w:tcBorders>
              <w:top w:val="single" w:sz="4" w:space="0" w:color="auto"/>
              <w:left w:val="nil"/>
              <w:bottom w:val="single" w:sz="4" w:space="0" w:color="auto"/>
              <w:right w:val="nil"/>
            </w:tcBorders>
          </w:tcPr>
          <w:p w:rsidR="005A1BDD" w:rsidRDefault="005A1BDD" w:rsidP="005A1BDD">
            <w:pPr>
              <w:pStyle w:val="TableBodyCells"/>
              <w:keepNext/>
              <w:keepLines/>
            </w:pPr>
            <w:r>
              <w:t>125</w:t>
            </w:r>
          </w:p>
        </w:tc>
        <w:tc>
          <w:tcPr>
            <w:tcW w:w="2813" w:type="dxa"/>
            <w:tcBorders>
              <w:top w:val="single" w:sz="4" w:space="0" w:color="auto"/>
              <w:left w:val="nil"/>
              <w:bottom w:val="single" w:sz="4" w:space="0" w:color="auto"/>
              <w:right w:val="nil"/>
            </w:tcBorders>
          </w:tcPr>
          <w:p w:rsidR="005A1BDD" w:rsidRDefault="005A1BDD" w:rsidP="005A1BDD">
            <w:pPr>
              <w:pStyle w:val="TableBodyCells"/>
              <w:keepNext/>
              <w:keepLines/>
            </w:pPr>
            <w:r>
              <w:t>125</w:t>
            </w:r>
          </w:p>
        </w:tc>
      </w:tr>
    </w:tbl>
    <w:p w:rsidR="005A1BDD" w:rsidRDefault="005A1BDD" w:rsidP="00FA5534">
      <w:pPr>
        <w:pStyle w:val="BodyText"/>
      </w:pPr>
    </w:p>
    <w:p w:rsidR="005A1BDD" w:rsidRDefault="005A1BDD" w:rsidP="005A1BDD">
      <w:pPr>
        <w:pStyle w:val="Caption"/>
      </w:pPr>
      <w:bookmarkStart w:id="25" w:name="_Ref470079494"/>
      <w:bookmarkStart w:id="26" w:name="_Toc469584930"/>
      <w:bookmarkStart w:id="27" w:name="_Toc470248119"/>
      <w:proofErr w:type="gramStart"/>
      <w:r>
        <w:lastRenderedPageBreak/>
        <w:t xml:space="preserve">Table </w:t>
      </w:r>
      <w:fldSimple w:instr=" STYLEREF 1 \s ">
        <w:r w:rsidR="00154DB7">
          <w:rPr>
            <w:noProof/>
          </w:rPr>
          <w:t>4</w:t>
        </w:r>
      </w:fldSimple>
      <w:r w:rsidR="0068050F">
        <w:t>.</w:t>
      </w:r>
      <w:proofErr w:type="gramEnd"/>
      <w:r w:rsidR="007D0F77">
        <w:fldChar w:fldCharType="begin"/>
      </w:r>
      <w:r w:rsidR="007D0F77">
        <w:instrText xml:space="preserve"> SEQ Table \* ARABIC \s 1 </w:instrText>
      </w:r>
      <w:r w:rsidR="007D0F77">
        <w:fldChar w:fldCharType="separate"/>
      </w:r>
      <w:r w:rsidR="00154DB7">
        <w:rPr>
          <w:noProof/>
        </w:rPr>
        <w:t>3</w:t>
      </w:r>
      <w:r w:rsidR="007D0F77">
        <w:rPr>
          <w:noProof/>
        </w:rPr>
        <w:fldChar w:fldCharType="end"/>
      </w:r>
      <w:bookmarkEnd w:id="25"/>
      <w:r>
        <w:t xml:space="preserve"> – Pipeline capacity 2018-2022 – flows away from Melbourne</w:t>
      </w:r>
      <w:bookmarkEnd w:id="26"/>
      <w:bookmarkEnd w:id="27"/>
      <w:r w:rsidR="00996547">
        <w:t xml:space="preserve"> (TJ/day)</w:t>
      </w:r>
    </w:p>
    <w:tbl>
      <w:tblPr>
        <w:tblStyle w:val="TableGrid"/>
        <w:tblW w:w="0" w:type="auto"/>
        <w:tblLook w:val="04A0" w:firstRow="1" w:lastRow="0" w:firstColumn="1" w:lastColumn="0" w:noHBand="0" w:noVBand="1"/>
      </w:tblPr>
      <w:tblGrid>
        <w:gridCol w:w="2812"/>
        <w:gridCol w:w="2812"/>
        <w:gridCol w:w="2813"/>
      </w:tblGrid>
      <w:tr w:rsidR="005A1BDD" w:rsidTr="005A1BDD">
        <w:tc>
          <w:tcPr>
            <w:tcW w:w="2812" w:type="dxa"/>
            <w:tcBorders>
              <w:bottom w:val="single" w:sz="4" w:space="0" w:color="auto"/>
              <w:right w:val="nil"/>
            </w:tcBorders>
            <w:shd w:val="clear" w:color="auto" w:fill="25282A" w:themeFill="text1"/>
          </w:tcPr>
          <w:p w:rsidR="005A1BDD" w:rsidRPr="00B95D69" w:rsidRDefault="00996547" w:rsidP="005A1BDD">
            <w:pPr>
              <w:pStyle w:val="TableColumnHeadings"/>
              <w:keepNext/>
              <w:keepLines/>
              <w:jc w:val="left"/>
              <w:rPr>
                <w:rFonts w:ascii="Century Gothic" w:hAnsi="Century Gothic"/>
              </w:rPr>
            </w:pPr>
            <w:r>
              <w:rPr>
                <w:rFonts w:ascii="Century Gothic" w:hAnsi="Century Gothic"/>
              </w:rPr>
              <w:t xml:space="preserve">Pipeline </w:t>
            </w:r>
            <w:r w:rsidR="005A1BDD">
              <w:rPr>
                <w:rFonts w:ascii="Century Gothic" w:hAnsi="Century Gothic"/>
              </w:rPr>
              <w:t>TJ/day</w:t>
            </w:r>
          </w:p>
        </w:tc>
        <w:tc>
          <w:tcPr>
            <w:tcW w:w="2812" w:type="dxa"/>
            <w:tcBorders>
              <w:left w:val="nil"/>
              <w:bottom w:val="single" w:sz="4" w:space="0" w:color="auto"/>
              <w:right w:val="nil"/>
            </w:tcBorders>
            <w:shd w:val="clear" w:color="auto" w:fill="25282A" w:themeFill="text1"/>
          </w:tcPr>
          <w:p w:rsidR="005A1BDD" w:rsidRPr="00B95D69" w:rsidRDefault="005A1BDD" w:rsidP="005A1BDD">
            <w:pPr>
              <w:pStyle w:val="TableColumnHeadings"/>
              <w:keepNext/>
              <w:keepLines/>
              <w:tabs>
                <w:tab w:val="center" w:pos="1298"/>
              </w:tabs>
              <w:rPr>
                <w:rFonts w:ascii="Century Gothic" w:hAnsi="Century Gothic"/>
              </w:rPr>
            </w:pPr>
            <w:r>
              <w:rPr>
                <w:rFonts w:ascii="Century Gothic" w:hAnsi="Century Gothic"/>
              </w:rPr>
              <w:t>2018</w:t>
            </w:r>
          </w:p>
        </w:tc>
        <w:tc>
          <w:tcPr>
            <w:tcW w:w="2813" w:type="dxa"/>
            <w:tcBorders>
              <w:left w:val="nil"/>
              <w:bottom w:val="single" w:sz="4" w:space="0" w:color="auto"/>
            </w:tcBorders>
            <w:shd w:val="clear" w:color="auto" w:fill="25282A" w:themeFill="text1"/>
          </w:tcPr>
          <w:p w:rsidR="005A1BDD" w:rsidRPr="00B95D69" w:rsidRDefault="005A1BDD" w:rsidP="005A1BDD">
            <w:pPr>
              <w:pStyle w:val="TableColumnHeadings"/>
              <w:keepNext/>
              <w:keepLines/>
              <w:rPr>
                <w:rFonts w:ascii="Century Gothic" w:hAnsi="Century Gothic"/>
              </w:rPr>
            </w:pPr>
            <w:r>
              <w:rPr>
                <w:rFonts w:ascii="Century Gothic" w:hAnsi="Century Gothic"/>
              </w:rPr>
              <w:t>2022</w:t>
            </w:r>
          </w:p>
        </w:tc>
      </w:tr>
      <w:tr w:rsidR="005A1BDD" w:rsidTr="005A1BDD">
        <w:tc>
          <w:tcPr>
            <w:tcW w:w="2812" w:type="dxa"/>
            <w:tcBorders>
              <w:left w:val="nil"/>
              <w:bottom w:val="single" w:sz="4" w:space="0" w:color="auto"/>
              <w:right w:val="nil"/>
            </w:tcBorders>
          </w:tcPr>
          <w:p w:rsidR="005A1BDD" w:rsidRPr="007D0F77" w:rsidRDefault="005A1BDD" w:rsidP="005A1BDD">
            <w:pPr>
              <w:pStyle w:val="TableBodyCells"/>
              <w:keepNext/>
              <w:keepLines/>
              <w:jc w:val="left"/>
            </w:pPr>
            <w:r w:rsidRPr="007D0F77">
              <w:t>South West Pipeline</w:t>
            </w:r>
          </w:p>
        </w:tc>
        <w:tc>
          <w:tcPr>
            <w:tcW w:w="2812" w:type="dxa"/>
            <w:tcBorders>
              <w:left w:val="nil"/>
              <w:bottom w:val="single" w:sz="4" w:space="0" w:color="auto"/>
              <w:right w:val="nil"/>
            </w:tcBorders>
            <w:vAlign w:val="center"/>
          </w:tcPr>
          <w:p w:rsidR="005A1BDD" w:rsidRPr="007D0F77" w:rsidRDefault="005A1BDD" w:rsidP="005A1BDD">
            <w:pPr>
              <w:pStyle w:val="TableBodyCells"/>
              <w:keepNext/>
              <w:keepLines/>
            </w:pPr>
            <w:r w:rsidRPr="007D0F77">
              <w:t>10</w:t>
            </w:r>
            <w:r w:rsidR="007D0F77" w:rsidRPr="007D0F77">
              <w:t>4</w:t>
            </w:r>
          </w:p>
        </w:tc>
        <w:tc>
          <w:tcPr>
            <w:tcW w:w="2813" w:type="dxa"/>
            <w:tcBorders>
              <w:left w:val="nil"/>
              <w:bottom w:val="single" w:sz="4" w:space="0" w:color="auto"/>
              <w:right w:val="nil"/>
            </w:tcBorders>
            <w:vAlign w:val="center"/>
          </w:tcPr>
          <w:p w:rsidR="005A1BDD" w:rsidRPr="007D0F77" w:rsidRDefault="007D0F77" w:rsidP="005A1BDD">
            <w:pPr>
              <w:pStyle w:val="TableBodyCells"/>
              <w:keepNext/>
              <w:keepLines/>
            </w:pPr>
            <w:r w:rsidRPr="007D0F77">
              <w:t>220</w:t>
            </w:r>
          </w:p>
        </w:tc>
      </w:tr>
      <w:tr w:rsidR="005A1BDD" w:rsidTr="005A1BDD">
        <w:tc>
          <w:tcPr>
            <w:tcW w:w="2812" w:type="dxa"/>
            <w:vMerge w:val="restart"/>
            <w:tcBorders>
              <w:top w:val="single" w:sz="4" w:space="0" w:color="auto"/>
              <w:left w:val="nil"/>
              <w:right w:val="nil"/>
            </w:tcBorders>
            <w:vAlign w:val="center"/>
          </w:tcPr>
          <w:p w:rsidR="005A1BDD" w:rsidRDefault="005A1BDD" w:rsidP="005A1BDD">
            <w:pPr>
              <w:pStyle w:val="TableBodyCells"/>
              <w:keepNext/>
              <w:keepLines/>
              <w:jc w:val="left"/>
            </w:pPr>
            <w:r>
              <w:t>NSW Interconnect</w:t>
            </w:r>
          </w:p>
        </w:tc>
        <w:tc>
          <w:tcPr>
            <w:tcW w:w="2812" w:type="dxa"/>
            <w:tcBorders>
              <w:top w:val="single" w:sz="4" w:space="0" w:color="auto"/>
              <w:left w:val="nil"/>
              <w:bottom w:val="single" w:sz="4" w:space="0" w:color="auto"/>
              <w:right w:val="nil"/>
            </w:tcBorders>
            <w:vAlign w:val="center"/>
          </w:tcPr>
          <w:p w:rsidR="005A1BDD" w:rsidRDefault="005A1BDD" w:rsidP="005A1BDD">
            <w:pPr>
              <w:pStyle w:val="TableBodyCells"/>
              <w:keepNext/>
              <w:keepLines/>
            </w:pPr>
            <w:r>
              <w:t>201</w:t>
            </w:r>
            <w:r>
              <w:br/>
              <w:t>(summer)</w:t>
            </w:r>
          </w:p>
        </w:tc>
        <w:tc>
          <w:tcPr>
            <w:tcW w:w="2813" w:type="dxa"/>
            <w:vMerge w:val="restart"/>
            <w:tcBorders>
              <w:top w:val="single" w:sz="4" w:space="0" w:color="auto"/>
              <w:left w:val="nil"/>
              <w:right w:val="nil"/>
            </w:tcBorders>
            <w:vAlign w:val="center"/>
          </w:tcPr>
          <w:p w:rsidR="005A1BDD" w:rsidRDefault="005A1BDD" w:rsidP="005A1BDD">
            <w:pPr>
              <w:pStyle w:val="TableBodyCells"/>
              <w:keepNext/>
              <w:keepLines/>
            </w:pPr>
            <w:r>
              <w:t>201</w:t>
            </w:r>
          </w:p>
        </w:tc>
      </w:tr>
      <w:tr w:rsidR="005A1BDD" w:rsidTr="005A1BDD">
        <w:tc>
          <w:tcPr>
            <w:tcW w:w="2812" w:type="dxa"/>
            <w:vMerge/>
            <w:tcBorders>
              <w:left w:val="nil"/>
              <w:bottom w:val="single" w:sz="4" w:space="0" w:color="auto"/>
              <w:right w:val="nil"/>
            </w:tcBorders>
          </w:tcPr>
          <w:p w:rsidR="005A1BDD" w:rsidRDefault="005A1BDD" w:rsidP="005A1BDD">
            <w:pPr>
              <w:pStyle w:val="TableBodyCells"/>
              <w:keepNext/>
              <w:keepLines/>
              <w:jc w:val="left"/>
            </w:pPr>
          </w:p>
        </w:tc>
        <w:tc>
          <w:tcPr>
            <w:tcW w:w="2812" w:type="dxa"/>
            <w:tcBorders>
              <w:top w:val="single" w:sz="4" w:space="0" w:color="auto"/>
              <w:left w:val="nil"/>
              <w:bottom w:val="single" w:sz="4" w:space="0" w:color="auto"/>
              <w:right w:val="nil"/>
            </w:tcBorders>
            <w:vAlign w:val="center"/>
          </w:tcPr>
          <w:p w:rsidR="005A1BDD" w:rsidRDefault="005A1BDD" w:rsidP="005A1BDD">
            <w:pPr>
              <w:pStyle w:val="TableBodyCells"/>
              <w:keepNext/>
              <w:keepLines/>
            </w:pPr>
            <w:r>
              <w:t>201</w:t>
            </w:r>
            <w:r>
              <w:br/>
              <w:t>(winter)</w:t>
            </w:r>
          </w:p>
        </w:tc>
        <w:tc>
          <w:tcPr>
            <w:tcW w:w="2813" w:type="dxa"/>
            <w:vMerge/>
            <w:tcBorders>
              <w:left w:val="nil"/>
              <w:bottom w:val="single" w:sz="4" w:space="0" w:color="auto"/>
              <w:right w:val="nil"/>
            </w:tcBorders>
            <w:vAlign w:val="center"/>
          </w:tcPr>
          <w:p w:rsidR="005A1BDD" w:rsidRDefault="005A1BDD" w:rsidP="005A1BDD">
            <w:pPr>
              <w:pStyle w:val="TableBodyCells"/>
              <w:keepNext/>
              <w:keepLines/>
            </w:pPr>
          </w:p>
        </w:tc>
      </w:tr>
      <w:tr w:rsidR="005A1BDD" w:rsidTr="005A1BDD">
        <w:tc>
          <w:tcPr>
            <w:tcW w:w="2812" w:type="dxa"/>
            <w:tcBorders>
              <w:top w:val="single" w:sz="4" w:space="0" w:color="auto"/>
              <w:left w:val="nil"/>
              <w:bottom w:val="single" w:sz="4" w:space="0" w:color="auto"/>
              <w:right w:val="nil"/>
            </w:tcBorders>
          </w:tcPr>
          <w:p w:rsidR="005A1BDD" w:rsidRDefault="005A1BDD" w:rsidP="005A1BDD">
            <w:pPr>
              <w:pStyle w:val="TableBodyCells"/>
              <w:keepNext/>
              <w:keepLines/>
              <w:jc w:val="left"/>
            </w:pPr>
            <w:r>
              <w:t>Western Transmission System</w:t>
            </w:r>
          </w:p>
        </w:tc>
        <w:tc>
          <w:tcPr>
            <w:tcW w:w="2812" w:type="dxa"/>
            <w:tcBorders>
              <w:top w:val="single" w:sz="4" w:space="0" w:color="auto"/>
              <w:left w:val="nil"/>
              <w:bottom w:val="single" w:sz="4" w:space="0" w:color="auto"/>
              <w:right w:val="nil"/>
            </w:tcBorders>
            <w:vAlign w:val="center"/>
          </w:tcPr>
          <w:p w:rsidR="005A1BDD" w:rsidRDefault="005A1BDD" w:rsidP="005A1BDD">
            <w:pPr>
              <w:pStyle w:val="TableBodyCells"/>
              <w:keepNext/>
              <w:keepLines/>
            </w:pPr>
            <w:r>
              <w:t>28</w:t>
            </w:r>
          </w:p>
        </w:tc>
        <w:tc>
          <w:tcPr>
            <w:tcW w:w="2813" w:type="dxa"/>
            <w:tcBorders>
              <w:top w:val="single" w:sz="4" w:space="0" w:color="auto"/>
              <w:left w:val="nil"/>
              <w:bottom w:val="single" w:sz="4" w:space="0" w:color="auto"/>
              <w:right w:val="nil"/>
            </w:tcBorders>
            <w:vAlign w:val="center"/>
          </w:tcPr>
          <w:p w:rsidR="005A1BDD" w:rsidRDefault="005A1BDD" w:rsidP="005A1BDD">
            <w:pPr>
              <w:pStyle w:val="TableBodyCells"/>
              <w:keepNext/>
              <w:keepLines/>
            </w:pPr>
            <w:r>
              <w:t>28</w:t>
            </w:r>
          </w:p>
        </w:tc>
      </w:tr>
    </w:tbl>
    <w:p w:rsidR="005A1BDD" w:rsidRDefault="005A1BDD" w:rsidP="00FA5534">
      <w:pPr>
        <w:pStyle w:val="BodyText"/>
      </w:pPr>
    </w:p>
    <w:p w:rsidR="005A1BDD" w:rsidRDefault="005A1BDD" w:rsidP="005A1BDD">
      <w:pPr>
        <w:pStyle w:val="Caption"/>
      </w:pPr>
      <w:bookmarkStart w:id="28" w:name="_Ref470102704"/>
      <w:bookmarkStart w:id="29" w:name="_Toc469584931"/>
      <w:bookmarkStart w:id="30" w:name="_Toc470248120"/>
      <w:proofErr w:type="gramStart"/>
      <w:r>
        <w:t xml:space="preserve">Table </w:t>
      </w:r>
      <w:fldSimple w:instr=" STYLEREF 1 \s ">
        <w:r w:rsidR="00154DB7">
          <w:rPr>
            <w:noProof/>
          </w:rPr>
          <w:t>4</w:t>
        </w:r>
      </w:fldSimple>
      <w:r w:rsidR="0068050F">
        <w:t>.</w:t>
      </w:r>
      <w:proofErr w:type="gramEnd"/>
      <w:r w:rsidR="007D0F77">
        <w:fldChar w:fldCharType="begin"/>
      </w:r>
      <w:r w:rsidR="007D0F77">
        <w:instrText xml:space="preserve"> SEQ Table \* ARABIC \s 1 </w:instrText>
      </w:r>
      <w:r w:rsidR="007D0F77">
        <w:fldChar w:fldCharType="separate"/>
      </w:r>
      <w:r w:rsidR="00154DB7">
        <w:rPr>
          <w:noProof/>
        </w:rPr>
        <w:t>4</w:t>
      </w:r>
      <w:r w:rsidR="007D0F77">
        <w:rPr>
          <w:noProof/>
        </w:rPr>
        <w:fldChar w:fldCharType="end"/>
      </w:r>
      <w:bookmarkEnd w:id="28"/>
      <w:r>
        <w:t xml:space="preserve"> – Pipeline utilisation – Flows towards Melbourne</w:t>
      </w:r>
      <w:bookmarkEnd w:id="29"/>
      <w:bookmarkEnd w:id="30"/>
    </w:p>
    <w:tbl>
      <w:tblPr>
        <w:tblStyle w:val="TableGrid"/>
        <w:tblW w:w="0" w:type="auto"/>
        <w:tblLook w:val="04A0" w:firstRow="1" w:lastRow="0" w:firstColumn="1" w:lastColumn="0" w:noHBand="0" w:noVBand="1"/>
      </w:tblPr>
      <w:tblGrid>
        <w:gridCol w:w="2812"/>
        <w:gridCol w:w="2812"/>
        <w:gridCol w:w="2813"/>
      </w:tblGrid>
      <w:tr w:rsidR="005A1BDD" w:rsidTr="005A1BDD">
        <w:tc>
          <w:tcPr>
            <w:tcW w:w="2812" w:type="dxa"/>
            <w:tcBorders>
              <w:bottom w:val="single" w:sz="4" w:space="0" w:color="auto"/>
              <w:right w:val="nil"/>
            </w:tcBorders>
            <w:shd w:val="clear" w:color="auto" w:fill="25282A" w:themeFill="text1"/>
          </w:tcPr>
          <w:p w:rsidR="005A1BDD" w:rsidRPr="00B95D69" w:rsidRDefault="005A1BDD" w:rsidP="005A1BDD">
            <w:pPr>
              <w:pStyle w:val="TableColumnHeadings"/>
              <w:keepNext/>
              <w:keepLines/>
              <w:jc w:val="left"/>
              <w:rPr>
                <w:rFonts w:ascii="Century Gothic" w:hAnsi="Century Gothic"/>
              </w:rPr>
            </w:pPr>
            <w:r>
              <w:rPr>
                <w:rFonts w:ascii="Century Gothic" w:hAnsi="Century Gothic"/>
              </w:rPr>
              <w:t>Pipeline</w:t>
            </w:r>
          </w:p>
        </w:tc>
        <w:tc>
          <w:tcPr>
            <w:tcW w:w="2812" w:type="dxa"/>
            <w:tcBorders>
              <w:left w:val="nil"/>
              <w:bottom w:val="single" w:sz="4" w:space="0" w:color="auto"/>
              <w:right w:val="nil"/>
            </w:tcBorders>
            <w:shd w:val="clear" w:color="auto" w:fill="25282A" w:themeFill="text1"/>
          </w:tcPr>
          <w:p w:rsidR="005A1BDD" w:rsidRPr="00B95D69" w:rsidRDefault="005A1BDD" w:rsidP="005A1BDD">
            <w:pPr>
              <w:pStyle w:val="TableColumnHeadings"/>
              <w:keepNext/>
              <w:keepLines/>
              <w:tabs>
                <w:tab w:val="center" w:pos="1298"/>
              </w:tabs>
              <w:rPr>
                <w:rFonts w:ascii="Century Gothic" w:hAnsi="Century Gothic"/>
              </w:rPr>
            </w:pPr>
            <w:r>
              <w:rPr>
                <w:rFonts w:ascii="Century Gothic" w:hAnsi="Century Gothic"/>
              </w:rPr>
              <w:t>Average</w:t>
            </w:r>
          </w:p>
        </w:tc>
        <w:tc>
          <w:tcPr>
            <w:tcW w:w="2813" w:type="dxa"/>
            <w:tcBorders>
              <w:left w:val="nil"/>
              <w:bottom w:val="single" w:sz="4" w:space="0" w:color="auto"/>
            </w:tcBorders>
            <w:shd w:val="clear" w:color="auto" w:fill="25282A" w:themeFill="text1"/>
          </w:tcPr>
          <w:p w:rsidR="005A1BDD" w:rsidRPr="00B95D69" w:rsidRDefault="005A1BDD" w:rsidP="005A1BDD">
            <w:pPr>
              <w:pStyle w:val="TableColumnHeadings"/>
              <w:keepNext/>
              <w:keepLines/>
              <w:rPr>
                <w:rFonts w:ascii="Century Gothic" w:hAnsi="Century Gothic"/>
              </w:rPr>
            </w:pPr>
            <w:r>
              <w:rPr>
                <w:rFonts w:ascii="Century Gothic" w:hAnsi="Century Gothic"/>
              </w:rPr>
              <w:t>Peak</w:t>
            </w:r>
          </w:p>
        </w:tc>
      </w:tr>
      <w:tr w:rsidR="005A1BDD" w:rsidTr="005A1BDD">
        <w:tc>
          <w:tcPr>
            <w:tcW w:w="2812" w:type="dxa"/>
            <w:tcBorders>
              <w:left w:val="nil"/>
              <w:bottom w:val="single" w:sz="4" w:space="0" w:color="auto"/>
              <w:right w:val="nil"/>
            </w:tcBorders>
          </w:tcPr>
          <w:p w:rsidR="005A1BDD" w:rsidRDefault="005A1BDD" w:rsidP="005A1BDD">
            <w:pPr>
              <w:pStyle w:val="TableBodyCells"/>
              <w:keepNext/>
              <w:keepLines/>
              <w:jc w:val="left"/>
            </w:pPr>
            <w:r>
              <w:t>Longford to Melbourne</w:t>
            </w:r>
          </w:p>
        </w:tc>
        <w:tc>
          <w:tcPr>
            <w:tcW w:w="2812" w:type="dxa"/>
            <w:tcBorders>
              <w:left w:val="nil"/>
              <w:bottom w:val="single" w:sz="4" w:space="0" w:color="auto"/>
              <w:right w:val="nil"/>
            </w:tcBorders>
          </w:tcPr>
          <w:p w:rsidR="005A1BDD" w:rsidRDefault="005A1BDD" w:rsidP="005A1BDD">
            <w:pPr>
              <w:pStyle w:val="TableBodyCells"/>
              <w:keepNext/>
              <w:keepLines/>
            </w:pPr>
            <w:r>
              <w:t>45.5%</w:t>
            </w:r>
          </w:p>
        </w:tc>
        <w:tc>
          <w:tcPr>
            <w:tcW w:w="2813" w:type="dxa"/>
            <w:tcBorders>
              <w:left w:val="nil"/>
              <w:bottom w:val="single" w:sz="4" w:space="0" w:color="auto"/>
              <w:right w:val="nil"/>
            </w:tcBorders>
          </w:tcPr>
          <w:p w:rsidR="005A1BDD" w:rsidRDefault="005A1BDD" w:rsidP="005A1BDD">
            <w:pPr>
              <w:pStyle w:val="TableBodyCells"/>
              <w:keepNext/>
              <w:keepLines/>
            </w:pPr>
            <w:r>
              <w:t>64.2%</w:t>
            </w:r>
          </w:p>
        </w:tc>
      </w:tr>
      <w:tr w:rsidR="005A1BDD" w:rsidTr="005A1BDD">
        <w:tc>
          <w:tcPr>
            <w:tcW w:w="2812" w:type="dxa"/>
            <w:tcBorders>
              <w:top w:val="single" w:sz="4" w:space="0" w:color="auto"/>
              <w:left w:val="nil"/>
              <w:bottom w:val="single" w:sz="4" w:space="0" w:color="auto"/>
              <w:right w:val="nil"/>
            </w:tcBorders>
          </w:tcPr>
          <w:p w:rsidR="005A1BDD" w:rsidRPr="00D117C8" w:rsidRDefault="005A1BDD" w:rsidP="005A1BDD">
            <w:pPr>
              <w:pStyle w:val="TableBodyCells"/>
              <w:keepNext/>
              <w:keepLines/>
              <w:jc w:val="left"/>
            </w:pPr>
            <w:r w:rsidRPr="00D117C8">
              <w:t>South West Pipeline</w:t>
            </w:r>
          </w:p>
        </w:tc>
        <w:tc>
          <w:tcPr>
            <w:tcW w:w="2812" w:type="dxa"/>
            <w:tcBorders>
              <w:top w:val="single" w:sz="4" w:space="0" w:color="auto"/>
              <w:left w:val="nil"/>
              <w:bottom w:val="single" w:sz="4" w:space="0" w:color="auto"/>
              <w:right w:val="nil"/>
            </w:tcBorders>
          </w:tcPr>
          <w:p w:rsidR="005A1BDD" w:rsidRPr="00D117C8" w:rsidRDefault="00D117C8" w:rsidP="00D117C8">
            <w:pPr>
              <w:pStyle w:val="TableBodyCells"/>
              <w:keepNext/>
              <w:keepLines/>
            </w:pPr>
            <w:r w:rsidRPr="00D117C8">
              <w:t>16.4</w:t>
            </w:r>
            <w:r w:rsidR="005A1BDD" w:rsidRPr="00D117C8">
              <w:t>%</w:t>
            </w:r>
          </w:p>
        </w:tc>
        <w:tc>
          <w:tcPr>
            <w:tcW w:w="2813" w:type="dxa"/>
            <w:tcBorders>
              <w:top w:val="single" w:sz="4" w:space="0" w:color="auto"/>
              <w:left w:val="nil"/>
              <w:bottom w:val="single" w:sz="4" w:space="0" w:color="auto"/>
              <w:right w:val="nil"/>
            </w:tcBorders>
          </w:tcPr>
          <w:p w:rsidR="005A1BDD" w:rsidRPr="00D117C8" w:rsidRDefault="005A1BDD" w:rsidP="005A1BDD">
            <w:pPr>
              <w:pStyle w:val="TableBodyCells"/>
              <w:keepNext/>
              <w:keepLines/>
            </w:pPr>
            <w:r w:rsidRPr="00D117C8">
              <w:t>100%</w:t>
            </w:r>
          </w:p>
        </w:tc>
      </w:tr>
      <w:tr w:rsidR="005A1BDD" w:rsidTr="005A1BDD">
        <w:tc>
          <w:tcPr>
            <w:tcW w:w="2812" w:type="dxa"/>
            <w:tcBorders>
              <w:top w:val="single" w:sz="4" w:space="0" w:color="auto"/>
              <w:left w:val="nil"/>
              <w:bottom w:val="single" w:sz="4" w:space="0" w:color="auto"/>
              <w:right w:val="nil"/>
            </w:tcBorders>
          </w:tcPr>
          <w:p w:rsidR="005A1BDD" w:rsidRDefault="005A1BDD" w:rsidP="005A1BDD">
            <w:pPr>
              <w:pStyle w:val="TableBodyCells"/>
              <w:keepNext/>
              <w:keepLines/>
              <w:jc w:val="left"/>
            </w:pPr>
            <w:r>
              <w:t>NSW Interconnect</w:t>
            </w:r>
          </w:p>
        </w:tc>
        <w:tc>
          <w:tcPr>
            <w:tcW w:w="2812" w:type="dxa"/>
            <w:tcBorders>
              <w:top w:val="single" w:sz="4" w:space="0" w:color="auto"/>
              <w:left w:val="nil"/>
              <w:bottom w:val="single" w:sz="4" w:space="0" w:color="auto"/>
              <w:right w:val="nil"/>
            </w:tcBorders>
          </w:tcPr>
          <w:p w:rsidR="005A1BDD" w:rsidRDefault="005A1BDD" w:rsidP="005A1BDD">
            <w:pPr>
              <w:pStyle w:val="TableBodyCells"/>
              <w:keepNext/>
              <w:keepLines/>
            </w:pPr>
            <w:r>
              <w:t>5.3%</w:t>
            </w:r>
          </w:p>
        </w:tc>
        <w:tc>
          <w:tcPr>
            <w:tcW w:w="2813" w:type="dxa"/>
            <w:tcBorders>
              <w:top w:val="single" w:sz="4" w:space="0" w:color="auto"/>
              <w:left w:val="nil"/>
              <w:bottom w:val="single" w:sz="4" w:space="0" w:color="auto"/>
              <w:right w:val="nil"/>
            </w:tcBorders>
          </w:tcPr>
          <w:p w:rsidR="005A1BDD" w:rsidRDefault="005A1BDD" w:rsidP="005A1BDD">
            <w:pPr>
              <w:pStyle w:val="TableBodyCells"/>
              <w:keepNext/>
              <w:keepLines/>
            </w:pPr>
            <w:r>
              <w:t>52.8%</w:t>
            </w:r>
          </w:p>
        </w:tc>
      </w:tr>
    </w:tbl>
    <w:p w:rsidR="005A1BDD" w:rsidRDefault="005A1BDD" w:rsidP="00FA5534">
      <w:pPr>
        <w:pStyle w:val="BodyText"/>
      </w:pPr>
    </w:p>
    <w:p w:rsidR="005A1BDD" w:rsidRDefault="005A1BDD" w:rsidP="005A1BDD">
      <w:pPr>
        <w:pStyle w:val="Caption"/>
      </w:pPr>
      <w:bookmarkStart w:id="31" w:name="_Ref470102729"/>
      <w:bookmarkStart w:id="32" w:name="_Toc469584932"/>
      <w:bookmarkStart w:id="33" w:name="_Toc470248121"/>
      <w:proofErr w:type="gramStart"/>
      <w:r>
        <w:t xml:space="preserve">Table </w:t>
      </w:r>
      <w:fldSimple w:instr=" STYLEREF 1 \s ">
        <w:r w:rsidR="00154DB7">
          <w:rPr>
            <w:noProof/>
          </w:rPr>
          <w:t>4</w:t>
        </w:r>
      </w:fldSimple>
      <w:r w:rsidR="0068050F">
        <w:t>.</w:t>
      </w:r>
      <w:proofErr w:type="gramEnd"/>
      <w:r w:rsidR="007D0F77">
        <w:fldChar w:fldCharType="begin"/>
      </w:r>
      <w:r w:rsidR="007D0F77">
        <w:instrText xml:space="preserve"> SEQ Table \* ARABIC \s 1 </w:instrText>
      </w:r>
      <w:r w:rsidR="007D0F77">
        <w:fldChar w:fldCharType="separate"/>
      </w:r>
      <w:r w:rsidR="00154DB7">
        <w:rPr>
          <w:noProof/>
        </w:rPr>
        <w:t>5</w:t>
      </w:r>
      <w:r w:rsidR="007D0F77">
        <w:rPr>
          <w:noProof/>
        </w:rPr>
        <w:fldChar w:fldCharType="end"/>
      </w:r>
      <w:bookmarkEnd w:id="31"/>
      <w:r>
        <w:t xml:space="preserve"> – Pipeline utilisation – Flows away from Melbourne</w:t>
      </w:r>
      <w:bookmarkEnd w:id="32"/>
      <w:bookmarkEnd w:id="33"/>
    </w:p>
    <w:tbl>
      <w:tblPr>
        <w:tblStyle w:val="TableGrid"/>
        <w:tblW w:w="0" w:type="auto"/>
        <w:tblLook w:val="04A0" w:firstRow="1" w:lastRow="0" w:firstColumn="1" w:lastColumn="0" w:noHBand="0" w:noVBand="1"/>
      </w:tblPr>
      <w:tblGrid>
        <w:gridCol w:w="2802"/>
        <w:gridCol w:w="2817"/>
        <w:gridCol w:w="2818"/>
      </w:tblGrid>
      <w:tr w:rsidR="005A1BDD" w:rsidTr="005A1BDD">
        <w:tc>
          <w:tcPr>
            <w:tcW w:w="2802" w:type="dxa"/>
            <w:tcBorders>
              <w:bottom w:val="single" w:sz="4" w:space="0" w:color="auto"/>
              <w:right w:val="nil"/>
            </w:tcBorders>
            <w:shd w:val="clear" w:color="auto" w:fill="25282A" w:themeFill="text1"/>
          </w:tcPr>
          <w:p w:rsidR="005A1BDD" w:rsidRPr="00B95D69" w:rsidRDefault="005A1BDD" w:rsidP="005A1BDD">
            <w:pPr>
              <w:pStyle w:val="TableColumnHeadings"/>
              <w:keepNext/>
              <w:keepLines/>
              <w:jc w:val="left"/>
              <w:rPr>
                <w:rFonts w:ascii="Century Gothic" w:hAnsi="Century Gothic"/>
              </w:rPr>
            </w:pPr>
            <w:r>
              <w:rPr>
                <w:rFonts w:ascii="Century Gothic" w:hAnsi="Century Gothic"/>
              </w:rPr>
              <w:t>Pipeline</w:t>
            </w:r>
          </w:p>
        </w:tc>
        <w:tc>
          <w:tcPr>
            <w:tcW w:w="2817" w:type="dxa"/>
            <w:tcBorders>
              <w:left w:val="nil"/>
              <w:bottom w:val="single" w:sz="4" w:space="0" w:color="auto"/>
              <w:right w:val="nil"/>
            </w:tcBorders>
            <w:shd w:val="clear" w:color="auto" w:fill="25282A" w:themeFill="text1"/>
          </w:tcPr>
          <w:p w:rsidR="005A1BDD" w:rsidRPr="00B95D69" w:rsidRDefault="005A1BDD" w:rsidP="005A1BDD">
            <w:pPr>
              <w:pStyle w:val="TableColumnHeadings"/>
              <w:keepNext/>
              <w:keepLines/>
              <w:tabs>
                <w:tab w:val="center" w:pos="1298"/>
              </w:tabs>
              <w:rPr>
                <w:rFonts w:ascii="Century Gothic" w:hAnsi="Century Gothic"/>
              </w:rPr>
            </w:pPr>
            <w:r>
              <w:rPr>
                <w:rFonts w:ascii="Century Gothic" w:hAnsi="Century Gothic"/>
              </w:rPr>
              <w:t>Average</w:t>
            </w:r>
          </w:p>
        </w:tc>
        <w:tc>
          <w:tcPr>
            <w:tcW w:w="2818" w:type="dxa"/>
            <w:tcBorders>
              <w:left w:val="nil"/>
              <w:bottom w:val="single" w:sz="4" w:space="0" w:color="auto"/>
            </w:tcBorders>
            <w:shd w:val="clear" w:color="auto" w:fill="25282A" w:themeFill="text1"/>
          </w:tcPr>
          <w:p w:rsidR="005A1BDD" w:rsidRPr="00B95D69" w:rsidRDefault="005A1BDD" w:rsidP="005A1BDD">
            <w:pPr>
              <w:pStyle w:val="TableColumnHeadings"/>
              <w:keepNext/>
              <w:keepLines/>
              <w:rPr>
                <w:rFonts w:ascii="Century Gothic" w:hAnsi="Century Gothic"/>
              </w:rPr>
            </w:pPr>
            <w:r>
              <w:rPr>
                <w:rFonts w:ascii="Century Gothic" w:hAnsi="Century Gothic"/>
              </w:rPr>
              <w:t>Peak</w:t>
            </w:r>
          </w:p>
        </w:tc>
      </w:tr>
      <w:tr w:rsidR="005A1BDD" w:rsidTr="005A1BDD">
        <w:tc>
          <w:tcPr>
            <w:tcW w:w="2802" w:type="dxa"/>
            <w:tcBorders>
              <w:top w:val="single" w:sz="4" w:space="0" w:color="auto"/>
              <w:left w:val="nil"/>
              <w:bottom w:val="single" w:sz="4" w:space="0" w:color="auto"/>
              <w:right w:val="nil"/>
            </w:tcBorders>
          </w:tcPr>
          <w:p w:rsidR="005A1BDD" w:rsidRPr="00D117C8" w:rsidRDefault="005A1BDD" w:rsidP="005A1BDD">
            <w:pPr>
              <w:pStyle w:val="TableBodyCells"/>
              <w:keepNext/>
              <w:keepLines/>
              <w:jc w:val="left"/>
            </w:pPr>
            <w:r w:rsidRPr="00D117C8">
              <w:t>South West Pipeline</w:t>
            </w:r>
          </w:p>
        </w:tc>
        <w:tc>
          <w:tcPr>
            <w:tcW w:w="2817" w:type="dxa"/>
            <w:tcBorders>
              <w:top w:val="single" w:sz="4" w:space="0" w:color="auto"/>
              <w:left w:val="nil"/>
              <w:bottom w:val="single" w:sz="4" w:space="0" w:color="auto"/>
              <w:right w:val="nil"/>
            </w:tcBorders>
          </w:tcPr>
          <w:p w:rsidR="005A1BDD" w:rsidRPr="00D117C8" w:rsidRDefault="00D117C8" w:rsidP="005A1BDD">
            <w:pPr>
              <w:pStyle w:val="TableBodyCells"/>
              <w:keepNext/>
              <w:keepLines/>
            </w:pPr>
            <w:r w:rsidRPr="00D117C8">
              <w:t>25.3</w:t>
            </w:r>
            <w:r w:rsidR="005A1BDD" w:rsidRPr="00D117C8">
              <w:t>%</w:t>
            </w:r>
          </w:p>
        </w:tc>
        <w:tc>
          <w:tcPr>
            <w:tcW w:w="2818" w:type="dxa"/>
            <w:tcBorders>
              <w:top w:val="single" w:sz="4" w:space="0" w:color="auto"/>
              <w:left w:val="nil"/>
              <w:bottom w:val="single" w:sz="4" w:space="0" w:color="auto"/>
              <w:right w:val="nil"/>
            </w:tcBorders>
          </w:tcPr>
          <w:p w:rsidR="005A1BDD" w:rsidRPr="00D117C8" w:rsidRDefault="005A1BDD" w:rsidP="005A1BDD">
            <w:pPr>
              <w:pStyle w:val="TableBodyCells"/>
              <w:keepNext/>
              <w:keepLines/>
            </w:pPr>
            <w:r w:rsidRPr="00D117C8">
              <w:t>97.9%</w:t>
            </w:r>
          </w:p>
        </w:tc>
      </w:tr>
      <w:tr w:rsidR="005A1BDD" w:rsidTr="005A1BDD">
        <w:tc>
          <w:tcPr>
            <w:tcW w:w="2802" w:type="dxa"/>
            <w:tcBorders>
              <w:top w:val="single" w:sz="4" w:space="0" w:color="auto"/>
              <w:left w:val="nil"/>
              <w:bottom w:val="single" w:sz="4" w:space="0" w:color="auto"/>
              <w:right w:val="nil"/>
            </w:tcBorders>
          </w:tcPr>
          <w:p w:rsidR="005A1BDD" w:rsidRDefault="005A1BDD" w:rsidP="005A1BDD">
            <w:pPr>
              <w:pStyle w:val="TableBodyCells"/>
              <w:keepNext/>
              <w:keepLines/>
              <w:jc w:val="left"/>
            </w:pPr>
            <w:r>
              <w:t>Victorian Northern Interconnect</w:t>
            </w:r>
          </w:p>
        </w:tc>
        <w:tc>
          <w:tcPr>
            <w:tcW w:w="2817" w:type="dxa"/>
            <w:tcBorders>
              <w:top w:val="single" w:sz="4" w:space="0" w:color="auto"/>
              <w:left w:val="nil"/>
              <w:bottom w:val="single" w:sz="4" w:space="0" w:color="auto"/>
              <w:right w:val="nil"/>
            </w:tcBorders>
          </w:tcPr>
          <w:p w:rsidR="005A1BDD" w:rsidRDefault="005A1BDD" w:rsidP="005A1BDD">
            <w:pPr>
              <w:pStyle w:val="TableBodyCells"/>
              <w:keepNext/>
              <w:keepLines/>
            </w:pPr>
            <w:r>
              <w:t>39.5%</w:t>
            </w:r>
          </w:p>
        </w:tc>
        <w:tc>
          <w:tcPr>
            <w:tcW w:w="2818" w:type="dxa"/>
            <w:tcBorders>
              <w:top w:val="single" w:sz="4" w:space="0" w:color="auto"/>
              <w:left w:val="nil"/>
              <w:bottom w:val="single" w:sz="4" w:space="0" w:color="auto"/>
              <w:right w:val="nil"/>
            </w:tcBorders>
          </w:tcPr>
          <w:p w:rsidR="005A1BDD" w:rsidRDefault="005A1BDD" w:rsidP="005A1BDD">
            <w:pPr>
              <w:pStyle w:val="TableBodyCells"/>
              <w:keepNext/>
              <w:keepLines/>
            </w:pPr>
            <w:r>
              <w:t>92.7%</w:t>
            </w:r>
          </w:p>
        </w:tc>
      </w:tr>
      <w:tr w:rsidR="005A1BDD" w:rsidTr="005A1BDD">
        <w:tc>
          <w:tcPr>
            <w:tcW w:w="2802" w:type="dxa"/>
            <w:tcBorders>
              <w:top w:val="single" w:sz="4" w:space="0" w:color="auto"/>
              <w:left w:val="nil"/>
              <w:bottom w:val="single" w:sz="4" w:space="0" w:color="auto"/>
              <w:right w:val="nil"/>
            </w:tcBorders>
          </w:tcPr>
          <w:p w:rsidR="005A1BDD" w:rsidRDefault="005A1BDD" w:rsidP="005A1BDD">
            <w:pPr>
              <w:pStyle w:val="TableBodyCells"/>
              <w:keepNext/>
              <w:keepLines/>
              <w:jc w:val="left"/>
            </w:pPr>
            <w:r>
              <w:t>Western Transmission System</w:t>
            </w:r>
          </w:p>
        </w:tc>
        <w:tc>
          <w:tcPr>
            <w:tcW w:w="2817" w:type="dxa"/>
            <w:tcBorders>
              <w:top w:val="single" w:sz="4" w:space="0" w:color="auto"/>
              <w:left w:val="nil"/>
              <w:bottom w:val="single" w:sz="4" w:space="0" w:color="auto"/>
              <w:right w:val="nil"/>
            </w:tcBorders>
          </w:tcPr>
          <w:p w:rsidR="005A1BDD" w:rsidRDefault="005A1BDD" w:rsidP="005A1BDD">
            <w:pPr>
              <w:pStyle w:val="TableBodyCells"/>
              <w:keepNext/>
              <w:keepLines/>
            </w:pPr>
            <w:r>
              <w:t>35.9%</w:t>
            </w:r>
          </w:p>
        </w:tc>
        <w:tc>
          <w:tcPr>
            <w:tcW w:w="2818" w:type="dxa"/>
            <w:tcBorders>
              <w:top w:val="single" w:sz="4" w:space="0" w:color="auto"/>
              <w:left w:val="nil"/>
              <w:bottom w:val="single" w:sz="4" w:space="0" w:color="auto"/>
              <w:right w:val="nil"/>
            </w:tcBorders>
          </w:tcPr>
          <w:p w:rsidR="005A1BDD" w:rsidRDefault="005A1BDD" w:rsidP="005A1BDD">
            <w:pPr>
              <w:pStyle w:val="TableBodyCells"/>
              <w:keepNext/>
              <w:keepLines/>
            </w:pPr>
            <w:r>
              <w:t>57.3%</w:t>
            </w:r>
          </w:p>
        </w:tc>
      </w:tr>
    </w:tbl>
    <w:p w:rsidR="005A1BDD" w:rsidRDefault="005A1BDD" w:rsidP="00FA5534">
      <w:pPr>
        <w:pStyle w:val="BodyText"/>
      </w:pPr>
    </w:p>
    <w:p w:rsidR="005A1BDD" w:rsidRDefault="005A1BDD" w:rsidP="00FA5534">
      <w:pPr>
        <w:pStyle w:val="BodyText"/>
      </w:pPr>
    </w:p>
    <w:p w:rsidR="005A1BDD" w:rsidRDefault="005A1BDD" w:rsidP="00FA5534">
      <w:pPr>
        <w:pStyle w:val="BodyText"/>
      </w:pPr>
    </w:p>
    <w:p w:rsidR="005A1BDD" w:rsidRDefault="005A1BDD" w:rsidP="00FA5534">
      <w:pPr>
        <w:pStyle w:val="BodyText"/>
      </w:pPr>
    </w:p>
    <w:p w:rsidR="00FA5534" w:rsidRDefault="00FA5534" w:rsidP="00FA5534">
      <w:pPr>
        <w:pStyle w:val="Heading2"/>
      </w:pPr>
      <w:bookmarkStart w:id="34" w:name="_Toc471221353"/>
      <w:r>
        <w:lastRenderedPageBreak/>
        <w:t>Forecast demand</w:t>
      </w:r>
      <w:bookmarkEnd w:id="34"/>
    </w:p>
    <w:p w:rsidR="00FA5534" w:rsidRDefault="00FA5534" w:rsidP="00FA5534">
      <w:pPr>
        <w:pStyle w:val="BodyText"/>
      </w:pPr>
      <w:r>
        <w:t>Forecast maximum and average demand for the Pipeline over the Access Arrangement Period is shown in Table 4.3 below.</w:t>
      </w:r>
      <w:r w:rsidR="00F2097A">
        <w:t xml:space="preserve"> </w:t>
      </w:r>
    </w:p>
    <w:p w:rsidR="00035608" w:rsidRPr="008A4AF0" w:rsidRDefault="00FA5534" w:rsidP="00FA5534">
      <w:pPr>
        <w:pStyle w:val="Caption"/>
      </w:pPr>
      <w:proofErr w:type="gramStart"/>
      <w:r>
        <w:t xml:space="preserve">Table </w:t>
      </w:r>
      <w:fldSimple w:instr=" STYLEREF 1 \s ">
        <w:r w:rsidR="00154DB7">
          <w:rPr>
            <w:noProof/>
          </w:rPr>
          <w:t>4</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6</w:t>
      </w:r>
      <w:r w:rsidR="007D0F77">
        <w:rPr>
          <w:noProof/>
        </w:rPr>
        <w:fldChar w:fldCharType="end"/>
      </w:r>
      <w:r>
        <w:t xml:space="preserve">:  </w:t>
      </w:r>
      <w:r w:rsidRPr="00FA5534">
        <w:t xml:space="preserve">Forecast maximum and average demand for the Pipeline over the </w:t>
      </w:r>
      <w:r w:rsidR="00996547">
        <w:t>Access Arrangement Period</w:t>
      </w:r>
    </w:p>
    <w:tbl>
      <w:tblPr>
        <w:tblW w:w="0" w:type="auto"/>
        <w:tblBorders>
          <w:top w:val="single" w:sz="6" w:space="0" w:color="000000"/>
          <w:bottom w:val="single" w:sz="6" w:space="0" w:color="000000"/>
          <w:insideH w:val="single" w:sz="6" w:space="0" w:color="000000"/>
        </w:tblBorders>
        <w:tblLayout w:type="fixed"/>
        <w:tblLook w:val="01E0" w:firstRow="1" w:lastRow="1" w:firstColumn="1" w:lastColumn="1" w:noHBand="0" w:noVBand="0"/>
      </w:tblPr>
      <w:tblGrid>
        <w:gridCol w:w="2093"/>
        <w:gridCol w:w="1268"/>
        <w:gridCol w:w="1269"/>
        <w:gridCol w:w="1269"/>
        <w:gridCol w:w="1269"/>
        <w:gridCol w:w="1269"/>
      </w:tblGrid>
      <w:tr w:rsidR="005E6094" w:rsidRPr="008A4AF0" w:rsidTr="00F02850">
        <w:tc>
          <w:tcPr>
            <w:tcW w:w="2093" w:type="dxa"/>
            <w:tcBorders>
              <w:bottom w:val="single" w:sz="6" w:space="0" w:color="000000"/>
            </w:tcBorders>
            <w:shd w:val="clear" w:color="auto" w:fill="333333"/>
          </w:tcPr>
          <w:p w:rsidR="005E6094" w:rsidRPr="008A5DC8" w:rsidRDefault="005E6094" w:rsidP="002D79FF">
            <w:pPr>
              <w:pStyle w:val="TableColumnHeadings"/>
              <w:keepNext/>
              <w:spacing w:before="80" w:after="80"/>
              <w:jc w:val="left"/>
              <w:rPr>
                <w:rFonts w:ascii="Century Gothic" w:hAnsi="Century Gothic"/>
              </w:rPr>
            </w:pPr>
          </w:p>
        </w:tc>
        <w:tc>
          <w:tcPr>
            <w:tcW w:w="1268" w:type="dxa"/>
            <w:tcBorders>
              <w:bottom w:val="single" w:sz="6" w:space="0" w:color="000000"/>
            </w:tcBorders>
            <w:shd w:val="clear" w:color="auto" w:fill="333333"/>
          </w:tcPr>
          <w:p w:rsidR="005E6094" w:rsidRPr="008A5DC8" w:rsidRDefault="005E6094" w:rsidP="002D79FF">
            <w:pPr>
              <w:pStyle w:val="TableColumnHeadings"/>
              <w:spacing w:before="80" w:after="80"/>
              <w:rPr>
                <w:rFonts w:ascii="Century Gothic" w:hAnsi="Century Gothic"/>
              </w:rPr>
            </w:pPr>
            <w:r>
              <w:rPr>
                <w:rFonts w:ascii="Century Gothic" w:hAnsi="Century Gothic"/>
              </w:rPr>
              <w:t>2018</w:t>
            </w:r>
          </w:p>
        </w:tc>
        <w:tc>
          <w:tcPr>
            <w:tcW w:w="1269" w:type="dxa"/>
            <w:tcBorders>
              <w:bottom w:val="single" w:sz="6" w:space="0" w:color="000000"/>
            </w:tcBorders>
            <w:shd w:val="clear" w:color="auto" w:fill="333333"/>
          </w:tcPr>
          <w:p w:rsidR="005E6094" w:rsidRPr="008A5DC8" w:rsidRDefault="005E6094" w:rsidP="002D79FF">
            <w:pPr>
              <w:pStyle w:val="TableColumnHeadings"/>
              <w:spacing w:before="80" w:after="80"/>
              <w:rPr>
                <w:rFonts w:ascii="Century Gothic" w:hAnsi="Century Gothic"/>
              </w:rPr>
            </w:pPr>
            <w:r>
              <w:rPr>
                <w:rFonts w:ascii="Century Gothic" w:hAnsi="Century Gothic"/>
              </w:rPr>
              <w:t>2019</w:t>
            </w:r>
          </w:p>
        </w:tc>
        <w:tc>
          <w:tcPr>
            <w:tcW w:w="1269" w:type="dxa"/>
            <w:tcBorders>
              <w:bottom w:val="single" w:sz="6" w:space="0" w:color="000000"/>
            </w:tcBorders>
            <w:shd w:val="clear" w:color="auto" w:fill="333333"/>
          </w:tcPr>
          <w:p w:rsidR="005E6094" w:rsidRPr="008A5DC8" w:rsidRDefault="005E6094" w:rsidP="002D79FF">
            <w:pPr>
              <w:pStyle w:val="TableColumnHeadings"/>
              <w:spacing w:before="80" w:after="80"/>
              <w:rPr>
                <w:rFonts w:ascii="Century Gothic" w:hAnsi="Century Gothic"/>
              </w:rPr>
            </w:pPr>
            <w:r>
              <w:rPr>
                <w:rFonts w:ascii="Century Gothic" w:hAnsi="Century Gothic"/>
              </w:rPr>
              <w:t>2020</w:t>
            </w:r>
          </w:p>
        </w:tc>
        <w:tc>
          <w:tcPr>
            <w:tcW w:w="1269" w:type="dxa"/>
            <w:tcBorders>
              <w:bottom w:val="single" w:sz="6" w:space="0" w:color="000000"/>
            </w:tcBorders>
            <w:shd w:val="clear" w:color="auto" w:fill="333333"/>
          </w:tcPr>
          <w:p w:rsidR="005E6094" w:rsidRPr="008A5DC8" w:rsidRDefault="005E6094" w:rsidP="002D79FF">
            <w:pPr>
              <w:pStyle w:val="TableColumnHeadings"/>
              <w:spacing w:before="80" w:after="80"/>
              <w:rPr>
                <w:rFonts w:ascii="Century Gothic" w:hAnsi="Century Gothic"/>
              </w:rPr>
            </w:pPr>
            <w:r>
              <w:rPr>
                <w:rFonts w:ascii="Century Gothic" w:hAnsi="Century Gothic"/>
              </w:rPr>
              <w:t>2021</w:t>
            </w:r>
          </w:p>
        </w:tc>
        <w:tc>
          <w:tcPr>
            <w:tcW w:w="1269" w:type="dxa"/>
            <w:tcBorders>
              <w:bottom w:val="single" w:sz="6" w:space="0" w:color="000000"/>
            </w:tcBorders>
            <w:shd w:val="clear" w:color="auto" w:fill="333333"/>
          </w:tcPr>
          <w:p w:rsidR="005E6094" w:rsidRPr="008A5DC8" w:rsidRDefault="005E6094" w:rsidP="002D79FF">
            <w:pPr>
              <w:pStyle w:val="TableColumnHeadings"/>
              <w:spacing w:before="80" w:after="80"/>
              <w:rPr>
                <w:rFonts w:ascii="Century Gothic" w:hAnsi="Century Gothic"/>
              </w:rPr>
            </w:pPr>
            <w:r>
              <w:rPr>
                <w:rFonts w:ascii="Century Gothic" w:hAnsi="Century Gothic"/>
              </w:rPr>
              <w:t>2022</w:t>
            </w:r>
          </w:p>
        </w:tc>
      </w:tr>
      <w:tr w:rsidR="005E6094" w:rsidRPr="003D42B3" w:rsidTr="00F02850">
        <w:tc>
          <w:tcPr>
            <w:tcW w:w="2093" w:type="dxa"/>
            <w:shd w:val="clear" w:color="auto" w:fill="D9D9D9" w:themeFill="background1" w:themeFillShade="D9"/>
            <w:vAlign w:val="center"/>
          </w:tcPr>
          <w:p w:rsidR="005E6094" w:rsidRPr="003D42B3" w:rsidRDefault="005E6094" w:rsidP="002D79FF">
            <w:pPr>
              <w:pStyle w:val="TableBodyCells"/>
              <w:keepNext/>
              <w:spacing w:before="80" w:after="80"/>
              <w:jc w:val="left"/>
              <w:rPr>
                <w:b/>
              </w:rPr>
            </w:pPr>
            <w:r w:rsidRPr="003D42B3">
              <w:rPr>
                <w:b/>
              </w:rPr>
              <w:t>Annual (PJ)</w:t>
            </w:r>
          </w:p>
        </w:tc>
        <w:tc>
          <w:tcPr>
            <w:tcW w:w="1268" w:type="dxa"/>
            <w:shd w:val="clear" w:color="auto" w:fill="D9D9D9" w:themeFill="background1" w:themeFillShade="D9"/>
            <w:vAlign w:val="center"/>
          </w:tcPr>
          <w:p w:rsidR="005E6094" w:rsidRPr="003D42B3" w:rsidRDefault="005E6094" w:rsidP="002D79FF">
            <w:pPr>
              <w:pStyle w:val="TableBodyCells"/>
              <w:spacing w:before="80" w:after="80"/>
              <w:rPr>
                <w:b/>
              </w:rPr>
            </w:pPr>
          </w:p>
        </w:tc>
        <w:tc>
          <w:tcPr>
            <w:tcW w:w="1269" w:type="dxa"/>
            <w:shd w:val="clear" w:color="auto" w:fill="D9D9D9" w:themeFill="background1" w:themeFillShade="D9"/>
            <w:vAlign w:val="center"/>
          </w:tcPr>
          <w:p w:rsidR="005E6094" w:rsidRPr="003D42B3" w:rsidRDefault="005E6094" w:rsidP="002D79FF">
            <w:pPr>
              <w:pStyle w:val="TableBodyCells"/>
              <w:spacing w:before="80" w:after="80"/>
              <w:rPr>
                <w:b/>
              </w:rPr>
            </w:pPr>
          </w:p>
        </w:tc>
        <w:tc>
          <w:tcPr>
            <w:tcW w:w="1269" w:type="dxa"/>
            <w:shd w:val="clear" w:color="auto" w:fill="D9D9D9" w:themeFill="background1" w:themeFillShade="D9"/>
            <w:vAlign w:val="center"/>
          </w:tcPr>
          <w:p w:rsidR="005E6094" w:rsidRPr="003D42B3" w:rsidRDefault="005E6094" w:rsidP="002D79FF">
            <w:pPr>
              <w:pStyle w:val="TableBodyCells"/>
              <w:spacing w:before="80" w:after="80"/>
              <w:rPr>
                <w:b/>
              </w:rPr>
            </w:pPr>
          </w:p>
        </w:tc>
        <w:tc>
          <w:tcPr>
            <w:tcW w:w="1269" w:type="dxa"/>
            <w:shd w:val="clear" w:color="auto" w:fill="D9D9D9" w:themeFill="background1" w:themeFillShade="D9"/>
            <w:vAlign w:val="center"/>
          </w:tcPr>
          <w:p w:rsidR="005E6094" w:rsidRPr="003D42B3" w:rsidRDefault="005E6094" w:rsidP="002D79FF">
            <w:pPr>
              <w:pStyle w:val="TableBodyCells"/>
              <w:spacing w:before="80" w:after="80"/>
              <w:rPr>
                <w:b/>
              </w:rPr>
            </w:pPr>
          </w:p>
        </w:tc>
        <w:tc>
          <w:tcPr>
            <w:tcW w:w="1269" w:type="dxa"/>
            <w:shd w:val="clear" w:color="auto" w:fill="D9D9D9" w:themeFill="background1" w:themeFillShade="D9"/>
          </w:tcPr>
          <w:p w:rsidR="005E6094" w:rsidRPr="003D42B3" w:rsidRDefault="005E6094" w:rsidP="002D79FF">
            <w:pPr>
              <w:pStyle w:val="TableBodyCells"/>
              <w:spacing w:before="80" w:after="80"/>
              <w:rPr>
                <w:b/>
              </w:rPr>
            </w:pPr>
          </w:p>
        </w:tc>
      </w:tr>
      <w:tr w:rsidR="00D117C8" w:rsidRPr="008A4AF0" w:rsidTr="00C64356">
        <w:tc>
          <w:tcPr>
            <w:tcW w:w="2093" w:type="dxa"/>
            <w:shd w:val="clear" w:color="auto" w:fill="auto"/>
            <w:vAlign w:val="center"/>
          </w:tcPr>
          <w:p w:rsidR="00D117C8" w:rsidRPr="008A4AF0" w:rsidRDefault="00D117C8" w:rsidP="002D79FF">
            <w:pPr>
              <w:pStyle w:val="TableBodyCells"/>
              <w:keepNext/>
              <w:spacing w:before="80" w:after="80"/>
              <w:jc w:val="left"/>
            </w:pPr>
            <w:r>
              <w:t>Tariffs V&amp;D</w:t>
            </w:r>
            <w:r>
              <w:rPr>
                <w:rStyle w:val="FootnoteReference"/>
              </w:rPr>
              <w:footnoteReference w:id="11"/>
            </w:r>
            <w:r>
              <w:t xml:space="preserve"> </w:t>
            </w:r>
          </w:p>
        </w:tc>
        <w:tc>
          <w:tcPr>
            <w:tcW w:w="1268" w:type="dxa"/>
            <w:shd w:val="clear" w:color="auto" w:fill="auto"/>
          </w:tcPr>
          <w:p w:rsidR="00D117C8" w:rsidRPr="0069428F" w:rsidRDefault="00D117C8" w:rsidP="00D117C8">
            <w:pPr>
              <w:pStyle w:val="TableBodyCells"/>
              <w:spacing w:before="80" w:after="80"/>
              <w:jc w:val="right"/>
            </w:pPr>
            <w:r w:rsidRPr="0069428F">
              <w:t>181.6</w:t>
            </w:r>
          </w:p>
        </w:tc>
        <w:tc>
          <w:tcPr>
            <w:tcW w:w="1269" w:type="dxa"/>
            <w:shd w:val="clear" w:color="auto" w:fill="auto"/>
          </w:tcPr>
          <w:p w:rsidR="00D117C8" w:rsidRPr="0069428F" w:rsidRDefault="00D117C8" w:rsidP="00D117C8">
            <w:pPr>
              <w:pStyle w:val="TableBodyCells"/>
              <w:spacing w:before="80" w:after="80"/>
              <w:jc w:val="right"/>
            </w:pPr>
            <w:r w:rsidRPr="0069428F">
              <w:t>179.6</w:t>
            </w:r>
          </w:p>
        </w:tc>
        <w:tc>
          <w:tcPr>
            <w:tcW w:w="1269" w:type="dxa"/>
            <w:shd w:val="clear" w:color="auto" w:fill="auto"/>
          </w:tcPr>
          <w:p w:rsidR="00D117C8" w:rsidRPr="0069428F" w:rsidRDefault="00D117C8" w:rsidP="00D117C8">
            <w:pPr>
              <w:pStyle w:val="TableBodyCells"/>
              <w:spacing w:before="80" w:after="80"/>
              <w:jc w:val="right"/>
            </w:pPr>
            <w:r w:rsidRPr="0069428F">
              <w:t>177.5</w:t>
            </w:r>
          </w:p>
        </w:tc>
        <w:tc>
          <w:tcPr>
            <w:tcW w:w="1269" w:type="dxa"/>
            <w:shd w:val="clear" w:color="auto" w:fill="auto"/>
          </w:tcPr>
          <w:p w:rsidR="00D117C8" w:rsidRPr="0069428F" w:rsidRDefault="00D117C8" w:rsidP="00D117C8">
            <w:pPr>
              <w:pStyle w:val="TableBodyCells"/>
              <w:spacing w:before="80" w:after="80"/>
              <w:jc w:val="right"/>
            </w:pPr>
            <w:r w:rsidRPr="0069428F">
              <w:t>176.7</w:t>
            </w:r>
          </w:p>
        </w:tc>
        <w:tc>
          <w:tcPr>
            <w:tcW w:w="1269" w:type="dxa"/>
          </w:tcPr>
          <w:p w:rsidR="00D117C8" w:rsidRDefault="00D117C8" w:rsidP="00D117C8">
            <w:pPr>
              <w:pStyle w:val="TableBodyCells"/>
              <w:spacing w:before="80" w:after="80"/>
              <w:jc w:val="right"/>
            </w:pPr>
            <w:r w:rsidRPr="0069428F">
              <w:t>175.0</w:t>
            </w:r>
          </w:p>
        </w:tc>
      </w:tr>
      <w:tr w:rsidR="00D117C8" w:rsidRPr="008A4AF0" w:rsidTr="00C64356">
        <w:tc>
          <w:tcPr>
            <w:tcW w:w="2093" w:type="dxa"/>
            <w:tcBorders>
              <w:bottom w:val="single" w:sz="6" w:space="0" w:color="000000"/>
            </w:tcBorders>
            <w:shd w:val="clear" w:color="auto" w:fill="auto"/>
            <w:vAlign w:val="center"/>
          </w:tcPr>
          <w:p w:rsidR="00D117C8" w:rsidRPr="008A4AF0" w:rsidRDefault="00D117C8" w:rsidP="002D79FF">
            <w:pPr>
              <w:pStyle w:val="TableBodyCells"/>
              <w:keepNext/>
              <w:spacing w:before="80" w:after="80"/>
              <w:jc w:val="left"/>
            </w:pPr>
            <w:r>
              <w:t>GPG</w:t>
            </w:r>
          </w:p>
        </w:tc>
        <w:tc>
          <w:tcPr>
            <w:tcW w:w="1268" w:type="dxa"/>
            <w:tcBorders>
              <w:bottom w:val="single" w:sz="6" w:space="0" w:color="000000"/>
            </w:tcBorders>
            <w:shd w:val="clear" w:color="auto" w:fill="auto"/>
          </w:tcPr>
          <w:p w:rsidR="00D117C8" w:rsidRPr="00D8456F" w:rsidRDefault="00D117C8" w:rsidP="00D117C8">
            <w:pPr>
              <w:pStyle w:val="TableBodyCells"/>
              <w:spacing w:before="80" w:after="80"/>
              <w:jc w:val="right"/>
            </w:pPr>
            <w:r w:rsidRPr="00D8456F">
              <w:t>5.3</w:t>
            </w:r>
          </w:p>
        </w:tc>
        <w:tc>
          <w:tcPr>
            <w:tcW w:w="1269" w:type="dxa"/>
            <w:tcBorders>
              <w:bottom w:val="single" w:sz="6" w:space="0" w:color="000000"/>
            </w:tcBorders>
            <w:shd w:val="clear" w:color="auto" w:fill="auto"/>
          </w:tcPr>
          <w:p w:rsidR="00D117C8" w:rsidRPr="00D8456F" w:rsidRDefault="00D117C8" w:rsidP="00D117C8">
            <w:pPr>
              <w:pStyle w:val="TableBodyCells"/>
              <w:spacing w:before="80" w:after="80"/>
              <w:jc w:val="right"/>
            </w:pPr>
            <w:r w:rsidRPr="00D8456F">
              <w:t>1.8</w:t>
            </w:r>
          </w:p>
        </w:tc>
        <w:tc>
          <w:tcPr>
            <w:tcW w:w="1269" w:type="dxa"/>
            <w:tcBorders>
              <w:bottom w:val="single" w:sz="6" w:space="0" w:color="000000"/>
            </w:tcBorders>
            <w:shd w:val="clear" w:color="auto" w:fill="auto"/>
          </w:tcPr>
          <w:p w:rsidR="00D117C8" w:rsidRPr="00D8456F" w:rsidRDefault="00D117C8" w:rsidP="00D117C8">
            <w:pPr>
              <w:pStyle w:val="TableBodyCells"/>
              <w:spacing w:before="80" w:after="80"/>
              <w:jc w:val="right"/>
            </w:pPr>
            <w:r w:rsidRPr="00D8456F">
              <w:t>1.9</w:t>
            </w:r>
          </w:p>
        </w:tc>
        <w:tc>
          <w:tcPr>
            <w:tcW w:w="1269" w:type="dxa"/>
            <w:tcBorders>
              <w:bottom w:val="single" w:sz="6" w:space="0" w:color="000000"/>
            </w:tcBorders>
            <w:shd w:val="clear" w:color="auto" w:fill="auto"/>
          </w:tcPr>
          <w:p w:rsidR="00D117C8" w:rsidRPr="00D8456F" w:rsidRDefault="00D117C8" w:rsidP="00D117C8">
            <w:pPr>
              <w:pStyle w:val="TableBodyCells"/>
              <w:spacing w:before="80" w:after="80"/>
              <w:jc w:val="right"/>
            </w:pPr>
            <w:r w:rsidRPr="00D8456F">
              <w:t>0.6</w:t>
            </w:r>
          </w:p>
        </w:tc>
        <w:tc>
          <w:tcPr>
            <w:tcW w:w="1269" w:type="dxa"/>
            <w:tcBorders>
              <w:bottom w:val="single" w:sz="6" w:space="0" w:color="000000"/>
            </w:tcBorders>
          </w:tcPr>
          <w:p w:rsidR="00D117C8" w:rsidRDefault="00D117C8" w:rsidP="00D117C8">
            <w:pPr>
              <w:pStyle w:val="TableBodyCells"/>
              <w:spacing w:before="80" w:after="80"/>
              <w:jc w:val="right"/>
            </w:pPr>
            <w:r w:rsidRPr="00D8456F">
              <w:t>0.8</w:t>
            </w:r>
          </w:p>
        </w:tc>
      </w:tr>
      <w:tr w:rsidR="005E6094" w:rsidRPr="008A4AF0" w:rsidTr="00F02850">
        <w:tc>
          <w:tcPr>
            <w:tcW w:w="2093" w:type="dxa"/>
            <w:tcBorders>
              <w:bottom w:val="single" w:sz="6" w:space="0" w:color="000000"/>
            </w:tcBorders>
            <w:shd w:val="clear" w:color="auto" w:fill="auto"/>
            <w:vAlign w:val="center"/>
          </w:tcPr>
          <w:p w:rsidR="005E6094" w:rsidRPr="008A4AF0" w:rsidRDefault="005E6094" w:rsidP="002D79FF">
            <w:pPr>
              <w:pStyle w:val="TableBodyCells"/>
              <w:keepNext/>
              <w:spacing w:before="80" w:after="80"/>
              <w:jc w:val="left"/>
            </w:pPr>
            <w:r>
              <w:t>Culcairn</w:t>
            </w:r>
          </w:p>
        </w:tc>
        <w:tc>
          <w:tcPr>
            <w:tcW w:w="1268" w:type="dxa"/>
            <w:tcBorders>
              <w:bottom w:val="single" w:sz="6" w:space="0" w:color="000000"/>
            </w:tcBorders>
            <w:shd w:val="clear" w:color="auto" w:fill="auto"/>
            <w:vAlign w:val="center"/>
          </w:tcPr>
          <w:p w:rsidR="005E6094" w:rsidRPr="008A4AF0" w:rsidRDefault="005E6094" w:rsidP="002D79FF">
            <w:pPr>
              <w:pStyle w:val="TableBodyCells"/>
              <w:spacing w:before="80" w:after="80"/>
              <w:jc w:val="right"/>
            </w:pPr>
            <w:r>
              <w:t>29.6</w:t>
            </w:r>
          </w:p>
        </w:tc>
        <w:tc>
          <w:tcPr>
            <w:tcW w:w="1269" w:type="dxa"/>
            <w:tcBorders>
              <w:bottom w:val="single" w:sz="6" w:space="0" w:color="000000"/>
            </w:tcBorders>
            <w:shd w:val="clear" w:color="auto" w:fill="auto"/>
            <w:vAlign w:val="center"/>
          </w:tcPr>
          <w:p w:rsidR="005E6094" w:rsidRPr="008A4AF0" w:rsidRDefault="005E6094" w:rsidP="002D79FF">
            <w:pPr>
              <w:pStyle w:val="TableBodyCells"/>
              <w:spacing w:before="80" w:after="80"/>
              <w:jc w:val="right"/>
            </w:pPr>
            <w:r>
              <w:t>29.6</w:t>
            </w:r>
          </w:p>
        </w:tc>
        <w:tc>
          <w:tcPr>
            <w:tcW w:w="1269" w:type="dxa"/>
            <w:tcBorders>
              <w:bottom w:val="single" w:sz="6" w:space="0" w:color="000000"/>
            </w:tcBorders>
            <w:shd w:val="clear" w:color="auto" w:fill="auto"/>
            <w:vAlign w:val="center"/>
          </w:tcPr>
          <w:p w:rsidR="005E6094" w:rsidRPr="008A4AF0" w:rsidRDefault="005E6094" w:rsidP="002D79FF">
            <w:pPr>
              <w:pStyle w:val="TableBodyCells"/>
              <w:spacing w:before="80" w:after="80"/>
              <w:jc w:val="right"/>
            </w:pPr>
            <w:r>
              <w:t>29.6</w:t>
            </w:r>
          </w:p>
        </w:tc>
        <w:tc>
          <w:tcPr>
            <w:tcW w:w="1269" w:type="dxa"/>
            <w:tcBorders>
              <w:bottom w:val="single" w:sz="6" w:space="0" w:color="000000"/>
            </w:tcBorders>
            <w:shd w:val="clear" w:color="auto" w:fill="auto"/>
            <w:vAlign w:val="center"/>
          </w:tcPr>
          <w:p w:rsidR="005E6094" w:rsidRPr="008A4AF0" w:rsidRDefault="005E6094" w:rsidP="002D79FF">
            <w:pPr>
              <w:pStyle w:val="TableBodyCells"/>
              <w:spacing w:before="80" w:after="80"/>
              <w:jc w:val="right"/>
            </w:pPr>
            <w:r>
              <w:t>29.6</w:t>
            </w:r>
          </w:p>
        </w:tc>
        <w:tc>
          <w:tcPr>
            <w:tcW w:w="1269" w:type="dxa"/>
            <w:tcBorders>
              <w:bottom w:val="single" w:sz="6" w:space="0" w:color="000000"/>
            </w:tcBorders>
          </w:tcPr>
          <w:p w:rsidR="005E6094" w:rsidRPr="008A4AF0" w:rsidRDefault="005E6094" w:rsidP="002D79FF">
            <w:pPr>
              <w:pStyle w:val="TableBodyCells"/>
              <w:spacing w:before="80" w:after="80"/>
              <w:jc w:val="right"/>
            </w:pPr>
            <w:r>
              <w:t>29.6</w:t>
            </w:r>
          </w:p>
        </w:tc>
      </w:tr>
      <w:tr w:rsidR="005E6094" w:rsidRPr="008A4AF0" w:rsidTr="00F02850">
        <w:tc>
          <w:tcPr>
            <w:tcW w:w="2093" w:type="dxa"/>
            <w:tcBorders>
              <w:bottom w:val="single" w:sz="6" w:space="0" w:color="000000"/>
            </w:tcBorders>
            <w:shd w:val="clear" w:color="auto" w:fill="auto"/>
            <w:vAlign w:val="center"/>
          </w:tcPr>
          <w:p w:rsidR="005E6094" w:rsidRPr="008A4AF0" w:rsidRDefault="005E6094" w:rsidP="002D79FF">
            <w:pPr>
              <w:pStyle w:val="TableBodyCells"/>
              <w:keepNext/>
              <w:spacing w:before="80" w:after="80"/>
              <w:jc w:val="left"/>
            </w:pPr>
            <w:proofErr w:type="spellStart"/>
            <w:r>
              <w:t>VicHub</w:t>
            </w:r>
            <w:proofErr w:type="spellEnd"/>
          </w:p>
        </w:tc>
        <w:tc>
          <w:tcPr>
            <w:tcW w:w="1268" w:type="dxa"/>
            <w:tcBorders>
              <w:bottom w:val="single" w:sz="6" w:space="0" w:color="000000"/>
            </w:tcBorders>
            <w:shd w:val="clear" w:color="auto" w:fill="auto"/>
            <w:vAlign w:val="center"/>
          </w:tcPr>
          <w:p w:rsidR="005E6094" w:rsidRPr="008A4AF0" w:rsidRDefault="005E6094" w:rsidP="002D79FF">
            <w:pPr>
              <w:pStyle w:val="TableBodyCells"/>
              <w:spacing w:before="80" w:after="80"/>
              <w:jc w:val="right"/>
            </w:pPr>
            <w:r>
              <w:t>0</w:t>
            </w:r>
          </w:p>
        </w:tc>
        <w:tc>
          <w:tcPr>
            <w:tcW w:w="1269" w:type="dxa"/>
            <w:tcBorders>
              <w:bottom w:val="single" w:sz="6" w:space="0" w:color="000000"/>
            </w:tcBorders>
            <w:shd w:val="clear" w:color="auto" w:fill="auto"/>
            <w:vAlign w:val="center"/>
          </w:tcPr>
          <w:p w:rsidR="005E6094" w:rsidRPr="008A4AF0" w:rsidRDefault="005E6094" w:rsidP="002D79FF">
            <w:pPr>
              <w:pStyle w:val="TableBodyCells"/>
              <w:spacing w:before="80" w:after="80"/>
              <w:jc w:val="right"/>
            </w:pPr>
            <w:r>
              <w:t>0</w:t>
            </w:r>
          </w:p>
        </w:tc>
        <w:tc>
          <w:tcPr>
            <w:tcW w:w="1269" w:type="dxa"/>
            <w:tcBorders>
              <w:bottom w:val="single" w:sz="6" w:space="0" w:color="000000"/>
            </w:tcBorders>
            <w:shd w:val="clear" w:color="auto" w:fill="auto"/>
            <w:vAlign w:val="center"/>
          </w:tcPr>
          <w:p w:rsidR="005E6094" w:rsidRPr="008A4AF0" w:rsidRDefault="005E6094" w:rsidP="002D79FF">
            <w:pPr>
              <w:pStyle w:val="TableBodyCells"/>
              <w:spacing w:before="80" w:after="80"/>
              <w:jc w:val="right"/>
            </w:pPr>
            <w:r>
              <w:t>0</w:t>
            </w:r>
          </w:p>
        </w:tc>
        <w:tc>
          <w:tcPr>
            <w:tcW w:w="1269" w:type="dxa"/>
            <w:tcBorders>
              <w:bottom w:val="single" w:sz="6" w:space="0" w:color="000000"/>
            </w:tcBorders>
            <w:shd w:val="clear" w:color="auto" w:fill="auto"/>
            <w:vAlign w:val="center"/>
          </w:tcPr>
          <w:p w:rsidR="005E6094" w:rsidRPr="008A4AF0" w:rsidRDefault="005E6094" w:rsidP="002D79FF">
            <w:pPr>
              <w:pStyle w:val="TableBodyCells"/>
              <w:spacing w:before="80" w:after="80"/>
              <w:jc w:val="right"/>
            </w:pPr>
            <w:r>
              <w:t>0</w:t>
            </w:r>
          </w:p>
        </w:tc>
        <w:tc>
          <w:tcPr>
            <w:tcW w:w="1269" w:type="dxa"/>
            <w:tcBorders>
              <w:bottom w:val="single" w:sz="6" w:space="0" w:color="000000"/>
            </w:tcBorders>
          </w:tcPr>
          <w:p w:rsidR="005E6094" w:rsidRPr="008A4AF0" w:rsidRDefault="005E6094" w:rsidP="002D79FF">
            <w:pPr>
              <w:pStyle w:val="TableBodyCells"/>
              <w:spacing w:before="80" w:after="80"/>
              <w:jc w:val="right"/>
            </w:pPr>
            <w:r>
              <w:t>0</w:t>
            </w:r>
          </w:p>
        </w:tc>
      </w:tr>
      <w:tr w:rsidR="00D117C8" w:rsidRPr="00D117C8" w:rsidTr="00D117C8">
        <w:tc>
          <w:tcPr>
            <w:tcW w:w="2093" w:type="dxa"/>
            <w:tcBorders>
              <w:bottom w:val="single" w:sz="6" w:space="0" w:color="000000"/>
            </w:tcBorders>
            <w:shd w:val="clear" w:color="auto" w:fill="auto"/>
            <w:vAlign w:val="center"/>
          </w:tcPr>
          <w:p w:rsidR="00D117C8" w:rsidRPr="00D117C8" w:rsidRDefault="00D117C8" w:rsidP="002D79FF">
            <w:pPr>
              <w:pStyle w:val="TableBodyCells"/>
              <w:keepNext/>
              <w:spacing w:before="80" w:after="80"/>
              <w:jc w:val="left"/>
              <w:rPr>
                <w:b/>
              </w:rPr>
            </w:pPr>
            <w:r w:rsidRPr="00D117C8">
              <w:rPr>
                <w:b/>
              </w:rPr>
              <w:t>Sub-total</w:t>
            </w:r>
          </w:p>
        </w:tc>
        <w:tc>
          <w:tcPr>
            <w:tcW w:w="1268" w:type="dxa"/>
            <w:tcBorders>
              <w:bottom w:val="single" w:sz="6" w:space="0" w:color="000000"/>
            </w:tcBorders>
            <w:shd w:val="clear" w:color="auto" w:fill="auto"/>
            <w:vAlign w:val="center"/>
          </w:tcPr>
          <w:p w:rsidR="00D117C8" w:rsidRPr="00D117C8" w:rsidRDefault="00D117C8" w:rsidP="00D117C8">
            <w:pPr>
              <w:jc w:val="right"/>
              <w:rPr>
                <w:b/>
                <w:sz w:val="18"/>
                <w:szCs w:val="18"/>
              </w:rPr>
            </w:pPr>
            <w:r w:rsidRPr="00D117C8">
              <w:rPr>
                <w:b/>
                <w:sz w:val="18"/>
                <w:szCs w:val="18"/>
              </w:rPr>
              <w:t>216.5</w:t>
            </w:r>
          </w:p>
        </w:tc>
        <w:tc>
          <w:tcPr>
            <w:tcW w:w="1269" w:type="dxa"/>
            <w:tcBorders>
              <w:bottom w:val="single" w:sz="6" w:space="0" w:color="000000"/>
            </w:tcBorders>
            <w:shd w:val="clear" w:color="auto" w:fill="auto"/>
            <w:vAlign w:val="center"/>
          </w:tcPr>
          <w:p w:rsidR="00D117C8" w:rsidRPr="00D117C8" w:rsidRDefault="00D117C8" w:rsidP="00D117C8">
            <w:pPr>
              <w:jc w:val="right"/>
              <w:rPr>
                <w:b/>
                <w:sz w:val="18"/>
                <w:szCs w:val="18"/>
              </w:rPr>
            </w:pPr>
            <w:r w:rsidRPr="00D117C8">
              <w:rPr>
                <w:b/>
                <w:sz w:val="18"/>
                <w:szCs w:val="18"/>
              </w:rPr>
              <w:t>211.0</w:t>
            </w:r>
          </w:p>
        </w:tc>
        <w:tc>
          <w:tcPr>
            <w:tcW w:w="1269" w:type="dxa"/>
            <w:tcBorders>
              <w:bottom w:val="single" w:sz="6" w:space="0" w:color="000000"/>
            </w:tcBorders>
            <w:shd w:val="clear" w:color="auto" w:fill="auto"/>
            <w:vAlign w:val="center"/>
          </w:tcPr>
          <w:p w:rsidR="00D117C8" w:rsidRPr="00D117C8" w:rsidRDefault="00D117C8" w:rsidP="00D117C8">
            <w:pPr>
              <w:jc w:val="right"/>
              <w:rPr>
                <w:b/>
                <w:sz w:val="18"/>
                <w:szCs w:val="18"/>
              </w:rPr>
            </w:pPr>
            <w:r w:rsidRPr="00D117C8">
              <w:rPr>
                <w:b/>
                <w:sz w:val="18"/>
                <w:szCs w:val="18"/>
              </w:rPr>
              <w:t>209.0</w:t>
            </w:r>
          </w:p>
        </w:tc>
        <w:tc>
          <w:tcPr>
            <w:tcW w:w="1269" w:type="dxa"/>
            <w:tcBorders>
              <w:bottom w:val="single" w:sz="6" w:space="0" w:color="000000"/>
            </w:tcBorders>
            <w:shd w:val="clear" w:color="auto" w:fill="auto"/>
            <w:vAlign w:val="center"/>
          </w:tcPr>
          <w:p w:rsidR="00D117C8" w:rsidRPr="00D117C8" w:rsidRDefault="00D117C8" w:rsidP="00D117C8">
            <w:pPr>
              <w:jc w:val="right"/>
              <w:rPr>
                <w:b/>
                <w:sz w:val="18"/>
                <w:szCs w:val="18"/>
              </w:rPr>
            </w:pPr>
            <w:r w:rsidRPr="00D117C8">
              <w:rPr>
                <w:b/>
                <w:sz w:val="18"/>
                <w:szCs w:val="18"/>
              </w:rPr>
              <w:t>206.9</w:t>
            </w:r>
          </w:p>
        </w:tc>
        <w:tc>
          <w:tcPr>
            <w:tcW w:w="1269" w:type="dxa"/>
            <w:tcBorders>
              <w:bottom w:val="single" w:sz="6" w:space="0" w:color="000000"/>
            </w:tcBorders>
            <w:vAlign w:val="center"/>
          </w:tcPr>
          <w:p w:rsidR="00D117C8" w:rsidRPr="00D117C8" w:rsidRDefault="00D117C8" w:rsidP="00D117C8">
            <w:pPr>
              <w:jc w:val="right"/>
              <w:rPr>
                <w:b/>
                <w:sz w:val="18"/>
                <w:szCs w:val="18"/>
              </w:rPr>
            </w:pPr>
            <w:r w:rsidRPr="00D117C8">
              <w:rPr>
                <w:b/>
                <w:sz w:val="18"/>
                <w:szCs w:val="18"/>
              </w:rPr>
              <w:t>205.4</w:t>
            </w:r>
          </w:p>
        </w:tc>
      </w:tr>
      <w:tr w:rsidR="00D117C8" w:rsidRPr="008A4AF0" w:rsidTr="00C64356">
        <w:tc>
          <w:tcPr>
            <w:tcW w:w="2093" w:type="dxa"/>
            <w:tcBorders>
              <w:bottom w:val="single" w:sz="6" w:space="0" w:color="000000"/>
            </w:tcBorders>
            <w:shd w:val="clear" w:color="auto" w:fill="auto"/>
            <w:vAlign w:val="center"/>
          </w:tcPr>
          <w:p w:rsidR="00D117C8" w:rsidRPr="008A4AF0" w:rsidRDefault="00D117C8" w:rsidP="002D79FF">
            <w:pPr>
              <w:pStyle w:val="TableBodyCells"/>
              <w:keepNext/>
              <w:spacing w:before="80" w:after="80"/>
              <w:jc w:val="left"/>
            </w:pPr>
            <w:r>
              <w:t>UGS/LNG refill</w:t>
            </w:r>
          </w:p>
        </w:tc>
        <w:tc>
          <w:tcPr>
            <w:tcW w:w="1268" w:type="dxa"/>
            <w:tcBorders>
              <w:bottom w:val="single" w:sz="6" w:space="0" w:color="000000"/>
            </w:tcBorders>
            <w:shd w:val="clear" w:color="auto" w:fill="auto"/>
          </w:tcPr>
          <w:p w:rsidR="00D117C8" w:rsidRPr="00363BFC" w:rsidRDefault="00D117C8" w:rsidP="00D117C8">
            <w:pPr>
              <w:pStyle w:val="TableBodyCells"/>
              <w:spacing w:before="80" w:after="80"/>
              <w:jc w:val="right"/>
            </w:pPr>
            <w:r w:rsidRPr="00363BFC">
              <w:t>18.3</w:t>
            </w:r>
          </w:p>
        </w:tc>
        <w:tc>
          <w:tcPr>
            <w:tcW w:w="1269" w:type="dxa"/>
            <w:tcBorders>
              <w:bottom w:val="single" w:sz="6" w:space="0" w:color="000000"/>
            </w:tcBorders>
            <w:shd w:val="clear" w:color="auto" w:fill="auto"/>
          </w:tcPr>
          <w:p w:rsidR="00D117C8" w:rsidRPr="00363BFC" w:rsidRDefault="00D117C8" w:rsidP="00D117C8">
            <w:pPr>
              <w:pStyle w:val="TableBodyCells"/>
              <w:spacing w:before="80" w:after="80"/>
              <w:jc w:val="right"/>
            </w:pPr>
            <w:r w:rsidRPr="00363BFC">
              <w:t>17.5</w:t>
            </w:r>
          </w:p>
        </w:tc>
        <w:tc>
          <w:tcPr>
            <w:tcW w:w="1269" w:type="dxa"/>
            <w:tcBorders>
              <w:bottom w:val="single" w:sz="6" w:space="0" w:color="000000"/>
            </w:tcBorders>
            <w:shd w:val="clear" w:color="auto" w:fill="auto"/>
          </w:tcPr>
          <w:p w:rsidR="00D117C8" w:rsidRPr="00363BFC" w:rsidRDefault="00D117C8" w:rsidP="00D117C8">
            <w:pPr>
              <w:pStyle w:val="TableBodyCells"/>
              <w:spacing w:before="80" w:after="80"/>
              <w:jc w:val="right"/>
            </w:pPr>
            <w:r w:rsidRPr="00363BFC">
              <w:t>17.5</w:t>
            </w:r>
          </w:p>
        </w:tc>
        <w:tc>
          <w:tcPr>
            <w:tcW w:w="1269" w:type="dxa"/>
            <w:tcBorders>
              <w:bottom w:val="single" w:sz="6" w:space="0" w:color="000000"/>
            </w:tcBorders>
            <w:shd w:val="clear" w:color="auto" w:fill="auto"/>
          </w:tcPr>
          <w:p w:rsidR="00D117C8" w:rsidRPr="00363BFC" w:rsidRDefault="00D117C8" w:rsidP="00D117C8">
            <w:pPr>
              <w:pStyle w:val="TableBodyCells"/>
              <w:spacing w:before="80" w:after="80"/>
              <w:jc w:val="right"/>
            </w:pPr>
            <w:r w:rsidRPr="00363BFC">
              <w:t>17.5</w:t>
            </w:r>
          </w:p>
        </w:tc>
        <w:tc>
          <w:tcPr>
            <w:tcW w:w="1269" w:type="dxa"/>
            <w:tcBorders>
              <w:bottom w:val="single" w:sz="6" w:space="0" w:color="000000"/>
            </w:tcBorders>
          </w:tcPr>
          <w:p w:rsidR="00D117C8" w:rsidRDefault="00D117C8" w:rsidP="00D117C8">
            <w:pPr>
              <w:pStyle w:val="TableBodyCells"/>
              <w:spacing w:before="80" w:after="80"/>
              <w:jc w:val="right"/>
            </w:pPr>
            <w:r w:rsidRPr="00363BFC">
              <w:t>17.5</w:t>
            </w:r>
          </w:p>
        </w:tc>
      </w:tr>
      <w:tr w:rsidR="00D117C8" w:rsidRPr="003D42B3" w:rsidTr="00C64356">
        <w:tc>
          <w:tcPr>
            <w:tcW w:w="2093" w:type="dxa"/>
            <w:tcBorders>
              <w:bottom w:val="single" w:sz="6" w:space="0" w:color="000000"/>
            </w:tcBorders>
            <w:shd w:val="clear" w:color="auto" w:fill="auto"/>
            <w:vAlign w:val="center"/>
          </w:tcPr>
          <w:p w:rsidR="00D117C8" w:rsidRPr="003D42B3" w:rsidRDefault="00D117C8" w:rsidP="002D79FF">
            <w:pPr>
              <w:pStyle w:val="TableBodyCells"/>
              <w:keepNext/>
              <w:spacing w:before="80" w:after="80"/>
              <w:jc w:val="left"/>
              <w:rPr>
                <w:b/>
              </w:rPr>
            </w:pPr>
            <w:r w:rsidRPr="003D42B3">
              <w:rPr>
                <w:b/>
              </w:rPr>
              <w:t>Total</w:t>
            </w:r>
          </w:p>
        </w:tc>
        <w:tc>
          <w:tcPr>
            <w:tcW w:w="1268" w:type="dxa"/>
            <w:tcBorders>
              <w:bottom w:val="single" w:sz="6" w:space="0" w:color="000000"/>
            </w:tcBorders>
            <w:shd w:val="clear" w:color="auto" w:fill="auto"/>
          </w:tcPr>
          <w:p w:rsidR="00D117C8" w:rsidRPr="00D117C8" w:rsidRDefault="00D117C8" w:rsidP="00D117C8">
            <w:pPr>
              <w:jc w:val="right"/>
              <w:rPr>
                <w:b/>
                <w:sz w:val="18"/>
                <w:szCs w:val="18"/>
              </w:rPr>
            </w:pPr>
            <w:r w:rsidRPr="00D117C8">
              <w:rPr>
                <w:b/>
                <w:sz w:val="18"/>
                <w:szCs w:val="18"/>
              </w:rPr>
              <w:t>234.7</w:t>
            </w:r>
          </w:p>
        </w:tc>
        <w:tc>
          <w:tcPr>
            <w:tcW w:w="1269" w:type="dxa"/>
            <w:tcBorders>
              <w:bottom w:val="single" w:sz="6" w:space="0" w:color="000000"/>
            </w:tcBorders>
            <w:shd w:val="clear" w:color="auto" w:fill="auto"/>
          </w:tcPr>
          <w:p w:rsidR="00D117C8" w:rsidRPr="00D117C8" w:rsidRDefault="00D117C8" w:rsidP="00D117C8">
            <w:pPr>
              <w:jc w:val="right"/>
              <w:rPr>
                <w:b/>
                <w:sz w:val="18"/>
                <w:szCs w:val="18"/>
              </w:rPr>
            </w:pPr>
            <w:r w:rsidRPr="00D117C8">
              <w:rPr>
                <w:b/>
                <w:sz w:val="18"/>
                <w:szCs w:val="18"/>
              </w:rPr>
              <w:t>228.5</w:t>
            </w:r>
          </w:p>
        </w:tc>
        <w:tc>
          <w:tcPr>
            <w:tcW w:w="1269" w:type="dxa"/>
            <w:tcBorders>
              <w:bottom w:val="single" w:sz="6" w:space="0" w:color="000000"/>
            </w:tcBorders>
            <w:shd w:val="clear" w:color="auto" w:fill="auto"/>
          </w:tcPr>
          <w:p w:rsidR="00D117C8" w:rsidRPr="00D117C8" w:rsidRDefault="00D117C8" w:rsidP="00D117C8">
            <w:pPr>
              <w:jc w:val="right"/>
              <w:rPr>
                <w:b/>
                <w:sz w:val="18"/>
                <w:szCs w:val="18"/>
              </w:rPr>
            </w:pPr>
            <w:r w:rsidRPr="00D117C8">
              <w:rPr>
                <w:b/>
                <w:sz w:val="18"/>
                <w:szCs w:val="18"/>
              </w:rPr>
              <w:t>226.4</w:t>
            </w:r>
          </w:p>
        </w:tc>
        <w:tc>
          <w:tcPr>
            <w:tcW w:w="1269" w:type="dxa"/>
            <w:tcBorders>
              <w:bottom w:val="single" w:sz="6" w:space="0" w:color="000000"/>
            </w:tcBorders>
            <w:shd w:val="clear" w:color="auto" w:fill="auto"/>
          </w:tcPr>
          <w:p w:rsidR="00D117C8" w:rsidRPr="00D117C8" w:rsidRDefault="00D117C8" w:rsidP="00D117C8">
            <w:pPr>
              <w:jc w:val="right"/>
              <w:rPr>
                <w:b/>
                <w:sz w:val="18"/>
                <w:szCs w:val="18"/>
              </w:rPr>
            </w:pPr>
            <w:r w:rsidRPr="00D117C8">
              <w:rPr>
                <w:b/>
                <w:sz w:val="18"/>
                <w:szCs w:val="18"/>
              </w:rPr>
              <w:t>224.4</w:t>
            </w:r>
          </w:p>
        </w:tc>
        <w:tc>
          <w:tcPr>
            <w:tcW w:w="1269" w:type="dxa"/>
            <w:tcBorders>
              <w:bottom w:val="single" w:sz="6" w:space="0" w:color="000000"/>
            </w:tcBorders>
          </w:tcPr>
          <w:p w:rsidR="00D117C8" w:rsidRPr="00D117C8" w:rsidRDefault="00D117C8" w:rsidP="00D117C8">
            <w:pPr>
              <w:jc w:val="right"/>
              <w:rPr>
                <w:b/>
                <w:sz w:val="18"/>
                <w:szCs w:val="18"/>
              </w:rPr>
            </w:pPr>
            <w:r w:rsidRPr="00D117C8">
              <w:rPr>
                <w:b/>
                <w:sz w:val="18"/>
                <w:szCs w:val="18"/>
              </w:rPr>
              <w:t>222.9</w:t>
            </w:r>
          </w:p>
        </w:tc>
      </w:tr>
      <w:tr w:rsidR="005E6094" w:rsidRPr="003D42B3" w:rsidTr="00F02850">
        <w:tc>
          <w:tcPr>
            <w:tcW w:w="2093" w:type="dxa"/>
            <w:tcBorders>
              <w:bottom w:val="single" w:sz="6" w:space="0" w:color="000000"/>
            </w:tcBorders>
            <w:shd w:val="clear" w:color="auto" w:fill="D9D9D9" w:themeFill="background1" w:themeFillShade="D9"/>
            <w:vAlign w:val="center"/>
          </w:tcPr>
          <w:p w:rsidR="005E6094" w:rsidRPr="003D42B3" w:rsidRDefault="005E6094" w:rsidP="002D79FF">
            <w:pPr>
              <w:pStyle w:val="TableBodyCells"/>
              <w:keepNext/>
              <w:spacing w:before="80" w:after="80"/>
              <w:jc w:val="left"/>
              <w:rPr>
                <w:b/>
              </w:rPr>
            </w:pPr>
            <w:r>
              <w:rPr>
                <w:b/>
              </w:rPr>
              <w:t xml:space="preserve">1-in-2 </w:t>
            </w:r>
            <w:r w:rsidRPr="003D42B3">
              <w:rPr>
                <w:b/>
              </w:rPr>
              <w:t>Peak (TJ/day)</w:t>
            </w:r>
          </w:p>
        </w:tc>
        <w:tc>
          <w:tcPr>
            <w:tcW w:w="1268" w:type="dxa"/>
            <w:tcBorders>
              <w:bottom w:val="single" w:sz="6" w:space="0" w:color="000000"/>
            </w:tcBorders>
            <w:shd w:val="clear" w:color="auto" w:fill="D9D9D9" w:themeFill="background1" w:themeFillShade="D9"/>
            <w:vAlign w:val="center"/>
          </w:tcPr>
          <w:p w:rsidR="005E6094" w:rsidRPr="003D42B3" w:rsidRDefault="005E6094" w:rsidP="002D79FF">
            <w:pPr>
              <w:pStyle w:val="TableBodyCells"/>
              <w:spacing w:before="80" w:after="80"/>
              <w:jc w:val="right"/>
              <w:rPr>
                <w:b/>
              </w:rPr>
            </w:pPr>
          </w:p>
        </w:tc>
        <w:tc>
          <w:tcPr>
            <w:tcW w:w="1269" w:type="dxa"/>
            <w:tcBorders>
              <w:bottom w:val="single" w:sz="6" w:space="0" w:color="000000"/>
            </w:tcBorders>
            <w:shd w:val="clear" w:color="auto" w:fill="D9D9D9" w:themeFill="background1" w:themeFillShade="D9"/>
            <w:vAlign w:val="center"/>
          </w:tcPr>
          <w:p w:rsidR="005E6094" w:rsidRPr="003D42B3" w:rsidRDefault="005E6094" w:rsidP="002D79FF">
            <w:pPr>
              <w:pStyle w:val="TableBodyCells"/>
              <w:spacing w:before="80" w:after="80"/>
              <w:jc w:val="right"/>
              <w:rPr>
                <w:b/>
              </w:rPr>
            </w:pPr>
          </w:p>
        </w:tc>
        <w:tc>
          <w:tcPr>
            <w:tcW w:w="1269" w:type="dxa"/>
            <w:tcBorders>
              <w:bottom w:val="single" w:sz="6" w:space="0" w:color="000000"/>
            </w:tcBorders>
            <w:shd w:val="clear" w:color="auto" w:fill="D9D9D9" w:themeFill="background1" w:themeFillShade="D9"/>
            <w:vAlign w:val="center"/>
          </w:tcPr>
          <w:p w:rsidR="005E6094" w:rsidRPr="003D42B3" w:rsidRDefault="005E6094" w:rsidP="002D79FF">
            <w:pPr>
              <w:pStyle w:val="TableBodyCells"/>
              <w:spacing w:before="80" w:after="80"/>
              <w:jc w:val="right"/>
              <w:rPr>
                <w:b/>
              </w:rPr>
            </w:pPr>
          </w:p>
        </w:tc>
        <w:tc>
          <w:tcPr>
            <w:tcW w:w="1269" w:type="dxa"/>
            <w:tcBorders>
              <w:bottom w:val="single" w:sz="6" w:space="0" w:color="000000"/>
            </w:tcBorders>
            <w:shd w:val="clear" w:color="auto" w:fill="D9D9D9" w:themeFill="background1" w:themeFillShade="D9"/>
            <w:vAlign w:val="center"/>
          </w:tcPr>
          <w:p w:rsidR="005E6094" w:rsidRPr="003D42B3" w:rsidRDefault="005E6094" w:rsidP="002D79FF">
            <w:pPr>
              <w:pStyle w:val="TableBodyCells"/>
              <w:spacing w:before="80" w:after="80"/>
              <w:jc w:val="right"/>
              <w:rPr>
                <w:b/>
              </w:rPr>
            </w:pPr>
          </w:p>
        </w:tc>
        <w:tc>
          <w:tcPr>
            <w:tcW w:w="1269" w:type="dxa"/>
            <w:tcBorders>
              <w:bottom w:val="single" w:sz="6" w:space="0" w:color="000000"/>
            </w:tcBorders>
            <w:shd w:val="clear" w:color="auto" w:fill="D9D9D9" w:themeFill="background1" w:themeFillShade="D9"/>
            <w:vAlign w:val="center"/>
          </w:tcPr>
          <w:p w:rsidR="005E6094" w:rsidRPr="003D42B3" w:rsidRDefault="005E6094" w:rsidP="002D79FF">
            <w:pPr>
              <w:pStyle w:val="TableBodyCells"/>
              <w:spacing w:before="80" w:after="80"/>
              <w:jc w:val="right"/>
              <w:rPr>
                <w:b/>
              </w:rPr>
            </w:pPr>
          </w:p>
        </w:tc>
      </w:tr>
      <w:tr w:rsidR="00D117C8" w:rsidRPr="008A4AF0" w:rsidTr="00C64356">
        <w:tc>
          <w:tcPr>
            <w:tcW w:w="2093" w:type="dxa"/>
            <w:tcBorders>
              <w:bottom w:val="single" w:sz="6" w:space="0" w:color="000000"/>
            </w:tcBorders>
            <w:shd w:val="clear" w:color="auto" w:fill="auto"/>
            <w:vAlign w:val="center"/>
          </w:tcPr>
          <w:p w:rsidR="00D117C8" w:rsidRPr="008A4AF0" w:rsidRDefault="00D117C8" w:rsidP="002D79FF">
            <w:pPr>
              <w:pStyle w:val="TableBodyCells"/>
              <w:keepNext/>
              <w:spacing w:before="80" w:after="80"/>
              <w:jc w:val="left"/>
            </w:pPr>
            <w:r>
              <w:t>Tariffs V&amp;D</w:t>
            </w:r>
          </w:p>
        </w:tc>
        <w:tc>
          <w:tcPr>
            <w:tcW w:w="1268"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1151.1</w:t>
            </w:r>
          </w:p>
        </w:tc>
        <w:tc>
          <w:tcPr>
            <w:tcW w:w="1269"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1142.3</w:t>
            </w:r>
          </w:p>
        </w:tc>
        <w:tc>
          <w:tcPr>
            <w:tcW w:w="1269"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1131.4</w:t>
            </w:r>
          </w:p>
        </w:tc>
        <w:tc>
          <w:tcPr>
            <w:tcW w:w="1269"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1123.6</w:t>
            </w:r>
          </w:p>
        </w:tc>
        <w:tc>
          <w:tcPr>
            <w:tcW w:w="1269" w:type="dxa"/>
            <w:tcBorders>
              <w:bottom w:val="single" w:sz="6" w:space="0" w:color="000000"/>
            </w:tcBorders>
          </w:tcPr>
          <w:p w:rsidR="00D117C8" w:rsidRPr="00F717B7" w:rsidRDefault="00D117C8" w:rsidP="00D117C8">
            <w:pPr>
              <w:pStyle w:val="TableBodyCells"/>
              <w:spacing w:before="80" w:after="80"/>
              <w:jc w:val="right"/>
            </w:pPr>
            <w:r w:rsidRPr="00F717B7">
              <w:t>1115.1</w:t>
            </w:r>
          </w:p>
        </w:tc>
      </w:tr>
      <w:tr w:rsidR="00D117C8" w:rsidRPr="008A4AF0" w:rsidTr="00C64356">
        <w:tc>
          <w:tcPr>
            <w:tcW w:w="2093" w:type="dxa"/>
            <w:tcBorders>
              <w:bottom w:val="single" w:sz="6" w:space="0" w:color="000000"/>
            </w:tcBorders>
            <w:shd w:val="clear" w:color="auto" w:fill="auto"/>
            <w:vAlign w:val="center"/>
          </w:tcPr>
          <w:p w:rsidR="00D117C8" w:rsidRPr="008A4AF0" w:rsidRDefault="00D117C8" w:rsidP="002D79FF">
            <w:pPr>
              <w:pStyle w:val="TableBodyCells"/>
              <w:keepNext/>
              <w:spacing w:before="80" w:after="80"/>
              <w:jc w:val="left"/>
            </w:pPr>
            <w:r>
              <w:t>GPG</w:t>
            </w:r>
          </w:p>
        </w:tc>
        <w:tc>
          <w:tcPr>
            <w:tcW w:w="1268"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8.3</w:t>
            </w:r>
          </w:p>
        </w:tc>
        <w:tc>
          <w:tcPr>
            <w:tcW w:w="1269"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5.3</w:t>
            </w:r>
          </w:p>
        </w:tc>
        <w:tc>
          <w:tcPr>
            <w:tcW w:w="1269"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7.3</w:t>
            </w:r>
          </w:p>
        </w:tc>
        <w:tc>
          <w:tcPr>
            <w:tcW w:w="1269"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8.7</w:t>
            </w:r>
          </w:p>
        </w:tc>
        <w:tc>
          <w:tcPr>
            <w:tcW w:w="1269" w:type="dxa"/>
            <w:tcBorders>
              <w:bottom w:val="single" w:sz="6" w:space="0" w:color="000000"/>
            </w:tcBorders>
          </w:tcPr>
          <w:p w:rsidR="00D117C8" w:rsidRPr="00F717B7" w:rsidRDefault="00D117C8" w:rsidP="00D117C8">
            <w:pPr>
              <w:pStyle w:val="TableBodyCells"/>
              <w:spacing w:before="80" w:after="80"/>
              <w:jc w:val="right"/>
            </w:pPr>
            <w:r w:rsidRPr="00F717B7">
              <w:t>14.0</w:t>
            </w:r>
          </w:p>
        </w:tc>
      </w:tr>
      <w:tr w:rsidR="00D117C8" w:rsidRPr="008A4AF0" w:rsidTr="00C64356">
        <w:tc>
          <w:tcPr>
            <w:tcW w:w="2093" w:type="dxa"/>
            <w:tcBorders>
              <w:bottom w:val="single" w:sz="6" w:space="0" w:color="000000"/>
            </w:tcBorders>
            <w:shd w:val="clear" w:color="auto" w:fill="auto"/>
            <w:vAlign w:val="center"/>
          </w:tcPr>
          <w:p w:rsidR="00D117C8" w:rsidRPr="008A4AF0" w:rsidRDefault="00D117C8" w:rsidP="002D79FF">
            <w:pPr>
              <w:pStyle w:val="TableBodyCells"/>
              <w:keepNext/>
              <w:spacing w:before="80" w:after="80"/>
              <w:jc w:val="left"/>
            </w:pPr>
            <w:r>
              <w:t>Culcairn</w:t>
            </w:r>
          </w:p>
        </w:tc>
        <w:tc>
          <w:tcPr>
            <w:tcW w:w="1268"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57.5</w:t>
            </w:r>
          </w:p>
        </w:tc>
        <w:tc>
          <w:tcPr>
            <w:tcW w:w="1269"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57.5</w:t>
            </w:r>
          </w:p>
        </w:tc>
        <w:tc>
          <w:tcPr>
            <w:tcW w:w="1269"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57.5</w:t>
            </w:r>
          </w:p>
        </w:tc>
        <w:tc>
          <w:tcPr>
            <w:tcW w:w="1269"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57.5</w:t>
            </w:r>
          </w:p>
        </w:tc>
        <w:tc>
          <w:tcPr>
            <w:tcW w:w="1269" w:type="dxa"/>
            <w:tcBorders>
              <w:bottom w:val="single" w:sz="6" w:space="0" w:color="000000"/>
            </w:tcBorders>
          </w:tcPr>
          <w:p w:rsidR="00D117C8" w:rsidRPr="00F717B7" w:rsidRDefault="00D117C8" w:rsidP="00D117C8">
            <w:pPr>
              <w:pStyle w:val="TableBodyCells"/>
              <w:spacing w:before="80" w:after="80"/>
              <w:jc w:val="right"/>
            </w:pPr>
            <w:r w:rsidRPr="00F717B7">
              <w:t>57.5</w:t>
            </w:r>
          </w:p>
        </w:tc>
      </w:tr>
      <w:tr w:rsidR="00D117C8" w:rsidRPr="008A4AF0" w:rsidTr="00C64356">
        <w:tc>
          <w:tcPr>
            <w:tcW w:w="2093" w:type="dxa"/>
            <w:tcBorders>
              <w:bottom w:val="single" w:sz="6" w:space="0" w:color="000000"/>
            </w:tcBorders>
            <w:shd w:val="clear" w:color="auto" w:fill="auto"/>
            <w:vAlign w:val="center"/>
          </w:tcPr>
          <w:p w:rsidR="00D117C8" w:rsidRPr="008A4AF0" w:rsidRDefault="00D117C8" w:rsidP="002D79FF">
            <w:pPr>
              <w:pStyle w:val="TableBodyCells"/>
              <w:keepNext/>
              <w:spacing w:before="80" w:after="80"/>
              <w:jc w:val="left"/>
            </w:pPr>
            <w:proofErr w:type="spellStart"/>
            <w:r>
              <w:t>VicHub</w:t>
            </w:r>
            <w:proofErr w:type="spellEnd"/>
          </w:p>
        </w:tc>
        <w:tc>
          <w:tcPr>
            <w:tcW w:w="1268"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0.0</w:t>
            </w:r>
          </w:p>
        </w:tc>
        <w:tc>
          <w:tcPr>
            <w:tcW w:w="1269"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0.0</w:t>
            </w:r>
          </w:p>
        </w:tc>
        <w:tc>
          <w:tcPr>
            <w:tcW w:w="1269"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0.0</w:t>
            </w:r>
          </w:p>
        </w:tc>
        <w:tc>
          <w:tcPr>
            <w:tcW w:w="1269"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0.0</w:t>
            </w:r>
          </w:p>
        </w:tc>
        <w:tc>
          <w:tcPr>
            <w:tcW w:w="1269" w:type="dxa"/>
            <w:tcBorders>
              <w:bottom w:val="single" w:sz="6" w:space="0" w:color="000000"/>
            </w:tcBorders>
          </w:tcPr>
          <w:p w:rsidR="00D117C8" w:rsidRPr="00F717B7" w:rsidRDefault="00D117C8" w:rsidP="00D117C8">
            <w:pPr>
              <w:pStyle w:val="TableBodyCells"/>
              <w:spacing w:before="80" w:after="80"/>
              <w:jc w:val="right"/>
            </w:pPr>
            <w:r w:rsidRPr="00F717B7">
              <w:t>0.0</w:t>
            </w:r>
          </w:p>
        </w:tc>
      </w:tr>
      <w:tr w:rsidR="00D117C8" w:rsidRPr="008A4AF0" w:rsidTr="00C64356">
        <w:tc>
          <w:tcPr>
            <w:tcW w:w="2093" w:type="dxa"/>
            <w:tcBorders>
              <w:bottom w:val="single" w:sz="6" w:space="0" w:color="000000"/>
            </w:tcBorders>
            <w:shd w:val="clear" w:color="auto" w:fill="auto"/>
            <w:vAlign w:val="center"/>
          </w:tcPr>
          <w:p w:rsidR="00D117C8" w:rsidRPr="008A4AF0" w:rsidRDefault="00D117C8" w:rsidP="002D79FF">
            <w:pPr>
              <w:pStyle w:val="TableBodyCells"/>
              <w:keepNext/>
              <w:spacing w:before="80" w:after="80"/>
              <w:jc w:val="left"/>
            </w:pPr>
            <w:r>
              <w:t>UGS/LNG refill</w:t>
            </w:r>
          </w:p>
        </w:tc>
        <w:tc>
          <w:tcPr>
            <w:tcW w:w="1268"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0.0</w:t>
            </w:r>
          </w:p>
        </w:tc>
        <w:tc>
          <w:tcPr>
            <w:tcW w:w="1269"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0.0</w:t>
            </w:r>
          </w:p>
        </w:tc>
        <w:tc>
          <w:tcPr>
            <w:tcW w:w="1269"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0.0</w:t>
            </w:r>
          </w:p>
        </w:tc>
        <w:tc>
          <w:tcPr>
            <w:tcW w:w="1269" w:type="dxa"/>
            <w:tcBorders>
              <w:bottom w:val="single" w:sz="6" w:space="0" w:color="000000"/>
            </w:tcBorders>
            <w:shd w:val="clear" w:color="auto" w:fill="auto"/>
          </w:tcPr>
          <w:p w:rsidR="00D117C8" w:rsidRPr="00F717B7" w:rsidRDefault="00D117C8" w:rsidP="00D117C8">
            <w:pPr>
              <w:pStyle w:val="TableBodyCells"/>
              <w:spacing w:before="80" w:after="80"/>
              <w:jc w:val="right"/>
            </w:pPr>
            <w:r w:rsidRPr="00F717B7">
              <w:t>0.0</w:t>
            </w:r>
          </w:p>
        </w:tc>
        <w:tc>
          <w:tcPr>
            <w:tcW w:w="1269" w:type="dxa"/>
            <w:tcBorders>
              <w:bottom w:val="single" w:sz="6" w:space="0" w:color="000000"/>
            </w:tcBorders>
          </w:tcPr>
          <w:p w:rsidR="00D117C8" w:rsidRPr="00F717B7" w:rsidRDefault="00D117C8" w:rsidP="00D117C8">
            <w:pPr>
              <w:pStyle w:val="TableBodyCells"/>
              <w:spacing w:before="80" w:after="80"/>
              <w:jc w:val="right"/>
            </w:pPr>
            <w:r w:rsidRPr="00F717B7">
              <w:t>0.0</w:t>
            </w:r>
          </w:p>
        </w:tc>
      </w:tr>
      <w:tr w:rsidR="00D117C8" w:rsidRPr="00D117C8" w:rsidTr="00C64356">
        <w:tc>
          <w:tcPr>
            <w:tcW w:w="2093" w:type="dxa"/>
            <w:shd w:val="clear" w:color="auto" w:fill="auto"/>
            <w:vAlign w:val="center"/>
          </w:tcPr>
          <w:p w:rsidR="00D117C8" w:rsidRPr="00D117C8" w:rsidRDefault="00D117C8" w:rsidP="002D79FF">
            <w:pPr>
              <w:pStyle w:val="TableTotalRowcells"/>
              <w:keepNext/>
              <w:spacing w:before="80" w:after="80"/>
              <w:jc w:val="left"/>
            </w:pPr>
            <w:r w:rsidRPr="00D117C8">
              <w:t>Total</w:t>
            </w:r>
          </w:p>
        </w:tc>
        <w:tc>
          <w:tcPr>
            <w:tcW w:w="1268" w:type="dxa"/>
            <w:shd w:val="clear" w:color="auto" w:fill="auto"/>
          </w:tcPr>
          <w:p w:rsidR="00D117C8" w:rsidRPr="00D117C8" w:rsidRDefault="00D117C8" w:rsidP="00D117C8">
            <w:pPr>
              <w:pStyle w:val="TableBodyCells"/>
              <w:spacing w:before="80" w:after="80"/>
              <w:jc w:val="right"/>
              <w:rPr>
                <w:b/>
              </w:rPr>
            </w:pPr>
            <w:r w:rsidRPr="00D117C8">
              <w:rPr>
                <w:b/>
              </w:rPr>
              <w:t>1216.9</w:t>
            </w:r>
          </w:p>
        </w:tc>
        <w:tc>
          <w:tcPr>
            <w:tcW w:w="1269" w:type="dxa"/>
            <w:shd w:val="clear" w:color="auto" w:fill="auto"/>
          </w:tcPr>
          <w:p w:rsidR="00D117C8" w:rsidRPr="00D117C8" w:rsidRDefault="00D117C8" w:rsidP="00D117C8">
            <w:pPr>
              <w:pStyle w:val="TableBodyCells"/>
              <w:spacing w:before="80" w:after="80"/>
              <w:jc w:val="right"/>
              <w:rPr>
                <w:b/>
              </w:rPr>
            </w:pPr>
            <w:r w:rsidRPr="00D117C8">
              <w:rPr>
                <w:b/>
              </w:rPr>
              <w:t>1205.1</w:t>
            </w:r>
          </w:p>
        </w:tc>
        <w:tc>
          <w:tcPr>
            <w:tcW w:w="1269" w:type="dxa"/>
            <w:shd w:val="clear" w:color="auto" w:fill="auto"/>
          </w:tcPr>
          <w:p w:rsidR="00D117C8" w:rsidRPr="00D117C8" w:rsidRDefault="00D117C8" w:rsidP="00D117C8">
            <w:pPr>
              <w:pStyle w:val="TableBodyCells"/>
              <w:spacing w:before="80" w:after="80"/>
              <w:jc w:val="right"/>
              <w:rPr>
                <w:b/>
              </w:rPr>
            </w:pPr>
            <w:r w:rsidRPr="00D117C8">
              <w:rPr>
                <w:b/>
              </w:rPr>
              <w:t>1196.2</w:t>
            </w:r>
          </w:p>
        </w:tc>
        <w:tc>
          <w:tcPr>
            <w:tcW w:w="1269" w:type="dxa"/>
            <w:shd w:val="clear" w:color="auto" w:fill="auto"/>
          </w:tcPr>
          <w:p w:rsidR="00D117C8" w:rsidRPr="00D117C8" w:rsidRDefault="00D117C8" w:rsidP="00D117C8">
            <w:pPr>
              <w:pStyle w:val="TableBodyCells"/>
              <w:spacing w:before="80" w:after="80"/>
              <w:jc w:val="right"/>
              <w:rPr>
                <w:b/>
              </w:rPr>
            </w:pPr>
            <w:r w:rsidRPr="00D117C8">
              <w:rPr>
                <w:b/>
              </w:rPr>
              <w:t>1189.7</w:t>
            </w:r>
          </w:p>
        </w:tc>
        <w:tc>
          <w:tcPr>
            <w:tcW w:w="1269" w:type="dxa"/>
          </w:tcPr>
          <w:p w:rsidR="00D117C8" w:rsidRPr="00D117C8" w:rsidRDefault="00D117C8" w:rsidP="00D117C8">
            <w:pPr>
              <w:pStyle w:val="TableBodyCells"/>
              <w:spacing w:before="80" w:after="80"/>
              <w:jc w:val="right"/>
              <w:rPr>
                <w:b/>
              </w:rPr>
            </w:pPr>
            <w:r w:rsidRPr="00D117C8">
              <w:rPr>
                <w:b/>
              </w:rPr>
              <w:t>1186.6</w:t>
            </w:r>
          </w:p>
        </w:tc>
      </w:tr>
      <w:tr w:rsidR="005E6094" w:rsidRPr="003D42B3" w:rsidTr="00F02850">
        <w:tc>
          <w:tcPr>
            <w:tcW w:w="2093" w:type="dxa"/>
            <w:tcBorders>
              <w:bottom w:val="single" w:sz="6" w:space="0" w:color="000000"/>
            </w:tcBorders>
            <w:shd w:val="clear" w:color="auto" w:fill="D9D9D9" w:themeFill="background1" w:themeFillShade="D9"/>
            <w:vAlign w:val="center"/>
          </w:tcPr>
          <w:p w:rsidR="005E6094" w:rsidRPr="003D42B3" w:rsidRDefault="005E6094" w:rsidP="002D79FF">
            <w:pPr>
              <w:pStyle w:val="TableBodyCells"/>
              <w:keepNext/>
              <w:spacing w:before="80" w:after="80"/>
              <w:jc w:val="left"/>
              <w:rPr>
                <w:b/>
              </w:rPr>
            </w:pPr>
            <w:r>
              <w:rPr>
                <w:b/>
              </w:rPr>
              <w:t xml:space="preserve">1-in-20 </w:t>
            </w:r>
            <w:r w:rsidRPr="003D42B3">
              <w:rPr>
                <w:b/>
              </w:rPr>
              <w:t>Peak (TJ/day)</w:t>
            </w:r>
          </w:p>
        </w:tc>
        <w:tc>
          <w:tcPr>
            <w:tcW w:w="1268" w:type="dxa"/>
            <w:tcBorders>
              <w:bottom w:val="single" w:sz="6" w:space="0" w:color="000000"/>
            </w:tcBorders>
            <w:shd w:val="clear" w:color="auto" w:fill="D9D9D9" w:themeFill="background1" w:themeFillShade="D9"/>
            <w:vAlign w:val="center"/>
          </w:tcPr>
          <w:p w:rsidR="005E6094" w:rsidRPr="003D42B3" w:rsidRDefault="005E6094" w:rsidP="002D79FF">
            <w:pPr>
              <w:pStyle w:val="TableBodyCells"/>
              <w:spacing w:before="80" w:after="80"/>
              <w:jc w:val="right"/>
              <w:rPr>
                <w:b/>
              </w:rPr>
            </w:pPr>
          </w:p>
        </w:tc>
        <w:tc>
          <w:tcPr>
            <w:tcW w:w="1269" w:type="dxa"/>
            <w:tcBorders>
              <w:bottom w:val="single" w:sz="6" w:space="0" w:color="000000"/>
            </w:tcBorders>
            <w:shd w:val="clear" w:color="auto" w:fill="D9D9D9" w:themeFill="background1" w:themeFillShade="D9"/>
            <w:vAlign w:val="center"/>
          </w:tcPr>
          <w:p w:rsidR="005E6094" w:rsidRPr="003D42B3" w:rsidRDefault="005E6094" w:rsidP="002D79FF">
            <w:pPr>
              <w:pStyle w:val="TableBodyCells"/>
              <w:spacing w:before="80" w:after="80"/>
              <w:jc w:val="right"/>
              <w:rPr>
                <w:b/>
              </w:rPr>
            </w:pPr>
          </w:p>
        </w:tc>
        <w:tc>
          <w:tcPr>
            <w:tcW w:w="1269" w:type="dxa"/>
            <w:tcBorders>
              <w:bottom w:val="single" w:sz="6" w:space="0" w:color="000000"/>
            </w:tcBorders>
            <w:shd w:val="clear" w:color="auto" w:fill="D9D9D9" w:themeFill="background1" w:themeFillShade="D9"/>
            <w:vAlign w:val="center"/>
          </w:tcPr>
          <w:p w:rsidR="005E6094" w:rsidRPr="003D42B3" w:rsidRDefault="005E6094" w:rsidP="002D79FF">
            <w:pPr>
              <w:pStyle w:val="TableBodyCells"/>
              <w:spacing w:before="80" w:after="80"/>
              <w:jc w:val="right"/>
              <w:rPr>
                <w:b/>
              </w:rPr>
            </w:pPr>
          </w:p>
        </w:tc>
        <w:tc>
          <w:tcPr>
            <w:tcW w:w="1269" w:type="dxa"/>
            <w:tcBorders>
              <w:bottom w:val="single" w:sz="6" w:space="0" w:color="000000"/>
            </w:tcBorders>
            <w:shd w:val="clear" w:color="auto" w:fill="D9D9D9" w:themeFill="background1" w:themeFillShade="D9"/>
            <w:vAlign w:val="center"/>
          </w:tcPr>
          <w:p w:rsidR="005E6094" w:rsidRPr="003D42B3" w:rsidRDefault="005E6094" w:rsidP="002D79FF">
            <w:pPr>
              <w:pStyle w:val="TableBodyCells"/>
              <w:spacing w:before="80" w:after="80"/>
              <w:jc w:val="right"/>
              <w:rPr>
                <w:b/>
              </w:rPr>
            </w:pPr>
          </w:p>
        </w:tc>
        <w:tc>
          <w:tcPr>
            <w:tcW w:w="1269" w:type="dxa"/>
            <w:tcBorders>
              <w:bottom w:val="single" w:sz="6" w:space="0" w:color="000000"/>
            </w:tcBorders>
            <w:shd w:val="clear" w:color="auto" w:fill="D9D9D9" w:themeFill="background1" w:themeFillShade="D9"/>
            <w:vAlign w:val="center"/>
          </w:tcPr>
          <w:p w:rsidR="005E6094" w:rsidRPr="003D42B3" w:rsidRDefault="005E6094" w:rsidP="002D79FF">
            <w:pPr>
              <w:pStyle w:val="TableBodyCells"/>
              <w:spacing w:before="80" w:after="80"/>
              <w:jc w:val="right"/>
              <w:rPr>
                <w:b/>
              </w:rPr>
            </w:pPr>
          </w:p>
        </w:tc>
      </w:tr>
      <w:tr w:rsidR="00D117C8" w:rsidRPr="008A4AF0" w:rsidTr="00C64356">
        <w:tc>
          <w:tcPr>
            <w:tcW w:w="2093" w:type="dxa"/>
            <w:tcBorders>
              <w:bottom w:val="single" w:sz="6" w:space="0" w:color="000000"/>
            </w:tcBorders>
            <w:shd w:val="clear" w:color="auto" w:fill="auto"/>
            <w:vAlign w:val="center"/>
          </w:tcPr>
          <w:p w:rsidR="00D117C8" w:rsidRPr="008A4AF0" w:rsidRDefault="00D117C8" w:rsidP="002D79FF">
            <w:pPr>
              <w:pStyle w:val="TableBodyCells"/>
              <w:keepNext/>
              <w:spacing w:before="80" w:after="80"/>
              <w:jc w:val="left"/>
            </w:pPr>
            <w:r>
              <w:t>Per AEMO advice</w:t>
            </w:r>
          </w:p>
        </w:tc>
        <w:tc>
          <w:tcPr>
            <w:tcW w:w="1268" w:type="dxa"/>
            <w:tcBorders>
              <w:bottom w:val="single" w:sz="6" w:space="0" w:color="000000"/>
            </w:tcBorders>
            <w:shd w:val="clear" w:color="auto" w:fill="auto"/>
          </w:tcPr>
          <w:p w:rsidR="00D117C8" w:rsidRPr="00D117C8" w:rsidRDefault="00D117C8" w:rsidP="00D117C8">
            <w:pPr>
              <w:pStyle w:val="TableBodyCells"/>
              <w:spacing w:before="80" w:after="80"/>
              <w:jc w:val="right"/>
              <w:rPr>
                <w:b/>
              </w:rPr>
            </w:pPr>
            <w:r w:rsidRPr="00D117C8">
              <w:rPr>
                <w:b/>
              </w:rPr>
              <w:t>1258.2</w:t>
            </w:r>
          </w:p>
        </w:tc>
        <w:tc>
          <w:tcPr>
            <w:tcW w:w="1269" w:type="dxa"/>
            <w:tcBorders>
              <w:bottom w:val="single" w:sz="6" w:space="0" w:color="000000"/>
            </w:tcBorders>
            <w:shd w:val="clear" w:color="auto" w:fill="auto"/>
          </w:tcPr>
          <w:p w:rsidR="00D117C8" w:rsidRPr="00D117C8" w:rsidRDefault="00D117C8" w:rsidP="00D117C8">
            <w:pPr>
              <w:pStyle w:val="TableBodyCells"/>
              <w:spacing w:before="80" w:after="80"/>
              <w:jc w:val="right"/>
              <w:rPr>
                <w:b/>
              </w:rPr>
            </w:pPr>
            <w:r w:rsidRPr="00D117C8">
              <w:rPr>
                <w:b/>
              </w:rPr>
              <w:t>1249.1</w:t>
            </w:r>
          </w:p>
        </w:tc>
        <w:tc>
          <w:tcPr>
            <w:tcW w:w="1269" w:type="dxa"/>
            <w:tcBorders>
              <w:bottom w:val="single" w:sz="6" w:space="0" w:color="000000"/>
            </w:tcBorders>
            <w:shd w:val="clear" w:color="auto" w:fill="auto"/>
          </w:tcPr>
          <w:p w:rsidR="00D117C8" w:rsidRPr="00D117C8" w:rsidRDefault="00D117C8" w:rsidP="00D117C8">
            <w:pPr>
              <w:pStyle w:val="TableBodyCells"/>
              <w:spacing w:before="80" w:after="80"/>
              <w:jc w:val="right"/>
              <w:rPr>
                <w:b/>
              </w:rPr>
            </w:pPr>
            <w:r w:rsidRPr="00D117C8">
              <w:rPr>
                <w:b/>
              </w:rPr>
              <w:t>1237.7</w:t>
            </w:r>
          </w:p>
        </w:tc>
        <w:tc>
          <w:tcPr>
            <w:tcW w:w="1269" w:type="dxa"/>
            <w:tcBorders>
              <w:bottom w:val="single" w:sz="6" w:space="0" w:color="000000"/>
            </w:tcBorders>
            <w:shd w:val="clear" w:color="auto" w:fill="auto"/>
          </w:tcPr>
          <w:p w:rsidR="00D117C8" w:rsidRPr="00D117C8" w:rsidRDefault="00D117C8" w:rsidP="00D117C8">
            <w:pPr>
              <w:pStyle w:val="TableBodyCells"/>
              <w:spacing w:before="80" w:after="80"/>
              <w:jc w:val="right"/>
              <w:rPr>
                <w:b/>
              </w:rPr>
            </w:pPr>
            <w:r w:rsidRPr="00D117C8">
              <w:rPr>
                <w:b/>
              </w:rPr>
              <w:t>1229.0</w:t>
            </w:r>
          </w:p>
        </w:tc>
        <w:tc>
          <w:tcPr>
            <w:tcW w:w="1269" w:type="dxa"/>
            <w:tcBorders>
              <w:bottom w:val="single" w:sz="6" w:space="0" w:color="000000"/>
            </w:tcBorders>
          </w:tcPr>
          <w:p w:rsidR="00D117C8" w:rsidRPr="00D117C8" w:rsidRDefault="00D117C8" w:rsidP="00D117C8">
            <w:pPr>
              <w:pStyle w:val="TableBodyCells"/>
              <w:spacing w:before="80" w:after="80"/>
              <w:jc w:val="right"/>
              <w:rPr>
                <w:b/>
              </w:rPr>
            </w:pPr>
            <w:r w:rsidRPr="00D117C8">
              <w:rPr>
                <w:b/>
              </w:rPr>
              <w:t>1220.1</w:t>
            </w:r>
          </w:p>
        </w:tc>
      </w:tr>
    </w:tbl>
    <w:p w:rsidR="00035608" w:rsidRPr="008A4AF0" w:rsidRDefault="00035608" w:rsidP="00D741FF">
      <w:pPr>
        <w:pStyle w:val="BodyText"/>
      </w:pPr>
    </w:p>
    <w:p w:rsidR="00767925" w:rsidRDefault="00767925" w:rsidP="00767925">
      <w:pPr>
        <w:pStyle w:val="Heading2"/>
      </w:pPr>
      <w:bookmarkStart w:id="35" w:name="_Toc471221354"/>
      <w:r>
        <w:lastRenderedPageBreak/>
        <w:t>Forecast weather</w:t>
      </w:r>
      <w:bookmarkEnd w:id="35"/>
    </w:p>
    <w:p w:rsidR="00767925" w:rsidRDefault="00767925" w:rsidP="00767925">
      <w:pPr>
        <w:pStyle w:val="Caption"/>
        <w:rPr>
          <w:bCs w:val="0"/>
          <w:i w:val="0"/>
          <w:color w:val="25282A"/>
        </w:rPr>
      </w:pPr>
      <w:r w:rsidRPr="00767925">
        <w:rPr>
          <w:bCs w:val="0"/>
          <w:i w:val="0"/>
          <w:color w:val="25282A"/>
        </w:rPr>
        <w:t xml:space="preserve">Forecast standard weather and sensitivity to changes in weather for the pipeline over the access arrangement period is shown in </w:t>
      </w:r>
      <w:r w:rsidRPr="00767925">
        <w:rPr>
          <w:bCs w:val="0"/>
          <w:i w:val="0"/>
          <w:color w:val="25282A"/>
        </w:rPr>
        <w:fldChar w:fldCharType="begin"/>
      </w:r>
      <w:r w:rsidRPr="00767925">
        <w:rPr>
          <w:bCs w:val="0"/>
          <w:i w:val="0"/>
          <w:color w:val="25282A"/>
        </w:rPr>
        <w:instrText xml:space="preserve"> REF _Ref470100551 \h  \* MERGEFORMAT </w:instrText>
      </w:r>
      <w:r w:rsidRPr="00767925">
        <w:rPr>
          <w:bCs w:val="0"/>
          <w:i w:val="0"/>
          <w:color w:val="25282A"/>
        </w:rPr>
      </w:r>
      <w:r w:rsidRPr="00767925">
        <w:rPr>
          <w:bCs w:val="0"/>
          <w:i w:val="0"/>
          <w:color w:val="25282A"/>
        </w:rPr>
        <w:fldChar w:fldCharType="separate"/>
      </w:r>
      <w:r w:rsidR="00154DB7" w:rsidRPr="00154DB7">
        <w:rPr>
          <w:i w:val="0"/>
        </w:rPr>
        <w:t xml:space="preserve">Table </w:t>
      </w:r>
      <w:r w:rsidR="00154DB7" w:rsidRPr="00154DB7">
        <w:rPr>
          <w:i w:val="0"/>
          <w:noProof/>
        </w:rPr>
        <w:t>4.7</w:t>
      </w:r>
      <w:r w:rsidRPr="00767925">
        <w:rPr>
          <w:bCs w:val="0"/>
          <w:i w:val="0"/>
          <w:color w:val="25282A"/>
        </w:rPr>
        <w:fldChar w:fldCharType="end"/>
      </w:r>
      <w:r w:rsidRPr="00767925">
        <w:rPr>
          <w:bCs w:val="0"/>
          <w:i w:val="0"/>
          <w:color w:val="25282A"/>
        </w:rPr>
        <w:t xml:space="preserve"> below.</w:t>
      </w:r>
    </w:p>
    <w:p w:rsidR="00767925" w:rsidRPr="008A4AF0" w:rsidRDefault="00767925" w:rsidP="00767925">
      <w:pPr>
        <w:pStyle w:val="Caption"/>
      </w:pPr>
      <w:bookmarkStart w:id="36" w:name="_Ref470100551"/>
      <w:proofErr w:type="gramStart"/>
      <w:r>
        <w:t xml:space="preserve">Table </w:t>
      </w:r>
      <w:fldSimple w:instr=" STYLEREF 1 \s ">
        <w:r w:rsidR="00154DB7">
          <w:rPr>
            <w:noProof/>
          </w:rPr>
          <w:t>4</w:t>
        </w:r>
      </w:fldSimple>
      <w:r>
        <w:t>.</w:t>
      </w:r>
      <w:proofErr w:type="gramEnd"/>
      <w:r w:rsidR="007D0F77">
        <w:fldChar w:fldCharType="begin"/>
      </w:r>
      <w:r w:rsidR="007D0F77">
        <w:instrText xml:space="preserve"> SEQ Table \* ARABIC \s 1 </w:instrText>
      </w:r>
      <w:r w:rsidR="007D0F77">
        <w:fldChar w:fldCharType="separate"/>
      </w:r>
      <w:r w:rsidR="00154DB7">
        <w:rPr>
          <w:noProof/>
        </w:rPr>
        <w:t>7</w:t>
      </w:r>
      <w:r w:rsidR="007D0F77">
        <w:rPr>
          <w:noProof/>
        </w:rPr>
        <w:fldChar w:fldCharType="end"/>
      </w:r>
      <w:bookmarkEnd w:id="36"/>
      <w:r>
        <w:t xml:space="preserve">:  </w:t>
      </w:r>
      <w:r w:rsidRPr="00767925">
        <w:t xml:space="preserve">Effective Degree Days (EDD) and </w:t>
      </w:r>
      <w:r w:rsidR="00DF1996">
        <w:t>weather</w:t>
      </w:r>
      <w:r w:rsidRPr="00767925">
        <w:t xml:space="preserve"> sensitivity for the pipeline over the access arrangement period</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767925" w:rsidRPr="005A6915" w:rsidTr="00AB0990">
        <w:tc>
          <w:tcPr>
            <w:tcW w:w="3055" w:type="dxa"/>
            <w:shd w:val="clear" w:color="auto" w:fill="333333"/>
          </w:tcPr>
          <w:p w:rsidR="00767925" w:rsidRPr="005A6915" w:rsidRDefault="00767925" w:rsidP="00AB0990">
            <w:pPr>
              <w:pStyle w:val="TableColumnHeadings"/>
              <w:keepNext/>
              <w:jc w:val="left"/>
              <w:rPr>
                <w:rFonts w:ascii="Century Gothic" w:hAnsi="Century Gothic"/>
              </w:rPr>
            </w:pPr>
          </w:p>
        </w:tc>
        <w:tc>
          <w:tcPr>
            <w:tcW w:w="1076" w:type="dxa"/>
            <w:shd w:val="clear" w:color="auto" w:fill="333333"/>
          </w:tcPr>
          <w:p w:rsidR="00767925" w:rsidRPr="005A6915" w:rsidRDefault="00767925" w:rsidP="00AB0990">
            <w:pPr>
              <w:pStyle w:val="TableColumnHeadings"/>
              <w:rPr>
                <w:rFonts w:ascii="Century Gothic" w:hAnsi="Century Gothic"/>
              </w:rPr>
            </w:pPr>
            <w:r w:rsidRPr="005A6915">
              <w:rPr>
                <w:rFonts w:ascii="Century Gothic" w:hAnsi="Century Gothic"/>
              </w:rPr>
              <w:t>2018</w:t>
            </w:r>
          </w:p>
        </w:tc>
        <w:tc>
          <w:tcPr>
            <w:tcW w:w="1076" w:type="dxa"/>
            <w:shd w:val="clear" w:color="auto" w:fill="333333"/>
          </w:tcPr>
          <w:p w:rsidR="00767925" w:rsidRPr="005A6915" w:rsidRDefault="00767925" w:rsidP="00AB0990">
            <w:pPr>
              <w:pStyle w:val="TableColumnHeadings"/>
              <w:rPr>
                <w:rFonts w:ascii="Century Gothic" w:hAnsi="Century Gothic"/>
              </w:rPr>
            </w:pPr>
            <w:r w:rsidRPr="005A6915">
              <w:rPr>
                <w:rFonts w:ascii="Century Gothic" w:hAnsi="Century Gothic"/>
              </w:rPr>
              <w:t>2019</w:t>
            </w:r>
          </w:p>
        </w:tc>
        <w:tc>
          <w:tcPr>
            <w:tcW w:w="1077" w:type="dxa"/>
            <w:shd w:val="clear" w:color="auto" w:fill="333333"/>
          </w:tcPr>
          <w:p w:rsidR="00767925" w:rsidRPr="005A6915" w:rsidRDefault="00767925" w:rsidP="00AB0990">
            <w:pPr>
              <w:pStyle w:val="TableColumnHeadings"/>
              <w:rPr>
                <w:rFonts w:ascii="Century Gothic" w:hAnsi="Century Gothic"/>
              </w:rPr>
            </w:pPr>
            <w:r w:rsidRPr="005A6915">
              <w:rPr>
                <w:rFonts w:ascii="Century Gothic" w:hAnsi="Century Gothic"/>
              </w:rPr>
              <w:t>2020</w:t>
            </w:r>
          </w:p>
        </w:tc>
        <w:tc>
          <w:tcPr>
            <w:tcW w:w="1076" w:type="dxa"/>
            <w:shd w:val="clear" w:color="auto" w:fill="333333"/>
          </w:tcPr>
          <w:p w:rsidR="00767925" w:rsidRPr="005A6915" w:rsidRDefault="00767925" w:rsidP="00AB0990">
            <w:pPr>
              <w:pStyle w:val="TableColumnHeadings"/>
              <w:rPr>
                <w:rFonts w:ascii="Century Gothic" w:hAnsi="Century Gothic"/>
              </w:rPr>
            </w:pPr>
            <w:r w:rsidRPr="005A6915">
              <w:rPr>
                <w:rFonts w:ascii="Century Gothic" w:hAnsi="Century Gothic"/>
              </w:rPr>
              <w:t>2021</w:t>
            </w:r>
          </w:p>
        </w:tc>
        <w:tc>
          <w:tcPr>
            <w:tcW w:w="1077" w:type="dxa"/>
            <w:shd w:val="clear" w:color="auto" w:fill="333333"/>
          </w:tcPr>
          <w:p w:rsidR="00767925" w:rsidRPr="005A6915" w:rsidRDefault="00767925" w:rsidP="00AB0990">
            <w:pPr>
              <w:pStyle w:val="TableColumnHeadings"/>
              <w:rPr>
                <w:rFonts w:ascii="Century Gothic" w:hAnsi="Century Gothic"/>
              </w:rPr>
            </w:pPr>
            <w:r w:rsidRPr="005A6915">
              <w:rPr>
                <w:rFonts w:ascii="Century Gothic" w:hAnsi="Century Gothic"/>
              </w:rPr>
              <w:t>2022</w:t>
            </w:r>
          </w:p>
        </w:tc>
      </w:tr>
      <w:tr w:rsidR="00206DCF" w:rsidRPr="005A6915" w:rsidTr="00AB0990">
        <w:tc>
          <w:tcPr>
            <w:tcW w:w="3055" w:type="dxa"/>
            <w:shd w:val="clear" w:color="auto" w:fill="auto"/>
            <w:vAlign w:val="center"/>
          </w:tcPr>
          <w:p w:rsidR="00206DCF" w:rsidRPr="0071340F" w:rsidRDefault="00206DCF" w:rsidP="00AB0990">
            <w:pPr>
              <w:keepNext/>
              <w:rPr>
                <w:rFonts w:cs="Arial"/>
                <w:sz w:val="18"/>
                <w:szCs w:val="18"/>
              </w:rPr>
            </w:pPr>
            <w:r w:rsidRPr="00767925">
              <w:rPr>
                <w:rFonts w:cs="Arial"/>
                <w:sz w:val="18"/>
                <w:szCs w:val="18"/>
              </w:rPr>
              <w:t>Effective Degree Days (EDD)</w:t>
            </w:r>
          </w:p>
        </w:tc>
        <w:tc>
          <w:tcPr>
            <w:tcW w:w="1076" w:type="dxa"/>
            <w:shd w:val="clear" w:color="auto" w:fill="auto"/>
            <w:vAlign w:val="center"/>
          </w:tcPr>
          <w:p w:rsidR="00206DCF" w:rsidRPr="0071340F" w:rsidRDefault="00206DCF" w:rsidP="00206DCF">
            <w:pPr>
              <w:jc w:val="center"/>
              <w:rPr>
                <w:rFonts w:cs="Arial"/>
                <w:sz w:val="18"/>
                <w:szCs w:val="18"/>
              </w:rPr>
            </w:pPr>
            <w:r>
              <w:rPr>
                <w:rFonts w:cs="Arial"/>
                <w:sz w:val="18"/>
                <w:szCs w:val="18"/>
              </w:rPr>
              <w:t>1340</w:t>
            </w:r>
          </w:p>
        </w:tc>
        <w:tc>
          <w:tcPr>
            <w:tcW w:w="1076" w:type="dxa"/>
            <w:vAlign w:val="center"/>
          </w:tcPr>
          <w:p w:rsidR="00206DCF" w:rsidRPr="0071340F" w:rsidRDefault="00206DCF" w:rsidP="00AB0990">
            <w:pPr>
              <w:jc w:val="center"/>
              <w:rPr>
                <w:rFonts w:cs="Arial"/>
                <w:sz w:val="18"/>
                <w:szCs w:val="18"/>
              </w:rPr>
            </w:pPr>
            <w:r>
              <w:rPr>
                <w:rFonts w:cs="Arial"/>
                <w:sz w:val="18"/>
                <w:szCs w:val="18"/>
              </w:rPr>
              <w:t>1340</w:t>
            </w:r>
          </w:p>
        </w:tc>
        <w:tc>
          <w:tcPr>
            <w:tcW w:w="1077" w:type="dxa"/>
            <w:shd w:val="clear" w:color="auto" w:fill="auto"/>
            <w:vAlign w:val="center"/>
          </w:tcPr>
          <w:p w:rsidR="00206DCF" w:rsidRPr="0071340F" w:rsidRDefault="00206DCF" w:rsidP="00AB0990">
            <w:pPr>
              <w:jc w:val="center"/>
              <w:rPr>
                <w:rFonts w:cs="Arial"/>
                <w:sz w:val="18"/>
                <w:szCs w:val="18"/>
              </w:rPr>
            </w:pPr>
            <w:r>
              <w:rPr>
                <w:rFonts w:cs="Arial"/>
                <w:sz w:val="18"/>
                <w:szCs w:val="18"/>
              </w:rPr>
              <w:t>1340</w:t>
            </w:r>
          </w:p>
        </w:tc>
        <w:tc>
          <w:tcPr>
            <w:tcW w:w="1076" w:type="dxa"/>
            <w:shd w:val="clear" w:color="auto" w:fill="auto"/>
            <w:vAlign w:val="center"/>
          </w:tcPr>
          <w:p w:rsidR="00206DCF" w:rsidRPr="0071340F" w:rsidRDefault="00206DCF" w:rsidP="00AB0990">
            <w:pPr>
              <w:jc w:val="center"/>
              <w:rPr>
                <w:rFonts w:cs="Arial"/>
                <w:sz w:val="18"/>
                <w:szCs w:val="18"/>
              </w:rPr>
            </w:pPr>
            <w:r>
              <w:rPr>
                <w:rFonts w:cs="Arial"/>
                <w:sz w:val="18"/>
                <w:szCs w:val="18"/>
              </w:rPr>
              <w:t>1340</w:t>
            </w:r>
          </w:p>
        </w:tc>
        <w:tc>
          <w:tcPr>
            <w:tcW w:w="1077" w:type="dxa"/>
            <w:shd w:val="clear" w:color="auto" w:fill="auto"/>
            <w:vAlign w:val="center"/>
          </w:tcPr>
          <w:p w:rsidR="00206DCF" w:rsidRPr="0071340F" w:rsidRDefault="00206DCF" w:rsidP="00AB0990">
            <w:pPr>
              <w:jc w:val="center"/>
              <w:rPr>
                <w:rFonts w:cs="Arial"/>
                <w:sz w:val="18"/>
                <w:szCs w:val="18"/>
              </w:rPr>
            </w:pPr>
            <w:r>
              <w:rPr>
                <w:rFonts w:cs="Arial"/>
                <w:sz w:val="18"/>
                <w:szCs w:val="18"/>
              </w:rPr>
              <w:t>1340</w:t>
            </w:r>
          </w:p>
        </w:tc>
      </w:tr>
      <w:tr w:rsidR="00206DCF" w:rsidRPr="005A6915" w:rsidTr="00AB0990">
        <w:tc>
          <w:tcPr>
            <w:tcW w:w="3055" w:type="dxa"/>
            <w:shd w:val="clear" w:color="auto" w:fill="auto"/>
            <w:vAlign w:val="center"/>
          </w:tcPr>
          <w:p w:rsidR="00206DCF" w:rsidRPr="0071340F" w:rsidRDefault="00206DCF" w:rsidP="00AB0990">
            <w:pPr>
              <w:rPr>
                <w:rFonts w:cs="Arial"/>
                <w:sz w:val="18"/>
                <w:szCs w:val="18"/>
              </w:rPr>
            </w:pPr>
            <w:r w:rsidRPr="00767925">
              <w:rPr>
                <w:rFonts w:cs="Arial"/>
                <w:sz w:val="18"/>
                <w:szCs w:val="18"/>
              </w:rPr>
              <w:t>Weather Sensitivity (TJ/EDD)</w:t>
            </w:r>
          </w:p>
        </w:tc>
        <w:tc>
          <w:tcPr>
            <w:tcW w:w="1076" w:type="dxa"/>
            <w:shd w:val="clear" w:color="auto" w:fill="auto"/>
            <w:vAlign w:val="center"/>
          </w:tcPr>
          <w:p w:rsidR="00206DCF" w:rsidRPr="0071340F" w:rsidRDefault="00206DCF" w:rsidP="00AB0990">
            <w:pPr>
              <w:jc w:val="center"/>
              <w:rPr>
                <w:rFonts w:cs="Arial"/>
                <w:sz w:val="18"/>
                <w:szCs w:val="18"/>
              </w:rPr>
            </w:pPr>
            <w:r>
              <w:rPr>
                <w:rFonts w:cs="Arial"/>
                <w:sz w:val="18"/>
                <w:szCs w:val="18"/>
              </w:rPr>
              <w:t>50.0</w:t>
            </w:r>
          </w:p>
        </w:tc>
        <w:tc>
          <w:tcPr>
            <w:tcW w:w="1076" w:type="dxa"/>
            <w:vAlign w:val="center"/>
          </w:tcPr>
          <w:p w:rsidR="00206DCF" w:rsidRPr="0071340F" w:rsidRDefault="00206DCF" w:rsidP="00AB0990">
            <w:pPr>
              <w:jc w:val="center"/>
              <w:rPr>
                <w:rFonts w:cs="Arial"/>
                <w:sz w:val="18"/>
                <w:szCs w:val="18"/>
              </w:rPr>
            </w:pPr>
            <w:r>
              <w:rPr>
                <w:rFonts w:cs="Arial"/>
                <w:sz w:val="18"/>
                <w:szCs w:val="18"/>
              </w:rPr>
              <w:t>50.0</w:t>
            </w:r>
          </w:p>
        </w:tc>
        <w:tc>
          <w:tcPr>
            <w:tcW w:w="1077" w:type="dxa"/>
            <w:shd w:val="clear" w:color="auto" w:fill="auto"/>
            <w:vAlign w:val="center"/>
          </w:tcPr>
          <w:p w:rsidR="00206DCF" w:rsidRPr="0071340F" w:rsidRDefault="00206DCF" w:rsidP="00AB0990">
            <w:pPr>
              <w:jc w:val="center"/>
              <w:rPr>
                <w:rFonts w:cs="Arial"/>
                <w:sz w:val="18"/>
                <w:szCs w:val="18"/>
              </w:rPr>
            </w:pPr>
            <w:r>
              <w:rPr>
                <w:rFonts w:cs="Arial"/>
                <w:sz w:val="18"/>
                <w:szCs w:val="18"/>
              </w:rPr>
              <w:t>50.0</w:t>
            </w:r>
          </w:p>
        </w:tc>
        <w:tc>
          <w:tcPr>
            <w:tcW w:w="1076" w:type="dxa"/>
            <w:shd w:val="clear" w:color="auto" w:fill="auto"/>
            <w:vAlign w:val="center"/>
          </w:tcPr>
          <w:p w:rsidR="00206DCF" w:rsidRPr="0071340F" w:rsidRDefault="00206DCF" w:rsidP="00AB0990">
            <w:pPr>
              <w:jc w:val="center"/>
              <w:rPr>
                <w:rFonts w:cs="Arial"/>
                <w:sz w:val="18"/>
                <w:szCs w:val="18"/>
              </w:rPr>
            </w:pPr>
            <w:r>
              <w:rPr>
                <w:rFonts w:cs="Arial"/>
                <w:sz w:val="18"/>
                <w:szCs w:val="18"/>
              </w:rPr>
              <w:t>50.0</w:t>
            </w:r>
          </w:p>
        </w:tc>
        <w:tc>
          <w:tcPr>
            <w:tcW w:w="1077" w:type="dxa"/>
            <w:shd w:val="clear" w:color="auto" w:fill="auto"/>
            <w:vAlign w:val="center"/>
          </w:tcPr>
          <w:p w:rsidR="00206DCF" w:rsidRPr="0071340F" w:rsidRDefault="00206DCF" w:rsidP="00AB0990">
            <w:pPr>
              <w:jc w:val="center"/>
              <w:rPr>
                <w:rFonts w:cs="Arial"/>
                <w:sz w:val="18"/>
                <w:szCs w:val="18"/>
              </w:rPr>
            </w:pPr>
            <w:r>
              <w:rPr>
                <w:rFonts w:cs="Arial"/>
                <w:sz w:val="18"/>
                <w:szCs w:val="18"/>
              </w:rPr>
              <w:t>50.0</w:t>
            </w:r>
          </w:p>
        </w:tc>
      </w:tr>
    </w:tbl>
    <w:p w:rsidR="00767925" w:rsidRPr="008A4AF0" w:rsidRDefault="00767925" w:rsidP="00767925">
      <w:pPr>
        <w:pStyle w:val="BodyText"/>
      </w:pPr>
    </w:p>
    <w:p w:rsidR="00767925" w:rsidRDefault="00767925" w:rsidP="00D741FF">
      <w:pPr>
        <w:pStyle w:val="BodyText"/>
      </w:pPr>
    </w:p>
    <w:p w:rsidR="00767925" w:rsidRPr="008A4AF0" w:rsidRDefault="00767925" w:rsidP="00D741FF">
      <w:pPr>
        <w:pStyle w:val="BodyText"/>
      </w:pPr>
    </w:p>
    <w:p w:rsidR="00FA5534" w:rsidRDefault="00996547" w:rsidP="00FA5534">
      <w:pPr>
        <w:pStyle w:val="Heading1"/>
      </w:pPr>
      <w:bookmarkStart w:id="37" w:name="_Toc471221355"/>
      <w:r>
        <w:lastRenderedPageBreak/>
        <w:t>F</w:t>
      </w:r>
      <w:r w:rsidR="00FA5534">
        <w:t>orecast operating expenditure</w:t>
      </w:r>
      <w:bookmarkEnd w:id="37"/>
    </w:p>
    <w:p w:rsidR="00FA5534" w:rsidRDefault="00FA5534" w:rsidP="00FA5534">
      <w:pPr>
        <w:pStyle w:val="BodyText"/>
      </w:pPr>
      <w:r>
        <w:t>Forecast operating expenditure by category over the Access Arrangement Period is set out in Table 5.1 below.</w:t>
      </w:r>
    </w:p>
    <w:p w:rsidR="00035608" w:rsidRDefault="00FA5534" w:rsidP="00FA5534">
      <w:pPr>
        <w:pStyle w:val="Caption"/>
      </w:pPr>
      <w:proofErr w:type="gramStart"/>
      <w:r>
        <w:t xml:space="preserve">Table </w:t>
      </w:r>
      <w:fldSimple w:instr=" STYLEREF 1 \s ">
        <w:r w:rsidR="00154DB7">
          <w:rPr>
            <w:noProof/>
          </w:rPr>
          <w:t>5</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1</w:t>
      </w:r>
      <w:r w:rsidR="007D0F77">
        <w:rPr>
          <w:noProof/>
        </w:rPr>
        <w:fldChar w:fldCharType="end"/>
      </w:r>
      <w:r>
        <w:t xml:space="preserve">:  </w:t>
      </w:r>
      <w:r w:rsidRPr="00FA5534">
        <w:t>Forecast operating expenditure by category over the Access Arrangement Period</w:t>
      </w:r>
      <w:r w:rsidR="00730689">
        <w:t xml:space="preserve"> ($m </w:t>
      </w:r>
      <w:r w:rsidR="00996547">
        <w:t xml:space="preserve">real </w:t>
      </w:r>
      <w:r w:rsidR="00730689">
        <w:t>201</w:t>
      </w:r>
      <w:r w:rsidR="005E6094">
        <w:t>7</w:t>
      </w:r>
      <w:r w:rsidR="00730689">
        <w:t>)</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9C04E5" w:rsidRPr="00730689" w:rsidTr="00C45A01">
        <w:tc>
          <w:tcPr>
            <w:tcW w:w="3055" w:type="dxa"/>
            <w:shd w:val="clear" w:color="auto" w:fill="333333"/>
          </w:tcPr>
          <w:p w:rsidR="009C04E5" w:rsidRPr="00730689" w:rsidRDefault="009C04E5" w:rsidP="00730689">
            <w:pPr>
              <w:pStyle w:val="TableColumnHeadings"/>
              <w:keepNext/>
              <w:jc w:val="left"/>
              <w:rPr>
                <w:rFonts w:ascii="Century Gothic" w:hAnsi="Century Gothic"/>
                <w:szCs w:val="18"/>
              </w:rPr>
            </w:pPr>
            <w:r w:rsidRPr="00730689">
              <w:rPr>
                <w:rFonts w:ascii="Century Gothic" w:hAnsi="Century Gothic"/>
                <w:szCs w:val="18"/>
              </w:rPr>
              <w:t>$</w:t>
            </w:r>
            <w:r w:rsidR="00996547">
              <w:rPr>
                <w:rFonts w:ascii="Century Gothic" w:hAnsi="Century Gothic"/>
                <w:szCs w:val="18"/>
              </w:rPr>
              <w:t>m real 2017</w:t>
            </w:r>
          </w:p>
        </w:tc>
        <w:tc>
          <w:tcPr>
            <w:tcW w:w="1076" w:type="dxa"/>
            <w:shd w:val="clear" w:color="auto" w:fill="333333"/>
          </w:tcPr>
          <w:p w:rsidR="009C04E5" w:rsidRPr="00730689" w:rsidRDefault="009C04E5" w:rsidP="0071340F">
            <w:pPr>
              <w:pStyle w:val="TableColumnHeadings"/>
              <w:rPr>
                <w:rFonts w:ascii="Century Gothic" w:hAnsi="Century Gothic"/>
                <w:szCs w:val="18"/>
              </w:rPr>
            </w:pPr>
            <w:r w:rsidRPr="00730689">
              <w:rPr>
                <w:rFonts w:ascii="Century Gothic" w:hAnsi="Century Gothic"/>
                <w:szCs w:val="18"/>
              </w:rPr>
              <w:t>2018</w:t>
            </w:r>
          </w:p>
        </w:tc>
        <w:tc>
          <w:tcPr>
            <w:tcW w:w="1076" w:type="dxa"/>
            <w:shd w:val="clear" w:color="auto" w:fill="333333"/>
          </w:tcPr>
          <w:p w:rsidR="009C04E5" w:rsidRPr="00730689" w:rsidRDefault="009C04E5" w:rsidP="0071340F">
            <w:pPr>
              <w:pStyle w:val="TableColumnHeadings"/>
              <w:rPr>
                <w:rFonts w:ascii="Century Gothic" w:hAnsi="Century Gothic"/>
                <w:szCs w:val="18"/>
              </w:rPr>
            </w:pPr>
            <w:r w:rsidRPr="00730689">
              <w:rPr>
                <w:rFonts w:ascii="Century Gothic" w:hAnsi="Century Gothic"/>
                <w:szCs w:val="18"/>
              </w:rPr>
              <w:t>2019</w:t>
            </w:r>
          </w:p>
        </w:tc>
        <w:tc>
          <w:tcPr>
            <w:tcW w:w="1077" w:type="dxa"/>
            <w:shd w:val="clear" w:color="auto" w:fill="333333"/>
          </w:tcPr>
          <w:p w:rsidR="009C04E5" w:rsidRPr="00730689" w:rsidRDefault="009C04E5" w:rsidP="0071340F">
            <w:pPr>
              <w:pStyle w:val="TableColumnHeadings"/>
              <w:rPr>
                <w:rFonts w:ascii="Century Gothic" w:hAnsi="Century Gothic"/>
                <w:szCs w:val="18"/>
              </w:rPr>
            </w:pPr>
            <w:r w:rsidRPr="00730689">
              <w:rPr>
                <w:rFonts w:ascii="Century Gothic" w:hAnsi="Century Gothic"/>
                <w:szCs w:val="18"/>
              </w:rPr>
              <w:t>2020</w:t>
            </w:r>
          </w:p>
        </w:tc>
        <w:tc>
          <w:tcPr>
            <w:tcW w:w="1076" w:type="dxa"/>
            <w:shd w:val="clear" w:color="auto" w:fill="333333"/>
          </w:tcPr>
          <w:p w:rsidR="009C04E5" w:rsidRPr="00730689" w:rsidRDefault="009C04E5" w:rsidP="0071340F">
            <w:pPr>
              <w:pStyle w:val="TableColumnHeadings"/>
              <w:rPr>
                <w:rFonts w:ascii="Century Gothic" w:hAnsi="Century Gothic"/>
                <w:szCs w:val="18"/>
              </w:rPr>
            </w:pPr>
            <w:r w:rsidRPr="00730689">
              <w:rPr>
                <w:rFonts w:ascii="Century Gothic" w:hAnsi="Century Gothic"/>
                <w:szCs w:val="18"/>
              </w:rPr>
              <w:t>2021</w:t>
            </w:r>
          </w:p>
        </w:tc>
        <w:tc>
          <w:tcPr>
            <w:tcW w:w="1077" w:type="dxa"/>
            <w:shd w:val="clear" w:color="auto" w:fill="333333"/>
          </w:tcPr>
          <w:p w:rsidR="009C04E5" w:rsidRPr="00730689" w:rsidRDefault="009C04E5" w:rsidP="0071340F">
            <w:pPr>
              <w:pStyle w:val="TableColumnHeadings"/>
              <w:rPr>
                <w:rFonts w:ascii="Century Gothic" w:hAnsi="Century Gothic"/>
                <w:szCs w:val="18"/>
              </w:rPr>
            </w:pPr>
            <w:r w:rsidRPr="00730689">
              <w:rPr>
                <w:rFonts w:ascii="Century Gothic" w:hAnsi="Century Gothic"/>
                <w:szCs w:val="18"/>
              </w:rPr>
              <w:t>2022</w:t>
            </w:r>
          </w:p>
        </w:tc>
      </w:tr>
      <w:tr w:rsidR="001732D8" w:rsidRPr="003662A4" w:rsidTr="001732D8">
        <w:tc>
          <w:tcPr>
            <w:tcW w:w="3055" w:type="dxa"/>
            <w:shd w:val="clear" w:color="auto" w:fill="auto"/>
            <w:vAlign w:val="center"/>
          </w:tcPr>
          <w:p w:rsidR="001732D8" w:rsidRPr="00A702CB" w:rsidRDefault="001732D8" w:rsidP="001732D8">
            <w:pPr>
              <w:rPr>
                <w:rFonts w:cs="Arial"/>
                <w:sz w:val="18"/>
                <w:szCs w:val="18"/>
              </w:rPr>
            </w:pPr>
            <w:r w:rsidRPr="00A702CB">
              <w:rPr>
                <w:rFonts w:cs="Arial"/>
                <w:sz w:val="18"/>
                <w:szCs w:val="18"/>
              </w:rPr>
              <w:t>Labour</w:t>
            </w:r>
          </w:p>
        </w:tc>
        <w:tc>
          <w:tcPr>
            <w:tcW w:w="1076" w:type="dxa"/>
            <w:shd w:val="clear" w:color="auto" w:fill="auto"/>
            <w:vAlign w:val="center"/>
          </w:tcPr>
          <w:p w:rsidR="001732D8" w:rsidRPr="00EE505F" w:rsidRDefault="001732D8" w:rsidP="001732D8">
            <w:pPr>
              <w:pStyle w:val="TableBodyCells"/>
            </w:pPr>
            <w:r w:rsidRPr="00EE505F">
              <w:t>11.5</w:t>
            </w:r>
          </w:p>
        </w:tc>
        <w:tc>
          <w:tcPr>
            <w:tcW w:w="1076" w:type="dxa"/>
            <w:vAlign w:val="center"/>
          </w:tcPr>
          <w:p w:rsidR="001732D8" w:rsidRPr="00EE505F" w:rsidRDefault="001732D8" w:rsidP="001732D8">
            <w:pPr>
              <w:pStyle w:val="TableBodyCells"/>
            </w:pPr>
            <w:r w:rsidRPr="00EE505F">
              <w:t>11.6</w:t>
            </w:r>
          </w:p>
        </w:tc>
        <w:tc>
          <w:tcPr>
            <w:tcW w:w="1077" w:type="dxa"/>
            <w:shd w:val="clear" w:color="auto" w:fill="auto"/>
            <w:vAlign w:val="center"/>
          </w:tcPr>
          <w:p w:rsidR="001732D8" w:rsidRPr="00EE505F" w:rsidRDefault="001732D8" w:rsidP="001732D8">
            <w:pPr>
              <w:pStyle w:val="TableBodyCells"/>
            </w:pPr>
            <w:r w:rsidRPr="00EE505F">
              <w:t>11.6</w:t>
            </w:r>
          </w:p>
        </w:tc>
        <w:tc>
          <w:tcPr>
            <w:tcW w:w="1076" w:type="dxa"/>
            <w:shd w:val="clear" w:color="auto" w:fill="auto"/>
            <w:vAlign w:val="center"/>
          </w:tcPr>
          <w:p w:rsidR="001732D8" w:rsidRPr="00EE505F" w:rsidRDefault="001732D8" w:rsidP="001732D8">
            <w:pPr>
              <w:pStyle w:val="TableBodyCells"/>
            </w:pPr>
            <w:r w:rsidRPr="00EE505F">
              <w:t>12.0</w:t>
            </w:r>
          </w:p>
        </w:tc>
        <w:tc>
          <w:tcPr>
            <w:tcW w:w="1077" w:type="dxa"/>
            <w:shd w:val="clear" w:color="auto" w:fill="auto"/>
            <w:vAlign w:val="center"/>
          </w:tcPr>
          <w:p w:rsidR="001732D8" w:rsidRPr="00EE505F" w:rsidRDefault="001732D8" w:rsidP="001732D8">
            <w:pPr>
              <w:pStyle w:val="TableBodyCells"/>
            </w:pPr>
            <w:r w:rsidRPr="00EE505F">
              <w:t>12.1</w:t>
            </w:r>
          </w:p>
        </w:tc>
      </w:tr>
      <w:tr w:rsidR="001732D8" w:rsidRPr="003662A4" w:rsidTr="001732D8">
        <w:tc>
          <w:tcPr>
            <w:tcW w:w="3055" w:type="dxa"/>
            <w:shd w:val="clear" w:color="auto" w:fill="auto"/>
            <w:vAlign w:val="center"/>
          </w:tcPr>
          <w:p w:rsidR="001732D8" w:rsidRPr="00A702CB" w:rsidRDefault="001732D8" w:rsidP="001732D8">
            <w:pPr>
              <w:rPr>
                <w:rFonts w:cs="Arial"/>
                <w:sz w:val="18"/>
                <w:szCs w:val="18"/>
              </w:rPr>
            </w:pPr>
            <w:r w:rsidRPr="00A702CB">
              <w:rPr>
                <w:rFonts w:cs="Arial"/>
                <w:sz w:val="18"/>
                <w:szCs w:val="18"/>
              </w:rPr>
              <w:t>Contractors</w:t>
            </w:r>
          </w:p>
        </w:tc>
        <w:tc>
          <w:tcPr>
            <w:tcW w:w="1076" w:type="dxa"/>
            <w:shd w:val="clear" w:color="auto" w:fill="auto"/>
            <w:vAlign w:val="center"/>
          </w:tcPr>
          <w:p w:rsidR="001732D8" w:rsidRPr="00EE505F" w:rsidRDefault="001732D8" w:rsidP="001732D8">
            <w:pPr>
              <w:pStyle w:val="TableBodyCells"/>
            </w:pPr>
            <w:r w:rsidRPr="00EE505F">
              <w:t>2.0</w:t>
            </w:r>
          </w:p>
        </w:tc>
        <w:tc>
          <w:tcPr>
            <w:tcW w:w="1076" w:type="dxa"/>
            <w:vAlign w:val="center"/>
          </w:tcPr>
          <w:p w:rsidR="001732D8" w:rsidRPr="00EE505F" w:rsidRDefault="001732D8" w:rsidP="001732D8">
            <w:pPr>
              <w:pStyle w:val="TableBodyCells"/>
            </w:pPr>
            <w:r w:rsidRPr="00EE505F">
              <w:t>2.0</w:t>
            </w:r>
          </w:p>
        </w:tc>
        <w:tc>
          <w:tcPr>
            <w:tcW w:w="1077" w:type="dxa"/>
            <w:shd w:val="clear" w:color="auto" w:fill="auto"/>
            <w:vAlign w:val="center"/>
          </w:tcPr>
          <w:p w:rsidR="001732D8" w:rsidRPr="00EE505F" w:rsidRDefault="001732D8" w:rsidP="001732D8">
            <w:pPr>
              <w:pStyle w:val="TableBodyCells"/>
            </w:pPr>
            <w:r w:rsidRPr="00EE505F">
              <w:t>2.0</w:t>
            </w:r>
          </w:p>
        </w:tc>
        <w:tc>
          <w:tcPr>
            <w:tcW w:w="1076" w:type="dxa"/>
            <w:shd w:val="clear" w:color="auto" w:fill="auto"/>
            <w:vAlign w:val="center"/>
          </w:tcPr>
          <w:p w:rsidR="001732D8" w:rsidRPr="00EE505F" w:rsidRDefault="001732D8" w:rsidP="001732D8">
            <w:pPr>
              <w:pStyle w:val="TableBodyCells"/>
            </w:pPr>
            <w:r w:rsidRPr="00EE505F">
              <w:t>2.1</w:t>
            </w:r>
          </w:p>
        </w:tc>
        <w:tc>
          <w:tcPr>
            <w:tcW w:w="1077" w:type="dxa"/>
            <w:shd w:val="clear" w:color="auto" w:fill="auto"/>
            <w:vAlign w:val="center"/>
          </w:tcPr>
          <w:p w:rsidR="001732D8" w:rsidRPr="00EE505F" w:rsidRDefault="001732D8" w:rsidP="001732D8">
            <w:pPr>
              <w:pStyle w:val="TableBodyCells"/>
            </w:pPr>
            <w:r w:rsidRPr="00EE505F">
              <w:t>2.1</w:t>
            </w:r>
          </w:p>
        </w:tc>
      </w:tr>
      <w:tr w:rsidR="001732D8" w:rsidRPr="003662A4" w:rsidTr="001732D8">
        <w:tc>
          <w:tcPr>
            <w:tcW w:w="3055" w:type="dxa"/>
            <w:shd w:val="clear" w:color="auto" w:fill="auto"/>
            <w:vAlign w:val="center"/>
          </w:tcPr>
          <w:p w:rsidR="001732D8" w:rsidRPr="00A702CB" w:rsidRDefault="001732D8" w:rsidP="001732D8">
            <w:pPr>
              <w:rPr>
                <w:rFonts w:cs="Arial"/>
                <w:sz w:val="18"/>
                <w:szCs w:val="18"/>
              </w:rPr>
            </w:pPr>
            <w:r w:rsidRPr="00A702CB">
              <w:rPr>
                <w:rFonts w:cs="Arial"/>
                <w:sz w:val="18"/>
                <w:szCs w:val="18"/>
              </w:rPr>
              <w:t>Insurance, Licences and Fees</w:t>
            </w:r>
          </w:p>
        </w:tc>
        <w:tc>
          <w:tcPr>
            <w:tcW w:w="1076" w:type="dxa"/>
            <w:shd w:val="clear" w:color="auto" w:fill="auto"/>
            <w:vAlign w:val="center"/>
          </w:tcPr>
          <w:p w:rsidR="001732D8" w:rsidRPr="00EE505F" w:rsidRDefault="001732D8" w:rsidP="001732D8">
            <w:pPr>
              <w:pStyle w:val="TableBodyCells"/>
            </w:pPr>
            <w:r w:rsidRPr="00EE505F">
              <w:t>0.7</w:t>
            </w:r>
          </w:p>
        </w:tc>
        <w:tc>
          <w:tcPr>
            <w:tcW w:w="1076" w:type="dxa"/>
            <w:vAlign w:val="center"/>
          </w:tcPr>
          <w:p w:rsidR="001732D8" w:rsidRPr="00EE505F" w:rsidRDefault="001732D8" w:rsidP="001732D8">
            <w:pPr>
              <w:pStyle w:val="TableBodyCells"/>
            </w:pPr>
            <w:r w:rsidRPr="00EE505F">
              <w:t>0.7</w:t>
            </w:r>
          </w:p>
        </w:tc>
        <w:tc>
          <w:tcPr>
            <w:tcW w:w="1077" w:type="dxa"/>
            <w:shd w:val="clear" w:color="auto" w:fill="auto"/>
            <w:vAlign w:val="center"/>
          </w:tcPr>
          <w:p w:rsidR="001732D8" w:rsidRPr="00EE505F" w:rsidRDefault="001732D8" w:rsidP="001732D8">
            <w:pPr>
              <w:pStyle w:val="TableBodyCells"/>
            </w:pPr>
            <w:r w:rsidRPr="00EE505F">
              <w:t>0.7</w:t>
            </w:r>
          </w:p>
        </w:tc>
        <w:tc>
          <w:tcPr>
            <w:tcW w:w="1076" w:type="dxa"/>
            <w:shd w:val="clear" w:color="auto" w:fill="auto"/>
            <w:vAlign w:val="center"/>
          </w:tcPr>
          <w:p w:rsidR="001732D8" w:rsidRPr="00EE505F" w:rsidRDefault="001732D8" w:rsidP="001732D8">
            <w:pPr>
              <w:pStyle w:val="TableBodyCells"/>
            </w:pPr>
            <w:r w:rsidRPr="00EE505F">
              <w:t>0.7</w:t>
            </w:r>
          </w:p>
        </w:tc>
        <w:tc>
          <w:tcPr>
            <w:tcW w:w="1077" w:type="dxa"/>
            <w:shd w:val="clear" w:color="auto" w:fill="auto"/>
            <w:vAlign w:val="center"/>
          </w:tcPr>
          <w:p w:rsidR="001732D8" w:rsidRPr="00EE505F" w:rsidRDefault="001732D8" w:rsidP="001732D8">
            <w:pPr>
              <w:pStyle w:val="TableBodyCells"/>
            </w:pPr>
            <w:r w:rsidRPr="00EE505F">
              <w:t>0.7</w:t>
            </w:r>
          </w:p>
        </w:tc>
      </w:tr>
      <w:tr w:rsidR="001732D8" w:rsidRPr="003662A4" w:rsidTr="001732D8">
        <w:tc>
          <w:tcPr>
            <w:tcW w:w="3055" w:type="dxa"/>
            <w:shd w:val="clear" w:color="auto" w:fill="auto"/>
            <w:vAlign w:val="center"/>
          </w:tcPr>
          <w:p w:rsidR="001732D8" w:rsidRPr="00A702CB" w:rsidRDefault="001732D8" w:rsidP="001732D8">
            <w:pPr>
              <w:rPr>
                <w:rFonts w:cs="Arial"/>
                <w:sz w:val="18"/>
                <w:szCs w:val="18"/>
              </w:rPr>
            </w:pPr>
            <w:r w:rsidRPr="00A702CB">
              <w:rPr>
                <w:rFonts w:cs="Arial"/>
                <w:sz w:val="18"/>
                <w:szCs w:val="18"/>
              </w:rPr>
              <w:t>Other operating costs</w:t>
            </w:r>
          </w:p>
        </w:tc>
        <w:tc>
          <w:tcPr>
            <w:tcW w:w="1076" w:type="dxa"/>
            <w:shd w:val="clear" w:color="auto" w:fill="auto"/>
            <w:vAlign w:val="center"/>
          </w:tcPr>
          <w:p w:rsidR="001732D8" w:rsidRPr="00EE505F" w:rsidRDefault="001732D8" w:rsidP="001732D8">
            <w:pPr>
              <w:pStyle w:val="TableBodyCells"/>
            </w:pPr>
            <w:r w:rsidRPr="00EE505F">
              <w:t>4.6</w:t>
            </w:r>
          </w:p>
        </w:tc>
        <w:tc>
          <w:tcPr>
            <w:tcW w:w="1076" w:type="dxa"/>
            <w:vAlign w:val="center"/>
          </w:tcPr>
          <w:p w:rsidR="001732D8" w:rsidRPr="00EE505F" w:rsidRDefault="001732D8" w:rsidP="001732D8">
            <w:pPr>
              <w:pStyle w:val="TableBodyCells"/>
            </w:pPr>
            <w:r w:rsidRPr="00EE505F">
              <w:t>4.7</w:t>
            </w:r>
          </w:p>
        </w:tc>
        <w:tc>
          <w:tcPr>
            <w:tcW w:w="1077" w:type="dxa"/>
            <w:shd w:val="clear" w:color="auto" w:fill="auto"/>
            <w:vAlign w:val="center"/>
          </w:tcPr>
          <w:p w:rsidR="001732D8" w:rsidRPr="00EE505F" w:rsidRDefault="001732D8" w:rsidP="001732D8">
            <w:pPr>
              <w:pStyle w:val="TableBodyCells"/>
            </w:pPr>
            <w:r w:rsidRPr="00EE505F">
              <w:t>4.7</w:t>
            </w:r>
          </w:p>
        </w:tc>
        <w:tc>
          <w:tcPr>
            <w:tcW w:w="1076" w:type="dxa"/>
            <w:shd w:val="clear" w:color="auto" w:fill="auto"/>
            <w:vAlign w:val="center"/>
          </w:tcPr>
          <w:p w:rsidR="001732D8" w:rsidRPr="00EE505F" w:rsidRDefault="001732D8" w:rsidP="001732D8">
            <w:pPr>
              <w:pStyle w:val="TableBodyCells"/>
            </w:pPr>
            <w:r w:rsidRPr="00EE505F">
              <w:t>4.8</w:t>
            </w:r>
          </w:p>
        </w:tc>
        <w:tc>
          <w:tcPr>
            <w:tcW w:w="1077" w:type="dxa"/>
            <w:shd w:val="clear" w:color="auto" w:fill="auto"/>
            <w:vAlign w:val="center"/>
          </w:tcPr>
          <w:p w:rsidR="001732D8" w:rsidRPr="00EE505F" w:rsidRDefault="001732D8" w:rsidP="001732D8">
            <w:pPr>
              <w:pStyle w:val="TableBodyCells"/>
            </w:pPr>
            <w:r w:rsidRPr="00EE505F">
              <w:t>4.9</w:t>
            </w:r>
          </w:p>
        </w:tc>
      </w:tr>
      <w:tr w:rsidR="001732D8" w:rsidRPr="003662A4" w:rsidTr="001732D8">
        <w:tc>
          <w:tcPr>
            <w:tcW w:w="3055" w:type="dxa"/>
            <w:shd w:val="clear" w:color="auto" w:fill="auto"/>
            <w:vAlign w:val="center"/>
          </w:tcPr>
          <w:p w:rsidR="001732D8" w:rsidRPr="00A702CB" w:rsidRDefault="001732D8" w:rsidP="001732D8">
            <w:pPr>
              <w:rPr>
                <w:rFonts w:cs="Arial"/>
                <w:sz w:val="18"/>
                <w:szCs w:val="18"/>
              </w:rPr>
            </w:pPr>
            <w:r w:rsidRPr="00A702CB">
              <w:rPr>
                <w:rFonts w:cs="Arial"/>
                <w:sz w:val="18"/>
                <w:szCs w:val="18"/>
              </w:rPr>
              <w:t>Corporate costs</w:t>
            </w:r>
          </w:p>
        </w:tc>
        <w:tc>
          <w:tcPr>
            <w:tcW w:w="1076" w:type="dxa"/>
            <w:shd w:val="clear" w:color="auto" w:fill="auto"/>
            <w:vAlign w:val="center"/>
          </w:tcPr>
          <w:p w:rsidR="001732D8" w:rsidRPr="00EE505F" w:rsidRDefault="001732D8" w:rsidP="001732D8">
            <w:pPr>
              <w:pStyle w:val="TableBodyCells"/>
            </w:pPr>
            <w:r w:rsidRPr="00EE505F">
              <w:t>7.0</w:t>
            </w:r>
          </w:p>
        </w:tc>
        <w:tc>
          <w:tcPr>
            <w:tcW w:w="1076" w:type="dxa"/>
            <w:vAlign w:val="center"/>
          </w:tcPr>
          <w:p w:rsidR="001732D8" w:rsidRPr="00EE505F" w:rsidRDefault="001732D8" w:rsidP="001732D8">
            <w:pPr>
              <w:pStyle w:val="TableBodyCells"/>
            </w:pPr>
            <w:r w:rsidRPr="00EE505F">
              <w:t>7.0</w:t>
            </w:r>
          </w:p>
        </w:tc>
        <w:tc>
          <w:tcPr>
            <w:tcW w:w="1077" w:type="dxa"/>
            <w:shd w:val="clear" w:color="auto" w:fill="auto"/>
            <w:vAlign w:val="center"/>
          </w:tcPr>
          <w:p w:rsidR="001732D8" w:rsidRPr="00EE505F" w:rsidRDefault="001732D8" w:rsidP="001732D8">
            <w:pPr>
              <w:pStyle w:val="TableBodyCells"/>
            </w:pPr>
            <w:r w:rsidRPr="00EE505F">
              <w:t>7.0</w:t>
            </w:r>
          </w:p>
        </w:tc>
        <w:tc>
          <w:tcPr>
            <w:tcW w:w="1076" w:type="dxa"/>
            <w:shd w:val="clear" w:color="auto" w:fill="auto"/>
            <w:vAlign w:val="center"/>
          </w:tcPr>
          <w:p w:rsidR="001732D8" w:rsidRPr="00EE505F" w:rsidRDefault="001732D8" w:rsidP="001732D8">
            <w:pPr>
              <w:pStyle w:val="TableBodyCells"/>
            </w:pPr>
            <w:r w:rsidRPr="00EE505F">
              <w:t>7.3</w:t>
            </w:r>
          </w:p>
        </w:tc>
        <w:tc>
          <w:tcPr>
            <w:tcW w:w="1077" w:type="dxa"/>
            <w:shd w:val="clear" w:color="auto" w:fill="auto"/>
            <w:vAlign w:val="center"/>
          </w:tcPr>
          <w:p w:rsidR="001732D8" w:rsidRPr="00EE505F" w:rsidRDefault="001732D8" w:rsidP="001732D8">
            <w:pPr>
              <w:pStyle w:val="TableBodyCells"/>
            </w:pPr>
            <w:r w:rsidRPr="00EE505F">
              <w:t>7.3</w:t>
            </w:r>
          </w:p>
        </w:tc>
      </w:tr>
      <w:tr w:rsidR="001732D8" w:rsidRPr="003662A4" w:rsidTr="001732D8">
        <w:tc>
          <w:tcPr>
            <w:tcW w:w="3055" w:type="dxa"/>
            <w:shd w:val="clear" w:color="auto" w:fill="auto"/>
            <w:vAlign w:val="center"/>
          </w:tcPr>
          <w:p w:rsidR="001732D8" w:rsidRPr="00A702CB" w:rsidRDefault="001732D8" w:rsidP="001732D8">
            <w:pPr>
              <w:rPr>
                <w:rFonts w:cs="Arial"/>
                <w:sz w:val="18"/>
                <w:szCs w:val="18"/>
              </w:rPr>
            </w:pPr>
            <w:r w:rsidRPr="00A702CB">
              <w:rPr>
                <w:rFonts w:cs="Arial"/>
                <w:sz w:val="18"/>
                <w:szCs w:val="18"/>
              </w:rPr>
              <w:t>Debt raising costs</w:t>
            </w:r>
          </w:p>
        </w:tc>
        <w:tc>
          <w:tcPr>
            <w:tcW w:w="1076" w:type="dxa"/>
            <w:shd w:val="clear" w:color="auto" w:fill="auto"/>
            <w:vAlign w:val="center"/>
          </w:tcPr>
          <w:p w:rsidR="001732D8" w:rsidRPr="00EE505F" w:rsidRDefault="001732D8" w:rsidP="001732D8">
            <w:pPr>
              <w:pStyle w:val="TableBodyCells"/>
            </w:pPr>
            <w:r w:rsidRPr="00EE505F">
              <w:t>0.1</w:t>
            </w:r>
          </w:p>
        </w:tc>
        <w:tc>
          <w:tcPr>
            <w:tcW w:w="1076" w:type="dxa"/>
            <w:vAlign w:val="center"/>
          </w:tcPr>
          <w:p w:rsidR="001732D8" w:rsidRPr="00EE505F" w:rsidRDefault="001732D8" w:rsidP="001732D8">
            <w:pPr>
              <w:pStyle w:val="TableBodyCells"/>
            </w:pPr>
            <w:r w:rsidRPr="00EE505F">
              <w:t>0.1</w:t>
            </w:r>
          </w:p>
        </w:tc>
        <w:tc>
          <w:tcPr>
            <w:tcW w:w="1077" w:type="dxa"/>
            <w:shd w:val="clear" w:color="auto" w:fill="auto"/>
            <w:vAlign w:val="center"/>
          </w:tcPr>
          <w:p w:rsidR="001732D8" w:rsidRPr="00EE505F" w:rsidRDefault="001732D8" w:rsidP="001732D8">
            <w:pPr>
              <w:pStyle w:val="TableBodyCells"/>
            </w:pPr>
            <w:r w:rsidRPr="00EE505F">
              <w:t>0.1</w:t>
            </w:r>
          </w:p>
        </w:tc>
        <w:tc>
          <w:tcPr>
            <w:tcW w:w="1076" w:type="dxa"/>
            <w:shd w:val="clear" w:color="auto" w:fill="auto"/>
            <w:vAlign w:val="center"/>
          </w:tcPr>
          <w:p w:rsidR="001732D8" w:rsidRPr="00EE505F" w:rsidRDefault="001732D8" w:rsidP="001732D8">
            <w:pPr>
              <w:pStyle w:val="TableBodyCells"/>
            </w:pPr>
            <w:r w:rsidRPr="00EE505F">
              <w:t>0.1</w:t>
            </w:r>
          </w:p>
        </w:tc>
        <w:tc>
          <w:tcPr>
            <w:tcW w:w="1077" w:type="dxa"/>
            <w:shd w:val="clear" w:color="auto" w:fill="auto"/>
            <w:vAlign w:val="center"/>
          </w:tcPr>
          <w:p w:rsidR="001732D8" w:rsidRPr="00EE505F" w:rsidRDefault="001732D8" w:rsidP="001732D8">
            <w:pPr>
              <w:pStyle w:val="TableBodyCells"/>
            </w:pPr>
            <w:r w:rsidRPr="00EE505F">
              <w:t>0.1</w:t>
            </w:r>
          </w:p>
        </w:tc>
      </w:tr>
      <w:tr w:rsidR="001732D8" w:rsidRPr="00605F6D" w:rsidTr="00605F6D">
        <w:tc>
          <w:tcPr>
            <w:tcW w:w="3055" w:type="dxa"/>
            <w:shd w:val="clear" w:color="auto" w:fill="auto"/>
            <w:vAlign w:val="center"/>
          </w:tcPr>
          <w:p w:rsidR="001732D8" w:rsidRPr="00605F6D" w:rsidRDefault="001732D8" w:rsidP="00605F6D">
            <w:pPr>
              <w:rPr>
                <w:rFonts w:cs="Arial"/>
                <w:b/>
                <w:sz w:val="18"/>
                <w:szCs w:val="18"/>
              </w:rPr>
            </w:pPr>
            <w:r w:rsidRPr="00605F6D">
              <w:rPr>
                <w:rFonts w:cs="Arial"/>
                <w:b/>
                <w:sz w:val="18"/>
                <w:szCs w:val="18"/>
              </w:rPr>
              <w:t>Forecast operating expenditure</w:t>
            </w:r>
          </w:p>
        </w:tc>
        <w:tc>
          <w:tcPr>
            <w:tcW w:w="1076" w:type="dxa"/>
            <w:shd w:val="clear" w:color="auto" w:fill="auto"/>
            <w:vAlign w:val="center"/>
          </w:tcPr>
          <w:p w:rsidR="001732D8" w:rsidRPr="00605F6D" w:rsidRDefault="001732D8" w:rsidP="00605F6D">
            <w:pPr>
              <w:pStyle w:val="TableBodyCells"/>
              <w:rPr>
                <w:b/>
              </w:rPr>
            </w:pPr>
            <w:r w:rsidRPr="00605F6D">
              <w:rPr>
                <w:b/>
              </w:rPr>
              <w:t>25.9</w:t>
            </w:r>
          </w:p>
        </w:tc>
        <w:tc>
          <w:tcPr>
            <w:tcW w:w="1076" w:type="dxa"/>
            <w:vAlign w:val="center"/>
          </w:tcPr>
          <w:p w:rsidR="001732D8" w:rsidRPr="00605F6D" w:rsidRDefault="001732D8" w:rsidP="00605F6D">
            <w:pPr>
              <w:pStyle w:val="TableBodyCells"/>
              <w:rPr>
                <w:b/>
              </w:rPr>
            </w:pPr>
            <w:r w:rsidRPr="00605F6D">
              <w:rPr>
                <w:b/>
              </w:rPr>
              <w:t>26.0</w:t>
            </w:r>
          </w:p>
        </w:tc>
        <w:tc>
          <w:tcPr>
            <w:tcW w:w="1077" w:type="dxa"/>
            <w:shd w:val="clear" w:color="auto" w:fill="auto"/>
            <w:vAlign w:val="center"/>
          </w:tcPr>
          <w:p w:rsidR="001732D8" w:rsidRPr="00605F6D" w:rsidRDefault="001732D8" w:rsidP="00605F6D">
            <w:pPr>
              <w:pStyle w:val="TableBodyCells"/>
              <w:rPr>
                <w:b/>
              </w:rPr>
            </w:pPr>
            <w:r w:rsidRPr="00605F6D">
              <w:rPr>
                <w:b/>
              </w:rPr>
              <w:t>26.0</w:t>
            </w:r>
          </w:p>
        </w:tc>
        <w:tc>
          <w:tcPr>
            <w:tcW w:w="1076" w:type="dxa"/>
            <w:shd w:val="clear" w:color="auto" w:fill="auto"/>
            <w:vAlign w:val="center"/>
          </w:tcPr>
          <w:p w:rsidR="001732D8" w:rsidRPr="00605F6D" w:rsidRDefault="001732D8" w:rsidP="00605F6D">
            <w:pPr>
              <w:pStyle w:val="TableBodyCells"/>
              <w:rPr>
                <w:b/>
              </w:rPr>
            </w:pPr>
            <w:r w:rsidRPr="00605F6D">
              <w:rPr>
                <w:b/>
              </w:rPr>
              <w:t>27.0</w:t>
            </w:r>
          </w:p>
        </w:tc>
        <w:tc>
          <w:tcPr>
            <w:tcW w:w="1077" w:type="dxa"/>
            <w:shd w:val="clear" w:color="auto" w:fill="auto"/>
            <w:vAlign w:val="center"/>
          </w:tcPr>
          <w:p w:rsidR="001732D8" w:rsidRPr="00605F6D" w:rsidRDefault="001732D8" w:rsidP="00605F6D">
            <w:pPr>
              <w:pStyle w:val="TableBodyCells"/>
              <w:rPr>
                <w:b/>
              </w:rPr>
            </w:pPr>
            <w:r w:rsidRPr="00605F6D">
              <w:rPr>
                <w:b/>
              </w:rPr>
              <w:t>27.2</w:t>
            </w:r>
          </w:p>
        </w:tc>
      </w:tr>
    </w:tbl>
    <w:p w:rsidR="00FA5534" w:rsidRDefault="00996547" w:rsidP="00FA5534">
      <w:pPr>
        <w:pStyle w:val="BodyText"/>
      </w:pPr>
      <w:r>
        <w:t>APA VTS’s</w:t>
      </w:r>
      <w:r w:rsidR="00FA5534">
        <w:t xml:space="preserve"> forecast of operating expenditure for the Access Arrangement Period has been prepared using the base year methodology. This methodology involves the following steps:</w:t>
      </w:r>
    </w:p>
    <w:p w:rsidR="00FA5534" w:rsidRDefault="00FA5534" w:rsidP="00FA5534">
      <w:pPr>
        <w:pStyle w:val="ListBullet"/>
      </w:pPr>
      <w:r>
        <w:t>Selection of an appropriate base year in which to measure costs;</w:t>
      </w:r>
    </w:p>
    <w:p w:rsidR="00FA5534" w:rsidRDefault="00FA5534" w:rsidP="00FA5534">
      <w:pPr>
        <w:pStyle w:val="ListBullet"/>
      </w:pPr>
      <w:r>
        <w:t>Modification of the base year costs to ensure that all costs required for future operation of the Pipeline are added to the base year costs, and all costs in the base year costs which are not relevant to future operation of the Pipeline are subtracted from the base year costs;</w:t>
      </w:r>
    </w:p>
    <w:p w:rsidR="00FA5534" w:rsidRDefault="00FA5534" w:rsidP="00FA5534">
      <w:pPr>
        <w:pStyle w:val="ListBullet"/>
      </w:pPr>
      <w:r>
        <w:t>Modification of base year costs as required to reflect changed consumer numbers, additional Pipeline facilities required to supply gas to these additional consumers, and increased loads from existing consumers;</w:t>
      </w:r>
    </w:p>
    <w:p w:rsidR="00FA5534" w:rsidRDefault="00FA5534" w:rsidP="00FA5534">
      <w:pPr>
        <w:pStyle w:val="ListBullet"/>
      </w:pPr>
      <w:r>
        <w:t>Modification of the base year costs to reflect changes in input costs anticipated over the Access Arrangement Period; and</w:t>
      </w:r>
    </w:p>
    <w:p w:rsidR="00FA5534" w:rsidRDefault="00FA5534" w:rsidP="00D741FF">
      <w:pPr>
        <w:pStyle w:val="ListBullet"/>
      </w:pPr>
      <w:r>
        <w:t>Modification of the base year costs to reflect appropriate productivity improvements.</w:t>
      </w:r>
    </w:p>
    <w:p w:rsidR="00FA5534" w:rsidRDefault="00996547" w:rsidP="00FA5534">
      <w:pPr>
        <w:pStyle w:val="Heading1"/>
      </w:pPr>
      <w:bookmarkStart w:id="38" w:name="_Toc471221356"/>
      <w:r>
        <w:lastRenderedPageBreak/>
        <w:t>K</w:t>
      </w:r>
      <w:r w:rsidR="00FA5534">
        <w:t>ey performance indicators</w:t>
      </w:r>
      <w:bookmarkEnd w:id="38"/>
    </w:p>
    <w:p w:rsidR="00FA5534" w:rsidRDefault="00FA5534" w:rsidP="00FA5534">
      <w:pPr>
        <w:pStyle w:val="BodyText"/>
      </w:pPr>
      <w:r>
        <w:t>Key performance indicators for the Access Arrangement Period</w:t>
      </w:r>
      <w:r>
        <w:rPr>
          <w:rStyle w:val="FootnoteReference"/>
        </w:rPr>
        <w:footnoteReference w:id="12"/>
      </w:r>
      <w:r>
        <w:t xml:space="preserve"> are shown in Table 6.1 below.</w:t>
      </w:r>
    </w:p>
    <w:p w:rsidR="00FA5534" w:rsidRDefault="00FA5534" w:rsidP="00FA5534">
      <w:pPr>
        <w:pStyle w:val="Caption"/>
      </w:pPr>
      <w:proofErr w:type="gramStart"/>
      <w:r>
        <w:t xml:space="preserve">Table </w:t>
      </w:r>
      <w:fldSimple w:instr=" STYLEREF 1 \s ">
        <w:r w:rsidR="00154DB7">
          <w:rPr>
            <w:noProof/>
          </w:rPr>
          <w:t>6</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1</w:t>
      </w:r>
      <w:r w:rsidR="007D0F77">
        <w:rPr>
          <w:noProof/>
        </w:rPr>
        <w:fldChar w:fldCharType="end"/>
      </w:r>
      <w:r>
        <w:t xml:space="preserve">:  </w:t>
      </w:r>
      <w:r w:rsidRPr="00FA5534">
        <w:t>Key performance indicators ($</w:t>
      </w:r>
      <w:r w:rsidR="00996547">
        <w:t xml:space="preserve">m real </w:t>
      </w:r>
      <w:r w:rsidRPr="00FA5534">
        <w:t>201</w:t>
      </w:r>
      <w:r w:rsidR="009A41B4">
        <w:t>7</w:t>
      </w:r>
      <w:r w:rsidRPr="00FA5534">
        <w:t>)</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9C04E5" w:rsidRPr="00CD2DA3" w:rsidTr="00C45A01">
        <w:tc>
          <w:tcPr>
            <w:tcW w:w="3055" w:type="dxa"/>
            <w:shd w:val="clear" w:color="auto" w:fill="333333"/>
          </w:tcPr>
          <w:p w:rsidR="009C04E5" w:rsidRPr="00CD2DA3" w:rsidRDefault="009C04E5" w:rsidP="00C45A01">
            <w:pPr>
              <w:pStyle w:val="TableColumnHeadings"/>
              <w:keepNext/>
              <w:jc w:val="left"/>
              <w:rPr>
                <w:rFonts w:ascii="Century Gothic" w:hAnsi="Century Gothic"/>
                <w:szCs w:val="18"/>
              </w:rPr>
            </w:pPr>
            <w:r w:rsidRPr="00CD2DA3">
              <w:rPr>
                <w:rFonts w:ascii="Century Gothic" w:hAnsi="Century Gothic"/>
                <w:szCs w:val="18"/>
              </w:rPr>
              <w:t>$</w:t>
            </w:r>
            <w:r w:rsidR="00996547">
              <w:rPr>
                <w:rFonts w:ascii="Century Gothic" w:hAnsi="Century Gothic"/>
                <w:szCs w:val="18"/>
              </w:rPr>
              <w:t>m real 2017</w:t>
            </w:r>
          </w:p>
        </w:tc>
        <w:tc>
          <w:tcPr>
            <w:tcW w:w="1076" w:type="dxa"/>
            <w:shd w:val="clear" w:color="auto" w:fill="333333"/>
          </w:tcPr>
          <w:p w:rsidR="009C04E5" w:rsidRPr="00CD2DA3" w:rsidRDefault="009C04E5" w:rsidP="0071340F">
            <w:pPr>
              <w:pStyle w:val="TableColumnHeadings"/>
              <w:rPr>
                <w:rFonts w:ascii="Century Gothic" w:hAnsi="Century Gothic"/>
                <w:szCs w:val="18"/>
              </w:rPr>
            </w:pPr>
            <w:r w:rsidRPr="00CD2DA3">
              <w:rPr>
                <w:rFonts w:ascii="Century Gothic" w:hAnsi="Century Gothic"/>
                <w:szCs w:val="18"/>
              </w:rPr>
              <w:t>2018</w:t>
            </w:r>
          </w:p>
        </w:tc>
        <w:tc>
          <w:tcPr>
            <w:tcW w:w="1076" w:type="dxa"/>
            <w:shd w:val="clear" w:color="auto" w:fill="333333"/>
          </w:tcPr>
          <w:p w:rsidR="009C04E5" w:rsidRPr="00CD2DA3" w:rsidRDefault="009C04E5" w:rsidP="0071340F">
            <w:pPr>
              <w:pStyle w:val="TableColumnHeadings"/>
              <w:rPr>
                <w:rFonts w:ascii="Century Gothic" w:hAnsi="Century Gothic"/>
                <w:szCs w:val="18"/>
              </w:rPr>
            </w:pPr>
            <w:r w:rsidRPr="00CD2DA3">
              <w:rPr>
                <w:rFonts w:ascii="Century Gothic" w:hAnsi="Century Gothic"/>
                <w:szCs w:val="18"/>
              </w:rPr>
              <w:t>2019</w:t>
            </w:r>
          </w:p>
        </w:tc>
        <w:tc>
          <w:tcPr>
            <w:tcW w:w="1077" w:type="dxa"/>
            <w:shd w:val="clear" w:color="auto" w:fill="333333"/>
          </w:tcPr>
          <w:p w:rsidR="009C04E5" w:rsidRPr="00CD2DA3" w:rsidRDefault="009C04E5" w:rsidP="0071340F">
            <w:pPr>
              <w:pStyle w:val="TableColumnHeadings"/>
              <w:rPr>
                <w:rFonts w:ascii="Century Gothic" w:hAnsi="Century Gothic"/>
                <w:szCs w:val="18"/>
              </w:rPr>
            </w:pPr>
            <w:r w:rsidRPr="00CD2DA3">
              <w:rPr>
                <w:rFonts w:ascii="Century Gothic" w:hAnsi="Century Gothic"/>
                <w:szCs w:val="18"/>
              </w:rPr>
              <w:t>2020</w:t>
            </w:r>
          </w:p>
        </w:tc>
        <w:tc>
          <w:tcPr>
            <w:tcW w:w="1076" w:type="dxa"/>
            <w:shd w:val="clear" w:color="auto" w:fill="333333"/>
          </w:tcPr>
          <w:p w:rsidR="009C04E5" w:rsidRPr="00CD2DA3" w:rsidRDefault="009C04E5" w:rsidP="0071340F">
            <w:pPr>
              <w:pStyle w:val="TableColumnHeadings"/>
              <w:rPr>
                <w:rFonts w:ascii="Century Gothic" w:hAnsi="Century Gothic"/>
                <w:szCs w:val="18"/>
              </w:rPr>
            </w:pPr>
            <w:r w:rsidRPr="00CD2DA3">
              <w:rPr>
                <w:rFonts w:ascii="Century Gothic" w:hAnsi="Century Gothic"/>
                <w:szCs w:val="18"/>
              </w:rPr>
              <w:t>2021</w:t>
            </w:r>
          </w:p>
        </w:tc>
        <w:tc>
          <w:tcPr>
            <w:tcW w:w="1077" w:type="dxa"/>
            <w:shd w:val="clear" w:color="auto" w:fill="333333"/>
          </w:tcPr>
          <w:p w:rsidR="009C04E5" w:rsidRPr="00CD2DA3" w:rsidRDefault="009C04E5" w:rsidP="0071340F">
            <w:pPr>
              <w:pStyle w:val="TableColumnHeadings"/>
              <w:rPr>
                <w:rFonts w:ascii="Century Gothic" w:hAnsi="Century Gothic"/>
                <w:szCs w:val="18"/>
              </w:rPr>
            </w:pPr>
            <w:r w:rsidRPr="00CD2DA3">
              <w:rPr>
                <w:rFonts w:ascii="Century Gothic" w:hAnsi="Century Gothic"/>
                <w:szCs w:val="18"/>
              </w:rPr>
              <w:t>2022</w:t>
            </w:r>
          </w:p>
        </w:tc>
      </w:tr>
      <w:tr w:rsidR="00AB33E6" w:rsidRPr="00CD2DA3" w:rsidTr="00AB33E6">
        <w:tc>
          <w:tcPr>
            <w:tcW w:w="3055" w:type="dxa"/>
            <w:shd w:val="clear" w:color="auto" w:fill="auto"/>
            <w:vAlign w:val="center"/>
          </w:tcPr>
          <w:p w:rsidR="00AB33E6" w:rsidRPr="00605F6D" w:rsidRDefault="00AB33E6" w:rsidP="00CD2DA3">
            <w:pPr>
              <w:rPr>
                <w:rFonts w:cs="Arial"/>
                <w:color w:val="000000"/>
                <w:sz w:val="18"/>
                <w:szCs w:val="18"/>
              </w:rPr>
            </w:pPr>
            <w:proofErr w:type="spellStart"/>
            <w:r w:rsidRPr="00605F6D">
              <w:rPr>
                <w:rFonts w:cs="Arial"/>
                <w:color w:val="000000"/>
                <w:sz w:val="18"/>
                <w:szCs w:val="18"/>
              </w:rPr>
              <w:t>Opex</w:t>
            </w:r>
            <w:proofErr w:type="spellEnd"/>
            <w:r w:rsidRPr="00605F6D">
              <w:rPr>
                <w:rFonts w:cs="Arial"/>
                <w:color w:val="000000"/>
                <w:sz w:val="18"/>
                <w:szCs w:val="18"/>
              </w:rPr>
              <w:t xml:space="preserve"> per pipeline km</w:t>
            </w:r>
          </w:p>
        </w:tc>
        <w:tc>
          <w:tcPr>
            <w:tcW w:w="1076" w:type="dxa"/>
            <w:shd w:val="clear" w:color="auto" w:fill="auto"/>
            <w:vAlign w:val="bottom"/>
          </w:tcPr>
          <w:p w:rsidR="00AB33E6" w:rsidRPr="00605F6D" w:rsidRDefault="00AB33E6" w:rsidP="00605F6D">
            <w:pPr>
              <w:jc w:val="center"/>
              <w:rPr>
                <w:color w:val="000000"/>
                <w:sz w:val="18"/>
                <w:szCs w:val="18"/>
              </w:rPr>
            </w:pPr>
            <w:r w:rsidRPr="00605F6D">
              <w:rPr>
                <w:color w:val="000000"/>
                <w:sz w:val="18"/>
                <w:szCs w:val="18"/>
              </w:rPr>
              <w:t>11,834</w:t>
            </w:r>
          </w:p>
        </w:tc>
        <w:tc>
          <w:tcPr>
            <w:tcW w:w="1076" w:type="dxa"/>
            <w:vAlign w:val="bottom"/>
          </w:tcPr>
          <w:p w:rsidR="00AB33E6" w:rsidRPr="00605F6D" w:rsidRDefault="00AB33E6" w:rsidP="00605F6D">
            <w:pPr>
              <w:jc w:val="center"/>
              <w:rPr>
                <w:color w:val="000000"/>
                <w:sz w:val="18"/>
                <w:szCs w:val="18"/>
              </w:rPr>
            </w:pPr>
            <w:r w:rsidRPr="00605F6D">
              <w:rPr>
                <w:color w:val="000000"/>
                <w:sz w:val="18"/>
                <w:szCs w:val="18"/>
              </w:rPr>
              <w:t>11,918</w:t>
            </w:r>
          </w:p>
        </w:tc>
        <w:tc>
          <w:tcPr>
            <w:tcW w:w="1077" w:type="dxa"/>
            <w:shd w:val="clear" w:color="auto" w:fill="auto"/>
            <w:vAlign w:val="bottom"/>
          </w:tcPr>
          <w:p w:rsidR="00AB33E6" w:rsidRPr="00605F6D" w:rsidRDefault="00AB33E6" w:rsidP="00605F6D">
            <w:pPr>
              <w:jc w:val="center"/>
              <w:rPr>
                <w:color w:val="000000"/>
                <w:sz w:val="18"/>
                <w:szCs w:val="18"/>
              </w:rPr>
            </w:pPr>
            <w:r w:rsidRPr="00605F6D">
              <w:rPr>
                <w:color w:val="000000"/>
                <w:sz w:val="18"/>
                <w:szCs w:val="18"/>
              </w:rPr>
              <w:t>11,946</w:t>
            </w:r>
          </w:p>
        </w:tc>
        <w:tc>
          <w:tcPr>
            <w:tcW w:w="1076" w:type="dxa"/>
            <w:shd w:val="clear" w:color="auto" w:fill="auto"/>
            <w:vAlign w:val="bottom"/>
          </w:tcPr>
          <w:p w:rsidR="00AB33E6" w:rsidRPr="00605F6D" w:rsidRDefault="00AB33E6" w:rsidP="00605F6D">
            <w:pPr>
              <w:jc w:val="center"/>
              <w:rPr>
                <w:color w:val="000000"/>
                <w:sz w:val="18"/>
                <w:szCs w:val="18"/>
              </w:rPr>
            </w:pPr>
            <w:r w:rsidRPr="00605F6D">
              <w:rPr>
                <w:color w:val="000000"/>
                <w:sz w:val="18"/>
                <w:szCs w:val="18"/>
              </w:rPr>
              <w:t>12,352</w:t>
            </w:r>
          </w:p>
        </w:tc>
        <w:tc>
          <w:tcPr>
            <w:tcW w:w="1077" w:type="dxa"/>
            <w:shd w:val="clear" w:color="auto" w:fill="auto"/>
            <w:vAlign w:val="bottom"/>
          </w:tcPr>
          <w:p w:rsidR="00AB33E6" w:rsidRPr="00605F6D" w:rsidRDefault="00AB33E6" w:rsidP="00605F6D">
            <w:pPr>
              <w:jc w:val="center"/>
              <w:rPr>
                <w:color w:val="000000"/>
                <w:sz w:val="18"/>
                <w:szCs w:val="18"/>
              </w:rPr>
            </w:pPr>
            <w:r w:rsidRPr="00605F6D">
              <w:rPr>
                <w:color w:val="000000"/>
                <w:sz w:val="18"/>
                <w:szCs w:val="18"/>
              </w:rPr>
              <w:t>12,457</w:t>
            </w:r>
          </w:p>
        </w:tc>
      </w:tr>
      <w:tr w:rsidR="00AB33E6" w:rsidRPr="00CD2DA3" w:rsidTr="00AB33E6">
        <w:tc>
          <w:tcPr>
            <w:tcW w:w="3055" w:type="dxa"/>
            <w:shd w:val="clear" w:color="auto" w:fill="auto"/>
            <w:vAlign w:val="center"/>
          </w:tcPr>
          <w:p w:rsidR="00AB33E6" w:rsidRPr="00605F6D" w:rsidRDefault="00AB33E6" w:rsidP="00CD2DA3">
            <w:pPr>
              <w:rPr>
                <w:rFonts w:cs="Arial"/>
                <w:color w:val="000000"/>
                <w:sz w:val="18"/>
                <w:szCs w:val="18"/>
              </w:rPr>
            </w:pPr>
            <w:proofErr w:type="spellStart"/>
            <w:r w:rsidRPr="00605F6D">
              <w:rPr>
                <w:rFonts w:cs="Arial"/>
                <w:color w:val="000000"/>
                <w:sz w:val="18"/>
                <w:szCs w:val="18"/>
              </w:rPr>
              <w:t>Opex</w:t>
            </w:r>
            <w:proofErr w:type="spellEnd"/>
            <w:r w:rsidRPr="00605F6D">
              <w:rPr>
                <w:rFonts w:cs="Arial"/>
                <w:color w:val="000000"/>
                <w:sz w:val="18"/>
                <w:szCs w:val="18"/>
              </w:rPr>
              <w:t xml:space="preserve"> per </w:t>
            </w:r>
            <w:proofErr w:type="spellStart"/>
            <w:r w:rsidRPr="00605F6D">
              <w:rPr>
                <w:rFonts w:cs="Arial"/>
                <w:color w:val="000000"/>
                <w:sz w:val="18"/>
                <w:szCs w:val="18"/>
              </w:rPr>
              <w:t>mmkm</w:t>
            </w:r>
            <w:proofErr w:type="spellEnd"/>
          </w:p>
        </w:tc>
        <w:tc>
          <w:tcPr>
            <w:tcW w:w="1076" w:type="dxa"/>
            <w:shd w:val="clear" w:color="auto" w:fill="auto"/>
            <w:vAlign w:val="bottom"/>
          </w:tcPr>
          <w:p w:rsidR="00AB33E6" w:rsidRPr="00605F6D" w:rsidRDefault="00AB33E6" w:rsidP="00605F6D">
            <w:pPr>
              <w:jc w:val="center"/>
              <w:rPr>
                <w:color w:val="000000"/>
                <w:sz w:val="18"/>
                <w:szCs w:val="18"/>
              </w:rPr>
            </w:pPr>
            <w:r w:rsidRPr="00605F6D">
              <w:rPr>
                <w:color w:val="000000"/>
                <w:sz w:val="18"/>
                <w:szCs w:val="18"/>
              </w:rPr>
              <w:t>30.13</w:t>
            </w:r>
          </w:p>
        </w:tc>
        <w:tc>
          <w:tcPr>
            <w:tcW w:w="1076" w:type="dxa"/>
            <w:vAlign w:val="bottom"/>
          </w:tcPr>
          <w:p w:rsidR="00AB33E6" w:rsidRPr="00605F6D" w:rsidRDefault="00AB33E6" w:rsidP="00605F6D">
            <w:pPr>
              <w:jc w:val="center"/>
              <w:rPr>
                <w:color w:val="000000"/>
                <w:sz w:val="18"/>
                <w:szCs w:val="18"/>
              </w:rPr>
            </w:pPr>
            <w:r w:rsidRPr="00605F6D">
              <w:rPr>
                <w:color w:val="000000"/>
                <w:sz w:val="18"/>
                <w:szCs w:val="18"/>
              </w:rPr>
              <w:t>30.35</w:t>
            </w:r>
          </w:p>
        </w:tc>
        <w:tc>
          <w:tcPr>
            <w:tcW w:w="1077" w:type="dxa"/>
            <w:shd w:val="clear" w:color="auto" w:fill="auto"/>
            <w:vAlign w:val="bottom"/>
          </w:tcPr>
          <w:p w:rsidR="00AB33E6" w:rsidRPr="00605F6D" w:rsidRDefault="00AB33E6" w:rsidP="00605F6D">
            <w:pPr>
              <w:jc w:val="center"/>
              <w:rPr>
                <w:color w:val="000000"/>
                <w:sz w:val="18"/>
                <w:szCs w:val="18"/>
              </w:rPr>
            </w:pPr>
            <w:r w:rsidRPr="00605F6D">
              <w:rPr>
                <w:color w:val="000000"/>
                <w:sz w:val="18"/>
                <w:szCs w:val="18"/>
              </w:rPr>
              <w:t>30.42</w:t>
            </w:r>
          </w:p>
        </w:tc>
        <w:tc>
          <w:tcPr>
            <w:tcW w:w="1076" w:type="dxa"/>
            <w:shd w:val="clear" w:color="auto" w:fill="auto"/>
            <w:vAlign w:val="bottom"/>
          </w:tcPr>
          <w:p w:rsidR="00AB33E6" w:rsidRPr="00605F6D" w:rsidRDefault="00AB33E6" w:rsidP="00605F6D">
            <w:pPr>
              <w:jc w:val="center"/>
              <w:rPr>
                <w:color w:val="000000"/>
                <w:sz w:val="18"/>
                <w:szCs w:val="18"/>
              </w:rPr>
            </w:pPr>
            <w:r w:rsidRPr="00605F6D">
              <w:rPr>
                <w:color w:val="000000"/>
                <w:sz w:val="18"/>
                <w:szCs w:val="18"/>
              </w:rPr>
              <w:t>31.45</w:t>
            </w:r>
          </w:p>
        </w:tc>
        <w:tc>
          <w:tcPr>
            <w:tcW w:w="1077" w:type="dxa"/>
            <w:shd w:val="clear" w:color="auto" w:fill="auto"/>
            <w:vAlign w:val="bottom"/>
          </w:tcPr>
          <w:p w:rsidR="00AB33E6" w:rsidRPr="00605F6D" w:rsidRDefault="00AB33E6" w:rsidP="00605F6D">
            <w:pPr>
              <w:jc w:val="center"/>
              <w:rPr>
                <w:color w:val="000000"/>
                <w:sz w:val="18"/>
                <w:szCs w:val="18"/>
              </w:rPr>
            </w:pPr>
            <w:r w:rsidRPr="00605F6D">
              <w:rPr>
                <w:color w:val="000000"/>
                <w:sz w:val="18"/>
                <w:szCs w:val="18"/>
              </w:rPr>
              <w:t>31.72</w:t>
            </w:r>
          </w:p>
        </w:tc>
      </w:tr>
    </w:tbl>
    <w:p w:rsidR="00FA5534" w:rsidRDefault="00FA5534" w:rsidP="00D741FF">
      <w:pPr>
        <w:pStyle w:val="BodyText"/>
      </w:pPr>
    </w:p>
    <w:p w:rsidR="00FA5534" w:rsidRDefault="00FA5534" w:rsidP="00D741FF">
      <w:pPr>
        <w:pStyle w:val="BodyText"/>
      </w:pPr>
    </w:p>
    <w:p w:rsidR="00FA5534" w:rsidRDefault="00FA5534" w:rsidP="00D741FF">
      <w:pPr>
        <w:pStyle w:val="BodyText"/>
      </w:pPr>
    </w:p>
    <w:p w:rsidR="009725AC" w:rsidRDefault="00996547" w:rsidP="009725AC">
      <w:pPr>
        <w:pStyle w:val="Heading1"/>
      </w:pPr>
      <w:bookmarkStart w:id="39" w:name="_Toc471221357"/>
      <w:r>
        <w:lastRenderedPageBreak/>
        <w:t>R</w:t>
      </w:r>
      <w:r w:rsidR="009725AC">
        <w:t>ate of return</w:t>
      </w:r>
      <w:r w:rsidR="002741E6">
        <w:t xml:space="preserve"> and value of imputation credits</w:t>
      </w:r>
      <w:bookmarkEnd w:id="39"/>
    </w:p>
    <w:p w:rsidR="00033B69" w:rsidRDefault="00033B69" w:rsidP="00033B69">
      <w:pPr>
        <w:pStyle w:val="BodyText"/>
      </w:pPr>
      <w:r>
        <w:t>The return on the projected capital base included in the total revenue is determined as the product of a rate of return and the projected capital base at the beginning of each regulatory year of an access arrangement period.</w:t>
      </w:r>
    </w:p>
    <w:p w:rsidR="00033B69" w:rsidRDefault="00033B69" w:rsidP="00033B69">
      <w:pPr>
        <w:pStyle w:val="BodyText"/>
      </w:pPr>
      <w:r>
        <w:t>The rate of return – the allowed rate of return of rule 87 of the NGR – is a nominal vanilla weighted average of an estimate of the return on equity and an estimate of the return on debt.</w:t>
      </w:r>
    </w:p>
    <w:p w:rsidR="00033B69" w:rsidRDefault="00033B69" w:rsidP="00033B69">
      <w:pPr>
        <w:pStyle w:val="Heading2"/>
      </w:pPr>
      <w:bookmarkStart w:id="40" w:name="_Toc470011179"/>
      <w:bookmarkStart w:id="41" w:name="_Toc471221358"/>
      <w:r>
        <w:t>Gearing</w:t>
      </w:r>
      <w:bookmarkEnd w:id="40"/>
      <w:bookmarkEnd w:id="41"/>
    </w:p>
    <w:p w:rsidR="00033B69" w:rsidRDefault="00033B69" w:rsidP="00033B69">
      <w:pPr>
        <w:pStyle w:val="BodyText"/>
      </w:pPr>
      <w:r>
        <w:t>In the nominal vanilla weighted average, t</w:t>
      </w:r>
      <w:r w:rsidRPr="00C2539A">
        <w:t>he weight assigned to the estimate of the return on equity is 40%, and the weight assigned to the estimate of the return on debt is 60%.</w:t>
      </w:r>
    </w:p>
    <w:p w:rsidR="00033B69" w:rsidRDefault="00033B69" w:rsidP="00033B69">
      <w:pPr>
        <w:pStyle w:val="Heading2"/>
      </w:pPr>
      <w:bookmarkStart w:id="42" w:name="_Toc470011180"/>
      <w:bookmarkStart w:id="43" w:name="_Ref470020522"/>
      <w:bookmarkStart w:id="44" w:name="_Toc471221359"/>
      <w:r>
        <w:t>Risk free rate of return</w:t>
      </w:r>
      <w:bookmarkEnd w:id="42"/>
      <w:bookmarkEnd w:id="43"/>
      <w:bookmarkEnd w:id="44"/>
    </w:p>
    <w:p w:rsidR="00033B69" w:rsidRPr="00026DD3" w:rsidRDefault="00033B69" w:rsidP="00033B69">
      <w:pPr>
        <w:pStyle w:val="BodyText"/>
      </w:pPr>
      <w:r>
        <w:t>A</w:t>
      </w:r>
      <w:r w:rsidRPr="005D1A4F">
        <w:t xml:space="preserve"> risk free rate </w:t>
      </w:r>
      <w:r>
        <w:t xml:space="preserve">has been estimated </w:t>
      </w:r>
      <w:r w:rsidRPr="005D1A4F">
        <w:t xml:space="preserve">as the average of yields on Australian Government securities with terms to maturity of 10 years over the period of 20 consecutive business days ending </w:t>
      </w:r>
      <w:r>
        <w:t xml:space="preserve">31 </w:t>
      </w:r>
      <w:r w:rsidR="005E7FD3">
        <w:t>July 2017</w:t>
      </w:r>
      <w:r w:rsidRPr="005D1A4F">
        <w:t>.</w:t>
      </w:r>
    </w:p>
    <w:p w:rsidR="00033B69" w:rsidRDefault="00033B69" w:rsidP="00033B69">
      <w:pPr>
        <w:pStyle w:val="BodyText"/>
      </w:pPr>
      <w:r>
        <w:t>The</w:t>
      </w:r>
      <w:r w:rsidRPr="005D1A4F">
        <w:t xml:space="preserve"> estimate of the risk free rate of return </w:t>
      </w:r>
      <w:r w:rsidRPr="0004524A">
        <w:t xml:space="preserve">is </w:t>
      </w:r>
      <w:r>
        <w:t>2.</w:t>
      </w:r>
      <w:r w:rsidR="005E7FD3">
        <w:t>68</w:t>
      </w:r>
      <w:r w:rsidRPr="0004524A">
        <w:t>%.</w:t>
      </w:r>
    </w:p>
    <w:p w:rsidR="00033B69" w:rsidRDefault="00033B69" w:rsidP="00033B69">
      <w:pPr>
        <w:pStyle w:val="Heading2"/>
      </w:pPr>
      <w:bookmarkStart w:id="45" w:name="_Toc470011181"/>
      <w:bookmarkStart w:id="46" w:name="_Toc471221360"/>
      <w:r>
        <w:t>Return on equity</w:t>
      </w:r>
      <w:bookmarkEnd w:id="45"/>
      <w:bookmarkEnd w:id="46"/>
    </w:p>
    <w:p w:rsidR="00033B69" w:rsidRDefault="00033B69" w:rsidP="00033B69">
      <w:pPr>
        <w:pStyle w:val="BodyText"/>
      </w:pPr>
      <w:r>
        <w:t>The Sharpe-</w:t>
      </w:r>
      <w:proofErr w:type="spellStart"/>
      <w:r>
        <w:t>Lintner</w:t>
      </w:r>
      <w:proofErr w:type="spellEnd"/>
      <w:r>
        <w:t xml:space="preserve"> Capital Asset Pricing Model (SL CAPM), the foundation model of the AER’s Rate of Return Guideline, has been used to estimate the return on equity.</w:t>
      </w:r>
    </w:p>
    <w:p w:rsidR="00033B69" w:rsidRDefault="00033B69" w:rsidP="00033B69">
      <w:pPr>
        <w:pStyle w:val="BodyText"/>
        <w:rPr>
          <w:lang w:eastAsia="en-AU"/>
        </w:rPr>
      </w:pPr>
      <w:r w:rsidRPr="00192A05">
        <w:rPr>
          <w:lang w:eastAsia="en-AU"/>
        </w:rPr>
        <w:t xml:space="preserve">The </w:t>
      </w:r>
      <w:r>
        <w:rPr>
          <w:lang w:eastAsia="en-AU"/>
        </w:rPr>
        <w:t>SL</w:t>
      </w:r>
      <w:r w:rsidRPr="00192A05">
        <w:rPr>
          <w:lang w:eastAsia="en-AU"/>
        </w:rPr>
        <w:t xml:space="preserve"> CAPM </w:t>
      </w:r>
      <w:r>
        <w:rPr>
          <w:lang w:eastAsia="en-AU"/>
        </w:rPr>
        <w:t xml:space="preserve">explains </w:t>
      </w:r>
      <w:r w:rsidRPr="00192A05">
        <w:rPr>
          <w:lang w:eastAsia="en-AU"/>
        </w:rPr>
        <w:t xml:space="preserve">the expected return, </w:t>
      </w:r>
      <w:proofErr w:type="gramStart"/>
      <w:r w:rsidRPr="005F18AD">
        <w:rPr>
          <w:rFonts w:cs="Cambria Math"/>
          <w:lang w:eastAsia="en-AU"/>
        </w:rPr>
        <w:t>E(</w:t>
      </w:r>
      <w:proofErr w:type="spellStart"/>
      <w:proofErr w:type="gramEnd"/>
      <w:r w:rsidRPr="005F18AD">
        <w:rPr>
          <w:rFonts w:cs="Cambria Math"/>
          <w:lang w:eastAsia="en-AU"/>
        </w:rPr>
        <w:t>r</w:t>
      </w:r>
      <w:r w:rsidRPr="005F18AD">
        <w:rPr>
          <w:rFonts w:cs="Cambria Math"/>
          <w:vertAlign w:val="subscript"/>
          <w:lang w:eastAsia="en-AU"/>
        </w:rPr>
        <w:t>j</w:t>
      </w:r>
      <w:proofErr w:type="spellEnd"/>
      <w:r w:rsidRPr="005F18AD">
        <w:rPr>
          <w:rFonts w:cs="Cambria Math"/>
          <w:lang w:eastAsia="en-AU"/>
        </w:rPr>
        <w:t>)</w:t>
      </w:r>
      <w:r w:rsidRPr="00CB31F7">
        <w:rPr>
          <w:lang w:eastAsia="en-AU"/>
        </w:rPr>
        <w:t>,</w:t>
      </w:r>
      <w:r w:rsidRPr="00192A05">
        <w:rPr>
          <w:lang w:eastAsia="en-AU"/>
        </w:rPr>
        <w:t xml:space="preserve"> on financial asset </w:t>
      </w:r>
      <w:r w:rsidRPr="005F18AD">
        <w:rPr>
          <w:rFonts w:cs="Cambria Math"/>
          <w:lang w:eastAsia="en-AU"/>
        </w:rPr>
        <w:t>j</w:t>
      </w:r>
      <w:r w:rsidRPr="005F18AD">
        <w:rPr>
          <w:lang w:eastAsia="en-AU"/>
        </w:rPr>
        <w:t>,</w:t>
      </w:r>
      <w:r>
        <w:rPr>
          <w:lang w:eastAsia="en-AU"/>
        </w:rPr>
        <w:t xml:space="preserve"> as the sum of the rate of return on a risk free asset and a premium for risk:</w:t>
      </w:r>
    </w:p>
    <w:p w:rsidR="00033B69" w:rsidRPr="00307F39" w:rsidRDefault="00033B69" w:rsidP="00033B69">
      <w:pPr>
        <w:pStyle w:val="BodyText"/>
        <w:rPr>
          <w:lang w:eastAsia="en-AU"/>
        </w:rPr>
      </w:pPr>
      <w:proofErr w:type="gramStart"/>
      <w:r w:rsidRPr="00307F39">
        <w:rPr>
          <w:lang w:eastAsia="en-AU"/>
        </w:rPr>
        <w:t>E(</w:t>
      </w:r>
      <w:proofErr w:type="spellStart"/>
      <w:proofErr w:type="gramEnd"/>
      <w:r w:rsidRPr="00307F39">
        <w:rPr>
          <w:lang w:eastAsia="en-AU"/>
        </w:rPr>
        <w:t>r</w:t>
      </w:r>
      <w:r w:rsidRPr="00307F39">
        <w:rPr>
          <w:vertAlign w:val="subscript"/>
          <w:lang w:eastAsia="en-AU"/>
        </w:rPr>
        <w:t>j</w:t>
      </w:r>
      <w:proofErr w:type="spellEnd"/>
      <w:r w:rsidRPr="00307F39">
        <w:rPr>
          <w:lang w:eastAsia="en-AU"/>
        </w:rPr>
        <w:t xml:space="preserve">) = </w:t>
      </w:r>
      <w:proofErr w:type="spellStart"/>
      <w:r w:rsidRPr="00307F39">
        <w:rPr>
          <w:lang w:eastAsia="en-AU"/>
        </w:rPr>
        <w:t>r</w:t>
      </w:r>
      <w:r w:rsidRPr="00307F39">
        <w:rPr>
          <w:vertAlign w:val="subscript"/>
          <w:lang w:eastAsia="en-AU"/>
        </w:rPr>
        <w:t>f</w:t>
      </w:r>
      <w:proofErr w:type="spellEnd"/>
      <w:r w:rsidRPr="00307F39">
        <w:rPr>
          <w:lang w:eastAsia="en-AU"/>
        </w:rPr>
        <w:t xml:space="preserve"> + β</w:t>
      </w:r>
      <w:r w:rsidRPr="00307F39">
        <w:rPr>
          <w:vertAlign w:val="subscript"/>
          <w:lang w:eastAsia="en-AU"/>
        </w:rPr>
        <w:t>j</w:t>
      </w:r>
      <w:r w:rsidRPr="00307F39">
        <w:rPr>
          <w:lang w:eastAsia="en-AU"/>
        </w:rPr>
        <w:t xml:space="preserve"> x </w:t>
      </w:r>
      <w:r w:rsidRPr="00C72ED9">
        <w:rPr>
          <w:lang w:eastAsia="en-AU"/>
        </w:rPr>
        <w:t>[</w:t>
      </w:r>
      <w:r w:rsidRPr="00307F39">
        <w:rPr>
          <w:lang w:eastAsia="en-AU"/>
        </w:rPr>
        <w:t>E(</w:t>
      </w:r>
      <w:proofErr w:type="spellStart"/>
      <w:r w:rsidRPr="00307F39">
        <w:rPr>
          <w:lang w:eastAsia="en-AU"/>
        </w:rPr>
        <w:t>r</w:t>
      </w:r>
      <w:r>
        <w:rPr>
          <w:vertAlign w:val="subscript"/>
          <w:lang w:eastAsia="en-AU"/>
        </w:rPr>
        <w:t>M</w:t>
      </w:r>
      <w:proofErr w:type="spellEnd"/>
      <w:r w:rsidRPr="00307F39">
        <w:rPr>
          <w:lang w:eastAsia="en-AU"/>
        </w:rPr>
        <w:t xml:space="preserve">) – </w:t>
      </w:r>
      <w:proofErr w:type="spellStart"/>
      <w:r w:rsidRPr="00307F39">
        <w:rPr>
          <w:lang w:eastAsia="en-AU"/>
        </w:rPr>
        <w:t>r</w:t>
      </w:r>
      <w:r w:rsidRPr="00307F39">
        <w:rPr>
          <w:vertAlign w:val="subscript"/>
          <w:lang w:eastAsia="en-AU"/>
        </w:rPr>
        <w:t>f</w:t>
      </w:r>
      <w:proofErr w:type="spellEnd"/>
      <w:r w:rsidRPr="00C72ED9">
        <w:rPr>
          <w:lang w:eastAsia="en-AU"/>
        </w:rPr>
        <w:t>]</w:t>
      </w:r>
      <w:r>
        <w:rPr>
          <w:lang w:eastAsia="en-AU"/>
        </w:rPr>
        <w:t>,</w:t>
      </w:r>
    </w:p>
    <w:p w:rsidR="00033B69" w:rsidRPr="005F18AD" w:rsidRDefault="00033B69" w:rsidP="00033B69">
      <w:pPr>
        <w:pStyle w:val="BodyText"/>
      </w:pPr>
      <w:proofErr w:type="gramStart"/>
      <w:r w:rsidRPr="00CB31F7">
        <w:t>where</w:t>
      </w:r>
      <w:proofErr w:type="gramEnd"/>
      <w:r w:rsidRPr="00CB31F7">
        <w:t xml:space="preserve"> </w:t>
      </w:r>
      <w:proofErr w:type="spellStart"/>
      <w:r w:rsidRPr="005F18AD">
        <w:rPr>
          <w:lang w:eastAsia="en-AU"/>
        </w:rPr>
        <w:t>r</w:t>
      </w:r>
      <w:r w:rsidRPr="005F18AD">
        <w:rPr>
          <w:vertAlign w:val="subscript"/>
          <w:lang w:eastAsia="en-AU"/>
        </w:rPr>
        <w:t>f</w:t>
      </w:r>
      <w:proofErr w:type="spellEnd"/>
      <w:r w:rsidRPr="00CB31F7">
        <w:rPr>
          <w:lang w:eastAsia="en-AU"/>
        </w:rPr>
        <w:t xml:space="preserve"> </w:t>
      </w:r>
      <w:r w:rsidRPr="00CB31F7">
        <w:t xml:space="preserve">is the return on the risk free asset, </w:t>
      </w:r>
      <w:r>
        <w:t xml:space="preserve">and </w:t>
      </w:r>
      <w:r w:rsidRPr="005F18AD">
        <w:t>β</w:t>
      </w:r>
      <w:r w:rsidRPr="005F18AD">
        <w:rPr>
          <w:vertAlign w:val="subscript"/>
        </w:rPr>
        <w:t>j</w:t>
      </w:r>
      <w:r w:rsidRPr="00CB31F7">
        <w:t xml:space="preserve"> </w:t>
      </w:r>
      <w:r>
        <w:t xml:space="preserve">x </w:t>
      </w:r>
      <w:r w:rsidRPr="00C72ED9">
        <w:rPr>
          <w:lang w:eastAsia="en-AU"/>
        </w:rPr>
        <w:t>[</w:t>
      </w:r>
      <w:r>
        <w:rPr>
          <w:szCs w:val="22"/>
        </w:rPr>
        <w:t>E(</w:t>
      </w:r>
      <w:proofErr w:type="spellStart"/>
      <w:r>
        <w:rPr>
          <w:szCs w:val="22"/>
        </w:rPr>
        <w:t>r</w:t>
      </w:r>
      <w:r>
        <w:rPr>
          <w:szCs w:val="22"/>
          <w:vertAlign w:val="subscript"/>
        </w:rPr>
        <w:t>M</w:t>
      </w:r>
      <w:proofErr w:type="spellEnd"/>
      <w:r>
        <w:rPr>
          <w:szCs w:val="22"/>
        </w:rPr>
        <w:t>) – </w:t>
      </w:r>
      <w:proofErr w:type="spellStart"/>
      <w:r>
        <w:rPr>
          <w:szCs w:val="22"/>
        </w:rPr>
        <w:t>r</w:t>
      </w:r>
      <w:r w:rsidRPr="005E1D5B">
        <w:rPr>
          <w:szCs w:val="22"/>
          <w:vertAlign w:val="subscript"/>
        </w:rPr>
        <w:t>f</w:t>
      </w:r>
      <w:proofErr w:type="spellEnd"/>
      <w:r w:rsidRPr="00C72ED9">
        <w:rPr>
          <w:lang w:eastAsia="en-AU"/>
        </w:rPr>
        <w:t>]</w:t>
      </w:r>
      <w:r>
        <w:rPr>
          <w:lang w:eastAsia="en-AU"/>
        </w:rPr>
        <w:t xml:space="preserve"> </w:t>
      </w:r>
      <w:r w:rsidRPr="00CB31F7">
        <w:t xml:space="preserve">is the </w:t>
      </w:r>
      <w:r>
        <w:t xml:space="preserve">premium for risk.  </w:t>
      </w:r>
      <w:proofErr w:type="gramStart"/>
      <w:r>
        <w:t>β</w:t>
      </w:r>
      <w:r w:rsidRPr="005F18AD">
        <w:rPr>
          <w:vertAlign w:val="subscript"/>
        </w:rPr>
        <w:t>j</w:t>
      </w:r>
      <w:proofErr w:type="gramEnd"/>
      <w:r>
        <w:t xml:space="preserve"> is the </w:t>
      </w:r>
      <w:r w:rsidRPr="00CB31F7">
        <w:t xml:space="preserve">beta for </w:t>
      </w:r>
      <w:r>
        <w:t xml:space="preserve">financial </w:t>
      </w:r>
      <w:r w:rsidRPr="00CB31F7">
        <w:t xml:space="preserve">asset </w:t>
      </w:r>
      <w:r w:rsidRPr="005F18AD">
        <w:t>j</w:t>
      </w:r>
      <w:r>
        <w:t xml:space="preserve">, </w:t>
      </w:r>
      <w:r w:rsidRPr="00CB31F7">
        <w:t xml:space="preserve">and </w:t>
      </w:r>
      <w:r w:rsidRPr="005F18AD">
        <w:t>E(</w:t>
      </w:r>
      <w:proofErr w:type="spellStart"/>
      <w:r w:rsidRPr="005F18AD">
        <w:t>r</w:t>
      </w:r>
      <w:r>
        <w:rPr>
          <w:vertAlign w:val="subscript"/>
        </w:rPr>
        <w:t>M</w:t>
      </w:r>
      <w:proofErr w:type="spellEnd"/>
      <w:r w:rsidRPr="005F18AD">
        <w:t>)</w:t>
      </w:r>
      <w:r w:rsidRPr="00CB31F7">
        <w:t xml:space="preserve"> is the expected return on the market portfolio of assets.</w:t>
      </w:r>
      <w:r>
        <w:t xml:space="preserve">  </w:t>
      </w:r>
      <w:proofErr w:type="gramStart"/>
      <w:r>
        <w:rPr>
          <w:szCs w:val="22"/>
        </w:rPr>
        <w:t>E(</w:t>
      </w:r>
      <w:proofErr w:type="spellStart"/>
      <w:proofErr w:type="gramEnd"/>
      <w:r>
        <w:rPr>
          <w:szCs w:val="22"/>
        </w:rPr>
        <w:t>r</w:t>
      </w:r>
      <w:r>
        <w:rPr>
          <w:szCs w:val="22"/>
          <w:vertAlign w:val="subscript"/>
        </w:rPr>
        <w:t>M</w:t>
      </w:r>
      <w:proofErr w:type="spellEnd"/>
      <w:r>
        <w:rPr>
          <w:szCs w:val="22"/>
        </w:rPr>
        <w:t>) – </w:t>
      </w:r>
      <w:proofErr w:type="spellStart"/>
      <w:r>
        <w:rPr>
          <w:szCs w:val="22"/>
        </w:rPr>
        <w:t>r</w:t>
      </w:r>
      <w:r w:rsidRPr="005E1D5B">
        <w:rPr>
          <w:szCs w:val="22"/>
          <w:vertAlign w:val="subscript"/>
        </w:rPr>
        <w:t>f</w:t>
      </w:r>
      <w:proofErr w:type="spellEnd"/>
      <w:r>
        <w:rPr>
          <w:rFonts w:eastAsiaTheme="minorEastAsia"/>
        </w:rPr>
        <w:t xml:space="preserve"> </w:t>
      </w:r>
      <w:r>
        <w:rPr>
          <w:lang w:eastAsia="en-AU"/>
        </w:rPr>
        <w:t>is the market risk premium (MRP).</w:t>
      </w:r>
    </w:p>
    <w:p w:rsidR="00033B69" w:rsidRDefault="00033B69" w:rsidP="00033B69">
      <w:pPr>
        <w:pStyle w:val="BodyText"/>
      </w:pPr>
      <w:r>
        <w:t>When using the SL CAPM to estimate the return on equity, APA VTS has departed, in two ways, from the methodologies set out in the Rate of Return Guideline.</w:t>
      </w:r>
    </w:p>
    <w:p w:rsidR="00033B69" w:rsidRPr="001F3132" w:rsidRDefault="00033B69" w:rsidP="00033B69">
      <w:pPr>
        <w:pStyle w:val="BodyText"/>
      </w:pPr>
      <w:r>
        <w:lastRenderedPageBreak/>
        <w:t>The Rate of Return Guideline requires that</w:t>
      </w:r>
      <w:r w:rsidRPr="001F3132">
        <w:t xml:space="preserve"> </w:t>
      </w:r>
      <w:r>
        <w:t>a</w:t>
      </w:r>
      <w:r w:rsidRPr="001F3132">
        <w:t xml:space="preserve"> range for beta based on empirical analysis using a set of Australian energy </w:t>
      </w:r>
      <w:r>
        <w:t>network businesses is to be established.  O</w:t>
      </w:r>
      <w:r w:rsidRPr="001F3132">
        <w:t>ther information</w:t>
      </w:r>
      <w:r>
        <w:t xml:space="preserve">, in particular, </w:t>
      </w:r>
      <w:r w:rsidRPr="001F3132">
        <w:t xml:space="preserve">empirical estimates of </w:t>
      </w:r>
      <w:r>
        <w:t xml:space="preserve">beta for </w:t>
      </w:r>
      <w:r w:rsidRPr="001F3132">
        <w:t>overseas energy networks</w:t>
      </w:r>
      <w:r>
        <w:t xml:space="preserve">, and the theoretical </w:t>
      </w:r>
      <w:r w:rsidRPr="001F3132">
        <w:t>principles underpinning Black</w:t>
      </w:r>
      <w:r>
        <w:t>’s</w:t>
      </w:r>
      <w:r w:rsidRPr="001F3132">
        <w:t xml:space="preserve"> C</w:t>
      </w:r>
      <w:r>
        <w:t xml:space="preserve">apital </w:t>
      </w:r>
      <w:r w:rsidRPr="001F3132">
        <w:t>A</w:t>
      </w:r>
      <w:r>
        <w:t xml:space="preserve">sset </w:t>
      </w:r>
      <w:r w:rsidRPr="001F3132">
        <w:t>P</w:t>
      </w:r>
      <w:r>
        <w:t xml:space="preserve">ricing </w:t>
      </w:r>
      <w:r w:rsidRPr="001F3132">
        <w:t>M</w:t>
      </w:r>
      <w:r>
        <w:t>odel, is then to</w:t>
      </w:r>
      <w:r w:rsidRPr="001F3132">
        <w:t xml:space="preserve"> inform the selection of a point estimate from within the empirical range. </w:t>
      </w:r>
      <w:r>
        <w:t xml:space="preserve"> </w:t>
      </w:r>
      <w:r w:rsidRPr="001F3132">
        <w:t>This approach</w:t>
      </w:r>
      <w:r>
        <w:t>, the Rate of Return Guideline advises,</w:t>
      </w:r>
      <w:r w:rsidRPr="001F3132">
        <w:t xml:space="preserve"> leads to a point estimate of 0.7 for beta, chosen from within </w:t>
      </w:r>
      <w:r>
        <w:t>a</w:t>
      </w:r>
      <w:r w:rsidRPr="001F3132">
        <w:t xml:space="preserve"> range 0.4 to 0.7. </w:t>
      </w:r>
    </w:p>
    <w:p w:rsidR="00033B69" w:rsidRDefault="00033B69" w:rsidP="00033B69">
      <w:pPr>
        <w:pStyle w:val="BodyText"/>
      </w:pPr>
      <w:r>
        <w:t xml:space="preserve">The empirical estimates from which the AER established its range were obtained </w:t>
      </w:r>
      <w:r w:rsidRPr="001F3132">
        <w:t xml:space="preserve">using </w:t>
      </w:r>
      <w:r>
        <w:t xml:space="preserve">data for varying periods with the latest date being 28 June 2013.  Subsequent estimations of beta, using data for periods through until </w:t>
      </w:r>
      <w:r w:rsidR="005E7FD3">
        <w:t>May 2017</w:t>
      </w:r>
      <w:r>
        <w:t>, have shown an increase in beta since 2013.  This was confirmed for APA VTS by econometric analysis carried out by Frontier Economics.  Beta has clearly increased, and the range and point estimate of the Rate of Return Guideline are now obsolete.</w:t>
      </w:r>
    </w:p>
    <w:p w:rsidR="00033B69" w:rsidRDefault="00996547" w:rsidP="00033B69">
      <w:pPr>
        <w:pStyle w:val="BodyText"/>
      </w:pPr>
      <w:r>
        <w:t xml:space="preserve"> APA VTS’S</w:t>
      </w:r>
      <w:r w:rsidR="00033B69">
        <w:t>s first departure from the methodologies of the Rate of Return Guideline has, therefore, been the use of an estimate of beta of 0.8 consistent with the current – higher – empirical estimates.</w:t>
      </w:r>
    </w:p>
    <w:p w:rsidR="00033B69" w:rsidRDefault="00033B69" w:rsidP="00033B69">
      <w:pPr>
        <w:pStyle w:val="BodyText"/>
      </w:pPr>
      <w:r>
        <w:t xml:space="preserve">In the application of the SL CAPM, in accordance with the Rate of Return Guideline, an estimate is to be made of the </w:t>
      </w:r>
      <w:r w:rsidRPr="009E6E9F">
        <w:t xml:space="preserve">term </w:t>
      </w:r>
      <w:proofErr w:type="gramStart"/>
      <w:r>
        <w:t>E(</w:t>
      </w:r>
      <w:proofErr w:type="spellStart"/>
      <w:proofErr w:type="gramEnd"/>
      <w:r>
        <w:t>r</w:t>
      </w:r>
      <w:r w:rsidRPr="00793423">
        <w:rPr>
          <w:vertAlign w:val="subscript"/>
        </w:rPr>
        <w:t>M</w:t>
      </w:r>
      <w:proofErr w:type="spellEnd"/>
      <w:r>
        <w:t>) – </w:t>
      </w:r>
      <w:proofErr w:type="spellStart"/>
      <w:r>
        <w:t>r</w:t>
      </w:r>
      <w:r w:rsidRPr="00793423">
        <w:rPr>
          <w:vertAlign w:val="subscript"/>
        </w:rPr>
        <w:t>f</w:t>
      </w:r>
      <w:proofErr w:type="spellEnd"/>
      <w:r>
        <w:t xml:space="preserve"> </w:t>
      </w:r>
      <w:r w:rsidRPr="009E6E9F">
        <w:t xml:space="preserve">as a single </w:t>
      </w:r>
      <w:r>
        <w:t>discrete variable</w:t>
      </w:r>
      <w:r w:rsidRPr="009E6E9F">
        <w:t xml:space="preserve">.  </w:t>
      </w:r>
      <w:r>
        <w:t>The AER considers a number of different methods for making this estimate, including the calculation of long term averages of historical risk premiums, estimation using the dividend growth model, and survey evidence.</w:t>
      </w:r>
    </w:p>
    <w:p w:rsidR="00033B69" w:rsidRDefault="00033B69" w:rsidP="00033B69">
      <w:pPr>
        <w:pStyle w:val="BodyText"/>
      </w:pPr>
      <w:r>
        <w:t xml:space="preserve">This is conceptually incorrect:  estimation of the term </w:t>
      </w:r>
      <w:proofErr w:type="gramStart"/>
      <w:r>
        <w:t>E(</w:t>
      </w:r>
      <w:proofErr w:type="spellStart"/>
      <w:proofErr w:type="gramEnd"/>
      <w:r>
        <w:t>r</w:t>
      </w:r>
      <w:r w:rsidRPr="00793423">
        <w:rPr>
          <w:vertAlign w:val="subscript"/>
        </w:rPr>
        <w:t>M</w:t>
      </w:r>
      <w:proofErr w:type="spellEnd"/>
      <w:r>
        <w:t>) – </w:t>
      </w:r>
      <w:proofErr w:type="spellStart"/>
      <w:r>
        <w:t>r</w:t>
      </w:r>
      <w:r w:rsidRPr="00793423">
        <w:rPr>
          <w:vertAlign w:val="subscript"/>
        </w:rPr>
        <w:t>f</w:t>
      </w:r>
      <w:proofErr w:type="spellEnd"/>
      <w:r>
        <w:t xml:space="preserve"> as a single discrete variable is inconsistent with the economic principles from which SL CAPM is derived.  The SL CAPM is derived from a theory of portfolio choice in which investors choose, at a point in time, portfolios comprising the risky financial assets which are available at that time, and a risk free asset which is assumed to be available at that time.  Investors are assumed to know, at the time they make their portfolio choices:</w:t>
      </w:r>
    </w:p>
    <w:p w:rsidR="00033B69" w:rsidRDefault="00033B69" w:rsidP="00033B69">
      <w:pPr>
        <w:pStyle w:val="ListBullet"/>
      </w:pPr>
      <w:r>
        <w:t xml:space="preserve">the expected rates of return on the risky assets which are available; and </w:t>
      </w:r>
    </w:p>
    <w:p w:rsidR="00033B69" w:rsidRDefault="00033B69" w:rsidP="00033B69">
      <w:pPr>
        <w:pStyle w:val="ListBullet"/>
      </w:pPr>
      <w:proofErr w:type="gramStart"/>
      <w:r>
        <w:t>the</w:t>
      </w:r>
      <w:proofErr w:type="gramEnd"/>
      <w:r>
        <w:t xml:space="preserve"> rate of return on the risk free asset (which is known with certainty).</w:t>
      </w:r>
    </w:p>
    <w:p w:rsidR="00033B69" w:rsidRPr="002C50FF" w:rsidRDefault="00033B69" w:rsidP="00033B69">
      <w:pPr>
        <w:pStyle w:val="BodyText"/>
      </w:pPr>
      <w:r>
        <w:t xml:space="preserve">The term </w:t>
      </w:r>
      <w:proofErr w:type="gramStart"/>
      <w:r>
        <w:t>E(</w:t>
      </w:r>
      <w:proofErr w:type="spellStart"/>
      <w:proofErr w:type="gramEnd"/>
      <w:r>
        <w:t>r</w:t>
      </w:r>
      <w:r w:rsidRPr="00793423">
        <w:rPr>
          <w:vertAlign w:val="subscript"/>
        </w:rPr>
        <w:t>M</w:t>
      </w:r>
      <w:proofErr w:type="spellEnd"/>
      <w:r>
        <w:t>) – </w:t>
      </w:r>
      <w:proofErr w:type="spellStart"/>
      <w:r>
        <w:t>r</w:t>
      </w:r>
      <w:r w:rsidRPr="00793423">
        <w:rPr>
          <w:vertAlign w:val="subscript"/>
        </w:rPr>
        <w:t>f</w:t>
      </w:r>
      <w:proofErr w:type="spellEnd"/>
      <w:r>
        <w:t xml:space="preserve"> is, then, the difference between an estimate of the expected return on the market, E(</w:t>
      </w:r>
      <w:proofErr w:type="spellStart"/>
      <w:r>
        <w:t>r</w:t>
      </w:r>
      <w:r w:rsidRPr="00793423">
        <w:rPr>
          <w:vertAlign w:val="subscript"/>
        </w:rPr>
        <w:t>M</w:t>
      </w:r>
      <w:proofErr w:type="spellEnd"/>
      <w:r>
        <w:t xml:space="preserve">), calculated using the known expected returns on the risky assets available to investors at the time the model is </w:t>
      </w:r>
      <w:r>
        <w:lastRenderedPageBreak/>
        <w:t xml:space="preserve">applied, and the estimate of the risk free rate of return, </w:t>
      </w:r>
      <w:proofErr w:type="spellStart"/>
      <w:r>
        <w:t>r</w:t>
      </w:r>
      <w:r w:rsidRPr="00793423">
        <w:rPr>
          <w:vertAlign w:val="subscript"/>
        </w:rPr>
        <w:t>f</w:t>
      </w:r>
      <w:proofErr w:type="spellEnd"/>
      <w:r>
        <w:t xml:space="preserve">, at that time.  The term </w:t>
      </w:r>
      <w:proofErr w:type="gramStart"/>
      <w:r>
        <w:t>E(</w:t>
      </w:r>
      <w:proofErr w:type="spellStart"/>
      <w:proofErr w:type="gramEnd"/>
      <w:r>
        <w:t>r</w:t>
      </w:r>
      <w:r w:rsidRPr="00793423">
        <w:rPr>
          <w:vertAlign w:val="subscript"/>
        </w:rPr>
        <w:t>M</w:t>
      </w:r>
      <w:proofErr w:type="spellEnd"/>
      <w:r>
        <w:t>) – </w:t>
      </w:r>
      <w:proofErr w:type="spellStart"/>
      <w:r>
        <w:t>r</w:t>
      </w:r>
      <w:r w:rsidRPr="00793423">
        <w:rPr>
          <w:vertAlign w:val="subscript"/>
        </w:rPr>
        <w:t>f</w:t>
      </w:r>
      <w:proofErr w:type="spellEnd"/>
      <w:r>
        <w:t xml:space="preserve"> is not a single discrete variable.</w:t>
      </w:r>
    </w:p>
    <w:p w:rsidR="00033B69" w:rsidRDefault="00033B69" w:rsidP="00033B69">
      <w:pPr>
        <w:pStyle w:val="BodyText"/>
      </w:pPr>
      <w:r>
        <w:t>APA VTS has, therefore, departed from the methodology of the Rate of Return Guideline when estimating the MRP of the SL CAPM.  APA VTS has made separate estimates of the expected return on the market and the risk free rate at the time at which the model has been applied to estimate the (expected) return on equity.</w:t>
      </w:r>
    </w:p>
    <w:p w:rsidR="00033B69" w:rsidRPr="00DB0873" w:rsidRDefault="00033B69" w:rsidP="00033B69">
      <w:pPr>
        <w:pStyle w:val="BodyText"/>
      </w:pPr>
      <w:r>
        <w:t xml:space="preserve">APA VTS has estimated the risk free rate from the yields on Australian Government securities with terms to maturity of 10 years as noted in section </w:t>
      </w:r>
      <w:r>
        <w:fldChar w:fldCharType="begin"/>
      </w:r>
      <w:r>
        <w:instrText xml:space="preserve"> REF _Ref470020522 \r \h </w:instrText>
      </w:r>
      <w:r>
        <w:fldChar w:fldCharType="separate"/>
      </w:r>
      <w:r w:rsidR="00154DB7">
        <w:t>7.2</w:t>
      </w:r>
      <w:r>
        <w:fldChar w:fldCharType="end"/>
      </w:r>
      <w:r>
        <w:t xml:space="preserve"> above.  The expected return on the market has been estimated using the dividend growth model, which can reasonably be expected to provide </w:t>
      </w:r>
      <w:r w:rsidRPr="009405A3">
        <w:t xml:space="preserve">good evidence </w:t>
      </w:r>
      <w:r>
        <w:t>for what is essentially a</w:t>
      </w:r>
      <w:r w:rsidRPr="009405A3">
        <w:t xml:space="preserve"> forward</w:t>
      </w:r>
      <w:r>
        <w:t xml:space="preserve"> </w:t>
      </w:r>
      <w:r w:rsidRPr="009405A3">
        <w:t>looking paramete</w:t>
      </w:r>
      <w:r>
        <w:t xml:space="preserve">r.  </w:t>
      </w:r>
      <w:r w:rsidR="00996547">
        <w:t xml:space="preserve"> APA VTS’S</w:t>
      </w:r>
      <w:r>
        <w:t>s estimate of the expected return on the market is 10.</w:t>
      </w:r>
      <w:r w:rsidR="005E7FD3">
        <w:t>38</w:t>
      </w:r>
      <w:r>
        <w:t>%.</w:t>
      </w:r>
    </w:p>
    <w:p w:rsidR="00033B69" w:rsidRDefault="00033B69" w:rsidP="00033B69">
      <w:pPr>
        <w:pStyle w:val="BodyText"/>
      </w:pPr>
      <w:r>
        <w:t>APA VTS</w:t>
      </w:r>
      <w:r w:rsidRPr="006F62B6">
        <w:t xml:space="preserve"> has</w:t>
      </w:r>
      <w:r>
        <w:t xml:space="preserve"> then</w:t>
      </w:r>
      <w:r w:rsidRPr="006F62B6">
        <w:t xml:space="preserve"> estimated the return on equity using the SL CAPM, </w:t>
      </w:r>
      <w:r>
        <w:t>with the following estimates for the parameters of the model:</w:t>
      </w:r>
    </w:p>
    <w:p w:rsidR="00033B69" w:rsidRDefault="00033B69" w:rsidP="00033B69">
      <w:pPr>
        <w:pStyle w:val="ListBullet"/>
      </w:pPr>
      <w:r>
        <w:t xml:space="preserve">risk free rate:  </w:t>
      </w:r>
      <w:proofErr w:type="spellStart"/>
      <w:r w:rsidRPr="006F62B6">
        <w:t>r</w:t>
      </w:r>
      <w:r w:rsidRPr="006F62B6">
        <w:rPr>
          <w:vertAlign w:val="subscript"/>
        </w:rPr>
        <w:t>f</w:t>
      </w:r>
      <w:proofErr w:type="spellEnd"/>
      <w:r w:rsidRPr="006F62B6">
        <w:t xml:space="preserve"> </w:t>
      </w:r>
      <w:r>
        <w:t>= 2.</w:t>
      </w:r>
      <w:r w:rsidR="005E7FD3">
        <w:t>68</w:t>
      </w:r>
      <w:r>
        <w:t>%;</w:t>
      </w:r>
    </w:p>
    <w:p w:rsidR="00033B69" w:rsidRDefault="00033B69" w:rsidP="00033B69">
      <w:pPr>
        <w:pStyle w:val="ListBullet"/>
      </w:pPr>
      <w:r>
        <w:t xml:space="preserve">equity beta:  </w:t>
      </w:r>
      <w:r w:rsidRPr="006F62B6">
        <w:t>β</w:t>
      </w:r>
      <w:r w:rsidRPr="006F62B6">
        <w:rPr>
          <w:vertAlign w:val="subscript"/>
        </w:rPr>
        <w:t>j</w:t>
      </w:r>
      <w:r>
        <w:t xml:space="preserve"> = 0.8; and</w:t>
      </w:r>
    </w:p>
    <w:p w:rsidR="00033B69" w:rsidRDefault="00033B69" w:rsidP="00033B69">
      <w:pPr>
        <w:pStyle w:val="ListBullet"/>
      </w:pPr>
      <w:proofErr w:type="gramStart"/>
      <w:r w:rsidRPr="006F62B6">
        <w:t>E(</w:t>
      </w:r>
      <w:proofErr w:type="spellStart"/>
      <w:proofErr w:type="gramEnd"/>
      <w:r>
        <w:t>r</w:t>
      </w:r>
      <w:r w:rsidRPr="006F62B6">
        <w:rPr>
          <w:vertAlign w:val="subscript"/>
        </w:rPr>
        <w:t>M</w:t>
      </w:r>
      <w:proofErr w:type="spellEnd"/>
      <w:r w:rsidRPr="006F62B6">
        <w:t>)</w:t>
      </w:r>
      <w:r>
        <w:t>:  10.</w:t>
      </w:r>
      <w:r w:rsidR="005E7FD3">
        <w:t>38</w:t>
      </w:r>
      <w:r>
        <w:t>%.</w:t>
      </w:r>
    </w:p>
    <w:p w:rsidR="00033B69" w:rsidRPr="006F62B6" w:rsidRDefault="00033B69" w:rsidP="00033B69">
      <w:pPr>
        <w:pStyle w:val="BodyText"/>
      </w:pPr>
      <w:r w:rsidRPr="006F62B6">
        <w:t xml:space="preserve">The estimated </w:t>
      </w:r>
      <w:r>
        <w:t xml:space="preserve">rate of </w:t>
      </w:r>
      <w:r w:rsidRPr="006F62B6">
        <w:t xml:space="preserve">return on equity is </w:t>
      </w:r>
      <w:r>
        <w:t>8.</w:t>
      </w:r>
      <w:r w:rsidR="005E7FD3">
        <w:t>8</w:t>
      </w:r>
      <w:r w:rsidRPr="006F62B6">
        <w:t>%.</w:t>
      </w:r>
    </w:p>
    <w:p w:rsidR="00033B69" w:rsidRDefault="00033B69" w:rsidP="00033B69">
      <w:pPr>
        <w:pStyle w:val="Heading2"/>
      </w:pPr>
      <w:bookmarkStart w:id="47" w:name="_Toc470011182"/>
      <w:bookmarkStart w:id="48" w:name="_Toc471221361"/>
      <w:r>
        <w:t>Return on debt</w:t>
      </w:r>
      <w:bookmarkEnd w:id="47"/>
      <w:bookmarkEnd w:id="48"/>
    </w:p>
    <w:p w:rsidR="00033B69" w:rsidRDefault="00033B69" w:rsidP="00033B69">
      <w:pPr>
        <w:pStyle w:val="BodyText"/>
      </w:pPr>
      <w:r>
        <w:t>APA VTS has departed from the Rate of Return Guideline when estimating the return on debt.  The Guideline proposes that the return on debt be estimated as a prospective and progressively implemented trailing average.  APA VTS has estimated the return on debt as a simple historical trailing average of estimates of debt returns for each of the last 10 years.</w:t>
      </w:r>
    </w:p>
    <w:p w:rsidR="00033B69" w:rsidRDefault="00033B69" w:rsidP="00033B69">
      <w:pPr>
        <w:pStyle w:val="BodyText"/>
      </w:pPr>
      <w:r>
        <w:t xml:space="preserve">The benchmark efficient entity </w:t>
      </w:r>
      <w:r w:rsidR="005E7FD3">
        <w:t xml:space="preserve">of rule 87(3) </w:t>
      </w:r>
      <w:r>
        <w:t>is a firm with a degree of risk similar to APA VTS.  Such a firm would be expected to issue debt with a term to maturity of 10 years, and to stagger its debt issues to minimise refinancing risk, in the way the Rate of Return Guideline proposes, but without any need for hedging arrangements which would have to be “unwound”.  The trailing average approach to estimation of the return on debt can, therefore, be implemented immediately (without a period of transition).</w:t>
      </w:r>
    </w:p>
    <w:p w:rsidR="00033B69" w:rsidRDefault="00033B69" w:rsidP="00033B69">
      <w:pPr>
        <w:pStyle w:val="BodyText"/>
      </w:pPr>
      <w:r>
        <w:lastRenderedPageBreak/>
        <w:t>Reserve Bank of Australia data for the yields on the bonds of Australian non-financial corporations rated BBB have been used to estimate terms of the trailing average.</w:t>
      </w:r>
    </w:p>
    <w:p w:rsidR="00033B69" w:rsidRDefault="00033B69" w:rsidP="00033B69">
      <w:pPr>
        <w:pStyle w:val="BodyText"/>
      </w:pPr>
      <w:r>
        <w:t>Where necessary, the data have been extrapolated or interpolated in the way proposed by the AER, so that the estimates of the return on debt obtained (and which are the terms of the trailing average) are for terms to maturity of 10 years consistent with the assumption made in respect of the financing of the benchmark efficient entity.</w:t>
      </w:r>
    </w:p>
    <w:p w:rsidR="00033B69" w:rsidRDefault="00033B69" w:rsidP="00033B69">
      <w:pPr>
        <w:pStyle w:val="BodyText"/>
      </w:pPr>
      <w:r>
        <w:t xml:space="preserve">Using Reserve Bank of Australia data for </w:t>
      </w:r>
      <w:r w:rsidR="005E7FD3">
        <w:t>July 2017</w:t>
      </w:r>
      <w:r w:rsidRPr="004220B0">
        <w:t xml:space="preserve">, and for </w:t>
      </w:r>
      <w:r w:rsidR="005E7FD3">
        <w:t xml:space="preserve">July </w:t>
      </w:r>
      <w:r>
        <w:t xml:space="preserve">in each of the previous nine years, an estimate of the return on debt for the benchmark efficient entity is </w:t>
      </w:r>
      <w:r w:rsidR="005E7FD3">
        <w:t>6.91</w:t>
      </w:r>
      <w:r>
        <w:t>%.</w:t>
      </w:r>
    </w:p>
    <w:p w:rsidR="00033B69" w:rsidRDefault="00033B69" w:rsidP="00033B69">
      <w:pPr>
        <w:pStyle w:val="Heading2"/>
      </w:pPr>
      <w:bookmarkStart w:id="49" w:name="_Toc470011183"/>
      <w:bookmarkStart w:id="50" w:name="_Toc471221362"/>
      <w:r>
        <w:t>Allowed rate of return</w:t>
      </w:r>
      <w:bookmarkEnd w:id="49"/>
      <w:bookmarkEnd w:id="50"/>
    </w:p>
    <w:p w:rsidR="00033B69" w:rsidRDefault="00033B69" w:rsidP="00033B69">
      <w:pPr>
        <w:pStyle w:val="BodyText"/>
      </w:pPr>
      <w:r>
        <w:t>The allowed rate of return used in calculating the revised reference tariff of the VTS Access Arrangement is a weighted average of the estimated return on equity of 8.</w:t>
      </w:r>
      <w:r w:rsidR="005E7FD3">
        <w:t>8</w:t>
      </w:r>
      <w:r>
        <w:t xml:space="preserve">%, and the estimated return on debt of </w:t>
      </w:r>
      <w:r w:rsidR="005E7FD3">
        <w:t>6.9</w:t>
      </w:r>
      <w:r>
        <w:t xml:space="preserve">%.  The weightings assigned to the estimates of the return on equity and the </w:t>
      </w:r>
      <w:proofErr w:type="gramStart"/>
      <w:r>
        <w:t>return on debt are</w:t>
      </w:r>
      <w:proofErr w:type="gramEnd"/>
      <w:r>
        <w:t>, respectively, 40% and 60%.  The allowed rate of return is 7.</w:t>
      </w:r>
      <w:r w:rsidR="005E7FD3">
        <w:t>7</w:t>
      </w:r>
      <w:r>
        <w:t>%.</w:t>
      </w:r>
    </w:p>
    <w:p w:rsidR="00033B69" w:rsidRDefault="00033B69" w:rsidP="00033B69">
      <w:pPr>
        <w:pStyle w:val="Heading2"/>
      </w:pPr>
      <w:bookmarkStart w:id="51" w:name="_Toc470011184"/>
      <w:bookmarkStart w:id="52" w:name="_Toc471221363"/>
      <w:r>
        <w:t>Annual updating</w:t>
      </w:r>
      <w:bookmarkEnd w:id="51"/>
      <w:bookmarkEnd w:id="52"/>
    </w:p>
    <w:p w:rsidR="00033B69" w:rsidRDefault="00033B69" w:rsidP="00033B69">
      <w:pPr>
        <w:pStyle w:val="BodyText"/>
      </w:pPr>
      <w:r>
        <w:rPr>
          <w:lang w:eastAsia="en-AU"/>
        </w:rPr>
        <w:t>As permitted by Rule 79(b), APA VTS</w:t>
      </w:r>
      <w:r>
        <w:t xml:space="preserve"> will update the return on debt annually during the access arrangement period.</w:t>
      </w:r>
    </w:p>
    <w:p w:rsidR="00033B69" w:rsidRDefault="00033B69" w:rsidP="00033B69">
      <w:pPr>
        <w:pStyle w:val="BodyText"/>
      </w:pPr>
      <w:r>
        <w:t>The return on debt will be estimated, immediately prior to commencement of the access arrangement period, as a historical trailing average of equally weighted annual debt returns, with the terms of the average spanning a period of 10 years.  The most recent term in the trailing average shall be the debt return estimated using current market data; the oldest term will indicate the return on debt raised 10 years earlier.</w:t>
      </w:r>
    </w:p>
    <w:p w:rsidR="00033B69" w:rsidRDefault="00033B69" w:rsidP="00033B69">
      <w:pPr>
        <w:pStyle w:val="BodyText"/>
      </w:pPr>
      <w:r>
        <w:t>In the process of annual updating, the oldest term is to be dropped from the average, and a new term, estimated using current year data, is to be added.  The new average will then become the updated return on debt to be used in the post-tax revenue model for the next and subsequent years of the access arrangement period.</w:t>
      </w:r>
    </w:p>
    <w:p w:rsidR="00033B69" w:rsidRDefault="00033B69" w:rsidP="00033B69">
      <w:pPr>
        <w:pStyle w:val="BodyText"/>
      </w:pPr>
      <w:r>
        <w:t xml:space="preserve">The functionality which the AER has now built in to its post-tax revenue model is to be used to update the total revenue for the updated return on debt.  The updated total revenue will then be used to recalculate the VTS reference tariffs for the next regulatory year of the access arrangement </w:t>
      </w:r>
      <w:r>
        <w:lastRenderedPageBreak/>
        <w:t>period.  This approach has been advanced, in previous AER decisions, as the automatic application of a formula required by Rule 87(12).</w:t>
      </w:r>
    </w:p>
    <w:p w:rsidR="00033B69" w:rsidRPr="00E843E8" w:rsidRDefault="00033B69" w:rsidP="00033B69">
      <w:pPr>
        <w:pStyle w:val="BodyText"/>
        <w:rPr>
          <w:lang w:eastAsia="en-AU"/>
        </w:rPr>
      </w:pPr>
      <w:r w:rsidRPr="00E843E8">
        <w:rPr>
          <w:lang w:eastAsia="en-AU"/>
        </w:rPr>
        <w:t>The annual updating of the return on debt will effect a variation of the reference tariff for the VTS in each year of the access arrangement period.</w:t>
      </w:r>
      <w:r>
        <w:rPr>
          <w:lang w:eastAsia="en-AU"/>
        </w:rPr>
        <w:t xml:space="preserve">  </w:t>
      </w:r>
      <w:r w:rsidRPr="00E843E8">
        <w:rPr>
          <w:lang w:eastAsia="en-AU"/>
        </w:rPr>
        <w:t xml:space="preserve">A full access arrangement must include a mechanism for variation of the reference tariff over the course of the access arrangement period, and </w:t>
      </w:r>
      <w:r>
        <w:rPr>
          <w:lang w:eastAsia="en-AU"/>
        </w:rPr>
        <w:t>APA VTS</w:t>
      </w:r>
      <w:r w:rsidRPr="00E843E8">
        <w:rPr>
          <w:lang w:eastAsia="en-AU"/>
        </w:rPr>
        <w:t xml:space="preserve"> has incorporated the variation of the reference tariff </w:t>
      </w:r>
      <w:proofErr w:type="gramStart"/>
      <w:r w:rsidRPr="00E843E8">
        <w:rPr>
          <w:lang w:eastAsia="en-AU"/>
        </w:rPr>
        <w:t>effected</w:t>
      </w:r>
      <w:proofErr w:type="gramEnd"/>
      <w:r w:rsidRPr="00E843E8">
        <w:rPr>
          <w:lang w:eastAsia="en-AU"/>
        </w:rPr>
        <w:t xml:space="preserve"> by annual updating of the return on debt into the reference tariff variation mechanism of the VTS</w:t>
      </w:r>
      <w:r>
        <w:rPr>
          <w:lang w:eastAsia="en-AU"/>
        </w:rPr>
        <w:t xml:space="preserve"> Access Arrangement</w:t>
      </w:r>
      <w:r w:rsidRPr="00E843E8">
        <w:rPr>
          <w:lang w:eastAsia="en-AU"/>
        </w:rPr>
        <w:t>.</w:t>
      </w:r>
    </w:p>
    <w:p w:rsidR="00033B69" w:rsidRDefault="00033B69" w:rsidP="00033B69">
      <w:pPr>
        <w:pStyle w:val="Heading2"/>
      </w:pPr>
      <w:bookmarkStart w:id="53" w:name="_Toc470011185"/>
      <w:bookmarkStart w:id="54" w:name="_Toc471221364"/>
      <w:r>
        <w:t>Value of imputation credits</w:t>
      </w:r>
      <w:bookmarkEnd w:id="53"/>
      <w:bookmarkEnd w:id="54"/>
    </w:p>
    <w:p w:rsidR="005E7FD3" w:rsidRDefault="005E7FD3" w:rsidP="005E7FD3">
      <w:pPr>
        <w:pStyle w:val="BodyText"/>
      </w:pPr>
      <w:r>
        <w:t>APA VTS has adopted the AER’s estimate of 0.4 for gamma.</w:t>
      </w:r>
    </w:p>
    <w:p w:rsidR="009725AC" w:rsidRDefault="005E7FD3" w:rsidP="00665BBF">
      <w:pPr>
        <w:pStyle w:val="BodyText"/>
      </w:pPr>
      <w:r>
        <w:t>Although the Federal Court has found the AER not to be in error in its choice of one approach to estimation of gamma over another, the more basic question about the way in which the capital market values imputation credits remains.  Market practitioners continue to assign to those credits little or no value.  In these circumstances, a lower estimate of gamma – 0.25 – or even an estimate of zero cannot, at the present time, be rejected.  APA VTS expects the debate on the valuation of imputation credits will continue, and an estimate of 0.4 will be no more than another step along the way.</w:t>
      </w:r>
    </w:p>
    <w:p w:rsidR="009725AC" w:rsidRDefault="00996547" w:rsidP="009725AC">
      <w:pPr>
        <w:pStyle w:val="Heading1"/>
      </w:pPr>
      <w:bookmarkStart w:id="55" w:name="_Toc471221365"/>
      <w:r>
        <w:lastRenderedPageBreak/>
        <w:t>T</w:t>
      </w:r>
      <w:r w:rsidR="009725AC">
        <w:t>axation</w:t>
      </w:r>
      <w:bookmarkEnd w:id="55"/>
    </w:p>
    <w:p w:rsidR="009725AC" w:rsidRDefault="0071340F" w:rsidP="009725AC">
      <w:pPr>
        <w:pStyle w:val="BodyText"/>
      </w:pPr>
      <w:r>
        <w:t>APA VTS</w:t>
      </w:r>
      <w:r w:rsidR="009725AC">
        <w:t xml:space="preserve"> has adopted a </w:t>
      </w:r>
      <w:proofErr w:type="spellStart"/>
      <w:r w:rsidR="009725AC">
        <w:t>post tax</w:t>
      </w:r>
      <w:proofErr w:type="spellEnd"/>
      <w:r w:rsidR="009725AC">
        <w:t xml:space="preserve"> approach. Under this approach, the cash flows of the business include an estimate of the amount of tax payable on regulatory revenues. </w:t>
      </w:r>
    </w:p>
    <w:p w:rsidR="009725AC" w:rsidRDefault="0071340F" w:rsidP="009725AC">
      <w:pPr>
        <w:pStyle w:val="BodyText"/>
      </w:pPr>
      <w:r>
        <w:t>APA VTS</w:t>
      </w:r>
      <w:r w:rsidR="009725AC">
        <w:t xml:space="preserve"> has rolled forward its TAB using the same principles as the normal asset base </w:t>
      </w:r>
      <w:proofErr w:type="spellStart"/>
      <w:r w:rsidR="009725AC">
        <w:t>rollforward</w:t>
      </w:r>
      <w:proofErr w:type="spellEnd"/>
      <w:r w:rsidR="009725AC">
        <w:t xml:space="preserve">. That is, </w:t>
      </w:r>
      <w:r>
        <w:t>APA VTS</w:t>
      </w:r>
      <w:r w:rsidR="009725AC">
        <w:t xml:space="preserve"> has adopted the opening TAB in the earlier access arrangement period, and rolled it forward using actual capital expenditure. As the TAB is not indexed, it was not necessary to update the </w:t>
      </w:r>
      <w:proofErr w:type="spellStart"/>
      <w:r w:rsidR="009725AC">
        <w:t>rollforward</w:t>
      </w:r>
      <w:proofErr w:type="spellEnd"/>
      <w:r w:rsidR="009725AC">
        <w:t xml:space="preserve"> for outturn CPI increases. The TAB </w:t>
      </w:r>
      <w:proofErr w:type="spellStart"/>
      <w:r w:rsidR="009725AC">
        <w:t>rollforward</w:t>
      </w:r>
      <w:proofErr w:type="spellEnd"/>
      <w:r w:rsidR="009725AC">
        <w:t xml:space="preserve"> is shown in Table 8.1 and Table 8.2.</w:t>
      </w:r>
    </w:p>
    <w:p w:rsidR="009725AC" w:rsidRDefault="009725AC" w:rsidP="009725AC">
      <w:pPr>
        <w:pStyle w:val="Caption"/>
      </w:pPr>
      <w:proofErr w:type="gramStart"/>
      <w:r>
        <w:t xml:space="preserve">Table </w:t>
      </w:r>
      <w:fldSimple w:instr=" STYLEREF 1 \s ">
        <w:r w:rsidR="00154DB7">
          <w:rPr>
            <w:noProof/>
          </w:rPr>
          <w:t>8</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1</w:t>
      </w:r>
      <w:r w:rsidR="007D0F77">
        <w:rPr>
          <w:noProof/>
        </w:rPr>
        <w:fldChar w:fldCharType="end"/>
      </w:r>
      <w:r>
        <w:t xml:space="preserve">:  </w:t>
      </w:r>
      <w:r w:rsidRPr="009725AC">
        <w:t xml:space="preserve">Tax Asset Base as at </w:t>
      </w:r>
      <w:r w:rsidR="0071340F">
        <w:t>31 December</w:t>
      </w:r>
      <w:r w:rsidRPr="009725AC">
        <w:t xml:space="preserve"> 201</w:t>
      </w:r>
      <w:r w:rsidR="00970275">
        <w:t>7</w:t>
      </w:r>
      <w:r w:rsidRPr="009725AC">
        <w:t xml:space="preserve"> ($</w:t>
      </w:r>
      <w:r w:rsidR="00394DF9">
        <w:t xml:space="preserve">m </w:t>
      </w:r>
      <w:r w:rsidRPr="009725AC">
        <w:t>nominal)</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624"/>
        <w:gridCol w:w="973"/>
        <w:gridCol w:w="973"/>
        <w:gridCol w:w="974"/>
        <w:gridCol w:w="1024"/>
        <w:gridCol w:w="1009"/>
        <w:gridCol w:w="860"/>
      </w:tblGrid>
      <w:tr w:rsidR="00C941AA" w:rsidRPr="00394DF9" w:rsidTr="00C941AA">
        <w:tc>
          <w:tcPr>
            <w:tcW w:w="2624" w:type="dxa"/>
            <w:shd w:val="clear" w:color="auto" w:fill="333333"/>
          </w:tcPr>
          <w:p w:rsidR="00C941AA" w:rsidRPr="00394DF9" w:rsidRDefault="00C941AA" w:rsidP="00C45A01">
            <w:pPr>
              <w:pStyle w:val="TableColumnHeadings"/>
              <w:keepNext/>
              <w:jc w:val="left"/>
              <w:rPr>
                <w:rFonts w:ascii="Century Gothic" w:hAnsi="Century Gothic"/>
                <w:szCs w:val="18"/>
              </w:rPr>
            </w:pPr>
            <w:r>
              <w:rPr>
                <w:rFonts w:ascii="Century Gothic" w:hAnsi="Century Gothic"/>
                <w:szCs w:val="18"/>
              </w:rPr>
              <w:t>$m nominal</w:t>
            </w:r>
          </w:p>
        </w:tc>
        <w:tc>
          <w:tcPr>
            <w:tcW w:w="973" w:type="dxa"/>
            <w:shd w:val="clear" w:color="auto" w:fill="333333"/>
          </w:tcPr>
          <w:p w:rsidR="00C941AA" w:rsidRPr="00394DF9" w:rsidRDefault="00C941AA" w:rsidP="0071340F">
            <w:pPr>
              <w:pStyle w:val="TableColumnHeadings"/>
              <w:rPr>
                <w:rFonts w:ascii="Century Gothic" w:hAnsi="Century Gothic"/>
                <w:szCs w:val="18"/>
              </w:rPr>
            </w:pPr>
            <w:r w:rsidRPr="00394DF9">
              <w:rPr>
                <w:rFonts w:ascii="Century Gothic" w:hAnsi="Century Gothic"/>
                <w:szCs w:val="18"/>
              </w:rPr>
              <w:t>2013</w:t>
            </w:r>
          </w:p>
        </w:tc>
        <w:tc>
          <w:tcPr>
            <w:tcW w:w="973" w:type="dxa"/>
            <w:shd w:val="clear" w:color="auto" w:fill="333333"/>
          </w:tcPr>
          <w:p w:rsidR="00C941AA" w:rsidRPr="00394DF9" w:rsidRDefault="00C941AA" w:rsidP="0071340F">
            <w:pPr>
              <w:pStyle w:val="TableColumnHeadings"/>
              <w:rPr>
                <w:rFonts w:ascii="Century Gothic" w:hAnsi="Century Gothic"/>
                <w:szCs w:val="18"/>
              </w:rPr>
            </w:pPr>
            <w:r w:rsidRPr="00394DF9">
              <w:rPr>
                <w:rFonts w:ascii="Century Gothic" w:hAnsi="Century Gothic"/>
                <w:szCs w:val="18"/>
              </w:rPr>
              <w:t>2014</w:t>
            </w:r>
          </w:p>
        </w:tc>
        <w:tc>
          <w:tcPr>
            <w:tcW w:w="974" w:type="dxa"/>
            <w:shd w:val="clear" w:color="auto" w:fill="333333"/>
          </w:tcPr>
          <w:p w:rsidR="00C941AA" w:rsidRPr="00394DF9" w:rsidRDefault="00C941AA" w:rsidP="0071340F">
            <w:pPr>
              <w:pStyle w:val="TableColumnHeadings"/>
              <w:rPr>
                <w:rFonts w:ascii="Century Gothic" w:hAnsi="Century Gothic"/>
                <w:szCs w:val="18"/>
              </w:rPr>
            </w:pPr>
            <w:r w:rsidRPr="00394DF9">
              <w:rPr>
                <w:rFonts w:ascii="Century Gothic" w:hAnsi="Century Gothic"/>
                <w:szCs w:val="18"/>
              </w:rPr>
              <w:t>2015</w:t>
            </w:r>
          </w:p>
        </w:tc>
        <w:tc>
          <w:tcPr>
            <w:tcW w:w="1024" w:type="dxa"/>
            <w:shd w:val="clear" w:color="auto" w:fill="333333"/>
          </w:tcPr>
          <w:p w:rsidR="00C941AA" w:rsidRPr="00394DF9" w:rsidRDefault="00C941AA" w:rsidP="0071340F">
            <w:pPr>
              <w:pStyle w:val="TableColumnHeadings"/>
              <w:rPr>
                <w:rFonts w:ascii="Century Gothic" w:hAnsi="Century Gothic"/>
                <w:szCs w:val="18"/>
              </w:rPr>
            </w:pPr>
            <w:r w:rsidRPr="00394DF9">
              <w:rPr>
                <w:rFonts w:ascii="Century Gothic" w:hAnsi="Century Gothic"/>
                <w:szCs w:val="18"/>
              </w:rPr>
              <w:t>2016</w:t>
            </w:r>
            <w:r>
              <w:rPr>
                <w:rFonts w:ascii="Century Gothic" w:hAnsi="Century Gothic"/>
                <w:szCs w:val="18"/>
              </w:rPr>
              <w:t>(e)</w:t>
            </w:r>
          </w:p>
        </w:tc>
        <w:tc>
          <w:tcPr>
            <w:tcW w:w="1009" w:type="dxa"/>
            <w:shd w:val="clear" w:color="auto" w:fill="333333"/>
          </w:tcPr>
          <w:p w:rsidR="00C941AA" w:rsidRPr="00394DF9" w:rsidRDefault="00C941AA" w:rsidP="0071340F">
            <w:pPr>
              <w:pStyle w:val="TableColumnHeadings"/>
              <w:rPr>
                <w:rFonts w:ascii="Century Gothic" w:hAnsi="Century Gothic"/>
                <w:szCs w:val="18"/>
              </w:rPr>
            </w:pPr>
            <w:r w:rsidRPr="00394DF9">
              <w:rPr>
                <w:rFonts w:ascii="Century Gothic" w:hAnsi="Century Gothic"/>
                <w:szCs w:val="18"/>
              </w:rPr>
              <w:t>2017</w:t>
            </w:r>
            <w:r>
              <w:rPr>
                <w:rFonts w:ascii="Century Gothic" w:hAnsi="Century Gothic"/>
                <w:szCs w:val="18"/>
              </w:rPr>
              <w:t>(f)</w:t>
            </w:r>
          </w:p>
        </w:tc>
        <w:tc>
          <w:tcPr>
            <w:tcW w:w="860" w:type="dxa"/>
            <w:shd w:val="clear" w:color="auto" w:fill="333333"/>
          </w:tcPr>
          <w:p w:rsidR="00C941AA" w:rsidRPr="00394DF9" w:rsidRDefault="00C941AA" w:rsidP="0071340F">
            <w:pPr>
              <w:pStyle w:val="TableColumnHeadings"/>
              <w:rPr>
                <w:rFonts w:ascii="Century Gothic" w:hAnsi="Century Gothic"/>
                <w:szCs w:val="18"/>
              </w:rPr>
            </w:pPr>
            <w:r w:rsidRPr="00C941AA">
              <w:rPr>
                <w:rFonts w:ascii="Century Gothic" w:hAnsi="Century Gothic"/>
                <w:szCs w:val="18"/>
              </w:rPr>
              <w:t>2017 (add capex)</w:t>
            </w:r>
          </w:p>
        </w:tc>
      </w:tr>
      <w:tr w:rsidR="00C941AA" w:rsidRPr="003662A4" w:rsidTr="00605F6D">
        <w:tc>
          <w:tcPr>
            <w:tcW w:w="2624" w:type="dxa"/>
            <w:shd w:val="clear" w:color="auto" w:fill="auto"/>
            <w:vAlign w:val="center"/>
          </w:tcPr>
          <w:p w:rsidR="00C941AA" w:rsidRPr="003662A4" w:rsidRDefault="00C941AA" w:rsidP="00394DF9">
            <w:pPr>
              <w:rPr>
                <w:rFonts w:cs="Arial"/>
                <w:sz w:val="18"/>
                <w:szCs w:val="18"/>
              </w:rPr>
            </w:pPr>
            <w:r w:rsidRPr="003662A4">
              <w:rPr>
                <w:rFonts w:cs="Arial"/>
                <w:sz w:val="18"/>
                <w:szCs w:val="18"/>
              </w:rPr>
              <w:t>Opening TAB</w:t>
            </w:r>
          </w:p>
        </w:tc>
        <w:tc>
          <w:tcPr>
            <w:tcW w:w="973" w:type="dxa"/>
            <w:shd w:val="clear" w:color="auto" w:fill="auto"/>
          </w:tcPr>
          <w:p w:rsidR="00C941AA" w:rsidRPr="00765236" w:rsidRDefault="00C941AA" w:rsidP="00605F6D">
            <w:pPr>
              <w:pStyle w:val="TableBodyCells"/>
              <w:rPr>
                <w:rFonts w:cs="Arial"/>
              </w:rPr>
            </w:pPr>
            <w:r w:rsidRPr="006F5A47">
              <w:t xml:space="preserve"> 229.0 </w:t>
            </w:r>
          </w:p>
        </w:tc>
        <w:tc>
          <w:tcPr>
            <w:tcW w:w="973" w:type="dxa"/>
          </w:tcPr>
          <w:p w:rsidR="00C941AA" w:rsidRPr="00765236" w:rsidRDefault="00C941AA" w:rsidP="00605F6D">
            <w:pPr>
              <w:pStyle w:val="TableBodyCells"/>
              <w:rPr>
                <w:rFonts w:cs="Arial"/>
              </w:rPr>
            </w:pPr>
            <w:r w:rsidRPr="006F5A47">
              <w:t xml:space="preserve"> 226.6 </w:t>
            </w:r>
          </w:p>
        </w:tc>
        <w:tc>
          <w:tcPr>
            <w:tcW w:w="974" w:type="dxa"/>
            <w:shd w:val="clear" w:color="auto" w:fill="auto"/>
          </w:tcPr>
          <w:p w:rsidR="00C941AA" w:rsidRPr="00765236" w:rsidRDefault="00C941AA" w:rsidP="00605F6D">
            <w:pPr>
              <w:pStyle w:val="TableBodyCells"/>
              <w:rPr>
                <w:rFonts w:cs="Arial"/>
              </w:rPr>
            </w:pPr>
            <w:r w:rsidRPr="006F5A47">
              <w:t xml:space="preserve"> 323.3 </w:t>
            </w:r>
          </w:p>
        </w:tc>
        <w:tc>
          <w:tcPr>
            <w:tcW w:w="1024" w:type="dxa"/>
            <w:shd w:val="clear" w:color="auto" w:fill="auto"/>
          </w:tcPr>
          <w:p w:rsidR="00C941AA" w:rsidRPr="00765236" w:rsidRDefault="00C941AA" w:rsidP="00605F6D">
            <w:pPr>
              <w:pStyle w:val="TableBodyCells"/>
              <w:rPr>
                <w:rFonts w:cs="Arial"/>
              </w:rPr>
            </w:pPr>
            <w:r w:rsidRPr="006F5A47">
              <w:t xml:space="preserve"> 326.3 </w:t>
            </w:r>
          </w:p>
        </w:tc>
        <w:tc>
          <w:tcPr>
            <w:tcW w:w="1009" w:type="dxa"/>
            <w:shd w:val="clear" w:color="auto" w:fill="auto"/>
          </w:tcPr>
          <w:p w:rsidR="00C941AA" w:rsidRPr="00765236" w:rsidRDefault="00C941AA" w:rsidP="00605F6D">
            <w:pPr>
              <w:pStyle w:val="TableBodyCells"/>
              <w:rPr>
                <w:rFonts w:cs="Arial"/>
              </w:rPr>
            </w:pPr>
            <w:r w:rsidRPr="006F5A47">
              <w:t xml:space="preserve"> 315.6 </w:t>
            </w:r>
          </w:p>
        </w:tc>
        <w:tc>
          <w:tcPr>
            <w:tcW w:w="860" w:type="dxa"/>
          </w:tcPr>
          <w:p w:rsidR="00C941AA" w:rsidRPr="00C941AA" w:rsidRDefault="00C941AA" w:rsidP="00605F6D">
            <w:pPr>
              <w:pStyle w:val="TableBodyCells"/>
            </w:pPr>
            <w:r w:rsidRPr="006F5A47">
              <w:t xml:space="preserve"> 301.6 </w:t>
            </w:r>
          </w:p>
        </w:tc>
      </w:tr>
      <w:tr w:rsidR="00C941AA" w:rsidRPr="003662A4" w:rsidTr="00605F6D">
        <w:tc>
          <w:tcPr>
            <w:tcW w:w="2624" w:type="dxa"/>
            <w:shd w:val="clear" w:color="auto" w:fill="auto"/>
            <w:vAlign w:val="center"/>
          </w:tcPr>
          <w:p w:rsidR="00C941AA" w:rsidRPr="003662A4" w:rsidRDefault="00C941AA" w:rsidP="00394DF9">
            <w:pPr>
              <w:rPr>
                <w:rFonts w:cs="Arial"/>
                <w:sz w:val="18"/>
                <w:szCs w:val="18"/>
              </w:rPr>
            </w:pPr>
            <w:r w:rsidRPr="003662A4">
              <w:rPr>
                <w:rFonts w:cs="Arial"/>
                <w:sz w:val="18"/>
                <w:szCs w:val="18"/>
              </w:rPr>
              <w:t>Net additions</w:t>
            </w:r>
          </w:p>
        </w:tc>
        <w:tc>
          <w:tcPr>
            <w:tcW w:w="973" w:type="dxa"/>
            <w:shd w:val="clear" w:color="auto" w:fill="auto"/>
          </w:tcPr>
          <w:p w:rsidR="00C941AA" w:rsidRPr="00765236" w:rsidRDefault="00C941AA" w:rsidP="00605F6D">
            <w:pPr>
              <w:pStyle w:val="TableBodyCells"/>
              <w:rPr>
                <w:rFonts w:cs="Arial"/>
              </w:rPr>
            </w:pPr>
            <w:r w:rsidRPr="006F5A47">
              <w:t xml:space="preserve"> 6.5 </w:t>
            </w:r>
          </w:p>
        </w:tc>
        <w:tc>
          <w:tcPr>
            <w:tcW w:w="973" w:type="dxa"/>
          </w:tcPr>
          <w:p w:rsidR="00C941AA" w:rsidRPr="00765236" w:rsidRDefault="00C941AA" w:rsidP="00605F6D">
            <w:pPr>
              <w:pStyle w:val="TableBodyCells"/>
              <w:rPr>
                <w:rFonts w:cs="Arial"/>
              </w:rPr>
            </w:pPr>
            <w:r w:rsidRPr="006F5A47">
              <w:t xml:space="preserve"> 114.7 </w:t>
            </w:r>
          </w:p>
        </w:tc>
        <w:tc>
          <w:tcPr>
            <w:tcW w:w="974" w:type="dxa"/>
            <w:shd w:val="clear" w:color="auto" w:fill="auto"/>
          </w:tcPr>
          <w:p w:rsidR="00C941AA" w:rsidRPr="00765236" w:rsidRDefault="00C941AA" w:rsidP="00605F6D">
            <w:pPr>
              <w:pStyle w:val="TableBodyCells"/>
              <w:rPr>
                <w:rFonts w:cs="Arial"/>
              </w:rPr>
            </w:pPr>
            <w:r w:rsidRPr="006F5A47">
              <w:t xml:space="preserve"> 24.6 </w:t>
            </w:r>
          </w:p>
        </w:tc>
        <w:tc>
          <w:tcPr>
            <w:tcW w:w="1024" w:type="dxa"/>
            <w:shd w:val="clear" w:color="auto" w:fill="auto"/>
          </w:tcPr>
          <w:p w:rsidR="00C941AA" w:rsidRPr="00765236" w:rsidRDefault="00C941AA" w:rsidP="00605F6D">
            <w:pPr>
              <w:pStyle w:val="TableBodyCells"/>
              <w:rPr>
                <w:rFonts w:cs="Arial"/>
              </w:rPr>
            </w:pPr>
            <w:r w:rsidRPr="006F5A47">
              <w:t xml:space="preserve"> 12.3 </w:t>
            </w:r>
          </w:p>
        </w:tc>
        <w:tc>
          <w:tcPr>
            <w:tcW w:w="1009" w:type="dxa"/>
            <w:shd w:val="clear" w:color="auto" w:fill="auto"/>
          </w:tcPr>
          <w:p w:rsidR="00C941AA" w:rsidRPr="00765236" w:rsidRDefault="00C941AA" w:rsidP="00605F6D">
            <w:pPr>
              <w:pStyle w:val="TableBodyCells"/>
              <w:rPr>
                <w:rFonts w:cs="Arial"/>
              </w:rPr>
            </w:pPr>
            <w:r w:rsidRPr="006F5A47">
              <w:t xml:space="preserve"> 9.6 </w:t>
            </w:r>
          </w:p>
        </w:tc>
        <w:tc>
          <w:tcPr>
            <w:tcW w:w="860" w:type="dxa"/>
          </w:tcPr>
          <w:p w:rsidR="00C941AA" w:rsidRPr="00C941AA" w:rsidRDefault="00C941AA" w:rsidP="00605F6D">
            <w:pPr>
              <w:pStyle w:val="TableBodyCells"/>
            </w:pPr>
            <w:r w:rsidRPr="006F5A47">
              <w:t xml:space="preserve"> 231.1 </w:t>
            </w:r>
          </w:p>
        </w:tc>
      </w:tr>
      <w:tr w:rsidR="00C941AA" w:rsidRPr="003662A4" w:rsidTr="00605F6D">
        <w:tc>
          <w:tcPr>
            <w:tcW w:w="2624" w:type="dxa"/>
            <w:shd w:val="clear" w:color="auto" w:fill="auto"/>
            <w:vAlign w:val="center"/>
          </w:tcPr>
          <w:p w:rsidR="00C941AA" w:rsidRPr="003662A4" w:rsidRDefault="00C941AA" w:rsidP="00394DF9">
            <w:pPr>
              <w:rPr>
                <w:rFonts w:cs="Arial"/>
                <w:sz w:val="18"/>
                <w:szCs w:val="18"/>
              </w:rPr>
            </w:pPr>
            <w:r w:rsidRPr="003662A4">
              <w:rPr>
                <w:rFonts w:cs="Arial"/>
                <w:sz w:val="18"/>
                <w:szCs w:val="18"/>
              </w:rPr>
              <w:t>Tax depreciation</w:t>
            </w:r>
          </w:p>
        </w:tc>
        <w:tc>
          <w:tcPr>
            <w:tcW w:w="973" w:type="dxa"/>
            <w:shd w:val="clear" w:color="auto" w:fill="auto"/>
          </w:tcPr>
          <w:p w:rsidR="00C941AA" w:rsidRPr="00765236" w:rsidRDefault="00C941AA" w:rsidP="00605F6D">
            <w:pPr>
              <w:pStyle w:val="TableBodyCells"/>
              <w:rPr>
                <w:rFonts w:cs="Arial"/>
              </w:rPr>
            </w:pPr>
            <w:r w:rsidRPr="006F5A47">
              <w:t xml:space="preserve">-8.8 </w:t>
            </w:r>
          </w:p>
        </w:tc>
        <w:tc>
          <w:tcPr>
            <w:tcW w:w="973" w:type="dxa"/>
          </w:tcPr>
          <w:p w:rsidR="00C941AA" w:rsidRPr="00765236" w:rsidRDefault="00C941AA" w:rsidP="00605F6D">
            <w:pPr>
              <w:pStyle w:val="TableBodyCells"/>
              <w:rPr>
                <w:rFonts w:cs="Arial"/>
              </w:rPr>
            </w:pPr>
            <w:r w:rsidRPr="006F5A47">
              <w:t xml:space="preserve">-18.1 </w:t>
            </w:r>
          </w:p>
        </w:tc>
        <w:tc>
          <w:tcPr>
            <w:tcW w:w="974" w:type="dxa"/>
            <w:shd w:val="clear" w:color="auto" w:fill="auto"/>
          </w:tcPr>
          <w:p w:rsidR="00C941AA" w:rsidRPr="00765236" w:rsidRDefault="00C941AA" w:rsidP="00605F6D">
            <w:pPr>
              <w:pStyle w:val="TableBodyCells"/>
              <w:rPr>
                <w:rFonts w:cs="Arial"/>
              </w:rPr>
            </w:pPr>
            <w:r w:rsidRPr="006F5A47">
              <w:t xml:space="preserve">-21.6 </w:t>
            </w:r>
          </w:p>
        </w:tc>
        <w:tc>
          <w:tcPr>
            <w:tcW w:w="1024" w:type="dxa"/>
            <w:shd w:val="clear" w:color="auto" w:fill="auto"/>
          </w:tcPr>
          <w:p w:rsidR="00C941AA" w:rsidRPr="00765236" w:rsidRDefault="00C941AA" w:rsidP="00605F6D">
            <w:pPr>
              <w:pStyle w:val="TableBodyCells"/>
              <w:rPr>
                <w:rFonts w:cs="Arial"/>
              </w:rPr>
            </w:pPr>
            <w:r w:rsidRPr="006F5A47">
              <w:t xml:space="preserve">-23.0 </w:t>
            </w:r>
          </w:p>
        </w:tc>
        <w:tc>
          <w:tcPr>
            <w:tcW w:w="1009" w:type="dxa"/>
            <w:shd w:val="clear" w:color="auto" w:fill="auto"/>
          </w:tcPr>
          <w:p w:rsidR="00C941AA" w:rsidRPr="00765236" w:rsidRDefault="00C941AA" w:rsidP="00605F6D">
            <w:pPr>
              <w:pStyle w:val="TableBodyCells"/>
              <w:rPr>
                <w:rFonts w:cs="Arial"/>
              </w:rPr>
            </w:pPr>
            <w:r w:rsidRPr="006F5A47">
              <w:t xml:space="preserve">-23.7 </w:t>
            </w:r>
          </w:p>
        </w:tc>
        <w:tc>
          <w:tcPr>
            <w:tcW w:w="860" w:type="dxa"/>
          </w:tcPr>
          <w:p w:rsidR="00C941AA" w:rsidRPr="00C941AA" w:rsidRDefault="00C941AA" w:rsidP="00605F6D">
            <w:pPr>
              <w:pStyle w:val="TableBodyCells"/>
            </w:pPr>
            <w:r w:rsidRPr="006F5A47">
              <w:t xml:space="preserve"> -  </w:t>
            </w:r>
          </w:p>
        </w:tc>
      </w:tr>
      <w:tr w:rsidR="00C941AA" w:rsidRPr="003662A4" w:rsidTr="00605F6D">
        <w:tc>
          <w:tcPr>
            <w:tcW w:w="2624" w:type="dxa"/>
            <w:shd w:val="clear" w:color="auto" w:fill="auto"/>
            <w:vAlign w:val="center"/>
          </w:tcPr>
          <w:p w:rsidR="00C941AA" w:rsidRPr="003662A4" w:rsidRDefault="00C941AA" w:rsidP="00394DF9">
            <w:pPr>
              <w:rPr>
                <w:rFonts w:cs="Arial"/>
                <w:b/>
                <w:bCs/>
                <w:sz w:val="18"/>
                <w:szCs w:val="18"/>
              </w:rPr>
            </w:pPr>
            <w:r w:rsidRPr="003662A4">
              <w:rPr>
                <w:rFonts w:cs="Arial"/>
                <w:b/>
                <w:bCs/>
                <w:sz w:val="18"/>
                <w:szCs w:val="18"/>
              </w:rPr>
              <w:t>Closing TAB</w:t>
            </w:r>
          </w:p>
        </w:tc>
        <w:tc>
          <w:tcPr>
            <w:tcW w:w="973" w:type="dxa"/>
            <w:shd w:val="clear" w:color="auto" w:fill="auto"/>
          </w:tcPr>
          <w:p w:rsidR="00C941AA" w:rsidRPr="003B0FEA" w:rsidRDefault="00C941AA" w:rsidP="00605F6D">
            <w:pPr>
              <w:pStyle w:val="TableBodyCells"/>
              <w:rPr>
                <w:rFonts w:cs="Arial"/>
                <w:b/>
                <w:bCs/>
              </w:rPr>
            </w:pPr>
            <w:r w:rsidRPr="003B0FEA">
              <w:rPr>
                <w:b/>
              </w:rPr>
              <w:t xml:space="preserve"> 226.6 </w:t>
            </w:r>
          </w:p>
        </w:tc>
        <w:tc>
          <w:tcPr>
            <w:tcW w:w="973" w:type="dxa"/>
          </w:tcPr>
          <w:p w:rsidR="00C941AA" w:rsidRPr="003B0FEA" w:rsidRDefault="00C941AA" w:rsidP="00605F6D">
            <w:pPr>
              <w:pStyle w:val="TableBodyCells"/>
              <w:rPr>
                <w:rFonts w:cs="Arial"/>
                <w:b/>
                <w:bCs/>
              </w:rPr>
            </w:pPr>
            <w:r w:rsidRPr="003B0FEA">
              <w:rPr>
                <w:b/>
              </w:rPr>
              <w:t xml:space="preserve"> 323.3 </w:t>
            </w:r>
          </w:p>
        </w:tc>
        <w:tc>
          <w:tcPr>
            <w:tcW w:w="974" w:type="dxa"/>
            <w:shd w:val="clear" w:color="auto" w:fill="auto"/>
          </w:tcPr>
          <w:p w:rsidR="00C941AA" w:rsidRPr="003B0FEA" w:rsidRDefault="00C941AA" w:rsidP="00605F6D">
            <w:pPr>
              <w:pStyle w:val="TableBodyCells"/>
              <w:rPr>
                <w:rFonts w:cs="Arial"/>
                <w:b/>
                <w:bCs/>
              </w:rPr>
            </w:pPr>
            <w:r w:rsidRPr="003B0FEA">
              <w:rPr>
                <w:b/>
              </w:rPr>
              <w:t xml:space="preserve"> 326.3 </w:t>
            </w:r>
          </w:p>
        </w:tc>
        <w:tc>
          <w:tcPr>
            <w:tcW w:w="1024" w:type="dxa"/>
            <w:shd w:val="clear" w:color="auto" w:fill="auto"/>
          </w:tcPr>
          <w:p w:rsidR="00C941AA" w:rsidRPr="003B0FEA" w:rsidRDefault="00C941AA" w:rsidP="00605F6D">
            <w:pPr>
              <w:pStyle w:val="TableBodyCells"/>
              <w:rPr>
                <w:rFonts w:cs="Arial"/>
                <w:b/>
                <w:bCs/>
              </w:rPr>
            </w:pPr>
            <w:r w:rsidRPr="003B0FEA">
              <w:rPr>
                <w:b/>
              </w:rPr>
              <w:t xml:space="preserve"> 315.6 </w:t>
            </w:r>
          </w:p>
        </w:tc>
        <w:tc>
          <w:tcPr>
            <w:tcW w:w="1009" w:type="dxa"/>
            <w:shd w:val="clear" w:color="auto" w:fill="auto"/>
          </w:tcPr>
          <w:p w:rsidR="00C941AA" w:rsidRPr="003B0FEA" w:rsidRDefault="00C941AA" w:rsidP="00605F6D">
            <w:pPr>
              <w:pStyle w:val="TableBodyCells"/>
              <w:rPr>
                <w:rFonts w:cs="Arial"/>
                <w:b/>
                <w:bCs/>
              </w:rPr>
            </w:pPr>
            <w:r w:rsidRPr="003B0FEA">
              <w:rPr>
                <w:b/>
              </w:rPr>
              <w:t xml:space="preserve"> 301.6 </w:t>
            </w:r>
          </w:p>
        </w:tc>
        <w:tc>
          <w:tcPr>
            <w:tcW w:w="860" w:type="dxa"/>
          </w:tcPr>
          <w:p w:rsidR="00C941AA" w:rsidRPr="003B0FEA" w:rsidRDefault="00C941AA" w:rsidP="00605F6D">
            <w:pPr>
              <w:pStyle w:val="TableBodyCells"/>
              <w:rPr>
                <w:b/>
              </w:rPr>
            </w:pPr>
            <w:r w:rsidRPr="003B0FEA">
              <w:rPr>
                <w:b/>
              </w:rPr>
              <w:t xml:space="preserve"> 532.7 </w:t>
            </w:r>
          </w:p>
        </w:tc>
      </w:tr>
    </w:tbl>
    <w:p w:rsidR="009725AC" w:rsidRDefault="009725AC" w:rsidP="00D741FF">
      <w:pPr>
        <w:pStyle w:val="BodyText"/>
      </w:pPr>
    </w:p>
    <w:p w:rsidR="009725AC" w:rsidRDefault="00970275" w:rsidP="00970275">
      <w:pPr>
        <w:pStyle w:val="Caption"/>
      </w:pPr>
      <w:proofErr w:type="gramStart"/>
      <w:r>
        <w:t xml:space="preserve">Table </w:t>
      </w:r>
      <w:fldSimple w:instr=" STYLEREF 1 \s ">
        <w:r w:rsidR="00154DB7">
          <w:rPr>
            <w:noProof/>
          </w:rPr>
          <w:t>8</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2</w:t>
      </w:r>
      <w:r w:rsidR="007D0F77">
        <w:rPr>
          <w:noProof/>
        </w:rPr>
        <w:fldChar w:fldCharType="end"/>
      </w:r>
      <w:r>
        <w:t xml:space="preserve">:  </w:t>
      </w:r>
      <w:r w:rsidRPr="00970275">
        <w:t>Forecast Tax Asset Base ($</w:t>
      </w:r>
      <w:r w:rsidR="00394DF9">
        <w:t xml:space="preserve">m </w:t>
      </w:r>
      <w:r w:rsidRPr="00970275">
        <w:t>nominal)</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9C04E5" w:rsidRPr="00394DF9" w:rsidTr="00C45A01">
        <w:tc>
          <w:tcPr>
            <w:tcW w:w="3055" w:type="dxa"/>
            <w:shd w:val="clear" w:color="auto" w:fill="333333"/>
          </w:tcPr>
          <w:p w:rsidR="009C04E5" w:rsidRPr="00394DF9" w:rsidRDefault="00996547" w:rsidP="00C45A01">
            <w:pPr>
              <w:pStyle w:val="TableColumnHeadings"/>
              <w:keepNext/>
              <w:jc w:val="left"/>
              <w:rPr>
                <w:rFonts w:ascii="Century Gothic" w:hAnsi="Century Gothic"/>
                <w:szCs w:val="18"/>
              </w:rPr>
            </w:pPr>
            <w:r>
              <w:rPr>
                <w:rFonts w:ascii="Century Gothic" w:hAnsi="Century Gothic"/>
                <w:szCs w:val="18"/>
              </w:rPr>
              <w:t>$m nominal</w:t>
            </w:r>
          </w:p>
        </w:tc>
        <w:tc>
          <w:tcPr>
            <w:tcW w:w="1076" w:type="dxa"/>
            <w:shd w:val="clear" w:color="auto" w:fill="333333"/>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2018</w:t>
            </w:r>
          </w:p>
        </w:tc>
        <w:tc>
          <w:tcPr>
            <w:tcW w:w="1076" w:type="dxa"/>
            <w:shd w:val="clear" w:color="auto" w:fill="333333"/>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w:t>
            </w:r>
            <w:r w:rsidR="0071340F">
              <w:rPr>
                <w:rFonts w:ascii="Century Gothic" w:hAnsi="Century Gothic"/>
                <w:szCs w:val="18"/>
              </w:rPr>
              <w:t>1</w:t>
            </w:r>
            <w:r w:rsidRPr="00394DF9">
              <w:rPr>
                <w:rFonts w:ascii="Century Gothic" w:hAnsi="Century Gothic"/>
                <w:szCs w:val="18"/>
              </w:rPr>
              <w:t>9</w:t>
            </w:r>
          </w:p>
        </w:tc>
        <w:tc>
          <w:tcPr>
            <w:tcW w:w="1077" w:type="dxa"/>
            <w:shd w:val="clear" w:color="auto" w:fill="333333"/>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2020</w:t>
            </w:r>
          </w:p>
        </w:tc>
        <w:tc>
          <w:tcPr>
            <w:tcW w:w="1076" w:type="dxa"/>
            <w:shd w:val="clear" w:color="auto" w:fill="333333"/>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2021</w:t>
            </w:r>
          </w:p>
        </w:tc>
        <w:tc>
          <w:tcPr>
            <w:tcW w:w="1077" w:type="dxa"/>
            <w:shd w:val="clear" w:color="auto" w:fill="333333"/>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2022</w:t>
            </w:r>
          </w:p>
        </w:tc>
      </w:tr>
      <w:tr w:rsidR="00C941AA" w:rsidRPr="003662A4" w:rsidTr="00605F6D">
        <w:tc>
          <w:tcPr>
            <w:tcW w:w="3055" w:type="dxa"/>
            <w:shd w:val="clear" w:color="auto" w:fill="auto"/>
            <w:vAlign w:val="center"/>
          </w:tcPr>
          <w:p w:rsidR="00C941AA" w:rsidRPr="003662A4" w:rsidRDefault="00C941AA">
            <w:pPr>
              <w:rPr>
                <w:rFonts w:cs="Arial"/>
                <w:sz w:val="18"/>
                <w:szCs w:val="18"/>
              </w:rPr>
            </w:pPr>
            <w:r w:rsidRPr="003662A4">
              <w:rPr>
                <w:rFonts w:cs="Arial"/>
                <w:sz w:val="18"/>
                <w:szCs w:val="18"/>
              </w:rPr>
              <w:t>Opening TAB</w:t>
            </w:r>
          </w:p>
        </w:tc>
        <w:tc>
          <w:tcPr>
            <w:tcW w:w="1076" w:type="dxa"/>
            <w:shd w:val="clear" w:color="auto" w:fill="auto"/>
          </w:tcPr>
          <w:p w:rsidR="00C941AA" w:rsidRPr="00765236" w:rsidRDefault="00C941AA" w:rsidP="00605F6D">
            <w:pPr>
              <w:pStyle w:val="TableBodyCells"/>
              <w:rPr>
                <w:rFonts w:cs="Arial"/>
              </w:rPr>
            </w:pPr>
            <w:r w:rsidRPr="00D26C80">
              <w:t xml:space="preserve"> 532.7 </w:t>
            </w:r>
          </w:p>
        </w:tc>
        <w:tc>
          <w:tcPr>
            <w:tcW w:w="1076" w:type="dxa"/>
          </w:tcPr>
          <w:p w:rsidR="00C941AA" w:rsidRPr="00765236" w:rsidRDefault="00C941AA" w:rsidP="00605F6D">
            <w:pPr>
              <w:pStyle w:val="TableBodyCells"/>
              <w:rPr>
                <w:rFonts w:cs="Arial"/>
              </w:rPr>
            </w:pPr>
            <w:r w:rsidRPr="00D26C80">
              <w:t xml:space="preserve"> 528.6 </w:t>
            </w:r>
          </w:p>
        </w:tc>
        <w:tc>
          <w:tcPr>
            <w:tcW w:w="1077" w:type="dxa"/>
            <w:shd w:val="clear" w:color="auto" w:fill="auto"/>
          </w:tcPr>
          <w:p w:rsidR="00C941AA" w:rsidRPr="00765236" w:rsidRDefault="00C941AA" w:rsidP="00605F6D">
            <w:pPr>
              <w:pStyle w:val="TableBodyCells"/>
              <w:rPr>
                <w:rFonts w:cs="Arial"/>
              </w:rPr>
            </w:pPr>
            <w:r w:rsidRPr="00D26C80">
              <w:t xml:space="preserve"> 537.2 </w:t>
            </w:r>
          </w:p>
        </w:tc>
        <w:tc>
          <w:tcPr>
            <w:tcW w:w="1076" w:type="dxa"/>
            <w:shd w:val="clear" w:color="auto" w:fill="auto"/>
          </w:tcPr>
          <w:p w:rsidR="00C941AA" w:rsidRPr="00765236" w:rsidRDefault="00C941AA" w:rsidP="00605F6D">
            <w:pPr>
              <w:pStyle w:val="TableBodyCells"/>
              <w:rPr>
                <w:rFonts w:cs="Arial"/>
              </w:rPr>
            </w:pPr>
            <w:r w:rsidRPr="00D26C80">
              <w:t xml:space="preserve"> 651.9 </w:t>
            </w:r>
          </w:p>
        </w:tc>
        <w:tc>
          <w:tcPr>
            <w:tcW w:w="1077" w:type="dxa"/>
            <w:shd w:val="clear" w:color="auto" w:fill="auto"/>
          </w:tcPr>
          <w:p w:rsidR="00C941AA" w:rsidRPr="00765236" w:rsidRDefault="00C941AA" w:rsidP="00605F6D">
            <w:pPr>
              <w:pStyle w:val="TableBodyCells"/>
              <w:rPr>
                <w:rFonts w:cs="Arial"/>
              </w:rPr>
            </w:pPr>
            <w:r w:rsidRPr="00D26C80">
              <w:t xml:space="preserve"> 618.7 </w:t>
            </w:r>
          </w:p>
        </w:tc>
      </w:tr>
      <w:tr w:rsidR="00C941AA" w:rsidRPr="003662A4" w:rsidTr="00605F6D">
        <w:tc>
          <w:tcPr>
            <w:tcW w:w="3055" w:type="dxa"/>
            <w:shd w:val="clear" w:color="auto" w:fill="auto"/>
            <w:vAlign w:val="center"/>
          </w:tcPr>
          <w:p w:rsidR="00C941AA" w:rsidRPr="003662A4" w:rsidRDefault="00C941AA">
            <w:pPr>
              <w:rPr>
                <w:rFonts w:cs="Arial"/>
                <w:sz w:val="18"/>
                <w:szCs w:val="18"/>
              </w:rPr>
            </w:pPr>
            <w:r w:rsidRPr="003662A4">
              <w:rPr>
                <w:rFonts w:cs="Arial"/>
                <w:sz w:val="18"/>
                <w:szCs w:val="18"/>
              </w:rPr>
              <w:t>Net additions</w:t>
            </w:r>
          </w:p>
        </w:tc>
        <w:tc>
          <w:tcPr>
            <w:tcW w:w="1076" w:type="dxa"/>
            <w:shd w:val="clear" w:color="auto" w:fill="auto"/>
          </w:tcPr>
          <w:p w:rsidR="00C941AA" w:rsidRPr="00765236" w:rsidRDefault="00C941AA" w:rsidP="00605F6D">
            <w:pPr>
              <w:pStyle w:val="TableBodyCells"/>
              <w:rPr>
                <w:rFonts w:cs="Arial"/>
              </w:rPr>
            </w:pPr>
            <w:r w:rsidRPr="00D26C80">
              <w:t xml:space="preserve"> 31.2 </w:t>
            </w:r>
          </w:p>
        </w:tc>
        <w:tc>
          <w:tcPr>
            <w:tcW w:w="1076" w:type="dxa"/>
          </w:tcPr>
          <w:p w:rsidR="00C941AA" w:rsidRPr="00765236" w:rsidRDefault="00C941AA" w:rsidP="00605F6D">
            <w:pPr>
              <w:pStyle w:val="TableBodyCells"/>
              <w:rPr>
                <w:rFonts w:cs="Arial"/>
              </w:rPr>
            </w:pPr>
            <w:r w:rsidRPr="00D26C80">
              <w:t xml:space="preserve"> 46.3 </w:t>
            </w:r>
          </w:p>
        </w:tc>
        <w:tc>
          <w:tcPr>
            <w:tcW w:w="1077" w:type="dxa"/>
            <w:shd w:val="clear" w:color="auto" w:fill="auto"/>
          </w:tcPr>
          <w:p w:rsidR="00C941AA" w:rsidRPr="00765236" w:rsidRDefault="00C941AA" w:rsidP="00605F6D">
            <w:pPr>
              <w:pStyle w:val="TableBodyCells"/>
              <w:rPr>
                <w:rFonts w:cs="Arial"/>
              </w:rPr>
            </w:pPr>
            <w:r w:rsidRPr="00D26C80">
              <w:t xml:space="preserve"> 155.3 </w:t>
            </w:r>
          </w:p>
        </w:tc>
        <w:tc>
          <w:tcPr>
            <w:tcW w:w="1076" w:type="dxa"/>
            <w:shd w:val="clear" w:color="auto" w:fill="auto"/>
          </w:tcPr>
          <w:p w:rsidR="00C941AA" w:rsidRPr="00765236" w:rsidRDefault="00C941AA" w:rsidP="00605F6D">
            <w:pPr>
              <w:pStyle w:val="TableBodyCells"/>
              <w:rPr>
                <w:rFonts w:cs="Arial"/>
              </w:rPr>
            </w:pPr>
            <w:r w:rsidRPr="00D26C80">
              <w:t xml:space="preserve"> 15.4 </w:t>
            </w:r>
          </w:p>
        </w:tc>
        <w:tc>
          <w:tcPr>
            <w:tcW w:w="1077" w:type="dxa"/>
            <w:shd w:val="clear" w:color="auto" w:fill="auto"/>
          </w:tcPr>
          <w:p w:rsidR="00C941AA" w:rsidRPr="00765236" w:rsidRDefault="00C941AA" w:rsidP="00605F6D">
            <w:pPr>
              <w:pStyle w:val="TableBodyCells"/>
              <w:rPr>
                <w:rFonts w:cs="Arial"/>
              </w:rPr>
            </w:pPr>
            <w:r w:rsidRPr="00D26C80">
              <w:t xml:space="preserve"> 14.1 </w:t>
            </w:r>
          </w:p>
        </w:tc>
      </w:tr>
      <w:tr w:rsidR="00C941AA" w:rsidRPr="003662A4" w:rsidTr="00605F6D">
        <w:tc>
          <w:tcPr>
            <w:tcW w:w="3055" w:type="dxa"/>
            <w:shd w:val="clear" w:color="auto" w:fill="auto"/>
            <w:vAlign w:val="center"/>
          </w:tcPr>
          <w:p w:rsidR="00C941AA" w:rsidRPr="003662A4" w:rsidRDefault="00C941AA">
            <w:pPr>
              <w:rPr>
                <w:rFonts w:cs="Arial"/>
                <w:sz w:val="18"/>
                <w:szCs w:val="18"/>
              </w:rPr>
            </w:pPr>
            <w:r w:rsidRPr="003662A4">
              <w:rPr>
                <w:rFonts w:cs="Arial"/>
                <w:sz w:val="18"/>
                <w:szCs w:val="18"/>
              </w:rPr>
              <w:t>Tax depreciation</w:t>
            </w:r>
          </w:p>
        </w:tc>
        <w:tc>
          <w:tcPr>
            <w:tcW w:w="1076" w:type="dxa"/>
            <w:shd w:val="clear" w:color="auto" w:fill="auto"/>
          </w:tcPr>
          <w:p w:rsidR="00C941AA" w:rsidRPr="00765236" w:rsidRDefault="00C941AA" w:rsidP="00605F6D">
            <w:pPr>
              <w:pStyle w:val="TableBodyCells"/>
              <w:rPr>
                <w:rFonts w:cs="Arial"/>
              </w:rPr>
            </w:pPr>
            <w:r w:rsidRPr="00D26C80">
              <w:t xml:space="preserve">-35.2 </w:t>
            </w:r>
          </w:p>
        </w:tc>
        <w:tc>
          <w:tcPr>
            <w:tcW w:w="1076" w:type="dxa"/>
          </w:tcPr>
          <w:p w:rsidR="00C941AA" w:rsidRPr="00765236" w:rsidRDefault="00C941AA" w:rsidP="00605F6D">
            <w:pPr>
              <w:pStyle w:val="TableBodyCells"/>
              <w:rPr>
                <w:rFonts w:cs="Arial"/>
              </w:rPr>
            </w:pPr>
            <w:r w:rsidRPr="00D26C80">
              <w:t xml:space="preserve">-37.7 </w:t>
            </w:r>
          </w:p>
        </w:tc>
        <w:tc>
          <w:tcPr>
            <w:tcW w:w="1077" w:type="dxa"/>
            <w:shd w:val="clear" w:color="auto" w:fill="auto"/>
          </w:tcPr>
          <w:p w:rsidR="00C941AA" w:rsidRPr="00765236" w:rsidRDefault="00C941AA" w:rsidP="00605F6D">
            <w:pPr>
              <w:pStyle w:val="TableBodyCells"/>
              <w:rPr>
                <w:rFonts w:cs="Arial"/>
              </w:rPr>
            </w:pPr>
            <w:r w:rsidRPr="00D26C80">
              <w:t xml:space="preserve">-40.6 </w:t>
            </w:r>
          </w:p>
        </w:tc>
        <w:tc>
          <w:tcPr>
            <w:tcW w:w="1076" w:type="dxa"/>
            <w:shd w:val="clear" w:color="auto" w:fill="auto"/>
          </w:tcPr>
          <w:p w:rsidR="00C941AA" w:rsidRPr="00765236" w:rsidRDefault="00C941AA" w:rsidP="00605F6D">
            <w:pPr>
              <w:pStyle w:val="TableBodyCells"/>
              <w:rPr>
                <w:rFonts w:cs="Arial"/>
              </w:rPr>
            </w:pPr>
            <w:r w:rsidRPr="00D26C80">
              <w:t xml:space="preserve">-48.6 </w:t>
            </w:r>
          </w:p>
        </w:tc>
        <w:tc>
          <w:tcPr>
            <w:tcW w:w="1077" w:type="dxa"/>
            <w:shd w:val="clear" w:color="auto" w:fill="auto"/>
          </w:tcPr>
          <w:p w:rsidR="00C941AA" w:rsidRPr="00765236" w:rsidRDefault="00C941AA" w:rsidP="00605F6D">
            <w:pPr>
              <w:pStyle w:val="TableBodyCells"/>
              <w:rPr>
                <w:rFonts w:cs="Arial"/>
              </w:rPr>
            </w:pPr>
            <w:r w:rsidRPr="00D26C80">
              <w:t xml:space="preserve">-50.0 </w:t>
            </w:r>
          </w:p>
        </w:tc>
      </w:tr>
      <w:tr w:rsidR="00C941AA" w:rsidRPr="003662A4" w:rsidTr="00605F6D">
        <w:tc>
          <w:tcPr>
            <w:tcW w:w="3055" w:type="dxa"/>
            <w:shd w:val="clear" w:color="auto" w:fill="auto"/>
            <w:vAlign w:val="center"/>
          </w:tcPr>
          <w:p w:rsidR="00C941AA" w:rsidRPr="003662A4" w:rsidRDefault="00C941AA">
            <w:pPr>
              <w:rPr>
                <w:rFonts w:cs="Arial"/>
                <w:b/>
                <w:bCs/>
                <w:sz w:val="18"/>
                <w:szCs w:val="18"/>
              </w:rPr>
            </w:pPr>
            <w:r w:rsidRPr="003662A4">
              <w:rPr>
                <w:rFonts w:cs="Arial"/>
                <w:b/>
                <w:bCs/>
                <w:sz w:val="18"/>
                <w:szCs w:val="18"/>
              </w:rPr>
              <w:t>Closing TAB</w:t>
            </w:r>
          </w:p>
        </w:tc>
        <w:tc>
          <w:tcPr>
            <w:tcW w:w="1076" w:type="dxa"/>
            <w:shd w:val="clear" w:color="auto" w:fill="auto"/>
          </w:tcPr>
          <w:p w:rsidR="00C941AA" w:rsidRPr="003B0FEA" w:rsidRDefault="00C941AA" w:rsidP="00605F6D">
            <w:pPr>
              <w:pStyle w:val="TableBodyCells"/>
              <w:rPr>
                <w:rFonts w:cs="Arial"/>
                <w:b/>
                <w:bCs/>
              </w:rPr>
            </w:pPr>
            <w:r w:rsidRPr="003B0FEA">
              <w:rPr>
                <w:b/>
              </w:rPr>
              <w:t xml:space="preserve"> 528.6 </w:t>
            </w:r>
          </w:p>
        </w:tc>
        <w:tc>
          <w:tcPr>
            <w:tcW w:w="1076" w:type="dxa"/>
          </w:tcPr>
          <w:p w:rsidR="00C941AA" w:rsidRPr="003B0FEA" w:rsidRDefault="00C941AA" w:rsidP="00605F6D">
            <w:pPr>
              <w:pStyle w:val="TableBodyCells"/>
              <w:rPr>
                <w:rFonts w:cs="Arial"/>
                <w:b/>
                <w:bCs/>
              </w:rPr>
            </w:pPr>
            <w:r w:rsidRPr="003B0FEA">
              <w:rPr>
                <w:b/>
              </w:rPr>
              <w:t xml:space="preserve"> 537.2 </w:t>
            </w:r>
          </w:p>
        </w:tc>
        <w:tc>
          <w:tcPr>
            <w:tcW w:w="1077" w:type="dxa"/>
            <w:shd w:val="clear" w:color="auto" w:fill="auto"/>
          </w:tcPr>
          <w:p w:rsidR="00C941AA" w:rsidRPr="003B0FEA" w:rsidRDefault="00C941AA" w:rsidP="00605F6D">
            <w:pPr>
              <w:pStyle w:val="TableBodyCells"/>
              <w:rPr>
                <w:rFonts w:cs="Arial"/>
                <w:b/>
                <w:bCs/>
              </w:rPr>
            </w:pPr>
            <w:r w:rsidRPr="003B0FEA">
              <w:rPr>
                <w:b/>
              </w:rPr>
              <w:t xml:space="preserve"> 651.9 </w:t>
            </w:r>
          </w:p>
        </w:tc>
        <w:tc>
          <w:tcPr>
            <w:tcW w:w="1076" w:type="dxa"/>
            <w:shd w:val="clear" w:color="auto" w:fill="auto"/>
          </w:tcPr>
          <w:p w:rsidR="00C941AA" w:rsidRPr="003B0FEA" w:rsidRDefault="00C941AA" w:rsidP="00605F6D">
            <w:pPr>
              <w:pStyle w:val="TableBodyCells"/>
              <w:rPr>
                <w:rFonts w:cs="Arial"/>
                <w:b/>
                <w:bCs/>
              </w:rPr>
            </w:pPr>
            <w:r w:rsidRPr="003B0FEA">
              <w:rPr>
                <w:b/>
              </w:rPr>
              <w:t xml:space="preserve"> 618.7 </w:t>
            </w:r>
          </w:p>
        </w:tc>
        <w:tc>
          <w:tcPr>
            <w:tcW w:w="1077" w:type="dxa"/>
            <w:shd w:val="clear" w:color="auto" w:fill="auto"/>
          </w:tcPr>
          <w:p w:rsidR="00C941AA" w:rsidRPr="003B0FEA" w:rsidRDefault="00C941AA" w:rsidP="00605F6D">
            <w:pPr>
              <w:pStyle w:val="TableBodyCells"/>
              <w:rPr>
                <w:rFonts w:cs="Arial"/>
                <w:b/>
                <w:bCs/>
              </w:rPr>
            </w:pPr>
            <w:r w:rsidRPr="003B0FEA">
              <w:rPr>
                <w:b/>
              </w:rPr>
              <w:t xml:space="preserve"> 582.8 </w:t>
            </w:r>
          </w:p>
        </w:tc>
      </w:tr>
    </w:tbl>
    <w:p w:rsidR="009725AC" w:rsidRDefault="009725AC" w:rsidP="00D741FF">
      <w:pPr>
        <w:pStyle w:val="BodyText"/>
      </w:pPr>
    </w:p>
    <w:p w:rsidR="00970275" w:rsidRDefault="00970275" w:rsidP="00970275">
      <w:pPr>
        <w:pStyle w:val="BodyText"/>
      </w:pPr>
      <w:r>
        <w:lastRenderedPageBreak/>
        <w:t xml:space="preserve">The TAB is then applied to determine the corporate income tax allowance derived from the </w:t>
      </w:r>
      <w:r w:rsidR="0071340F">
        <w:t>VTS</w:t>
      </w:r>
      <w:r>
        <w:t xml:space="preserve"> Post Tax Revenue Model, as indicated in Table 8.3. This calculation of corporate income tax reflects a value for tax imputation credits, gamma, of </w:t>
      </w:r>
      <w:r w:rsidRPr="005E6094">
        <w:t>0.25</w:t>
      </w:r>
      <w:r>
        <w:t>.</w:t>
      </w:r>
    </w:p>
    <w:p w:rsidR="00FA5534" w:rsidRPr="008A4AF0" w:rsidRDefault="00970275" w:rsidP="00970275">
      <w:pPr>
        <w:pStyle w:val="Caption"/>
      </w:pPr>
      <w:proofErr w:type="gramStart"/>
      <w:r>
        <w:t xml:space="preserve">Table </w:t>
      </w:r>
      <w:fldSimple w:instr=" STYLEREF 1 \s ">
        <w:r w:rsidR="00154DB7">
          <w:rPr>
            <w:noProof/>
          </w:rPr>
          <w:t>8</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3</w:t>
      </w:r>
      <w:r w:rsidR="007D0F77">
        <w:rPr>
          <w:noProof/>
        </w:rPr>
        <w:fldChar w:fldCharType="end"/>
      </w:r>
      <w:r>
        <w:t xml:space="preserve">:  </w:t>
      </w:r>
      <w:r w:rsidRPr="00970275">
        <w:t>Corporate income tax allowance ($</w:t>
      </w:r>
      <w:r w:rsidR="00394DF9">
        <w:t xml:space="preserve">m </w:t>
      </w:r>
      <w:r w:rsidRPr="00970275">
        <w:t>nominal)</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9C04E5" w:rsidRPr="00394DF9" w:rsidTr="00394DF9">
        <w:tc>
          <w:tcPr>
            <w:tcW w:w="3055" w:type="dxa"/>
            <w:shd w:val="clear" w:color="auto" w:fill="333333"/>
          </w:tcPr>
          <w:p w:rsidR="009C04E5" w:rsidRPr="00394DF9" w:rsidRDefault="00996547" w:rsidP="00C45A01">
            <w:pPr>
              <w:pStyle w:val="TableColumnHeadings"/>
              <w:keepNext/>
              <w:jc w:val="left"/>
              <w:rPr>
                <w:rFonts w:ascii="Century Gothic" w:hAnsi="Century Gothic"/>
                <w:szCs w:val="18"/>
              </w:rPr>
            </w:pPr>
            <w:r>
              <w:rPr>
                <w:rFonts w:ascii="Century Gothic" w:hAnsi="Century Gothic"/>
                <w:szCs w:val="18"/>
              </w:rPr>
              <w:t>$m nominal</w:t>
            </w:r>
          </w:p>
        </w:tc>
        <w:tc>
          <w:tcPr>
            <w:tcW w:w="1076" w:type="dxa"/>
            <w:shd w:val="clear" w:color="auto" w:fill="333333"/>
            <w:vAlign w:val="center"/>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2018</w:t>
            </w:r>
          </w:p>
        </w:tc>
        <w:tc>
          <w:tcPr>
            <w:tcW w:w="1076" w:type="dxa"/>
            <w:shd w:val="clear" w:color="auto" w:fill="333333"/>
            <w:vAlign w:val="center"/>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2019</w:t>
            </w:r>
          </w:p>
        </w:tc>
        <w:tc>
          <w:tcPr>
            <w:tcW w:w="1077" w:type="dxa"/>
            <w:shd w:val="clear" w:color="auto" w:fill="333333"/>
            <w:vAlign w:val="center"/>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2020</w:t>
            </w:r>
          </w:p>
        </w:tc>
        <w:tc>
          <w:tcPr>
            <w:tcW w:w="1076" w:type="dxa"/>
            <w:shd w:val="clear" w:color="auto" w:fill="333333"/>
            <w:vAlign w:val="center"/>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2021</w:t>
            </w:r>
          </w:p>
        </w:tc>
        <w:tc>
          <w:tcPr>
            <w:tcW w:w="1077" w:type="dxa"/>
            <w:shd w:val="clear" w:color="auto" w:fill="333333"/>
            <w:vAlign w:val="center"/>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2022</w:t>
            </w:r>
          </w:p>
        </w:tc>
      </w:tr>
      <w:tr w:rsidR="00F07A8F" w:rsidRPr="003662A4" w:rsidTr="00605F6D">
        <w:tc>
          <w:tcPr>
            <w:tcW w:w="3055" w:type="dxa"/>
            <w:shd w:val="clear" w:color="auto" w:fill="auto"/>
            <w:vAlign w:val="center"/>
          </w:tcPr>
          <w:p w:rsidR="00F07A8F" w:rsidRPr="003662A4" w:rsidRDefault="00F07A8F" w:rsidP="00F07A8F">
            <w:pPr>
              <w:pStyle w:val="TableBodyCells"/>
              <w:jc w:val="left"/>
            </w:pPr>
            <w:r w:rsidRPr="003662A4">
              <w:t>Tax allowance</w:t>
            </w:r>
          </w:p>
        </w:tc>
        <w:tc>
          <w:tcPr>
            <w:tcW w:w="1076" w:type="dxa"/>
            <w:shd w:val="clear" w:color="auto" w:fill="auto"/>
          </w:tcPr>
          <w:p w:rsidR="00F07A8F" w:rsidRPr="00DA5F6B" w:rsidRDefault="00F07A8F" w:rsidP="00F07A8F">
            <w:pPr>
              <w:pStyle w:val="TableBodyCells"/>
            </w:pPr>
            <w:r w:rsidRPr="00DA5F6B">
              <w:t xml:space="preserve"> 2.7 </w:t>
            </w:r>
          </w:p>
        </w:tc>
        <w:tc>
          <w:tcPr>
            <w:tcW w:w="1076" w:type="dxa"/>
          </w:tcPr>
          <w:p w:rsidR="00F07A8F" w:rsidRPr="00DA5F6B" w:rsidRDefault="00F07A8F" w:rsidP="00F07A8F">
            <w:pPr>
              <w:pStyle w:val="TableBodyCells"/>
            </w:pPr>
            <w:r w:rsidRPr="00DA5F6B">
              <w:t xml:space="preserve"> 3.2 </w:t>
            </w:r>
          </w:p>
        </w:tc>
        <w:tc>
          <w:tcPr>
            <w:tcW w:w="1077" w:type="dxa"/>
            <w:shd w:val="clear" w:color="auto" w:fill="auto"/>
          </w:tcPr>
          <w:p w:rsidR="00F07A8F" w:rsidRPr="00DA5F6B" w:rsidRDefault="00F07A8F" w:rsidP="00F07A8F">
            <w:pPr>
              <w:pStyle w:val="TableBodyCells"/>
            </w:pPr>
            <w:r w:rsidRPr="00DA5F6B">
              <w:t xml:space="preserve"> 3.4 </w:t>
            </w:r>
          </w:p>
        </w:tc>
        <w:tc>
          <w:tcPr>
            <w:tcW w:w="1076" w:type="dxa"/>
            <w:shd w:val="clear" w:color="auto" w:fill="auto"/>
          </w:tcPr>
          <w:p w:rsidR="00F07A8F" w:rsidRPr="00DA5F6B" w:rsidRDefault="00F07A8F" w:rsidP="00F07A8F">
            <w:pPr>
              <w:pStyle w:val="TableBodyCells"/>
            </w:pPr>
            <w:r w:rsidRPr="00DA5F6B">
              <w:t xml:space="preserve"> 3.0 </w:t>
            </w:r>
          </w:p>
        </w:tc>
        <w:tc>
          <w:tcPr>
            <w:tcW w:w="1077" w:type="dxa"/>
            <w:shd w:val="clear" w:color="auto" w:fill="auto"/>
          </w:tcPr>
          <w:p w:rsidR="00F07A8F" w:rsidRDefault="00F07A8F" w:rsidP="00F07A8F">
            <w:pPr>
              <w:pStyle w:val="TableBodyCells"/>
            </w:pPr>
            <w:r w:rsidRPr="00DA5F6B">
              <w:t xml:space="preserve"> 2.2 </w:t>
            </w:r>
          </w:p>
        </w:tc>
      </w:tr>
    </w:tbl>
    <w:p w:rsidR="00035608" w:rsidRDefault="00035608" w:rsidP="00D741FF">
      <w:pPr>
        <w:pStyle w:val="BodyText"/>
      </w:pPr>
    </w:p>
    <w:p w:rsidR="00970275" w:rsidRDefault="00970275" w:rsidP="00D741FF">
      <w:pPr>
        <w:pStyle w:val="BodyText"/>
      </w:pPr>
    </w:p>
    <w:p w:rsidR="00970275" w:rsidRDefault="00996547" w:rsidP="00970275">
      <w:pPr>
        <w:pStyle w:val="Heading1"/>
      </w:pPr>
      <w:bookmarkStart w:id="56" w:name="_Toc471221366"/>
      <w:r>
        <w:lastRenderedPageBreak/>
        <w:t>H</w:t>
      </w:r>
      <w:r w:rsidR="00970275">
        <w:t>istorical incentive mechanism</w:t>
      </w:r>
      <w:bookmarkEnd w:id="56"/>
    </w:p>
    <w:p w:rsidR="00A705BB" w:rsidRDefault="00996547" w:rsidP="00A705BB">
      <w:pPr>
        <w:pStyle w:val="BodyText"/>
      </w:pPr>
      <w:r>
        <w:t>APA VTS’s</w:t>
      </w:r>
      <w:r w:rsidR="00A705BB">
        <w:t xml:space="preserve"> earlier access arrangement included Efficiency Benefit Sharing Scheme (EBSS) with a methodology for calculating the efficiency benefit sharing allowance to apply in the forecast period.  </w:t>
      </w:r>
    </w:p>
    <w:p w:rsidR="00A705BB" w:rsidRDefault="00A705BB" w:rsidP="00A705BB">
      <w:pPr>
        <w:pStyle w:val="BodyText"/>
      </w:pPr>
      <w:r>
        <w:t>Under the EBSS, APA VTS retains any benefits (or penalties) for a period of five years after the year in which it was realised. This means that the benefits carry over into the next access arrangement period. The EBSS only applies to the first four years of an access arrangement period as the final year has not been completed when the calculation is made.</w:t>
      </w:r>
    </w:p>
    <w:p w:rsidR="00A705BB" w:rsidRDefault="00A705BB" w:rsidP="00A705BB">
      <w:pPr>
        <w:pStyle w:val="BodyText"/>
      </w:pPr>
      <w:r>
        <w:t xml:space="preserve">The calculation of the efficiency benefit for each year is cumulative, </w:t>
      </w:r>
      <w:proofErr w:type="spellStart"/>
      <w:r>
        <w:t>ie</w:t>
      </w:r>
      <w:proofErr w:type="spellEnd"/>
      <w:r>
        <w:t>, benefits in a year accrue only to the extent that the savings in that year are greater than those already identified in prior years. This means that, especially in the later years of an access arrangement period, a saving from the originally approved operating and maintenance forecast can still generate a negative efficiency benefit.</w:t>
      </w:r>
    </w:p>
    <w:p w:rsidR="00970275" w:rsidRDefault="00A705BB" w:rsidP="00A705BB">
      <w:pPr>
        <w:pStyle w:val="BodyText"/>
      </w:pPr>
      <w:r>
        <w:t>The proposed carry-over of increments for efficiency gains or decrements for efficiency losses in the previous access arrangement period is shown below:</w:t>
      </w:r>
      <w:r w:rsidR="00970275">
        <w:rPr>
          <w:rStyle w:val="FootnoteReference"/>
        </w:rPr>
        <w:footnoteReference w:id="13"/>
      </w:r>
    </w:p>
    <w:p w:rsidR="00723A88" w:rsidRPr="008A4AF0" w:rsidRDefault="00723A88" w:rsidP="00723A88">
      <w:pPr>
        <w:pStyle w:val="Caption"/>
      </w:pPr>
      <w:bookmarkStart w:id="57" w:name="_Ref468203275"/>
      <w:proofErr w:type="gramStart"/>
      <w:r>
        <w:t xml:space="preserve">Table </w:t>
      </w:r>
      <w:fldSimple w:instr=" STYLEREF 1 \s ">
        <w:r w:rsidR="00154DB7">
          <w:rPr>
            <w:noProof/>
          </w:rPr>
          <w:t>9</w:t>
        </w:r>
      </w:fldSimple>
      <w:r>
        <w:t>.</w:t>
      </w:r>
      <w:proofErr w:type="gramEnd"/>
      <w:r w:rsidR="007D0F77">
        <w:fldChar w:fldCharType="begin"/>
      </w:r>
      <w:r w:rsidR="007D0F77">
        <w:instrText xml:space="preserve"> SEQ Table \* ARABIC \s 1 </w:instrText>
      </w:r>
      <w:r w:rsidR="007D0F77">
        <w:fldChar w:fldCharType="separate"/>
      </w:r>
      <w:r w:rsidR="00154DB7">
        <w:rPr>
          <w:noProof/>
        </w:rPr>
        <w:t>1</w:t>
      </w:r>
      <w:r w:rsidR="007D0F77">
        <w:rPr>
          <w:noProof/>
        </w:rPr>
        <w:fldChar w:fldCharType="end"/>
      </w:r>
      <w:bookmarkEnd w:id="57"/>
      <w:r>
        <w:t>:  Incremental EBSS savings</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723A88" w:rsidRPr="00394DF9" w:rsidTr="00C637FE">
        <w:tc>
          <w:tcPr>
            <w:tcW w:w="3055" w:type="dxa"/>
            <w:shd w:val="clear" w:color="auto" w:fill="333333"/>
          </w:tcPr>
          <w:p w:rsidR="00723A88" w:rsidRPr="00394DF9" w:rsidRDefault="00C941AA" w:rsidP="00C15703">
            <w:pPr>
              <w:pStyle w:val="TableColumnHeadings"/>
              <w:keepNext/>
              <w:jc w:val="left"/>
              <w:rPr>
                <w:rFonts w:ascii="Century Gothic" w:hAnsi="Century Gothic"/>
                <w:szCs w:val="18"/>
              </w:rPr>
            </w:pPr>
            <w:r w:rsidRPr="00C941AA">
              <w:rPr>
                <w:rFonts w:ascii="Century Gothic" w:hAnsi="Century Gothic"/>
                <w:szCs w:val="18"/>
              </w:rPr>
              <w:t>$m nominal</w:t>
            </w:r>
          </w:p>
        </w:tc>
        <w:tc>
          <w:tcPr>
            <w:tcW w:w="1076" w:type="dxa"/>
            <w:shd w:val="clear" w:color="auto" w:fill="333333"/>
            <w:vAlign w:val="center"/>
          </w:tcPr>
          <w:p w:rsidR="00723A88" w:rsidRPr="00394DF9" w:rsidRDefault="000D05EE" w:rsidP="000D05EE">
            <w:pPr>
              <w:pStyle w:val="TableColumnHeadings"/>
              <w:rPr>
                <w:rFonts w:ascii="Century Gothic" w:hAnsi="Century Gothic"/>
                <w:szCs w:val="18"/>
              </w:rPr>
            </w:pPr>
            <w:r>
              <w:rPr>
                <w:rFonts w:ascii="Century Gothic" w:hAnsi="Century Gothic"/>
                <w:szCs w:val="18"/>
              </w:rPr>
              <w:t xml:space="preserve">Jul-Dec </w:t>
            </w:r>
            <w:r w:rsidR="00723A88" w:rsidRPr="00394DF9">
              <w:rPr>
                <w:rFonts w:ascii="Century Gothic" w:hAnsi="Century Gothic"/>
                <w:szCs w:val="18"/>
              </w:rPr>
              <w:t>201</w:t>
            </w:r>
            <w:r w:rsidR="00723A88">
              <w:rPr>
                <w:rFonts w:ascii="Century Gothic" w:hAnsi="Century Gothic"/>
                <w:szCs w:val="18"/>
              </w:rPr>
              <w:t>3</w:t>
            </w:r>
          </w:p>
        </w:tc>
        <w:tc>
          <w:tcPr>
            <w:tcW w:w="1076" w:type="dxa"/>
            <w:shd w:val="clear" w:color="auto" w:fill="333333"/>
            <w:vAlign w:val="center"/>
          </w:tcPr>
          <w:p w:rsidR="00723A88" w:rsidRPr="00394DF9" w:rsidRDefault="00723A88" w:rsidP="00723A88">
            <w:pPr>
              <w:pStyle w:val="TableColumnHeadings"/>
              <w:rPr>
                <w:rFonts w:ascii="Century Gothic" w:hAnsi="Century Gothic"/>
                <w:szCs w:val="18"/>
              </w:rPr>
            </w:pPr>
            <w:r w:rsidRPr="00394DF9">
              <w:rPr>
                <w:rFonts w:ascii="Century Gothic" w:hAnsi="Century Gothic"/>
                <w:szCs w:val="18"/>
              </w:rPr>
              <w:t>201</w:t>
            </w:r>
            <w:r>
              <w:rPr>
                <w:rFonts w:ascii="Century Gothic" w:hAnsi="Century Gothic"/>
                <w:szCs w:val="18"/>
              </w:rPr>
              <w:t>4</w:t>
            </w:r>
          </w:p>
        </w:tc>
        <w:tc>
          <w:tcPr>
            <w:tcW w:w="1077" w:type="dxa"/>
            <w:shd w:val="clear" w:color="auto" w:fill="333333"/>
            <w:vAlign w:val="center"/>
          </w:tcPr>
          <w:p w:rsidR="00723A88" w:rsidRPr="00394DF9" w:rsidRDefault="00723A88" w:rsidP="00723A88">
            <w:pPr>
              <w:pStyle w:val="TableColumnHeadings"/>
              <w:rPr>
                <w:rFonts w:ascii="Century Gothic" w:hAnsi="Century Gothic"/>
                <w:szCs w:val="18"/>
              </w:rPr>
            </w:pPr>
            <w:r w:rsidRPr="00394DF9">
              <w:rPr>
                <w:rFonts w:ascii="Century Gothic" w:hAnsi="Century Gothic"/>
                <w:szCs w:val="18"/>
              </w:rPr>
              <w:t>20</w:t>
            </w:r>
            <w:r>
              <w:rPr>
                <w:rFonts w:ascii="Century Gothic" w:hAnsi="Century Gothic"/>
                <w:szCs w:val="18"/>
              </w:rPr>
              <w:t>15</w:t>
            </w:r>
          </w:p>
        </w:tc>
        <w:tc>
          <w:tcPr>
            <w:tcW w:w="1076" w:type="dxa"/>
            <w:shd w:val="clear" w:color="auto" w:fill="333333"/>
            <w:vAlign w:val="center"/>
          </w:tcPr>
          <w:p w:rsidR="00723A88" w:rsidRPr="00394DF9" w:rsidRDefault="00723A88" w:rsidP="00723A88">
            <w:pPr>
              <w:pStyle w:val="TableColumnHeadings"/>
              <w:rPr>
                <w:rFonts w:ascii="Century Gothic" w:hAnsi="Century Gothic"/>
                <w:szCs w:val="18"/>
              </w:rPr>
            </w:pPr>
            <w:r w:rsidRPr="00394DF9">
              <w:rPr>
                <w:rFonts w:ascii="Century Gothic" w:hAnsi="Century Gothic"/>
                <w:szCs w:val="18"/>
              </w:rPr>
              <w:t>20</w:t>
            </w:r>
            <w:r>
              <w:rPr>
                <w:rFonts w:ascii="Century Gothic" w:hAnsi="Century Gothic"/>
                <w:szCs w:val="18"/>
              </w:rPr>
              <w:t>16</w:t>
            </w:r>
          </w:p>
        </w:tc>
        <w:tc>
          <w:tcPr>
            <w:tcW w:w="1077" w:type="dxa"/>
            <w:shd w:val="clear" w:color="auto" w:fill="333333"/>
            <w:vAlign w:val="center"/>
          </w:tcPr>
          <w:p w:rsidR="00723A88" w:rsidRPr="00394DF9" w:rsidRDefault="00723A88" w:rsidP="00723A88">
            <w:pPr>
              <w:pStyle w:val="TableColumnHeadings"/>
              <w:rPr>
                <w:rFonts w:ascii="Century Gothic" w:hAnsi="Century Gothic"/>
                <w:szCs w:val="18"/>
              </w:rPr>
            </w:pPr>
            <w:r w:rsidRPr="00394DF9">
              <w:rPr>
                <w:rFonts w:ascii="Century Gothic" w:hAnsi="Century Gothic"/>
                <w:szCs w:val="18"/>
              </w:rPr>
              <w:t>20</w:t>
            </w:r>
            <w:r>
              <w:rPr>
                <w:rFonts w:ascii="Century Gothic" w:hAnsi="Century Gothic"/>
                <w:szCs w:val="18"/>
              </w:rPr>
              <w:t>17</w:t>
            </w:r>
          </w:p>
        </w:tc>
      </w:tr>
      <w:tr w:rsidR="00C941AA" w:rsidRPr="003662A4" w:rsidTr="000061C7">
        <w:tc>
          <w:tcPr>
            <w:tcW w:w="3055" w:type="dxa"/>
            <w:shd w:val="clear" w:color="auto" w:fill="auto"/>
            <w:vAlign w:val="center"/>
          </w:tcPr>
          <w:p w:rsidR="00C941AA" w:rsidRPr="003662A4" w:rsidRDefault="00C941AA" w:rsidP="00C637FE">
            <w:pPr>
              <w:rPr>
                <w:rFonts w:cs="Arial"/>
                <w:sz w:val="18"/>
                <w:szCs w:val="18"/>
              </w:rPr>
            </w:pPr>
            <w:r>
              <w:rPr>
                <w:rFonts w:cs="Arial"/>
                <w:sz w:val="18"/>
                <w:szCs w:val="18"/>
              </w:rPr>
              <w:t>Annual Efficiency</w:t>
            </w:r>
          </w:p>
        </w:tc>
        <w:tc>
          <w:tcPr>
            <w:tcW w:w="1076" w:type="dxa"/>
            <w:shd w:val="clear" w:color="auto" w:fill="auto"/>
          </w:tcPr>
          <w:p w:rsidR="00C941AA" w:rsidRPr="00D909C5" w:rsidRDefault="00C941AA" w:rsidP="000061C7">
            <w:pPr>
              <w:pStyle w:val="TableBodyCells"/>
            </w:pPr>
            <w:r w:rsidRPr="00BE5075">
              <w:t xml:space="preserve"> 7.0 </w:t>
            </w:r>
          </w:p>
        </w:tc>
        <w:tc>
          <w:tcPr>
            <w:tcW w:w="1076" w:type="dxa"/>
          </w:tcPr>
          <w:p w:rsidR="00C941AA" w:rsidRPr="00D909C5" w:rsidRDefault="00C941AA" w:rsidP="000061C7">
            <w:pPr>
              <w:pStyle w:val="TableBodyCells"/>
            </w:pPr>
            <w:r w:rsidRPr="00BE5075">
              <w:t xml:space="preserve"> 4.2 </w:t>
            </w:r>
          </w:p>
        </w:tc>
        <w:tc>
          <w:tcPr>
            <w:tcW w:w="1077" w:type="dxa"/>
            <w:shd w:val="clear" w:color="auto" w:fill="auto"/>
          </w:tcPr>
          <w:p w:rsidR="00C941AA" w:rsidRPr="00D909C5" w:rsidRDefault="00C941AA" w:rsidP="000061C7">
            <w:pPr>
              <w:pStyle w:val="TableBodyCells"/>
            </w:pPr>
            <w:r w:rsidRPr="00BE5075">
              <w:t xml:space="preserve"> 3.5 </w:t>
            </w:r>
          </w:p>
        </w:tc>
        <w:tc>
          <w:tcPr>
            <w:tcW w:w="1076" w:type="dxa"/>
            <w:shd w:val="clear" w:color="auto" w:fill="auto"/>
          </w:tcPr>
          <w:p w:rsidR="00C941AA" w:rsidRPr="00D909C5" w:rsidRDefault="00C941AA" w:rsidP="000061C7">
            <w:pPr>
              <w:pStyle w:val="TableBodyCells"/>
            </w:pPr>
            <w:r w:rsidRPr="00BE5075">
              <w:t xml:space="preserve"> 2.4 </w:t>
            </w:r>
          </w:p>
        </w:tc>
        <w:tc>
          <w:tcPr>
            <w:tcW w:w="1077" w:type="dxa"/>
            <w:shd w:val="clear" w:color="auto" w:fill="auto"/>
          </w:tcPr>
          <w:p w:rsidR="00C941AA" w:rsidRPr="00D909C5" w:rsidRDefault="00C941AA" w:rsidP="000061C7">
            <w:pPr>
              <w:pStyle w:val="TableBodyCells"/>
            </w:pPr>
            <w:r w:rsidRPr="00BE5075">
              <w:t xml:space="preserve"> -  </w:t>
            </w:r>
          </w:p>
        </w:tc>
      </w:tr>
    </w:tbl>
    <w:p w:rsidR="00723A88" w:rsidRDefault="000D05EE" w:rsidP="00723A88">
      <w:pPr>
        <w:pStyle w:val="BodyText"/>
      </w:pPr>
      <w:r w:rsidRPr="000D05EE">
        <w:t xml:space="preserve">The forecast revenue requirement in </w:t>
      </w:r>
      <w:r>
        <w:fldChar w:fldCharType="begin"/>
      </w:r>
      <w:r>
        <w:instrText xml:space="preserve"> REF _Ref468203275 \h </w:instrText>
      </w:r>
      <w:r>
        <w:fldChar w:fldCharType="separate"/>
      </w:r>
      <w:r w:rsidR="00154DB7">
        <w:t xml:space="preserve">Table </w:t>
      </w:r>
      <w:r w:rsidR="00154DB7">
        <w:rPr>
          <w:noProof/>
        </w:rPr>
        <w:t>9</w:t>
      </w:r>
      <w:r w:rsidR="00154DB7">
        <w:t>.</w:t>
      </w:r>
      <w:r w:rsidR="00154DB7">
        <w:rPr>
          <w:noProof/>
        </w:rPr>
        <w:t>1</w:t>
      </w:r>
      <w:r>
        <w:fldChar w:fldCharType="end"/>
      </w:r>
      <w:r>
        <w:t xml:space="preserve"> </w:t>
      </w:r>
      <w:r w:rsidRPr="000D05EE">
        <w:t>includes an allowance for these increments or decrements as follows:</w:t>
      </w:r>
    </w:p>
    <w:p w:rsidR="00723A88" w:rsidRPr="008A4AF0" w:rsidRDefault="00723A88" w:rsidP="00723A88">
      <w:pPr>
        <w:pStyle w:val="Caption"/>
      </w:pPr>
      <w:proofErr w:type="gramStart"/>
      <w:r>
        <w:t xml:space="preserve">Table </w:t>
      </w:r>
      <w:fldSimple w:instr=" STYLEREF 1 \s ">
        <w:r w:rsidR="00154DB7">
          <w:rPr>
            <w:noProof/>
          </w:rPr>
          <w:t>9</w:t>
        </w:r>
      </w:fldSimple>
      <w:r>
        <w:t>.</w:t>
      </w:r>
      <w:proofErr w:type="gramEnd"/>
      <w:r w:rsidR="007D0F77">
        <w:fldChar w:fldCharType="begin"/>
      </w:r>
      <w:r w:rsidR="007D0F77">
        <w:instrText xml:space="preserve"> SEQ Table \* ARABIC \s 1 </w:instrText>
      </w:r>
      <w:r w:rsidR="007D0F77">
        <w:fldChar w:fldCharType="separate"/>
      </w:r>
      <w:r w:rsidR="00154DB7">
        <w:rPr>
          <w:noProof/>
        </w:rPr>
        <w:t>2</w:t>
      </w:r>
      <w:r w:rsidR="007D0F77">
        <w:rPr>
          <w:noProof/>
        </w:rPr>
        <w:fldChar w:fldCharType="end"/>
      </w:r>
      <w:r>
        <w:t xml:space="preserve">:  </w:t>
      </w:r>
      <w:r w:rsidR="000D05EE">
        <w:t xml:space="preserve">Efficiency </w:t>
      </w:r>
      <w:proofErr w:type="gramStart"/>
      <w:r w:rsidR="000D05EE">
        <w:t>carry</w:t>
      </w:r>
      <w:proofErr w:type="gramEnd"/>
      <w:r w:rsidR="000D05EE">
        <w:t xml:space="preserve"> over</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723A88" w:rsidRPr="00394DF9" w:rsidTr="00C637FE">
        <w:tc>
          <w:tcPr>
            <w:tcW w:w="3055" w:type="dxa"/>
            <w:shd w:val="clear" w:color="auto" w:fill="333333"/>
          </w:tcPr>
          <w:p w:rsidR="00723A88" w:rsidRPr="00394DF9" w:rsidRDefault="000D05EE" w:rsidP="00C637FE">
            <w:pPr>
              <w:pStyle w:val="TableColumnHeadings"/>
              <w:keepNext/>
              <w:jc w:val="left"/>
              <w:rPr>
                <w:rFonts w:ascii="Century Gothic" w:hAnsi="Century Gothic"/>
                <w:szCs w:val="18"/>
              </w:rPr>
            </w:pPr>
            <w:r>
              <w:rPr>
                <w:rFonts w:ascii="Century Gothic" w:hAnsi="Century Gothic"/>
                <w:szCs w:val="18"/>
              </w:rPr>
              <w:t>$’000</w:t>
            </w:r>
          </w:p>
        </w:tc>
        <w:tc>
          <w:tcPr>
            <w:tcW w:w="1076" w:type="dxa"/>
            <w:shd w:val="clear" w:color="auto" w:fill="333333"/>
            <w:vAlign w:val="center"/>
          </w:tcPr>
          <w:p w:rsidR="00723A88" w:rsidRPr="00394DF9" w:rsidRDefault="00723A88" w:rsidP="00C637FE">
            <w:pPr>
              <w:pStyle w:val="TableColumnHeadings"/>
              <w:rPr>
                <w:rFonts w:ascii="Century Gothic" w:hAnsi="Century Gothic"/>
                <w:szCs w:val="18"/>
              </w:rPr>
            </w:pPr>
            <w:r w:rsidRPr="00394DF9">
              <w:rPr>
                <w:rFonts w:ascii="Century Gothic" w:hAnsi="Century Gothic"/>
                <w:szCs w:val="18"/>
              </w:rPr>
              <w:t>2018</w:t>
            </w:r>
          </w:p>
        </w:tc>
        <w:tc>
          <w:tcPr>
            <w:tcW w:w="1076" w:type="dxa"/>
            <w:shd w:val="clear" w:color="auto" w:fill="333333"/>
            <w:vAlign w:val="center"/>
          </w:tcPr>
          <w:p w:rsidR="00723A88" w:rsidRPr="00394DF9" w:rsidRDefault="00723A88" w:rsidP="00C637FE">
            <w:pPr>
              <w:pStyle w:val="TableColumnHeadings"/>
              <w:rPr>
                <w:rFonts w:ascii="Century Gothic" w:hAnsi="Century Gothic"/>
                <w:szCs w:val="18"/>
              </w:rPr>
            </w:pPr>
            <w:r w:rsidRPr="00394DF9">
              <w:rPr>
                <w:rFonts w:ascii="Century Gothic" w:hAnsi="Century Gothic"/>
                <w:szCs w:val="18"/>
              </w:rPr>
              <w:t>2019</w:t>
            </w:r>
          </w:p>
        </w:tc>
        <w:tc>
          <w:tcPr>
            <w:tcW w:w="1077" w:type="dxa"/>
            <w:shd w:val="clear" w:color="auto" w:fill="333333"/>
            <w:vAlign w:val="center"/>
          </w:tcPr>
          <w:p w:rsidR="00723A88" w:rsidRPr="00394DF9" w:rsidRDefault="00723A88" w:rsidP="00C637FE">
            <w:pPr>
              <w:pStyle w:val="TableColumnHeadings"/>
              <w:rPr>
                <w:rFonts w:ascii="Century Gothic" w:hAnsi="Century Gothic"/>
                <w:szCs w:val="18"/>
              </w:rPr>
            </w:pPr>
            <w:r w:rsidRPr="00394DF9">
              <w:rPr>
                <w:rFonts w:ascii="Century Gothic" w:hAnsi="Century Gothic"/>
                <w:szCs w:val="18"/>
              </w:rPr>
              <w:t>2020</w:t>
            </w:r>
          </w:p>
        </w:tc>
        <w:tc>
          <w:tcPr>
            <w:tcW w:w="1076" w:type="dxa"/>
            <w:shd w:val="clear" w:color="auto" w:fill="333333"/>
            <w:vAlign w:val="center"/>
          </w:tcPr>
          <w:p w:rsidR="00723A88" w:rsidRPr="00394DF9" w:rsidRDefault="00723A88" w:rsidP="00C637FE">
            <w:pPr>
              <w:pStyle w:val="TableColumnHeadings"/>
              <w:rPr>
                <w:rFonts w:ascii="Century Gothic" w:hAnsi="Century Gothic"/>
                <w:szCs w:val="18"/>
              </w:rPr>
            </w:pPr>
            <w:r w:rsidRPr="00394DF9">
              <w:rPr>
                <w:rFonts w:ascii="Century Gothic" w:hAnsi="Century Gothic"/>
                <w:szCs w:val="18"/>
              </w:rPr>
              <w:t>2021</w:t>
            </w:r>
          </w:p>
        </w:tc>
        <w:tc>
          <w:tcPr>
            <w:tcW w:w="1077" w:type="dxa"/>
            <w:shd w:val="clear" w:color="auto" w:fill="333333"/>
            <w:vAlign w:val="center"/>
          </w:tcPr>
          <w:p w:rsidR="00723A88" w:rsidRPr="00394DF9" w:rsidRDefault="00723A88" w:rsidP="00C637FE">
            <w:pPr>
              <w:pStyle w:val="TableColumnHeadings"/>
              <w:rPr>
                <w:rFonts w:ascii="Century Gothic" w:hAnsi="Century Gothic"/>
                <w:szCs w:val="18"/>
              </w:rPr>
            </w:pPr>
            <w:r w:rsidRPr="00394DF9">
              <w:rPr>
                <w:rFonts w:ascii="Century Gothic" w:hAnsi="Century Gothic"/>
                <w:szCs w:val="18"/>
              </w:rPr>
              <w:t>2022</w:t>
            </w:r>
          </w:p>
        </w:tc>
      </w:tr>
      <w:tr w:rsidR="00C941AA" w:rsidRPr="003662A4" w:rsidTr="000061C7">
        <w:tc>
          <w:tcPr>
            <w:tcW w:w="3055" w:type="dxa"/>
            <w:shd w:val="clear" w:color="auto" w:fill="auto"/>
            <w:vAlign w:val="center"/>
          </w:tcPr>
          <w:p w:rsidR="00C941AA" w:rsidRPr="003662A4" w:rsidRDefault="00C941AA" w:rsidP="00C15703">
            <w:pPr>
              <w:rPr>
                <w:rFonts w:cs="Arial"/>
                <w:sz w:val="18"/>
                <w:szCs w:val="18"/>
              </w:rPr>
            </w:pPr>
            <w:r>
              <w:rPr>
                <w:rFonts w:cs="Arial"/>
                <w:sz w:val="18"/>
                <w:szCs w:val="18"/>
              </w:rPr>
              <w:t>$2017</w:t>
            </w:r>
          </w:p>
        </w:tc>
        <w:tc>
          <w:tcPr>
            <w:tcW w:w="1076" w:type="dxa"/>
            <w:shd w:val="clear" w:color="auto" w:fill="auto"/>
          </w:tcPr>
          <w:p w:rsidR="00C941AA" w:rsidRPr="00D909C5" w:rsidRDefault="00C941AA" w:rsidP="000061C7">
            <w:pPr>
              <w:pStyle w:val="TableBodyCells"/>
            </w:pPr>
            <w:r w:rsidRPr="005D1272">
              <w:t xml:space="preserve"> 6.8 </w:t>
            </w:r>
          </w:p>
        </w:tc>
        <w:tc>
          <w:tcPr>
            <w:tcW w:w="1076" w:type="dxa"/>
          </w:tcPr>
          <w:p w:rsidR="00C941AA" w:rsidRPr="00D909C5" w:rsidRDefault="00C941AA" w:rsidP="000061C7">
            <w:pPr>
              <w:pStyle w:val="TableBodyCells"/>
            </w:pPr>
            <w:r w:rsidRPr="005D1272">
              <w:t xml:space="preserve"> 4.0 </w:t>
            </w:r>
          </w:p>
        </w:tc>
        <w:tc>
          <w:tcPr>
            <w:tcW w:w="1077" w:type="dxa"/>
            <w:shd w:val="clear" w:color="auto" w:fill="auto"/>
          </w:tcPr>
          <w:p w:rsidR="00C941AA" w:rsidRPr="00D909C5" w:rsidRDefault="00C941AA" w:rsidP="000061C7">
            <w:pPr>
              <w:pStyle w:val="TableBodyCells"/>
            </w:pPr>
            <w:r w:rsidRPr="005D1272">
              <w:t xml:space="preserve"> 3.3 </w:t>
            </w:r>
          </w:p>
        </w:tc>
        <w:tc>
          <w:tcPr>
            <w:tcW w:w="1076" w:type="dxa"/>
            <w:shd w:val="clear" w:color="auto" w:fill="auto"/>
          </w:tcPr>
          <w:p w:rsidR="00C941AA" w:rsidRPr="00D909C5" w:rsidRDefault="00C941AA" w:rsidP="000061C7">
            <w:pPr>
              <w:pStyle w:val="TableBodyCells"/>
            </w:pPr>
            <w:r w:rsidRPr="005D1272">
              <w:t xml:space="preserve"> 2.1 </w:t>
            </w:r>
          </w:p>
        </w:tc>
        <w:tc>
          <w:tcPr>
            <w:tcW w:w="1077" w:type="dxa"/>
            <w:shd w:val="clear" w:color="auto" w:fill="auto"/>
          </w:tcPr>
          <w:p w:rsidR="00C941AA" w:rsidRPr="00D909C5" w:rsidRDefault="00C941AA" w:rsidP="000061C7">
            <w:pPr>
              <w:pStyle w:val="TableBodyCells"/>
            </w:pPr>
            <w:r w:rsidRPr="005D1272">
              <w:t xml:space="preserve"> -   </w:t>
            </w:r>
          </w:p>
        </w:tc>
      </w:tr>
      <w:tr w:rsidR="00C941AA" w:rsidRPr="003662A4" w:rsidTr="000061C7">
        <w:tc>
          <w:tcPr>
            <w:tcW w:w="3055" w:type="dxa"/>
            <w:shd w:val="clear" w:color="auto" w:fill="auto"/>
            <w:vAlign w:val="center"/>
          </w:tcPr>
          <w:p w:rsidR="00C941AA" w:rsidRPr="003662A4" w:rsidRDefault="00C941AA" w:rsidP="00D909C5">
            <w:pPr>
              <w:rPr>
                <w:rFonts w:cs="Arial"/>
                <w:sz w:val="18"/>
                <w:szCs w:val="18"/>
              </w:rPr>
            </w:pPr>
            <w:r>
              <w:rPr>
                <w:rFonts w:cs="Arial"/>
                <w:sz w:val="18"/>
                <w:szCs w:val="18"/>
              </w:rPr>
              <w:t>$ nominal</w:t>
            </w:r>
          </w:p>
        </w:tc>
        <w:tc>
          <w:tcPr>
            <w:tcW w:w="1076" w:type="dxa"/>
            <w:shd w:val="clear" w:color="auto" w:fill="auto"/>
          </w:tcPr>
          <w:p w:rsidR="00C941AA" w:rsidRPr="00D909C5" w:rsidRDefault="00C941AA" w:rsidP="000061C7">
            <w:pPr>
              <w:pStyle w:val="TableBodyCells"/>
            </w:pPr>
            <w:r w:rsidRPr="00DC3350">
              <w:t xml:space="preserve"> 7.0 </w:t>
            </w:r>
          </w:p>
        </w:tc>
        <w:tc>
          <w:tcPr>
            <w:tcW w:w="1076" w:type="dxa"/>
          </w:tcPr>
          <w:p w:rsidR="00C941AA" w:rsidRPr="00D909C5" w:rsidRDefault="00C941AA" w:rsidP="000061C7">
            <w:pPr>
              <w:pStyle w:val="TableBodyCells"/>
            </w:pPr>
            <w:r w:rsidRPr="00DC3350">
              <w:t xml:space="preserve"> 4.2 </w:t>
            </w:r>
          </w:p>
        </w:tc>
        <w:tc>
          <w:tcPr>
            <w:tcW w:w="1077" w:type="dxa"/>
            <w:shd w:val="clear" w:color="auto" w:fill="auto"/>
          </w:tcPr>
          <w:p w:rsidR="00C941AA" w:rsidRPr="00D909C5" w:rsidRDefault="00C941AA" w:rsidP="000061C7">
            <w:pPr>
              <w:pStyle w:val="TableBodyCells"/>
            </w:pPr>
            <w:r w:rsidRPr="00DC3350">
              <w:t xml:space="preserve"> 3.5 </w:t>
            </w:r>
          </w:p>
        </w:tc>
        <w:tc>
          <w:tcPr>
            <w:tcW w:w="1076" w:type="dxa"/>
            <w:shd w:val="clear" w:color="auto" w:fill="auto"/>
          </w:tcPr>
          <w:p w:rsidR="00C941AA" w:rsidRPr="00D909C5" w:rsidRDefault="00C941AA" w:rsidP="000061C7">
            <w:pPr>
              <w:pStyle w:val="TableBodyCells"/>
            </w:pPr>
            <w:r w:rsidRPr="00DC3350">
              <w:t xml:space="preserve"> 2.4 </w:t>
            </w:r>
          </w:p>
        </w:tc>
        <w:tc>
          <w:tcPr>
            <w:tcW w:w="1077" w:type="dxa"/>
            <w:shd w:val="clear" w:color="auto" w:fill="auto"/>
          </w:tcPr>
          <w:p w:rsidR="00C941AA" w:rsidRPr="00D909C5" w:rsidRDefault="00C941AA" w:rsidP="000061C7">
            <w:pPr>
              <w:pStyle w:val="TableBodyCells"/>
            </w:pPr>
            <w:r w:rsidRPr="00DC3350">
              <w:t xml:space="preserve"> -  </w:t>
            </w:r>
          </w:p>
        </w:tc>
      </w:tr>
    </w:tbl>
    <w:p w:rsidR="00970275" w:rsidRDefault="00996547" w:rsidP="00970275">
      <w:pPr>
        <w:pStyle w:val="Heading1"/>
      </w:pPr>
      <w:bookmarkStart w:id="58" w:name="_Toc471221367"/>
      <w:r>
        <w:lastRenderedPageBreak/>
        <w:t>A</w:t>
      </w:r>
      <w:r w:rsidR="00970275">
        <w:t>pproach to tariff setting</w:t>
      </w:r>
      <w:bookmarkEnd w:id="58"/>
    </w:p>
    <w:p w:rsidR="00970275" w:rsidRDefault="00970275" w:rsidP="00970275">
      <w:pPr>
        <w:pStyle w:val="Heading2"/>
      </w:pPr>
      <w:bookmarkStart w:id="59" w:name="_Toc471221368"/>
      <w:r>
        <w:t>Reference Services</w:t>
      </w:r>
      <w:bookmarkEnd w:id="59"/>
    </w:p>
    <w:p w:rsidR="00996547" w:rsidRDefault="000D05EE" w:rsidP="00996547">
      <w:pPr>
        <w:pStyle w:val="BodyText"/>
      </w:pPr>
      <w:r>
        <w:t xml:space="preserve">APA </w:t>
      </w:r>
      <w:r w:rsidR="00FA561E">
        <w:t>VTS</w:t>
      </w:r>
      <w:r>
        <w:t xml:space="preserve"> provides </w:t>
      </w:r>
      <w:r w:rsidR="00996547">
        <w:t>one Pipeline Service, the T</w:t>
      </w:r>
      <w:r>
        <w:t>ariffed Transmission Service</w:t>
      </w:r>
      <w:r w:rsidR="00996547">
        <w:t>.</w:t>
      </w:r>
    </w:p>
    <w:p w:rsidR="00970275" w:rsidRDefault="00970275" w:rsidP="00970275">
      <w:pPr>
        <w:pStyle w:val="Heading2"/>
      </w:pPr>
      <w:bookmarkStart w:id="60" w:name="_Toc471221369"/>
      <w:r>
        <w:t>Tariff structure</w:t>
      </w:r>
      <w:bookmarkEnd w:id="60"/>
    </w:p>
    <w:p w:rsidR="000D05EE" w:rsidRDefault="000D05EE" w:rsidP="00970275">
      <w:pPr>
        <w:pStyle w:val="BodyText"/>
      </w:pPr>
      <w:r w:rsidRPr="000D05EE">
        <w:t>The Tariffed Transmission Service is a zonal-distance-based volume tariff, with no capacity component.</w:t>
      </w:r>
    </w:p>
    <w:p w:rsidR="00970275" w:rsidRDefault="00970275" w:rsidP="00970275">
      <w:pPr>
        <w:pStyle w:val="Heading2"/>
      </w:pPr>
      <w:bookmarkStart w:id="61" w:name="_Toc471221370"/>
      <w:r>
        <w:t>Allocation of revenue to tariffs</w:t>
      </w:r>
      <w:bookmarkEnd w:id="61"/>
    </w:p>
    <w:p w:rsidR="00394DF9" w:rsidRDefault="00970275" w:rsidP="00970275">
      <w:pPr>
        <w:pStyle w:val="BodyText"/>
      </w:pPr>
      <w:r>
        <w:t>Reference Tariffs are designed to recover the Total Revenue allocated to the Reference Service</w:t>
      </w:r>
      <w:r w:rsidR="00394DF9">
        <w:t>.</w:t>
      </w:r>
    </w:p>
    <w:p w:rsidR="00970275" w:rsidRDefault="00970275" w:rsidP="00970275">
      <w:pPr>
        <w:pStyle w:val="BodyText"/>
      </w:pPr>
      <w:r>
        <w:t xml:space="preserve">This approach equalises revenue derived from the application of Reference Tariffs with the total Reference Service revenue requirement, assuming that assumptions regarding costs and demand hold. </w:t>
      </w:r>
    </w:p>
    <w:p w:rsidR="00970275" w:rsidRDefault="00970275" w:rsidP="00970275">
      <w:pPr>
        <w:pStyle w:val="BodyText"/>
      </w:pPr>
      <w:r>
        <w:t xml:space="preserve">The forecast revenue requirement for the Access Arrangement Period is shown in </w:t>
      </w:r>
      <w:r w:rsidR="000D05EE">
        <w:fldChar w:fldCharType="begin"/>
      </w:r>
      <w:r w:rsidR="000D05EE">
        <w:instrText xml:space="preserve"> REF _Ref468203541 \h </w:instrText>
      </w:r>
      <w:r w:rsidR="000D05EE">
        <w:fldChar w:fldCharType="separate"/>
      </w:r>
      <w:r w:rsidR="00154DB7">
        <w:t xml:space="preserve">Table </w:t>
      </w:r>
      <w:r w:rsidR="00154DB7">
        <w:rPr>
          <w:noProof/>
        </w:rPr>
        <w:t>10</w:t>
      </w:r>
      <w:r w:rsidR="00154DB7">
        <w:t>.</w:t>
      </w:r>
      <w:r w:rsidR="00154DB7">
        <w:rPr>
          <w:noProof/>
        </w:rPr>
        <w:t>1</w:t>
      </w:r>
      <w:r w:rsidR="000D05EE">
        <w:fldChar w:fldCharType="end"/>
      </w:r>
      <w:r w:rsidR="000D05EE">
        <w:t xml:space="preserve"> </w:t>
      </w:r>
      <w:r>
        <w:t xml:space="preserve">below. </w:t>
      </w:r>
    </w:p>
    <w:p w:rsidR="00970275" w:rsidRDefault="00970275" w:rsidP="00970275">
      <w:pPr>
        <w:pStyle w:val="Caption"/>
      </w:pPr>
      <w:bookmarkStart w:id="62" w:name="_Ref468203541"/>
      <w:proofErr w:type="gramStart"/>
      <w:r>
        <w:t xml:space="preserve">Table </w:t>
      </w:r>
      <w:fldSimple w:instr=" STYLEREF 1 \s ">
        <w:r w:rsidR="00154DB7">
          <w:rPr>
            <w:noProof/>
          </w:rPr>
          <w:t>10</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1</w:t>
      </w:r>
      <w:r w:rsidR="007D0F77">
        <w:rPr>
          <w:noProof/>
        </w:rPr>
        <w:fldChar w:fldCharType="end"/>
      </w:r>
      <w:bookmarkEnd w:id="62"/>
      <w:r>
        <w:t xml:space="preserve">:  </w:t>
      </w:r>
      <w:r w:rsidRPr="00970275">
        <w:t>Forecast revenue requirement for the Access Arrangement Period</w:t>
      </w:r>
      <w:r w:rsidR="00394DF9">
        <w:t xml:space="preserve"> ($m nominal</w:t>
      </w:r>
      <w:r w:rsidR="001C2333">
        <w:t>)</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9C04E5" w:rsidRPr="00394DF9" w:rsidTr="00C45A01">
        <w:tc>
          <w:tcPr>
            <w:tcW w:w="3055" w:type="dxa"/>
            <w:shd w:val="clear" w:color="auto" w:fill="333333"/>
          </w:tcPr>
          <w:p w:rsidR="009C04E5" w:rsidRPr="00394DF9" w:rsidRDefault="00996547" w:rsidP="000D05EE">
            <w:pPr>
              <w:pStyle w:val="TableColumnHeadings"/>
              <w:keepNext/>
              <w:jc w:val="left"/>
              <w:rPr>
                <w:rFonts w:ascii="Century Gothic" w:hAnsi="Century Gothic"/>
                <w:szCs w:val="18"/>
              </w:rPr>
            </w:pPr>
            <w:r>
              <w:rPr>
                <w:rFonts w:ascii="Century Gothic" w:hAnsi="Century Gothic"/>
                <w:szCs w:val="18"/>
              </w:rPr>
              <w:t>$m nominal</w:t>
            </w:r>
          </w:p>
        </w:tc>
        <w:tc>
          <w:tcPr>
            <w:tcW w:w="1076" w:type="dxa"/>
            <w:shd w:val="clear" w:color="auto" w:fill="333333"/>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2018</w:t>
            </w:r>
          </w:p>
        </w:tc>
        <w:tc>
          <w:tcPr>
            <w:tcW w:w="1076" w:type="dxa"/>
            <w:shd w:val="clear" w:color="auto" w:fill="333333"/>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2019</w:t>
            </w:r>
          </w:p>
        </w:tc>
        <w:tc>
          <w:tcPr>
            <w:tcW w:w="1077" w:type="dxa"/>
            <w:shd w:val="clear" w:color="auto" w:fill="333333"/>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2020</w:t>
            </w:r>
          </w:p>
        </w:tc>
        <w:tc>
          <w:tcPr>
            <w:tcW w:w="1076" w:type="dxa"/>
            <w:shd w:val="clear" w:color="auto" w:fill="333333"/>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2021</w:t>
            </w:r>
          </w:p>
        </w:tc>
        <w:tc>
          <w:tcPr>
            <w:tcW w:w="1077" w:type="dxa"/>
            <w:shd w:val="clear" w:color="auto" w:fill="333333"/>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2022</w:t>
            </w:r>
          </w:p>
        </w:tc>
      </w:tr>
      <w:tr w:rsidR="00EC322F" w:rsidRPr="003662A4" w:rsidTr="000061C7">
        <w:tc>
          <w:tcPr>
            <w:tcW w:w="3055" w:type="dxa"/>
            <w:shd w:val="clear" w:color="auto" w:fill="auto"/>
            <w:vAlign w:val="center"/>
          </w:tcPr>
          <w:p w:rsidR="00EC322F" w:rsidRPr="003662A4" w:rsidRDefault="00EC322F" w:rsidP="000D05EE">
            <w:pPr>
              <w:keepNext/>
              <w:rPr>
                <w:rFonts w:cs="Arial"/>
                <w:sz w:val="18"/>
                <w:szCs w:val="18"/>
              </w:rPr>
            </w:pPr>
            <w:r w:rsidRPr="003662A4">
              <w:rPr>
                <w:rFonts w:cs="Arial"/>
                <w:sz w:val="18"/>
                <w:szCs w:val="18"/>
              </w:rPr>
              <w:t>Return on capital</w:t>
            </w:r>
          </w:p>
        </w:tc>
        <w:tc>
          <w:tcPr>
            <w:tcW w:w="1076" w:type="dxa"/>
            <w:shd w:val="clear" w:color="auto" w:fill="auto"/>
          </w:tcPr>
          <w:p w:rsidR="00EC322F" w:rsidRPr="00343805" w:rsidRDefault="00EC322F" w:rsidP="00EC322F">
            <w:pPr>
              <w:pStyle w:val="TableBodyCells"/>
            </w:pPr>
            <w:r w:rsidRPr="00343805">
              <w:t xml:space="preserve"> 76.5 </w:t>
            </w:r>
          </w:p>
        </w:tc>
        <w:tc>
          <w:tcPr>
            <w:tcW w:w="1076" w:type="dxa"/>
          </w:tcPr>
          <w:p w:rsidR="00EC322F" w:rsidRPr="00343805" w:rsidRDefault="00EC322F" w:rsidP="00EC322F">
            <w:pPr>
              <w:pStyle w:val="TableBodyCells"/>
            </w:pPr>
            <w:r w:rsidRPr="00343805">
              <w:t xml:space="preserve"> 80.8 </w:t>
            </w:r>
          </w:p>
        </w:tc>
        <w:tc>
          <w:tcPr>
            <w:tcW w:w="1077" w:type="dxa"/>
            <w:shd w:val="clear" w:color="auto" w:fill="auto"/>
          </w:tcPr>
          <w:p w:rsidR="00EC322F" w:rsidRPr="00343805" w:rsidRDefault="00EC322F" w:rsidP="00EC322F">
            <w:pPr>
              <w:pStyle w:val="TableBodyCells"/>
            </w:pPr>
            <w:r w:rsidRPr="00343805">
              <w:t xml:space="preserve"> 85.7 </w:t>
            </w:r>
          </w:p>
        </w:tc>
        <w:tc>
          <w:tcPr>
            <w:tcW w:w="1076" w:type="dxa"/>
            <w:shd w:val="clear" w:color="auto" w:fill="auto"/>
          </w:tcPr>
          <w:p w:rsidR="00EC322F" w:rsidRPr="00343805" w:rsidRDefault="00EC322F" w:rsidP="00EC322F">
            <w:pPr>
              <w:pStyle w:val="TableBodyCells"/>
            </w:pPr>
            <w:r w:rsidRPr="00343805">
              <w:t xml:space="preserve"> 90.5 </w:t>
            </w:r>
          </w:p>
        </w:tc>
        <w:tc>
          <w:tcPr>
            <w:tcW w:w="1077" w:type="dxa"/>
            <w:shd w:val="clear" w:color="auto" w:fill="auto"/>
          </w:tcPr>
          <w:p w:rsidR="00EC322F" w:rsidRPr="00343805" w:rsidRDefault="00EC322F" w:rsidP="00EC322F">
            <w:pPr>
              <w:pStyle w:val="TableBodyCells"/>
            </w:pPr>
            <w:r w:rsidRPr="00343805">
              <w:t xml:space="preserve"> 90.3 </w:t>
            </w:r>
          </w:p>
        </w:tc>
      </w:tr>
      <w:tr w:rsidR="00EC322F" w:rsidRPr="003662A4" w:rsidTr="000061C7">
        <w:tc>
          <w:tcPr>
            <w:tcW w:w="3055" w:type="dxa"/>
            <w:shd w:val="clear" w:color="auto" w:fill="auto"/>
            <w:vAlign w:val="center"/>
          </w:tcPr>
          <w:p w:rsidR="00EC322F" w:rsidRPr="003662A4" w:rsidRDefault="00EC322F" w:rsidP="000D05EE">
            <w:pPr>
              <w:keepNext/>
              <w:rPr>
                <w:rFonts w:cs="Arial"/>
                <w:sz w:val="18"/>
                <w:szCs w:val="18"/>
              </w:rPr>
            </w:pPr>
            <w:r w:rsidRPr="003662A4">
              <w:rPr>
                <w:rFonts w:cs="Arial"/>
                <w:sz w:val="18"/>
                <w:szCs w:val="18"/>
              </w:rPr>
              <w:t>Return of capital</w:t>
            </w:r>
          </w:p>
        </w:tc>
        <w:tc>
          <w:tcPr>
            <w:tcW w:w="1076" w:type="dxa"/>
            <w:shd w:val="clear" w:color="auto" w:fill="auto"/>
          </w:tcPr>
          <w:p w:rsidR="00EC322F" w:rsidRPr="00343805" w:rsidRDefault="00EC322F" w:rsidP="00EC322F">
            <w:pPr>
              <w:pStyle w:val="TableBodyCells"/>
            </w:pPr>
            <w:r w:rsidRPr="00343805">
              <w:t xml:space="preserve"> 12.5 </w:t>
            </w:r>
          </w:p>
        </w:tc>
        <w:tc>
          <w:tcPr>
            <w:tcW w:w="1076" w:type="dxa"/>
          </w:tcPr>
          <w:p w:rsidR="00EC322F" w:rsidRPr="00343805" w:rsidRDefault="00EC322F" w:rsidP="00EC322F">
            <w:pPr>
              <w:pStyle w:val="TableBodyCells"/>
            </w:pPr>
            <w:r w:rsidRPr="00343805">
              <w:t xml:space="preserve"> 15.2 </w:t>
            </w:r>
          </w:p>
        </w:tc>
        <w:tc>
          <w:tcPr>
            <w:tcW w:w="1077" w:type="dxa"/>
            <w:shd w:val="clear" w:color="auto" w:fill="auto"/>
          </w:tcPr>
          <w:p w:rsidR="00EC322F" w:rsidRPr="00343805" w:rsidRDefault="00EC322F" w:rsidP="00EC322F">
            <w:pPr>
              <w:pStyle w:val="TableBodyCells"/>
            </w:pPr>
            <w:r w:rsidRPr="00343805">
              <w:t xml:space="preserve"> 16.9 </w:t>
            </w:r>
          </w:p>
        </w:tc>
        <w:tc>
          <w:tcPr>
            <w:tcW w:w="1076" w:type="dxa"/>
            <w:shd w:val="clear" w:color="auto" w:fill="auto"/>
          </w:tcPr>
          <w:p w:rsidR="00EC322F" w:rsidRPr="00343805" w:rsidRDefault="00EC322F" w:rsidP="00EC322F">
            <w:pPr>
              <w:pStyle w:val="TableBodyCells"/>
            </w:pPr>
            <w:r w:rsidRPr="00343805">
              <w:t xml:space="preserve"> 20.6 </w:t>
            </w:r>
          </w:p>
        </w:tc>
        <w:tc>
          <w:tcPr>
            <w:tcW w:w="1077" w:type="dxa"/>
            <w:shd w:val="clear" w:color="auto" w:fill="auto"/>
          </w:tcPr>
          <w:p w:rsidR="00EC322F" w:rsidRPr="00343805" w:rsidRDefault="00EC322F" w:rsidP="00EC322F">
            <w:pPr>
              <w:pStyle w:val="TableBodyCells"/>
            </w:pPr>
            <w:r w:rsidRPr="00343805">
              <w:t xml:space="preserve"> 18.4 </w:t>
            </w:r>
          </w:p>
        </w:tc>
      </w:tr>
      <w:tr w:rsidR="00EC322F" w:rsidRPr="003662A4" w:rsidTr="000061C7">
        <w:tc>
          <w:tcPr>
            <w:tcW w:w="3055" w:type="dxa"/>
            <w:shd w:val="clear" w:color="auto" w:fill="auto"/>
            <w:vAlign w:val="center"/>
          </w:tcPr>
          <w:p w:rsidR="00EC322F" w:rsidRPr="003662A4" w:rsidRDefault="00EC322F" w:rsidP="000D05EE">
            <w:pPr>
              <w:keepNext/>
              <w:rPr>
                <w:rFonts w:cs="Arial"/>
                <w:sz w:val="18"/>
                <w:szCs w:val="18"/>
              </w:rPr>
            </w:pPr>
            <w:r w:rsidRPr="003662A4">
              <w:rPr>
                <w:rFonts w:cs="Arial"/>
                <w:sz w:val="18"/>
                <w:szCs w:val="18"/>
              </w:rPr>
              <w:t>plus operating and maintenance</w:t>
            </w:r>
          </w:p>
        </w:tc>
        <w:tc>
          <w:tcPr>
            <w:tcW w:w="1076" w:type="dxa"/>
            <w:shd w:val="clear" w:color="auto" w:fill="auto"/>
          </w:tcPr>
          <w:p w:rsidR="00EC322F" w:rsidRPr="00343805" w:rsidRDefault="00EC322F" w:rsidP="00EC322F">
            <w:pPr>
              <w:pStyle w:val="TableBodyCells"/>
            </w:pPr>
            <w:r w:rsidRPr="00343805">
              <w:t xml:space="preserve"> 2.7 </w:t>
            </w:r>
          </w:p>
        </w:tc>
        <w:tc>
          <w:tcPr>
            <w:tcW w:w="1076" w:type="dxa"/>
          </w:tcPr>
          <w:p w:rsidR="00EC322F" w:rsidRPr="00343805" w:rsidRDefault="00EC322F" w:rsidP="00EC322F">
            <w:pPr>
              <w:pStyle w:val="TableBodyCells"/>
            </w:pPr>
            <w:r w:rsidRPr="00343805">
              <w:t xml:space="preserve"> 3.2 </w:t>
            </w:r>
          </w:p>
        </w:tc>
        <w:tc>
          <w:tcPr>
            <w:tcW w:w="1077" w:type="dxa"/>
            <w:shd w:val="clear" w:color="auto" w:fill="auto"/>
          </w:tcPr>
          <w:p w:rsidR="00EC322F" w:rsidRPr="00343805" w:rsidRDefault="00EC322F" w:rsidP="00EC322F">
            <w:pPr>
              <w:pStyle w:val="TableBodyCells"/>
            </w:pPr>
            <w:r w:rsidRPr="00343805">
              <w:t xml:space="preserve"> 3.4 </w:t>
            </w:r>
          </w:p>
        </w:tc>
        <w:tc>
          <w:tcPr>
            <w:tcW w:w="1076" w:type="dxa"/>
            <w:shd w:val="clear" w:color="auto" w:fill="auto"/>
          </w:tcPr>
          <w:p w:rsidR="00EC322F" w:rsidRPr="00343805" w:rsidRDefault="00EC322F" w:rsidP="00EC322F">
            <w:pPr>
              <w:pStyle w:val="TableBodyCells"/>
            </w:pPr>
            <w:r w:rsidRPr="00343805">
              <w:t xml:space="preserve"> 3.0 </w:t>
            </w:r>
          </w:p>
        </w:tc>
        <w:tc>
          <w:tcPr>
            <w:tcW w:w="1077" w:type="dxa"/>
            <w:shd w:val="clear" w:color="auto" w:fill="auto"/>
          </w:tcPr>
          <w:p w:rsidR="00EC322F" w:rsidRPr="00343805" w:rsidRDefault="00EC322F" w:rsidP="00EC322F">
            <w:pPr>
              <w:pStyle w:val="TableBodyCells"/>
            </w:pPr>
            <w:r w:rsidRPr="00343805">
              <w:t xml:space="preserve"> 2.2 </w:t>
            </w:r>
          </w:p>
        </w:tc>
      </w:tr>
      <w:tr w:rsidR="00EC322F" w:rsidRPr="003662A4" w:rsidTr="000061C7">
        <w:tc>
          <w:tcPr>
            <w:tcW w:w="3055" w:type="dxa"/>
            <w:shd w:val="clear" w:color="auto" w:fill="auto"/>
            <w:vAlign w:val="center"/>
          </w:tcPr>
          <w:p w:rsidR="00EC322F" w:rsidRPr="003662A4" w:rsidRDefault="00EC322F" w:rsidP="000D05EE">
            <w:pPr>
              <w:keepNext/>
              <w:rPr>
                <w:rFonts w:cs="Arial"/>
                <w:sz w:val="18"/>
                <w:szCs w:val="18"/>
              </w:rPr>
            </w:pPr>
            <w:r w:rsidRPr="003662A4">
              <w:rPr>
                <w:rFonts w:cs="Arial"/>
                <w:sz w:val="18"/>
                <w:szCs w:val="18"/>
              </w:rPr>
              <w:t>plus revenue adjustments</w:t>
            </w:r>
          </w:p>
        </w:tc>
        <w:tc>
          <w:tcPr>
            <w:tcW w:w="1076" w:type="dxa"/>
            <w:shd w:val="clear" w:color="auto" w:fill="auto"/>
          </w:tcPr>
          <w:p w:rsidR="00EC322F" w:rsidRPr="00343805" w:rsidRDefault="00EC322F" w:rsidP="00EC322F">
            <w:pPr>
              <w:pStyle w:val="TableBodyCells"/>
            </w:pPr>
            <w:r w:rsidRPr="00343805">
              <w:t xml:space="preserve"> 7.0 </w:t>
            </w:r>
          </w:p>
        </w:tc>
        <w:tc>
          <w:tcPr>
            <w:tcW w:w="1076" w:type="dxa"/>
          </w:tcPr>
          <w:p w:rsidR="00EC322F" w:rsidRPr="00343805" w:rsidRDefault="00EC322F" w:rsidP="00EC322F">
            <w:pPr>
              <w:pStyle w:val="TableBodyCells"/>
            </w:pPr>
            <w:r w:rsidRPr="00343805">
              <w:t xml:space="preserve"> 4.2 </w:t>
            </w:r>
          </w:p>
        </w:tc>
        <w:tc>
          <w:tcPr>
            <w:tcW w:w="1077" w:type="dxa"/>
            <w:shd w:val="clear" w:color="auto" w:fill="auto"/>
          </w:tcPr>
          <w:p w:rsidR="00EC322F" w:rsidRPr="00343805" w:rsidRDefault="00EC322F" w:rsidP="00EC322F">
            <w:pPr>
              <w:pStyle w:val="TableBodyCells"/>
            </w:pPr>
            <w:r w:rsidRPr="00343805">
              <w:t xml:space="preserve"> 3.5 </w:t>
            </w:r>
          </w:p>
        </w:tc>
        <w:tc>
          <w:tcPr>
            <w:tcW w:w="1076" w:type="dxa"/>
            <w:shd w:val="clear" w:color="auto" w:fill="auto"/>
          </w:tcPr>
          <w:p w:rsidR="00EC322F" w:rsidRPr="00343805" w:rsidRDefault="00EC322F" w:rsidP="00EC322F">
            <w:pPr>
              <w:pStyle w:val="TableBodyCells"/>
            </w:pPr>
            <w:r w:rsidRPr="00343805">
              <w:t xml:space="preserve"> 2.4 </w:t>
            </w:r>
          </w:p>
        </w:tc>
        <w:tc>
          <w:tcPr>
            <w:tcW w:w="1077" w:type="dxa"/>
            <w:shd w:val="clear" w:color="auto" w:fill="auto"/>
          </w:tcPr>
          <w:p w:rsidR="00EC322F" w:rsidRPr="00343805" w:rsidRDefault="00EC322F" w:rsidP="00EC322F">
            <w:pPr>
              <w:pStyle w:val="TableBodyCells"/>
            </w:pPr>
            <w:r w:rsidRPr="00343805">
              <w:t xml:space="preserve"> -  </w:t>
            </w:r>
          </w:p>
        </w:tc>
      </w:tr>
      <w:tr w:rsidR="00EC322F" w:rsidRPr="003662A4" w:rsidTr="000061C7">
        <w:tc>
          <w:tcPr>
            <w:tcW w:w="3055" w:type="dxa"/>
            <w:shd w:val="clear" w:color="auto" w:fill="auto"/>
            <w:vAlign w:val="center"/>
          </w:tcPr>
          <w:p w:rsidR="00EC322F" w:rsidRPr="003662A4" w:rsidRDefault="00EC322F" w:rsidP="000D05EE">
            <w:pPr>
              <w:keepNext/>
              <w:rPr>
                <w:rFonts w:cs="Arial"/>
                <w:sz w:val="18"/>
                <w:szCs w:val="18"/>
              </w:rPr>
            </w:pPr>
            <w:r w:rsidRPr="003662A4">
              <w:rPr>
                <w:rFonts w:cs="Arial"/>
                <w:sz w:val="18"/>
                <w:szCs w:val="18"/>
              </w:rPr>
              <w:t>plus net tax allowance</w:t>
            </w:r>
          </w:p>
        </w:tc>
        <w:tc>
          <w:tcPr>
            <w:tcW w:w="1076" w:type="dxa"/>
            <w:shd w:val="clear" w:color="auto" w:fill="auto"/>
          </w:tcPr>
          <w:p w:rsidR="00EC322F" w:rsidRPr="00343805" w:rsidRDefault="00EC322F" w:rsidP="00EC322F">
            <w:pPr>
              <w:pStyle w:val="TableBodyCells"/>
            </w:pPr>
            <w:r w:rsidRPr="00343805">
              <w:t xml:space="preserve"> 26.6 </w:t>
            </w:r>
          </w:p>
        </w:tc>
        <w:tc>
          <w:tcPr>
            <w:tcW w:w="1076" w:type="dxa"/>
          </w:tcPr>
          <w:p w:rsidR="00EC322F" w:rsidRPr="00343805" w:rsidRDefault="00EC322F" w:rsidP="00EC322F">
            <w:pPr>
              <w:pStyle w:val="TableBodyCells"/>
            </w:pPr>
            <w:r w:rsidRPr="00343805">
              <w:t xml:space="preserve"> 27.3 </w:t>
            </w:r>
          </w:p>
        </w:tc>
        <w:tc>
          <w:tcPr>
            <w:tcW w:w="1077" w:type="dxa"/>
            <w:shd w:val="clear" w:color="auto" w:fill="auto"/>
          </w:tcPr>
          <w:p w:rsidR="00EC322F" w:rsidRPr="00343805" w:rsidRDefault="00EC322F" w:rsidP="00EC322F">
            <w:pPr>
              <w:pStyle w:val="TableBodyCells"/>
            </w:pPr>
            <w:r w:rsidRPr="00343805">
              <w:t xml:space="preserve"> 28.0 </w:t>
            </w:r>
          </w:p>
        </w:tc>
        <w:tc>
          <w:tcPr>
            <w:tcW w:w="1076" w:type="dxa"/>
            <w:shd w:val="clear" w:color="auto" w:fill="auto"/>
          </w:tcPr>
          <w:p w:rsidR="00EC322F" w:rsidRPr="00343805" w:rsidRDefault="00EC322F" w:rsidP="00EC322F">
            <w:pPr>
              <w:pStyle w:val="TableBodyCells"/>
            </w:pPr>
            <w:r w:rsidRPr="00343805">
              <w:t xml:space="preserve"> 29.8 </w:t>
            </w:r>
          </w:p>
        </w:tc>
        <w:tc>
          <w:tcPr>
            <w:tcW w:w="1077" w:type="dxa"/>
            <w:shd w:val="clear" w:color="auto" w:fill="auto"/>
          </w:tcPr>
          <w:p w:rsidR="00EC322F" w:rsidRPr="00343805" w:rsidRDefault="00EC322F" w:rsidP="00EC322F">
            <w:pPr>
              <w:pStyle w:val="TableBodyCells"/>
            </w:pPr>
            <w:r w:rsidRPr="00343805">
              <w:t xml:space="preserve"> 30.8 </w:t>
            </w:r>
          </w:p>
        </w:tc>
      </w:tr>
      <w:tr w:rsidR="00EC322F" w:rsidRPr="003662A4" w:rsidTr="000061C7">
        <w:tc>
          <w:tcPr>
            <w:tcW w:w="3055" w:type="dxa"/>
            <w:shd w:val="clear" w:color="auto" w:fill="auto"/>
            <w:vAlign w:val="center"/>
          </w:tcPr>
          <w:p w:rsidR="00EC322F" w:rsidRPr="003662A4" w:rsidRDefault="00EC322F">
            <w:pPr>
              <w:rPr>
                <w:rFonts w:cs="Arial"/>
                <w:b/>
                <w:bCs/>
                <w:sz w:val="18"/>
                <w:szCs w:val="18"/>
              </w:rPr>
            </w:pPr>
            <w:r w:rsidRPr="003662A4">
              <w:rPr>
                <w:rFonts w:cs="Arial"/>
                <w:b/>
                <w:bCs/>
                <w:sz w:val="18"/>
                <w:szCs w:val="18"/>
              </w:rPr>
              <w:t>Building block revenue requirement</w:t>
            </w:r>
          </w:p>
        </w:tc>
        <w:tc>
          <w:tcPr>
            <w:tcW w:w="1076" w:type="dxa"/>
            <w:shd w:val="clear" w:color="auto" w:fill="auto"/>
          </w:tcPr>
          <w:p w:rsidR="00EC322F" w:rsidRPr="00343805" w:rsidRDefault="00EC322F" w:rsidP="00EC322F">
            <w:pPr>
              <w:pStyle w:val="TableBodyCells"/>
            </w:pPr>
            <w:r w:rsidRPr="00343805">
              <w:t xml:space="preserve"> 125.3 </w:t>
            </w:r>
          </w:p>
        </w:tc>
        <w:tc>
          <w:tcPr>
            <w:tcW w:w="1076" w:type="dxa"/>
          </w:tcPr>
          <w:p w:rsidR="00EC322F" w:rsidRPr="00343805" w:rsidRDefault="00EC322F" w:rsidP="00EC322F">
            <w:pPr>
              <w:pStyle w:val="TableBodyCells"/>
            </w:pPr>
            <w:r w:rsidRPr="00343805">
              <w:t xml:space="preserve"> 130.8 </w:t>
            </w:r>
          </w:p>
        </w:tc>
        <w:tc>
          <w:tcPr>
            <w:tcW w:w="1077" w:type="dxa"/>
            <w:shd w:val="clear" w:color="auto" w:fill="auto"/>
          </w:tcPr>
          <w:p w:rsidR="00EC322F" w:rsidRPr="00343805" w:rsidRDefault="00EC322F" w:rsidP="00EC322F">
            <w:pPr>
              <w:pStyle w:val="TableBodyCells"/>
            </w:pPr>
            <w:r w:rsidRPr="00343805">
              <w:t xml:space="preserve"> 137.6 </w:t>
            </w:r>
          </w:p>
        </w:tc>
        <w:tc>
          <w:tcPr>
            <w:tcW w:w="1076" w:type="dxa"/>
            <w:shd w:val="clear" w:color="auto" w:fill="auto"/>
          </w:tcPr>
          <w:p w:rsidR="00EC322F" w:rsidRPr="00343805" w:rsidRDefault="00EC322F" w:rsidP="00EC322F">
            <w:pPr>
              <w:pStyle w:val="TableBodyCells"/>
            </w:pPr>
            <w:r w:rsidRPr="00343805">
              <w:t xml:space="preserve"> 146.2 </w:t>
            </w:r>
          </w:p>
        </w:tc>
        <w:tc>
          <w:tcPr>
            <w:tcW w:w="1077" w:type="dxa"/>
            <w:shd w:val="clear" w:color="auto" w:fill="auto"/>
          </w:tcPr>
          <w:p w:rsidR="00EC322F" w:rsidRDefault="00EC322F" w:rsidP="00EC322F">
            <w:pPr>
              <w:pStyle w:val="TableBodyCells"/>
            </w:pPr>
            <w:r w:rsidRPr="00343805">
              <w:t xml:space="preserve"> 141.7 </w:t>
            </w:r>
          </w:p>
        </w:tc>
      </w:tr>
    </w:tbl>
    <w:p w:rsidR="009C04E5" w:rsidRDefault="009C04E5" w:rsidP="00970275">
      <w:pPr>
        <w:pStyle w:val="BodyText"/>
      </w:pPr>
    </w:p>
    <w:p w:rsidR="00970275" w:rsidRDefault="00970275" w:rsidP="00970275">
      <w:pPr>
        <w:pStyle w:val="BodyText"/>
      </w:pPr>
      <w:r>
        <w:t xml:space="preserve">The net present value of the Reference Tariff revenue stream when discounted at the nominal </w:t>
      </w:r>
      <w:r w:rsidRPr="00EC322F">
        <w:t xml:space="preserve">vanilla WACC of </w:t>
      </w:r>
      <w:r w:rsidR="00F07A8F">
        <w:t>7.</w:t>
      </w:r>
      <w:r w:rsidR="00EC322F" w:rsidRPr="00EC322F">
        <w:t>7</w:t>
      </w:r>
      <w:r w:rsidRPr="00EC322F">
        <w:t>% is $</w:t>
      </w:r>
      <w:r w:rsidR="00EC322F">
        <w:t>5</w:t>
      </w:r>
      <w:r w:rsidR="00EC322F" w:rsidRPr="00EC322F">
        <w:t>4</w:t>
      </w:r>
      <w:r w:rsidR="003B0FEA">
        <w:t>6</w:t>
      </w:r>
      <w:r>
        <w:t xml:space="preserve"> million.</w:t>
      </w:r>
    </w:p>
    <w:p w:rsidR="00970275" w:rsidRDefault="00970275" w:rsidP="00970275">
      <w:pPr>
        <w:pStyle w:val="BodyText"/>
      </w:pPr>
    </w:p>
    <w:p w:rsidR="003662A4" w:rsidRPr="003662A4" w:rsidRDefault="00970275" w:rsidP="003662A4">
      <w:pPr>
        <w:pStyle w:val="Caption"/>
      </w:pPr>
      <w:proofErr w:type="gramStart"/>
      <w:r>
        <w:t xml:space="preserve">Table </w:t>
      </w:r>
      <w:fldSimple w:instr=" STYLEREF 1 \s ">
        <w:r w:rsidR="00154DB7">
          <w:rPr>
            <w:noProof/>
          </w:rPr>
          <w:t>10</w:t>
        </w:r>
      </w:fldSimple>
      <w:r w:rsidR="001F4E56">
        <w:t>.</w:t>
      </w:r>
      <w:proofErr w:type="gramEnd"/>
      <w:r w:rsidR="007D0F77">
        <w:fldChar w:fldCharType="begin"/>
      </w:r>
      <w:r w:rsidR="007D0F77">
        <w:instrText xml:space="preserve"> SEQ Table \* ARABIC \s 1 </w:instrText>
      </w:r>
      <w:r w:rsidR="007D0F77">
        <w:fldChar w:fldCharType="separate"/>
      </w:r>
      <w:r w:rsidR="00154DB7">
        <w:rPr>
          <w:noProof/>
        </w:rPr>
        <w:t>2</w:t>
      </w:r>
      <w:r w:rsidR="007D0F77">
        <w:rPr>
          <w:noProof/>
        </w:rPr>
        <w:fldChar w:fldCharType="end"/>
      </w:r>
      <w:r>
        <w:t xml:space="preserve">:  </w:t>
      </w:r>
      <w:r w:rsidRPr="00970275">
        <w:t>Reference Tariff revenue stream</w:t>
      </w:r>
      <w:r w:rsidR="003662A4">
        <w:t xml:space="preserve"> ($m </w:t>
      </w:r>
      <w:r w:rsidR="00C10EF9">
        <w:t>n</w:t>
      </w:r>
      <w:r w:rsidR="003662A4">
        <w:t>ominal)</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9C04E5" w:rsidRPr="00394DF9" w:rsidTr="00C45A01">
        <w:tc>
          <w:tcPr>
            <w:tcW w:w="3055" w:type="dxa"/>
            <w:shd w:val="clear" w:color="auto" w:fill="333333"/>
          </w:tcPr>
          <w:p w:rsidR="009C04E5" w:rsidRPr="00394DF9" w:rsidRDefault="00996547" w:rsidP="003662A4">
            <w:pPr>
              <w:pStyle w:val="TableColumnHeadings"/>
              <w:keepNext/>
              <w:jc w:val="left"/>
              <w:rPr>
                <w:rFonts w:ascii="Century Gothic" w:hAnsi="Century Gothic"/>
                <w:szCs w:val="18"/>
              </w:rPr>
            </w:pPr>
            <w:r>
              <w:rPr>
                <w:rFonts w:ascii="Century Gothic" w:hAnsi="Century Gothic"/>
                <w:szCs w:val="18"/>
              </w:rPr>
              <w:t>$m nominal</w:t>
            </w:r>
          </w:p>
        </w:tc>
        <w:tc>
          <w:tcPr>
            <w:tcW w:w="1076" w:type="dxa"/>
            <w:shd w:val="clear" w:color="auto" w:fill="333333"/>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2018</w:t>
            </w:r>
          </w:p>
        </w:tc>
        <w:tc>
          <w:tcPr>
            <w:tcW w:w="1076" w:type="dxa"/>
            <w:shd w:val="clear" w:color="auto" w:fill="333333"/>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2019</w:t>
            </w:r>
          </w:p>
        </w:tc>
        <w:tc>
          <w:tcPr>
            <w:tcW w:w="1077" w:type="dxa"/>
            <w:shd w:val="clear" w:color="auto" w:fill="333333"/>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2020</w:t>
            </w:r>
          </w:p>
        </w:tc>
        <w:tc>
          <w:tcPr>
            <w:tcW w:w="1076" w:type="dxa"/>
            <w:shd w:val="clear" w:color="auto" w:fill="333333"/>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2021</w:t>
            </w:r>
          </w:p>
        </w:tc>
        <w:tc>
          <w:tcPr>
            <w:tcW w:w="1077" w:type="dxa"/>
            <w:shd w:val="clear" w:color="auto" w:fill="333333"/>
          </w:tcPr>
          <w:p w:rsidR="009C04E5" w:rsidRPr="00394DF9" w:rsidRDefault="009C04E5" w:rsidP="0071340F">
            <w:pPr>
              <w:pStyle w:val="TableColumnHeadings"/>
              <w:rPr>
                <w:rFonts w:ascii="Century Gothic" w:hAnsi="Century Gothic"/>
                <w:szCs w:val="18"/>
              </w:rPr>
            </w:pPr>
            <w:r w:rsidRPr="00394DF9">
              <w:rPr>
                <w:rFonts w:ascii="Century Gothic" w:hAnsi="Century Gothic"/>
                <w:szCs w:val="18"/>
              </w:rPr>
              <w:t>2022</w:t>
            </w:r>
          </w:p>
        </w:tc>
      </w:tr>
      <w:tr w:rsidR="00EC322F" w:rsidRPr="00394DF9" w:rsidTr="000061C7">
        <w:tc>
          <w:tcPr>
            <w:tcW w:w="3055" w:type="dxa"/>
            <w:shd w:val="clear" w:color="auto" w:fill="auto"/>
            <w:vAlign w:val="center"/>
          </w:tcPr>
          <w:p w:rsidR="00EC322F" w:rsidRPr="00394DF9" w:rsidRDefault="00EC322F" w:rsidP="00765236">
            <w:pPr>
              <w:rPr>
                <w:rFonts w:cs="Arial"/>
                <w:b/>
                <w:bCs/>
                <w:sz w:val="18"/>
                <w:szCs w:val="18"/>
              </w:rPr>
            </w:pPr>
            <w:r w:rsidRPr="00394DF9">
              <w:rPr>
                <w:rFonts w:cs="Arial"/>
                <w:b/>
                <w:bCs/>
                <w:sz w:val="18"/>
                <w:szCs w:val="18"/>
              </w:rPr>
              <w:t>Smoothed revenue path</w:t>
            </w:r>
          </w:p>
        </w:tc>
        <w:tc>
          <w:tcPr>
            <w:tcW w:w="1076" w:type="dxa"/>
            <w:shd w:val="clear" w:color="auto" w:fill="auto"/>
          </w:tcPr>
          <w:p w:rsidR="00EC322F" w:rsidRPr="00FF33A4" w:rsidRDefault="003B0FEA" w:rsidP="00EC322F">
            <w:pPr>
              <w:pStyle w:val="TableBodyCells"/>
            </w:pPr>
            <w:r>
              <w:t>119.4</w:t>
            </w:r>
          </w:p>
        </w:tc>
        <w:tc>
          <w:tcPr>
            <w:tcW w:w="1076" w:type="dxa"/>
          </w:tcPr>
          <w:p w:rsidR="00EC322F" w:rsidRPr="00FF33A4" w:rsidRDefault="003B0FEA" w:rsidP="00EC322F">
            <w:pPr>
              <w:pStyle w:val="TableBodyCells"/>
            </w:pPr>
            <w:r>
              <w:t>126.0</w:t>
            </w:r>
          </w:p>
        </w:tc>
        <w:tc>
          <w:tcPr>
            <w:tcW w:w="1077" w:type="dxa"/>
            <w:shd w:val="clear" w:color="auto" w:fill="auto"/>
          </w:tcPr>
          <w:p w:rsidR="00EC322F" w:rsidRPr="00FF33A4" w:rsidRDefault="003B0FEA" w:rsidP="00EC322F">
            <w:pPr>
              <w:pStyle w:val="TableBodyCells"/>
            </w:pPr>
            <w:r>
              <w:t>134.3</w:t>
            </w:r>
          </w:p>
        </w:tc>
        <w:tc>
          <w:tcPr>
            <w:tcW w:w="1076" w:type="dxa"/>
            <w:shd w:val="clear" w:color="auto" w:fill="auto"/>
          </w:tcPr>
          <w:p w:rsidR="00EC322F" w:rsidRPr="00FF33A4" w:rsidRDefault="003B0FEA" w:rsidP="00EC322F">
            <w:pPr>
              <w:pStyle w:val="TableBodyCells"/>
            </w:pPr>
            <w:r>
              <w:t>143.1</w:t>
            </w:r>
          </w:p>
        </w:tc>
        <w:tc>
          <w:tcPr>
            <w:tcW w:w="1077" w:type="dxa"/>
            <w:shd w:val="clear" w:color="auto" w:fill="auto"/>
          </w:tcPr>
          <w:p w:rsidR="00EC322F" w:rsidRDefault="003B0FEA" w:rsidP="00EC322F">
            <w:pPr>
              <w:pStyle w:val="TableBodyCells"/>
            </w:pPr>
            <w:r>
              <w:t>152.9</w:t>
            </w:r>
          </w:p>
        </w:tc>
      </w:tr>
    </w:tbl>
    <w:p w:rsidR="00970275" w:rsidRDefault="00970275" w:rsidP="00970275">
      <w:pPr>
        <w:pStyle w:val="BodyText"/>
      </w:pPr>
      <w:r>
        <w:t xml:space="preserve">The net present value of the Reference Tariff revenue stream when discounted at the nominal vanilla </w:t>
      </w:r>
      <w:r w:rsidRPr="00EC322F">
        <w:t xml:space="preserve">WACC of </w:t>
      </w:r>
      <w:r w:rsidR="005E6094" w:rsidRPr="00EC322F">
        <w:t>7.</w:t>
      </w:r>
      <w:r w:rsidR="00EC322F" w:rsidRPr="00EC322F">
        <w:t>7</w:t>
      </w:r>
      <w:r w:rsidR="003662A4" w:rsidRPr="00EC322F">
        <w:t>% is</w:t>
      </w:r>
      <w:r w:rsidR="003662A4" w:rsidRPr="003662A4">
        <w:t xml:space="preserve"> $</w:t>
      </w:r>
      <w:r w:rsidR="00EC322F" w:rsidRPr="00EC322F">
        <w:t>5</w:t>
      </w:r>
      <w:r w:rsidR="003B0FEA">
        <w:t>46</w:t>
      </w:r>
      <w:r w:rsidR="00EC322F" w:rsidRPr="00EC322F">
        <w:t xml:space="preserve"> </w:t>
      </w:r>
      <w:r>
        <w:t>million which is equal to the present value of the revenue requirement.</w:t>
      </w:r>
    </w:p>
    <w:p w:rsidR="00970275" w:rsidRDefault="00970275" w:rsidP="00970275">
      <w:pPr>
        <w:pStyle w:val="Heading2"/>
      </w:pPr>
      <w:bookmarkStart w:id="63" w:name="_Toc471221371"/>
      <w:r>
        <w:t>Reference Tariffs</w:t>
      </w:r>
      <w:bookmarkEnd w:id="63"/>
      <w:r>
        <w:t xml:space="preserve"> </w:t>
      </w:r>
    </w:p>
    <w:p w:rsidR="00970275" w:rsidRDefault="00970275" w:rsidP="00970275">
      <w:pPr>
        <w:pStyle w:val="BodyText"/>
      </w:pPr>
      <w:r>
        <w:t>Tariffs for Reference Services are set out in the Access Arrangement. Tariffs are published for 201</w:t>
      </w:r>
      <w:r w:rsidR="00B07A6C">
        <w:t>8</w:t>
      </w:r>
      <w:r>
        <w:t xml:space="preserve"> ($</w:t>
      </w:r>
      <w:r w:rsidRPr="00F2097A">
        <w:t>2017</w:t>
      </w:r>
      <w:r>
        <w:t xml:space="preserve">) and are exclusive of Goods and Services Tax (GST). </w:t>
      </w:r>
    </w:p>
    <w:p w:rsidR="00970275" w:rsidRDefault="00970275" w:rsidP="00970275">
      <w:pPr>
        <w:pStyle w:val="Heading3"/>
      </w:pPr>
      <w:bookmarkStart w:id="64" w:name="_Toc471221372"/>
      <w:r>
        <w:t>Reference tariff variation mechanism</w:t>
      </w:r>
      <w:bookmarkEnd w:id="64"/>
      <w:r>
        <w:t xml:space="preserve"> </w:t>
      </w:r>
    </w:p>
    <w:p w:rsidR="00BA0254" w:rsidRDefault="00BA0254" w:rsidP="00BA0254">
      <w:pPr>
        <w:pStyle w:val="BodyText"/>
      </w:pPr>
      <w:bookmarkStart w:id="65" w:name="_Toc470011194"/>
      <w:r>
        <w:t>Reference Tariffs are varied in later years of the Access Arrangement Period through the operation of the Reference Tariff Variation Mechanism, which comprises:</w:t>
      </w:r>
    </w:p>
    <w:p w:rsidR="00BA0254" w:rsidRDefault="00BA0254" w:rsidP="00BA0254">
      <w:pPr>
        <w:pStyle w:val="ListBullet"/>
      </w:pPr>
      <w:r>
        <w:t>a Scheduled Reference Tariff Variation Mechanism - which applies in respect of each Regulatory Year of the Access Arrangement Period after the First Regulatory Year; and</w:t>
      </w:r>
    </w:p>
    <w:p w:rsidR="00BA0254" w:rsidRDefault="00BA0254" w:rsidP="00BA0254">
      <w:pPr>
        <w:pStyle w:val="ListBullet"/>
      </w:pPr>
      <w:r>
        <w:t>a Cost Pass-through Reference Tariff Variation Mechanism - under which APA VTS may seek to vary the Reference Tariffs as a result of a Cost Pass-through Event.</w:t>
      </w:r>
    </w:p>
    <w:p w:rsidR="00BA0254" w:rsidRDefault="00BA0254" w:rsidP="00BA0254">
      <w:pPr>
        <w:pStyle w:val="Heading3"/>
      </w:pPr>
      <w:bookmarkStart w:id="66" w:name="_Toc471221373"/>
      <w:r>
        <w:t>Scheduled Reference Tariff Variation Mechanism</w:t>
      </w:r>
      <w:bookmarkEnd w:id="65"/>
      <w:bookmarkEnd w:id="66"/>
    </w:p>
    <w:p w:rsidR="00BA0254" w:rsidRDefault="00BA0254" w:rsidP="00BA0254">
      <w:pPr>
        <w:pStyle w:val="BodyText"/>
      </w:pPr>
      <w:r>
        <w:t>The Reference Tariffs may be varied during the Access Arrangement Period in accordance with the formula specified in Schedule D of the VTS Access Arrangement.  The principles given effect by application of the formula which, in fact, comprises a sequence of interrelated formulae, and the formulae themselves, are as follows.</w:t>
      </w:r>
    </w:p>
    <w:p w:rsidR="00353126" w:rsidRPr="00353126" w:rsidRDefault="00353126" w:rsidP="00353126">
      <w:pPr>
        <w:pStyle w:val="Heading5"/>
        <w:rPr>
          <w:b/>
        </w:rPr>
      </w:pPr>
      <w:bookmarkStart w:id="67" w:name="_Ref469818707"/>
      <w:bookmarkStart w:id="68" w:name="_Toc469820738"/>
      <w:r w:rsidRPr="00353126">
        <w:rPr>
          <w:b/>
        </w:rPr>
        <w:t>Revenue control principles</w:t>
      </w:r>
      <w:bookmarkEnd w:id="67"/>
      <w:bookmarkEnd w:id="68"/>
    </w:p>
    <w:p w:rsidR="00353126" w:rsidRDefault="00353126" w:rsidP="00353126">
      <w:pPr>
        <w:pStyle w:val="BodyTextIndent1"/>
      </w:pPr>
      <w:r>
        <w:t>(a)</w:t>
      </w:r>
      <w:r>
        <w:tab/>
        <w:t>Individual components of the Transmission Tariffs may be adjusted up or down for a given Regulatory Year after the First Regulatory Year provided that:</w:t>
      </w:r>
    </w:p>
    <w:p w:rsidR="00353126" w:rsidRPr="001075DF" w:rsidRDefault="00353126" w:rsidP="00353126">
      <w:pPr>
        <w:pStyle w:val="BodyTextIndent2"/>
      </w:pPr>
      <w:r w:rsidRPr="001075DF">
        <w:lastRenderedPageBreak/>
        <w:t>(</w:t>
      </w:r>
      <w:proofErr w:type="spellStart"/>
      <w:r w:rsidRPr="001075DF">
        <w:t>i</w:t>
      </w:r>
      <w:proofErr w:type="spellEnd"/>
      <w:r w:rsidRPr="001075DF">
        <w:t>)</w:t>
      </w:r>
      <w:r w:rsidRPr="001075DF">
        <w:tab/>
      </w:r>
      <w:proofErr w:type="gramStart"/>
      <w:r w:rsidRPr="001075DF">
        <w:t>the</w:t>
      </w:r>
      <w:proofErr w:type="gramEnd"/>
      <w:r w:rsidRPr="001075DF">
        <w:t xml:space="preserve"> NPV of the actual revenues (AR) </w:t>
      </w:r>
      <w:r>
        <w:t>(</w:t>
      </w:r>
      <w:r w:rsidRPr="001075DF">
        <w:t xml:space="preserve">determined </w:t>
      </w:r>
      <w:r w:rsidR="002D79FF">
        <w:t xml:space="preserve">as outlined </w:t>
      </w:r>
      <w:r w:rsidRPr="002D79FF">
        <w:t>below</w:t>
      </w:r>
      <w:r w:rsidRPr="001075DF">
        <w:t xml:space="preserve">) achieved is no greater than the NPV of the adjusted target revenues (ATR) (determined </w:t>
      </w:r>
      <w:r w:rsidR="002D79FF">
        <w:t>as outlined</w:t>
      </w:r>
      <w:r w:rsidRPr="002D79FF">
        <w:t xml:space="preserve"> below</w:t>
      </w:r>
      <w:r w:rsidRPr="001075DF">
        <w:t xml:space="preserve">); and </w:t>
      </w:r>
    </w:p>
    <w:p w:rsidR="00353126" w:rsidRPr="001075DF" w:rsidRDefault="00353126" w:rsidP="00353126">
      <w:pPr>
        <w:pStyle w:val="BodyTextIndent2"/>
      </w:pPr>
      <w:r w:rsidRPr="001075DF">
        <w:t>(ii)</w:t>
      </w:r>
      <w:r w:rsidRPr="001075DF">
        <w:tab/>
      </w:r>
      <w:proofErr w:type="gramStart"/>
      <w:r w:rsidRPr="001075DF">
        <w:t>no</w:t>
      </w:r>
      <w:proofErr w:type="gramEnd"/>
      <w:r w:rsidRPr="001075DF">
        <w:t xml:space="preserve"> component of the Transmission Tariffs can be increased by more than </w:t>
      </w:r>
      <w:r w:rsidRPr="00670DA2">
        <w:t>(</w:t>
      </w:r>
      <w:r w:rsidRPr="001075DF">
        <w:t>CPI - X)*(1 + Y) for any Regulatory Year, where:</w:t>
      </w:r>
    </w:p>
    <w:p w:rsidR="00353126" w:rsidRDefault="00353126" w:rsidP="00353126">
      <w:pPr>
        <w:pStyle w:val="BodyTextIndent31"/>
      </w:pPr>
      <w:r>
        <w:t>(A)</w:t>
      </w:r>
      <w:r>
        <w:tab/>
        <w:t>X is the tariff path factor prescribed for that Transmission Tariff component in the Access Arrangement; and</w:t>
      </w:r>
    </w:p>
    <w:p w:rsidR="00353126" w:rsidRDefault="00353126" w:rsidP="00353126">
      <w:pPr>
        <w:pStyle w:val="BodyTextIndent31"/>
      </w:pPr>
      <w:r>
        <w:t>(B)</w:t>
      </w:r>
      <w:r>
        <w:tab/>
        <w:t>Y is 2%.</w:t>
      </w:r>
    </w:p>
    <w:p w:rsidR="00353126" w:rsidRDefault="00353126" w:rsidP="00353126">
      <w:pPr>
        <w:pStyle w:val="BodyTextIndent1"/>
      </w:pPr>
      <w:r>
        <w:t>(b)</w:t>
      </w:r>
      <w:r>
        <w:tab/>
        <w:t xml:space="preserve">All monetary calculations and figures used in calculations </w:t>
      </w:r>
      <w:r w:rsidR="00DD41E2">
        <w:t xml:space="preserve">for the variation of the components of the Transmission Tariffs </w:t>
      </w:r>
      <w:r>
        <w:t xml:space="preserve">are to be expressed in real dollar values using a CPI indexed </w:t>
      </w:r>
      <w:r w:rsidRPr="009D5DF3">
        <w:t xml:space="preserve">at December </w:t>
      </w:r>
      <w:r>
        <w:t xml:space="preserve">2017, and using the best estimate of the CPI at December of each year of </w:t>
      </w:r>
      <w:r w:rsidRPr="009D5DF3">
        <w:t xml:space="preserve">the </w:t>
      </w:r>
      <w:r>
        <w:t>Fifth Access Arrangement Period.</w:t>
      </w:r>
    </w:p>
    <w:p w:rsidR="00353126" w:rsidRDefault="00353126" w:rsidP="00353126">
      <w:pPr>
        <w:pStyle w:val="BodyTextIndent1"/>
      </w:pPr>
      <w:r>
        <w:t>(c)</w:t>
      </w:r>
      <w:r>
        <w:tab/>
        <w:t xml:space="preserve">All calculations and figures for determination of any price control formula component at any particular time must be the best estimate of that component at the relevant time using reported or actual (as the case may be) values where available and the best estimates of forecast values where required.  For the purposes of this paragraph (c), the price control formula components include revenues, volumes, CPI, EDDs, costs passed through under the Cost Pass-through Reference Tariff Adjustment Mechanism, </w:t>
      </w:r>
      <w:proofErr w:type="spellStart"/>
      <w:r>
        <w:t>etc</w:t>
      </w:r>
      <w:proofErr w:type="spellEnd"/>
      <w:r>
        <w:t>).</w:t>
      </w:r>
    </w:p>
    <w:p w:rsidR="00353126" w:rsidRDefault="00353126" w:rsidP="00353126">
      <w:pPr>
        <w:pStyle w:val="BodyTextIndent1"/>
      </w:pPr>
      <w:r>
        <w:t>(d)</w:t>
      </w:r>
      <w:r>
        <w:tab/>
        <w:t xml:space="preserve">The NPV is to be calculated using a discount rate equal to the Real Vanilla WACC as </w:t>
      </w:r>
      <w:r w:rsidRPr="00A73501">
        <w:t xml:space="preserve">approved for the </w:t>
      </w:r>
      <w:r>
        <w:t>Fifth</w:t>
      </w:r>
      <w:r w:rsidRPr="00A73501">
        <w:t xml:space="preserve"> Access</w:t>
      </w:r>
      <w:r>
        <w:t xml:space="preserve"> Arrangement Period.</w:t>
      </w:r>
    </w:p>
    <w:p w:rsidR="00353126" w:rsidRDefault="00353126" w:rsidP="00353126">
      <w:pPr>
        <w:pStyle w:val="BodyTextIndent1"/>
      </w:pPr>
      <w:r w:rsidRPr="00407173">
        <w:t>(e)</w:t>
      </w:r>
      <w:r w:rsidRPr="00407173">
        <w:tab/>
        <w:t>Separately report actual injection volume under of the price control model.</w:t>
      </w:r>
    </w:p>
    <w:p w:rsidR="00353126" w:rsidRPr="00353126" w:rsidRDefault="00353126" w:rsidP="00353126">
      <w:pPr>
        <w:pStyle w:val="Heading5"/>
        <w:rPr>
          <w:b/>
        </w:rPr>
      </w:pPr>
      <w:bookmarkStart w:id="69" w:name="_Ref461002521"/>
      <w:bookmarkStart w:id="70" w:name="_Ref461002708"/>
      <w:bookmarkStart w:id="71" w:name="_Ref461017738"/>
      <w:bookmarkStart w:id="72" w:name="_Toc469820739"/>
      <w:r w:rsidRPr="00353126">
        <w:rPr>
          <w:b/>
        </w:rPr>
        <w:t>AR</w:t>
      </w:r>
      <w:bookmarkEnd w:id="69"/>
      <w:bookmarkEnd w:id="70"/>
      <w:bookmarkEnd w:id="71"/>
      <w:bookmarkEnd w:id="72"/>
    </w:p>
    <w:p w:rsidR="00353126" w:rsidRPr="00EC4C10" w:rsidRDefault="00353126" w:rsidP="00353126">
      <w:pPr>
        <w:pStyle w:val="BodyText"/>
      </w:pPr>
      <w:r w:rsidRPr="00EC4C10">
        <w:t xml:space="preserve">Each determination of AR will be equal to the best estimate of the actual revenues received for the whole of the </w:t>
      </w:r>
      <w:r>
        <w:t>Fifth</w:t>
      </w:r>
      <w:r w:rsidRPr="00EC4C10">
        <w:t xml:space="preserve"> Access Arrangement Period at the time of calculation, using both actual data (Actual Revenues) (where available) and best estimates of forecast revenues (Forecast Revenues) where required.</w:t>
      </w:r>
    </w:p>
    <w:p w:rsidR="00353126" w:rsidRDefault="00353126" w:rsidP="00353126">
      <w:pPr>
        <w:pStyle w:val="BodyText"/>
      </w:pPr>
      <w:r w:rsidRPr="00EC4C10">
        <w:t>For example, for a determination of AR in November 201</w:t>
      </w:r>
      <w:r>
        <w:t>8</w:t>
      </w:r>
      <w:r w:rsidRPr="00EC4C10">
        <w:t>, the best estimate of actual revenues will be the Actual Revenues in 201</w:t>
      </w:r>
      <w:r>
        <w:t>7</w:t>
      </w:r>
      <w:r w:rsidRPr="00EC4C10">
        <w:t xml:space="preserve"> and the Forecast Revenues expected for the remainder of the </w:t>
      </w:r>
      <w:r>
        <w:t>Fifth</w:t>
      </w:r>
      <w:r w:rsidRPr="00EC4C10">
        <w:t xml:space="preserve"> Access</w:t>
      </w:r>
      <w:r>
        <w:t xml:space="preserve"> Arrangement </w:t>
      </w:r>
      <w:r>
        <w:lastRenderedPageBreak/>
        <w:t>Period. A determination of AR in subsequent years will use the Actual Revenues received where available, and the best revised forecasts for the remaining years, where the revised forecasts may differ from those forecasts made at earlier determinations.</w:t>
      </w:r>
    </w:p>
    <w:p w:rsidR="00353126" w:rsidRPr="00353126" w:rsidRDefault="00353126" w:rsidP="00353126">
      <w:pPr>
        <w:pStyle w:val="Heading5"/>
        <w:rPr>
          <w:b/>
        </w:rPr>
      </w:pPr>
      <w:bookmarkStart w:id="73" w:name="_Ref461017750"/>
      <w:bookmarkStart w:id="74" w:name="_Toc469820740"/>
      <w:r w:rsidRPr="00353126">
        <w:rPr>
          <w:b/>
        </w:rPr>
        <w:t>ATR</w:t>
      </w:r>
      <w:bookmarkEnd w:id="73"/>
      <w:bookmarkEnd w:id="74"/>
    </w:p>
    <w:p w:rsidR="00353126" w:rsidRDefault="00353126" w:rsidP="00353126">
      <w:pPr>
        <w:pStyle w:val="BodyText"/>
      </w:pPr>
      <w:r w:rsidRPr="008E11AB">
        <w:t>For the price control formula, the target revenue (T</w:t>
      </w:r>
      <w:r w:rsidR="00F2097A">
        <w:t>R) for First Regulatory Year is $</w:t>
      </w:r>
      <w:r w:rsidR="00F2097A" w:rsidRPr="00F2097A">
        <w:t>127.7</w:t>
      </w:r>
      <w:r w:rsidRPr="00F2097A">
        <w:t xml:space="preserve"> m</w:t>
      </w:r>
      <w:r w:rsidRPr="008E11AB">
        <w:t xml:space="preserve"> in nominal </w:t>
      </w:r>
      <w:r>
        <w:t>2018</w:t>
      </w:r>
      <w:r w:rsidRPr="008E11AB">
        <w:t xml:space="preserve"> dollars. Further, the total volume withdrawn from the VTS for the First Regulatory Year, excluding NRRV, </w:t>
      </w:r>
      <w:proofErr w:type="gramStart"/>
      <w:r w:rsidRPr="008E11AB">
        <w:t xml:space="preserve">is </w:t>
      </w:r>
      <w:r w:rsidRPr="00F2097A">
        <w:t xml:space="preserve"> PJ</w:t>
      </w:r>
      <w:proofErr w:type="gramEnd"/>
      <w:r w:rsidRPr="008E11AB">
        <w:t>.</w:t>
      </w:r>
    </w:p>
    <w:p w:rsidR="00353126" w:rsidRDefault="00353126" w:rsidP="00353126">
      <w:pPr>
        <w:pStyle w:val="BodyText"/>
        <w:rPr>
          <w:b/>
        </w:rPr>
      </w:pPr>
      <w:r w:rsidRPr="00D35BA4">
        <w:rPr>
          <w:b/>
        </w:rPr>
        <w:t xml:space="preserve">ATR = VATR + </w:t>
      </w:r>
      <w:r>
        <w:rPr>
          <w:b/>
        </w:rPr>
        <w:t xml:space="preserve">RODA + </w:t>
      </w:r>
      <w:r w:rsidRPr="00D35BA4">
        <w:rPr>
          <w:b/>
        </w:rPr>
        <w:t>PTA +CFA</w:t>
      </w:r>
    </w:p>
    <w:p w:rsidR="00353126" w:rsidRDefault="00353126" w:rsidP="00353126">
      <w:pPr>
        <w:pStyle w:val="BodyText"/>
      </w:pPr>
      <w:proofErr w:type="gramStart"/>
      <w:r>
        <w:t>where</w:t>
      </w:r>
      <w:proofErr w:type="gramEnd"/>
      <w:r>
        <w:t>:</w:t>
      </w:r>
    </w:p>
    <w:p w:rsidR="00353126" w:rsidRDefault="00353126" w:rsidP="00353126">
      <w:pPr>
        <w:pStyle w:val="BodyText"/>
        <w:ind w:left="1134" w:hanging="1134"/>
      </w:pPr>
      <w:r w:rsidRPr="00D35BA4">
        <w:rPr>
          <w:b/>
        </w:rPr>
        <w:t>VATR</w:t>
      </w:r>
      <w:r>
        <w:tab/>
        <w:t xml:space="preserve">is volume adjusted target revenue calculated </w:t>
      </w:r>
      <w:r w:rsidR="002D79FF">
        <w:t>as outlined below</w:t>
      </w:r>
      <w:r>
        <w:t>;</w:t>
      </w:r>
    </w:p>
    <w:p w:rsidR="00353126" w:rsidRPr="007717A4" w:rsidRDefault="00F5132E" w:rsidP="00353126">
      <w:pPr>
        <w:pStyle w:val="BodyText"/>
        <w:ind w:left="1134" w:hanging="1134"/>
      </w:pPr>
      <w:r>
        <w:rPr>
          <w:b/>
        </w:rPr>
        <w:t>ROD</w:t>
      </w:r>
      <w:r w:rsidR="00353126">
        <w:rPr>
          <w:b/>
        </w:rPr>
        <w:t>A</w:t>
      </w:r>
      <w:r w:rsidR="00353126">
        <w:rPr>
          <w:b/>
        </w:rPr>
        <w:tab/>
      </w:r>
      <w:r w:rsidR="00353126" w:rsidRPr="007717A4">
        <w:t xml:space="preserve">is the </w:t>
      </w:r>
      <w:r w:rsidR="00353126">
        <w:t>return on debt adjustment for the Regulatory Year for which the components of the Transmission Tariffs are to be adjusted;</w:t>
      </w:r>
    </w:p>
    <w:p w:rsidR="00353126" w:rsidRDefault="00353126" w:rsidP="00353126">
      <w:pPr>
        <w:pStyle w:val="BodyText"/>
        <w:ind w:left="1134" w:hanging="1134"/>
      </w:pPr>
      <w:r w:rsidRPr="00D35BA4">
        <w:rPr>
          <w:b/>
        </w:rPr>
        <w:t>PTA</w:t>
      </w:r>
      <w:r>
        <w:tab/>
        <w:t>is the approved pass through amount from a Cost Pass-through Event; and</w:t>
      </w:r>
    </w:p>
    <w:p w:rsidR="00353126" w:rsidRDefault="00353126" w:rsidP="00353126">
      <w:pPr>
        <w:pStyle w:val="BodyText"/>
        <w:ind w:left="1134" w:hanging="1134"/>
      </w:pPr>
      <w:r w:rsidRPr="00D35BA4">
        <w:rPr>
          <w:b/>
        </w:rPr>
        <w:t>CFA</w:t>
      </w:r>
      <w:r>
        <w:tab/>
      </w:r>
      <w:r w:rsidRPr="00CE3BA0">
        <w:t xml:space="preserve">is, for the </w:t>
      </w:r>
      <w:r>
        <w:t xml:space="preserve">First </w:t>
      </w:r>
      <w:r w:rsidRPr="00CE3BA0">
        <w:t xml:space="preserve">Regulatory Year, the second carry-forward amount </w:t>
      </w:r>
      <w:r>
        <w:t>SCA</w:t>
      </w:r>
      <w:r w:rsidR="00F5132E">
        <w:t xml:space="preserve"> calculated in accordance with</w:t>
      </w:r>
      <w:r w:rsidRPr="00B344EA">
        <w:t xml:space="preserve"> </w:t>
      </w:r>
      <w:r w:rsidRPr="00CE3BA0">
        <w:t>clause D.7 of the access</w:t>
      </w:r>
      <w:r>
        <w:t xml:space="preserve"> arrangement for the VTS applicable during the Fourth Access Arrangement Period, and is, for all other Regulatory Years in the Fifth Access Arrangement Period, zero.</w:t>
      </w:r>
    </w:p>
    <w:p w:rsidR="00353126" w:rsidRDefault="00353126" w:rsidP="00353126">
      <w:pPr>
        <w:pStyle w:val="BodyText"/>
      </w:pPr>
      <w:r>
        <w:t>Notes:</w:t>
      </w:r>
    </w:p>
    <w:p w:rsidR="00353126" w:rsidRDefault="00F5132E" w:rsidP="00353126">
      <w:pPr>
        <w:pStyle w:val="BodyTextIndent1"/>
      </w:pPr>
      <w:r>
        <w:t>1.</w:t>
      </w:r>
      <w:r>
        <w:tab/>
        <w:t>ROD</w:t>
      </w:r>
      <w:r w:rsidR="00353126">
        <w:t>A = NPVDIFF*(1 + RVWACC</w:t>
      </w:r>
      <w:proofErr w:type="gramStart"/>
      <w:r w:rsidR="00353126">
        <w:t>)</w:t>
      </w:r>
      <w:r w:rsidR="00353126" w:rsidRPr="007717A4">
        <w:rPr>
          <w:vertAlign w:val="superscript"/>
        </w:rPr>
        <w:t>n</w:t>
      </w:r>
      <w:proofErr w:type="gramEnd"/>
      <w:r w:rsidR="00353126">
        <w:t xml:space="preserve"> where:</w:t>
      </w:r>
    </w:p>
    <w:p w:rsidR="00353126" w:rsidRDefault="00353126" w:rsidP="00353126">
      <w:pPr>
        <w:pStyle w:val="BodyTextIndent1"/>
        <w:ind w:left="1134"/>
      </w:pPr>
      <w:r>
        <w:t>(a)</w:t>
      </w:r>
      <w:r>
        <w:tab/>
        <w:t>NPVDIFF is the difference between:</w:t>
      </w:r>
    </w:p>
    <w:p w:rsidR="00353126" w:rsidRDefault="00353126" w:rsidP="00353126">
      <w:pPr>
        <w:pStyle w:val="BodyTextIndent1"/>
        <w:ind w:left="1701"/>
      </w:pPr>
      <w:r>
        <w:t>(</w:t>
      </w:r>
      <w:proofErr w:type="spellStart"/>
      <w:r>
        <w:t>i</w:t>
      </w:r>
      <w:proofErr w:type="spellEnd"/>
      <w:r>
        <w:t>)</w:t>
      </w:r>
      <w:r>
        <w:tab/>
        <w:t>the net present value of the total revenue from the Post-Tax Revenue Model after updating the Trailing Average Portfolio Return on Debt for the Regulatory Year for which the components of the Transmission Tariffs are to be varied; and</w:t>
      </w:r>
    </w:p>
    <w:p w:rsidR="00353126" w:rsidRDefault="00353126" w:rsidP="00353126">
      <w:pPr>
        <w:pStyle w:val="BodyTextIndent1"/>
        <w:ind w:left="1701"/>
      </w:pPr>
      <w:r>
        <w:t>(ii)</w:t>
      </w:r>
      <w:r>
        <w:tab/>
      </w:r>
      <w:proofErr w:type="gramStart"/>
      <w:r>
        <w:t>the</w:t>
      </w:r>
      <w:proofErr w:type="gramEnd"/>
      <w:r>
        <w:t xml:space="preserve"> net present value of the total revenue from the Post-Tax Revenue Model immediately prior to updating the Trailing Average Portfolio Return on Debt for the Regulatory Year for which the components of the Transmission Tariffs are to be varied;</w:t>
      </w:r>
    </w:p>
    <w:p w:rsidR="00353126" w:rsidRDefault="00353126" w:rsidP="00353126">
      <w:pPr>
        <w:pStyle w:val="BodyTextIndent1"/>
        <w:ind w:left="1134"/>
      </w:pPr>
      <w:r>
        <w:lastRenderedPageBreak/>
        <w:t>(b)</w:t>
      </w:r>
      <w:r>
        <w:tab/>
        <w:t>RVWACC is the Real Vanilla WACC as approved for the Fifth Access Arrangement Period; and</w:t>
      </w:r>
    </w:p>
    <w:p w:rsidR="00353126" w:rsidRPr="007717A4" w:rsidRDefault="00353126" w:rsidP="00353126">
      <w:pPr>
        <w:pStyle w:val="BodyTextIndent1"/>
        <w:ind w:left="1134"/>
      </w:pPr>
      <w:r>
        <w:t>(c)</w:t>
      </w:r>
      <w:r>
        <w:tab/>
      </w:r>
      <w:proofErr w:type="gramStart"/>
      <w:r>
        <w:t>n</w:t>
      </w:r>
      <w:proofErr w:type="gramEnd"/>
      <w:r>
        <w:t xml:space="preserve"> is the number of Years between the start of the Fifth Access Arrangement Period and the Regulatory Year for which the components of the Transmission Tariffs are to be varied.</w:t>
      </w:r>
    </w:p>
    <w:p w:rsidR="00353126" w:rsidRDefault="00353126" w:rsidP="00353126">
      <w:pPr>
        <w:pStyle w:val="BodyTextIndent1"/>
      </w:pPr>
      <w:r>
        <w:t>2.</w:t>
      </w:r>
      <w:r>
        <w:tab/>
      </w:r>
      <w:r w:rsidRPr="00EC4C10">
        <w:t xml:space="preserve">The best estimates of the CFA costs are included in the </w:t>
      </w:r>
      <w:r>
        <w:t>forecast of operating expenditure</w:t>
      </w:r>
      <w:r w:rsidRPr="00EC4C10">
        <w:t xml:space="preserve"> for the </w:t>
      </w:r>
      <w:r>
        <w:t>Fifth</w:t>
      </w:r>
      <w:r w:rsidRPr="00EC4C10">
        <w:t xml:space="preserve"> Access</w:t>
      </w:r>
      <w:r>
        <w:t xml:space="preserve"> Arrangement Period, but the correct values for these factors will not be known until the first year of the Fifth Access Arrangement Period.</w:t>
      </w:r>
    </w:p>
    <w:p w:rsidR="00353126" w:rsidRDefault="00353126" w:rsidP="00353126">
      <w:pPr>
        <w:pStyle w:val="BodyTextIndent1"/>
      </w:pPr>
      <w:r>
        <w:t>3.</w:t>
      </w:r>
      <w:r>
        <w:tab/>
        <w:t>CFA and PTA may be positive or negative.</w:t>
      </w:r>
    </w:p>
    <w:p w:rsidR="00353126" w:rsidRPr="00353126" w:rsidRDefault="00353126" w:rsidP="00353126">
      <w:pPr>
        <w:pStyle w:val="Heading5"/>
        <w:rPr>
          <w:b/>
        </w:rPr>
      </w:pPr>
      <w:bookmarkStart w:id="75" w:name="_Ref461018161"/>
      <w:bookmarkStart w:id="76" w:name="_Toc469820741"/>
      <w:r w:rsidRPr="00353126">
        <w:rPr>
          <w:b/>
        </w:rPr>
        <w:t>VATR</w:t>
      </w:r>
      <w:bookmarkEnd w:id="75"/>
      <w:bookmarkEnd w:id="76"/>
    </w:p>
    <w:p w:rsidR="00353126" w:rsidRPr="003B2F5E" w:rsidRDefault="00353126" w:rsidP="00353126">
      <w:pPr>
        <w:pStyle w:val="AABody"/>
        <w:spacing w:before="160" w:after="0"/>
        <w:rPr>
          <w:rFonts w:ascii="Century Gothic" w:hAnsi="Century Gothic"/>
          <w:b/>
          <w:lang w:val="en-AU"/>
        </w:rPr>
      </w:pPr>
      <w:r w:rsidRPr="003B2F5E">
        <w:rPr>
          <w:rFonts w:ascii="Century Gothic" w:hAnsi="Century Gothic"/>
          <w:b/>
          <w:position w:val="-22"/>
        </w:rPr>
        <w:object w:dxaOrig="20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28.8pt" o:ole="">
            <v:imagedata r:id="rId16" o:title=""/>
          </v:shape>
          <o:OLEObject Type="Embed" ProgID="Equation.3" ShapeID="_x0000_i1025" DrawAspect="Content" ObjectID="_1564294585" r:id="rId17"/>
        </w:object>
      </w:r>
    </w:p>
    <w:p w:rsidR="00353126" w:rsidRDefault="00353126" w:rsidP="00353126">
      <w:pPr>
        <w:pStyle w:val="BodyText"/>
      </w:pPr>
      <w:r>
        <w:t>where:</w:t>
      </w:r>
    </w:p>
    <w:p w:rsidR="00353126" w:rsidRPr="003B2F5E" w:rsidRDefault="00353126" w:rsidP="00353126">
      <w:pPr>
        <w:pStyle w:val="BodyText"/>
        <w:ind w:left="1134" w:hanging="1134"/>
      </w:pPr>
      <w:r w:rsidRPr="00397BFB">
        <w:rPr>
          <w:b/>
        </w:rPr>
        <w:t>TR</w:t>
      </w:r>
      <w:r>
        <w:tab/>
      </w:r>
      <w:r w:rsidRPr="003B2F5E">
        <w:t xml:space="preserve">is the target revenue </w:t>
      </w:r>
      <w:r w:rsidRPr="00D368C0">
        <w:t xml:space="preserve">as set out in </w:t>
      </w:r>
      <w:r w:rsidR="00D909C5">
        <w:fldChar w:fldCharType="begin"/>
      </w:r>
      <w:r w:rsidR="00D909C5">
        <w:instrText xml:space="preserve"> REF _Ref471220837 \h </w:instrText>
      </w:r>
      <w:r w:rsidR="00D909C5">
        <w:fldChar w:fldCharType="separate"/>
      </w:r>
      <w:r w:rsidR="00154DB7">
        <w:t xml:space="preserve">Table </w:t>
      </w:r>
      <w:r w:rsidR="00154DB7">
        <w:rPr>
          <w:noProof/>
        </w:rPr>
        <w:t>12</w:t>
      </w:r>
      <w:r w:rsidR="00154DB7">
        <w:t>.</w:t>
      </w:r>
      <w:r w:rsidR="00154DB7">
        <w:rPr>
          <w:noProof/>
        </w:rPr>
        <w:t>1</w:t>
      </w:r>
      <w:r w:rsidR="00D909C5">
        <w:fldChar w:fldCharType="end"/>
      </w:r>
      <w:r w:rsidR="00D909C5">
        <w:t xml:space="preserve"> </w:t>
      </w:r>
      <w:r w:rsidRPr="003B2F5E">
        <w:t>of the Access Arrangement Information, excluding NRRV;</w:t>
      </w:r>
    </w:p>
    <w:p w:rsidR="00353126" w:rsidRDefault="00353126" w:rsidP="00353126">
      <w:pPr>
        <w:pStyle w:val="BodyText"/>
        <w:ind w:left="1134" w:hanging="1134"/>
      </w:pPr>
      <w:r w:rsidRPr="003B2F5E">
        <w:rPr>
          <w:b/>
        </w:rPr>
        <w:t>TV</w:t>
      </w:r>
      <w:r w:rsidRPr="003B2F5E">
        <w:tab/>
        <w:t xml:space="preserve">is the total volume withdrawn from the VTS as set </w:t>
      </w:r>
      <w:r w:rsidRPr="00A65023">
        <w:t>out in section 4</w:t>
      </w:r>
      <w:r w:rsidRPr="003B2F5E">
        <w:t xml:space="preserve"> of the Access Arrangement Information</w:t>
      </w:r>
      <w:r>
        <w:t xml:space="preserve">, </w:t>
      </w:r>
      <w:r w:rsidRPr="003B2F5E">
        <w:t>excluding NRRV;</w:t>
      </w:r>
      <w:r>
        <w:t xml:space="preserve"> </w:t>
      </w:r>
    </w:p>
    <w:p w:rsidR="00353126" w:rsidRDefault="00353126" w:rsidP="00353126">
      <w:pPr>
        <w:pStyle w:val="BodyText"/>
        <w:ind w:left="1134" w:hanging="1134"/>
      </w:pPr>
      <w:r w:rsidRPr="00397BFB">
        <w:rPr>
          <w:b/>
        </w:rPr>
        <w:t>WAAV</w:t>
      </w:r>
      <w:r>
        <w:tab/>
        <w:t xml:space="preserve">is the weather adjusted actual volume, calculated </w:t>
      </w:r>
      <w:r w:rsidR="002D79FF">
        <w:t>as outlined below</w:t>
      </w:r>
      <w:r>
        <w:t>; and</w:t>
      </w:r>
    </w:p>
    <w:p w:rsidR="00353126" w:rsidRDefault="00353126" w:rsidP="00353126">
      <w:pPr>
        <w:pStyle w:val="BodyText"/>
        <w:ind w:left="1134" w:hanging="1134"/>
      </w:pPr>
      <w:r w:rsidRPr="00397BFB">
        <w:rPr>
          <w:b/>
        </w:rPr>
        <w:t>NRRV</w:t>
      </w:r>
      <w:r>
        <w:tab/>
        <w:t>is, for the purposes of TR, the target revenue and for the purposes of TV, the volume, associated with:</w:t>
      </w:r>
    </w:p>
    <w:p w:rsidR="00353126" w:rsidRDefault="00353126" w:rsidP="00353126">
      <w:pPr>
        <w:pStyle w:val="BodyTextIndent31"/>
      </w:pPr>
      <w:r>
        <w:t>(i)</w:t>
      </w:r>
      <w:r>
        <w:tab/>
        <w:t xml:space="preserve">any transmission refills at WUGS or the LNG Storage Facility; and </w:t>
      </w:r>
    </w:p>
    <w:p w:rsidR="00353126" w:rsidRDefault="00353126" w:rsidP="00353126">
      <w:pPr>
        <w:pStyle w:val="BodyTextIndent31"/>
      </w:pPr>
      <w:r>
        <w:t>(ii)</w:t>
      </w:r>
      <w:r>
        <w:tab/>
        <w:t>the incremental Murray Valley tariff.</w:t>
      </w:r>
    </w:p>
    <w:p w:rsidR="00353126" w:rsidRPr="00353126" w:rsidRDefault="00353126" w:rsidP="00353126">
      <w:pPr>
        <w:pStyle w:val="Heading5"/>
        <w:rPr>
          <w:b/>
        </w:rPr>
      </w:pPr>
      <w:bookmarkStart w:id="77" w:name="_Ref461018260"/>
      <w:bookmarkStart w:id="78" w:name="_Toc469820742"/>
      <w:r w:rsidRPr="00353126">
        <w:rPr>
          <w:b/>
        </w:rPr>
        <w:t>WAAV</w:t>
      </w:r>
      <w:bookmarkEnd w:id="77"/>
      <w:bookmarkEnd w:id="78"/>
    </w:p>
    <w:p w:rsidR="00353126" w:rsidRDefault="00353126" w:rsidP="00353126">
      <w:pPr>
        <w:pStyle w:val="BodyText"/>
        <w:rPr>
          <w:b/>
          <w:color w:val="auto"/>
          <w:lang w:val="en-US"/>
        </w:rPr>
      </w:pPr>
      <w:r w:rsidRPr="006B4678">
        <w:rPr>
          <w:b/>
          <w:color w:val="auto"/>
          <w:position w:val="-10"/>
          <w:lang w:val="x-none"/>
        </w:rPr>
        <w:object w:dxaOrig="4860" w:dyaOrig="320">
          <v:shape id="_x0000_i1026" type="#_x0000_t75" style="width:257.3pt;height:17.55pt" o:ole="">
            <v:imagedata r:id="rId18" o:title=""/>
          </v:shape>
          <o:OLEObject Type="Embed" ProgID="Equation.3" ShapeID="_x0000_i1026" DrawAspect="Content" ObjectID="_1564294586" r:id="rId19"/>
        </w:object>
      </w:r>
    </w:p>
    <w:p w:rsidR="00353126" w:rsidRPr="008870A8" w:rsidRDefault="00353126" w:rsidP="00353126">
      <w:pPr>
        <w:pStyle w:val="BodyText"/>
      </w:pPr>
      <w:r>
        <w:t>w</w:t>
      </w:r>
      <w:r w:rsidRPr="008870A8">
        <w:t>here:</w:t>
      </w:r>
    </w:p>
    <w:p w:rsidR="00353126" w:rsidRPr="00397BFB" w:rsidRDefault="00353126" w:rsidP="00353126">
      <w:pPr>
        <w:pStyle w:val="BodyText"/>
        <w:ind w:left="1701" w:hanging="1701"/>
      </w:pPr>
      <w:r w:rsidRPr="00C372F2">
        <w:rPr>
          <w:b/>
          <w:lang w:val="x-none"/>
        </w:rPr>
        <w:t>VW</w:t>
      </w:r>
      <w:r w:rsidRPr="00397BFB">
        <w:rPr>
          <w:lang w:val="x-none"/>
        </w:rPr>
        <w:tab/>
        <w:t>is the actual withdrawal from the VTS excluding</w:t>
      </w:r>
      <w:r>
        <w:rPr>
          <w:lang w:val="en-US"/>
        </w:rPr>
        <w:t xml:space="preserve"> NRRV</w:t>
      </w:r>
      <w:r w:rsidRPr="00397BFB">
        <w:t>;</w:t>
      </w:r>
    </w:p>
    <w:p w:rsidR="00353126" w:rsidRPr="00397BFB" w:rsidRDefault="00353126" w:rsidP="00353126">
      <w:pPr>
        <w:pStyle w:val="BodyText"/>
        <w:ind w:left="1701" w:hanging="1701"/>
      </w:pPr>
      <w:r w:rsidRPr="00C372F2">
        <w:rPr>
          <w:b/>
          <w:lang w:val="x-none"/>
        </w:rPr>
        <w:lastRenderedPageBreak/>
        <w:t>TS</w:t>
      </w:r>
      <w:r w:rsidRPr="00397BFB">
        <w:rPr>
          <w:lang w:val="x-none"/>
        </w:rPr>
        <w:tab/>
        <w:t xml:space="preserve">is the </w:t>
      </w:r>
      <w:r>
        <w:rPr>
          <w:lang w:val="en-US"/>
        </w:rPr>
        <w:t>weather</w:t>
      </w:r>
      <w:r w:rsidRPr="00397BFB">
        <w:rPr>
          <w:lang w:val="x-none"/>
        </w:rPr>
        <w:t xml:space="preserve"> sensitivity, being the increase in annual gas volumes for an increase of one in the annual EDD, as set out in </w:t>
      </w:r>
      <w:r w:rsidR="00D909C5">
        <w:rPr>
          <w:highlight w:val="yellow"/>
          <w:lang w:val="x-none"/>
        </w:rPr>
        <w:fldChar w:fldCharType="begin"/>
      </w:r>
      <w:r w:rsidR="00D909C5">
        <w:rPr>
          <w:lang w:val="x-none"/>
        </w:rPr>
        <w:instrText xml:space="preserve"> REF _Ref470100551 \h </w:instrText>
      </w:r>
      <w:r w:rsidR="00D909C5">
        <w:rPr>
          <w:highlight w:val="yellow"/>
          <w:lang w:val="x-none"/>
        </w:rPr>
      </w:r>
      <w:r w:rsidR="00D909C5">
        <w:rPr>
          <w:highlight w:val="yellow"/>
          <w:lang w:val="x-none"/>
        </w:rPr>
        <w:fldChar w:fldCharType="separate"/>
      </w:r>
      <w:r w:rsidR="00154DB7">
        <w:t xml:space="preserve">Table </w:t>
      </w:r>
      <w:r w:rsidR="00154DB7">
        <w:rPr>
          <w:noProof/>
        </w:rPr>
        <w:t>4</w:t>
      </w:r>
      <w:r w:rsidR="00154DB7">
        <w:t>.</w:t>
      </w:r>
      <w:r w:rsidR="00154DB7">
        <w:rPr>
          <w:noProof/>
        </w:rPr>
        <w:t>7</w:t>
      </w:r>
      <w:r w:rsidR="00D909C5">
        <w:rPr>
          <w:highlight w:val="yellow"/>
          <w:lang w:val="x-none"/>
        </w:rPr>
        <w:fldChar w:fldCharType="end"/>
      </w:r>
      <w:r w:rsidR="00D909C5">
        <w:t xml:space="preserve"> </w:t>
      </w:r>
      <w:r w:rsidRPr="00082033">
        <w:rPr>
          <w:lang w:val="x-none"/>
        </w:rPr>
        <w:t>of the Access Arrangement Information</w:t>
      </w:r>
      <w:r w:rsidRPr="00397BFB">
        <w:rPr>
          <w:lang w:val="x-none"/>
        </w:rPr>
        <w:t>;</w:t>
      </w:r>
    </w:p>
    <w:p w:rsidR="00353126" w:rsidRPr="00397BFB" w:rsidRDefault="00353126" w:rsidP="00353126">
      <w:pPr>
        <w:pStyle w:val="BodyText"/>
        <w:ind w:left="1701" w:hanging="1701"/>
      </w:pPr>
      <w:r w:rsidRPr="00082033">
        <w:rPr>
          <w:b/>
        </w:rPr>
        <w:t>Target EDD</w:t>
      </w:r>
      <w:r w:rsidRPr="00082033">
        <w:t xml:space="preserve"> </w:t>
      </w:r>
      <w:r w:rsidRPr="00082033">
        <w:tab/>
        <w:t xml:space="preserve">is the measure of annual EDD as expected in a </w:t>
      </w:r>
      <w:r>
        <w:t>Regulatory</w:t>
      </w:r>
      <w:r w:rsidRPr="00082033">
        <w:t xml:space="preserve"> </w:t>
      </w:r>
      <w:r>
        <w:t>Y</w:t>
      </w:r>
      <w:r w:rsidRPr="00082033">
        <w:t xml:space="preserve">ear as set out in </w:t>
      </w:r>
      <w:r w:rsidR="00D909C5">
        <w:rPr>
          <w:highlight w:val="yellow"/>
        </w:rPr>
        <w:fldChar w:fldCharType="begin"/>
      </w:r>
      <w:r w:rsidR="00D909C5">
        <w:instrText xml:space="preserve"> REF _Ref470100551 \h </w:instrText>
      </w:r>
      <w:r w:rsidR="00D909C5">
        <w:rPr>
          <w:highlight w:val="yellow"/>
        </w:rPr>
      </w:r>
      <w:r w:rsidR="00D909C5">
        <w:rPr>
          <w:highlight w:val="yellow"/>
        </w:rPr>
        <w:fldChar w:fldCharType="separate"/>
      </w:r>
      <w:r w:rsidR="00154DB7">
        <w:t xml:space="preserve">Table </w:t>
      </w:r>
      <w:r w:rsidR="00154DB7">
        <w:rPr>
          <w:noProof/>
        </w:rPr>
        <w:t>4</w:t>
      </w:r>
      <w:r w:rsidR="00154DB7">
        <w:t>.</w:t>
      </w:r>
      <w:r w:rsidR="00154DB7">
        <w:rPr>
          <w:noProof/>
        </w:rPr>
        <w:t>7</w:t>
      </w:r>
      <w:r w:rsidR="00D909C5">
        <w:rPr>
          <w:highlight w:val="yellow"/>
        </w:rPr>
        <w:fldChar w:fldCharType="end"/>
      </w:r>
      <w:r w:rsidR="00D909C5">
        <w:t xml:space="preserve"> </w:t>
      </w:r>
      <w:r w:rsidRPr="00082033">
        <w:t xml:space="preserve">of the </w:t>
      </w:r>
      <w:r>
        <w:t>A</w:t>
      </w:r>
      <w:r w:rsidRPr="00082033">
        <w:t xml:space="preserve">ccess </w:t>
      </w:r>
      <w:r>
        <w:t>A</w:t>
      </w:r>
      <w:r w:rsidRPr="00082033">
        <w:t xml:space="preserve">rrangement </w:t>
      </w:r>
      <w:r>
        <w:t>I</w:t>
      </w:r>
      <w:r w:rsidRPr="00082033">
        <w:t>nformation</w:t>
      </w:r>
      <w:r>
        <w:t>; and</w:t>
      </w:r>
    </w:p>
    <w:p w:rsidR="00353126" w:rsidRDefault="00353126" w:rsidP="00353126">
      <w:pPr>
        <w:pStyle w:val="BodyText"/>
        <w:ind w:left="1701" w:hanging="1701"/>
      </w:pPr>
      <w:r w:rsidRPr="00C372F2">
        <w:rPr>
          <w:b/>
        </w:rPr>
        <w:t>Actual EDD</w:t>
      </w:r>
      <w:r w:rsidRPr="00397BFB">
        <w:t xml:space="preserve"> </w:t>
      </w:r>
      <w:r w:rsidRPr="00397BFB">
        <w:tab/>
        <w:t xml:space="preserve">is the actual measured EDD for a </w:t>
      </w:r>
      <w:r>
        <w:t>Regulatory</w:t>
      </w:r>
      <w:r w:rsidRPr="00397BFB">
        <w:t xml:space="preserve"> </w:t>
      </w:r>
      <w:r>
        <w:t>Y</w:t>
      </w:r>
      <w:r w:rsidRPr="00397BFB">
        <w:t>ear, as reported in the AEMO APR or otherwise made available by AEMO</w:t>
      </w:r>
      <w:r>
        <w:t>.</w:t>
      </w:r>
    </w:p>
    <w:p w:rsidR="00353126" w:rsidRPr="00353126" w:rsidRDefault="00353126" w:rsidP="00353126">
      <w:pPr>
        <w:pStyle w:val="Heading5"/>
        <w:rPr>
          <w:b/>
        </w:rPr>
      </w:pPr>
      <w:bookmarkStart w:id="79" w:name="_Ref461002671"/>
      <w:bookmarkStart w:id="80" w:name="_Toc469820743"/>
      <w:r w:rsidRPr="00353126">
        <w:rPr>
          <w:b/>
        </w:rPr>
        <w:t>First Carry-Forward Amount FCA</w:t>
      </w:r>
      <w:bookmarkEnd w:id="79"/>
      <w:bookmarkEnd w:id="80"/>
    </w:p>
    <w:p w:rsidR="00353126" w:rsidRDefault="00353126" w:rsidP="00353126">
      <w:pPr>
        <w:pStyle w:val="BodyText"/>
      </w:pPr>
      <w:r w:rsidRPr="00D01BA4">
        <w:t xml:space="preserve">The first carry forward amount (FCA) will be calculated in the last year of the </w:t>
      </w:r>
      <w:r>
        <w:t xml:space="preserve">Fifth </w:t>
      </w:r>
      <w:r w:rsidRPr="00D01BA4">
        <w:t xml:space="preserve">Access Arrangement Period.  It will be included as a building block component in the first year of the </w:t>
      </w:r>
      <w:r>
        <w:t>Sixth</w:t>
      </w:r>
      <w:r w:rsidRPr="00D01BA4">
        <w:t xml:space="preserve"> Access</w:t>
      </w:r>
      <w:r>
        <w:t xml:space="preserve"> Arrangement Period.</w:t>
      </w:r>
    </w:p>
    <w:p w:rsidR="00353126" w:rsidRDefault="00353126" w:rsidP="00353126">
      <w:pPr>
        <w:pStyle w:val="BodyText"/>
      </w:pPr>
      <w:r>
        <w:t>FCA will be determined according to the following formula:</w:t>
      </w:r>
    </w:p>
    <w:p w:rsidR="00353126" w:rsidRDefault="00353126" w:rsidP="00353126">
      <w:pPr>
        <w:pStyle w:val="BodyText"/>
      </w:pPr>
      <w:r w:rsidRPr="0092002D">
        <w:rPr>
          <w:position w:val="-6"/>
        </w:rPr>
        <w:object w:dxaOrig="1560" w:dyaOrig="279">
          <v:shape id="_x0000_i1027" type="#_x0000_t75" style="width:78.25pt;height:13.15pt" o:ole="">
            <v:imagedata r:id="rId20" o:title=""/>
          </v:shape>
          <o:OLEObject Type="Embed" ProgID="Equation.3" ShapeID="_x0000_i1027" DrawAspect="Content" ObjectID="_1564294587" r:id="rId21"/>
        </w:object>
      </w:r>
    </w:p>
    <w:p w:rsidR="00353126" w:rsidRDefault="00353126" w:rsidP="00353126">
      <w:pPr>
        <w:pStyle w:val="BodyText"/>
      </w:pPr>
      <w:r>
        <w:t xml:space="preserve">where AR and ATR are to be calculated using the best estimates and available data at the time of the determination of FCA. </w:t>
      </w:r>
    </w:p>
    <w:p w:rsidR="00353126" w:rsidRDefault="00353126" w:rsidP="00353126">
      <w:pPr>
        <w:pStyle w:val="BodyText"/>
      </w:pPr>
      <w:r w:rsidRPr="00D01BA4">
        <w:t xml:space="preserve">For inclusion in the building block calculation for </w:t>
      </w:r>
      <w:r>
        <w:t>2023</w:t>
      </w:r>
      <w:r w:rsidRPr="00D01BA4">
        <w:t>, the FCA will be escalated for inflation from December 2017 to December 2023.</w:t>
      </w:r>
    </w:p>
    <w:p w:rsidR="00353126" w:rsidRPr="00353126" w:rsidRDefault="00353126" w:rsidP="00353126">
      <w:pPr>
        <w:pStyle w:val="Heading5"/>
        <w:rPr>
          <w:b/>
        </w:rPr>
      </w:pPr>
      <w:bookmarkStart w:id="81" w:name="_Ref461003052"/>
      <w:bookmarkStart w:id="82" w:name="_Toc469820744"/>
      <w:r w:rsidRPr="00353126">
        <w:rPr>
          <w:b/>
        </w:rPr>
        <w:t>Second Carry-Forward Amount SCA</w:t>
      </w:r>
      <w:bookmarkEnd w:id="81"/>
      <w:bookmarkEnd w:id="82"/>
      <w:r w:rsidRPr="00353126">
        <w:rPr>
          <w:b/>
        </w:rPr>
        <w:t xml:space="preserve"> </w:t>
      </w:r>
    </w:p>
    <w:p w:rsidR="00353126" w:rsidRDefault="00353126" w:rsidP="00353126">
      <w:pPr>
        <w:pStyle w:val="BodyText"/>
      </w:pPr>
      <w:r w:rsidRPr="00DC106A">
        <w:t xml:space="preserve">The second carry forward amount (SCA) will be calculated in the first year of the </w:t>
      </w:r>
      <w:r>
        <w:t>Sixth</w:t>
      </w:r>
      <w:r w:rsidRPr="00DC106A">
        <w:t xml:space="preserve"> Access Arrangement Period as a correction to the determination of the FCA, using the correct actual values of all factors required in the determination of FCA.  It will be included as a CFA in the determination of tariffs for </w:t>
      </w:r>
      <w:r>
        <w:t>2023</w:t>
      </w:r>
      <w:r w:rsidRPr="00DC106A">
        <w:t>.</w:t>
      </w:r>
      <w:r>
        <w:t xml:space="preserve">  </w:t>
      </w:r>
    </w:p>
    <w:p w:rsidR="00353126" w:rsidRDefault="00353126" w:rsidP="00353126">
      <w:pPr>
        <w:pStyle w:val="BodyText"/>
      </w:pPr>
      <w:r>
        <w:t>SCA will be determined according to the following formula:</w:t>
      </w:r>
    </w:p>
    <w:p w:rsidR="00353126" w:rsidRDefault="00353126" w:rsidP="00353126">
      <w:pPr>
        <w:pStyle w:val="BodyText"/>
      </w:pPr>
      <w:r w:rsidRPr="00D24F78">
        <w:rPr>
          <w:position w:val="-6"/>
        </w:rPr>
        <w:object w:dxaOrig="3260" w:dyaOrig="279">
          <v:shape id="_x0000_i1028" type="#_x0000_t75" style="width:156.5pt;height:13.15pt" o:ole="">
            <v:imagedata r:id="rId22" o:title=""/>
          </v:shape>
          <o:OLEObject Type="Embed" ProgID="Equation.3" ShapeID="_x0000_i1028" DrawAspect="Content" ObjectID="_1564294588" r:id="rId23"/>
        </w:object>
      </w:r>
    </w:p>
    <w:p w:rsidR="00353126" w:rsidRPr="00C067E1" w:rsidRDefault="00353126" w:rsidP="00353126">
      <w:pPr>
        <w:pStyle w:val="BodyText"/>
      </w:pPr>
      <w:r w:rsidRPr="00C067E1">
        <w:t>where Recalculated FCA is the same calculation as for FCA, except that it is to use the actual values for AR, ATR, AV, EDD, CPI and PTA.</w:t>
      </w:r>
    </w:p>
    <w:p w:rsidR="00353126" w:rsidRDefault="00353126" w:rsidP="00353126">
      <w:pPr>
        <w:pStyle w:val="BodyText"/>
      </w:pPr>
      <w:r w:rsidRPr="005F25BA">
        <w:t xml:space="preserve">For inclusion in the building block calculation for </w:t>
      </w:r>
      <w:r>
        <w:t>2023</w:t>
      </w:r>
      <w:r w:rsidRPr="005F25BA">
        <w:t xml:space="preserve">, the SCA will be escalated for inflation from December </w:t>
      </w:r>
      <w:r>
        <w:t xml:space="preserve">2017 </w:t>
      </w:r>
      <w:r w:rsidRPr="005F25BA">
        <w:t xml:space="preserve">to December </w:t>
      </w:r>
      <w:r>
        <w:t>2023</w:t>
      </w:r>
      <w:r w:rsidRPr="005F25BA">
        <w:t>.</w:t>
      </w:r>
    </w:p>
    <w:p w:rsidR="00970275" w:rsidRDefault="00970275" w:rsidP="001F4E56">
      <w:pPr>
        <w:pStyle w:val="Heading3"/>
      </w:pPr>
      <w:bookmarkStart w:id="83" w:name="_Toc471221374"/>
      <w:r>
        <w:lastRenderedPageBreak/>
        <w:t>Cost Pass-through Reference Tariff Adjustment  Mechanism</w:t>
      </w:r>
      <w:bookmarkEnd w:id="83"/>
    </w:p>
    <w:p w:rsidR="001F4E56" w:rsidRDefault="001F4E56" w:rsidP="001F4E56">
      <w:pPr>
        <w:pStyle w:val="BodyText"/>
      </w:pPr>
      <w:r>
        <w:t xml:space="preserve">A symmetrical cost pass through reference tariff variation mechanism is included in the access arrangement to allow the reference tariff to be adjusted to recover (or return) material incremental costs resulting from defined cost pass through events. </w:t>
      </w:r>
    </w:p>
    <w:p w:rsidR="001F4E56" w:rsidRDefault="001F4E56" w:rsidP="001F4E56">
      <w:pPr>
        <w:pStyle w:val="BodyText"/>
      </w:pPr>
      <w:r>
        <w:t>The cost pass through events defined in the access arrangement are:</w:t>
      </w:r>
    </w:p>
    <w:p w:rsidR="00643A28" w:rsidRDefault="00643A28" w:rsidP="001F4E56">
      <w:pPr>
        <w:pStyle w:val="ListBullet"/>
      </w:pPr>
      <w:r>
        <w:t>a carbon cost event;</w:t>
      </w:r>
    </w:p>
    <w:p w:rsidR="001F4E56" w:rsidRDefault="001F4E56" w:rsidP="001F4E56">
      <w:pPr>
        <w:pStyle w:val="ListBullet"/>
      </w:pPr>
      <w:r>
        <w:t>a regulatory change event;</w:t>
      </w:r>
    </w:p>
    <w:p w:rsidR="001F4E56" w:rsidRDefault="001F4E56" w:rsidP="001F4E56">
      <w:pPr>
        <w:pStyle w:val="ListBullet"/>
      </w:pPr>
      <w:r>
        <w:t>a service standard event;</w:t>
      </w:r>
    </w:p>
    <w:p w:rsidR="001F4E56" w:rsidRDefault="001F4E56" w:rsidP="001F4E56">
      <w:pPr>
        <w:pStyle w:val="ListBullet"/>
      </w:pPr>
      <w:r>
        <w:t>a tax change event;</w:t>
      </w:r>
    </w:p>
    <w:p w:rsidR="001F4E56" w:rsidRDefault="001F4E56" w:rsidP="001F4E56">
      <w:pPr>
        <w:pStyle w:val="ListBullet"/>
      </w:pPr>
      <w:r>
        <w:t>a terrorism event;</w:t>
      </w:r>
    </w:p>
    <w:p w:rsidR="001F4E56" w:rsidRDefault="001F4E56" w:rsidP="001F4E56">
      <w:pPr>
        <w:pStyle w:val="ListBullet"/>
      </w:pPr>
      <w:r>
        <w:t>an insurer credit risk event;</w:t>
      </w:r>
    </w:p>
    <w:p w:rsidR="001F4E56" w:rsidRDefault="001F4E56" w:rsidP="001F4E56">
      <w:pPr>
        <w:pStyle w:val="ListBullet"/>
      </w:pPr>
      <w:r>
        <w:t>an insurance cap event;</w:t>
      </w:r>
    </w:p>
    <w:p w:rsidR="001F4E56" w:rsidRDefault="00B80178" w:rsidP="001F4E56">
      <w:pPr>
        <w:pStyle w:val="ListBullet"/>
      </w:pPr>
      <w:r>
        <w:t>a natural disaster event; and</w:t>
      </w:r>
    </w:p>
    <w:p w:rsidR="00B80178" w:rsidRDefault="00B80178" w:rsidP="001F4E56">
      <w:pPr>
        <w:pStyle w:val="ListBullet"/>
      </w:pPr>
      <w:r>
        <w:t>a new gas market structure development event.</w:t>
      </w:r>
    </w:p>
    <w:p w:rsidR="001F4E56" w:rsidRDefault="001F4E56" w:rsidP="001F4E56">
      <w:pPr>
        <w:pStyle w:val="BodyText"/>
      </w:pPr>
      <w:r>
        <w:t xml:space="preserve">Part </w:t>
      </w:r>
      <w:r w:rsidRPr="00E62DB8">
        <w:t>4.7</w:t>
      </w:r>
      <w:r>
        <w:t xml:space="preserve"> of the access arrangement sets out the tariff variation process the materiality threshold for cost pass-through events.</w:t>
      </w:r>
    </w:p>
    <w:p w:rsidR="001F4E56" w:rsidRDefault="000D05EE" w:rsidP="00970275">
      <w:pPr>
        <w:pStyle w:val="BodyText"/>
      </w:pPr>
      <w:r w:rsidRPr="000D05EE">
        <w:t xml:space="preserve">Forecast carbon costs, for the purpose of the carbon cost event included in </w:t>
      </w:r>
      <w:r w:rsidRPr="00E62DB8">
        <w:t>clause 4.7.2 of</w:t>
      </w:r>
      <w:r w:rsidRPr="000D05EE">
        <w:t xml:space="preserve"> the access arrangement, are as shown below:</w:t>
      </w:r>
    </w:p>
    <w:p w:rsidR="00CD68A8" w:rsidRPr="008A4AF0" w:rsidRDefault="00CD68A8" w:rsidP="00CD68A8">
      <w:pPr>
        <w:pStyle w:val="Caption"/>
      </w:pPr>
      <w:r>
        <w:t xml:space="preserve">Table </w:t>
      </w:r>
      <w:fldSimple w:instr=" STYLEREF 1 \s ">
        <w:r w:rsidR="00154DB7">
          <w:rPr>
            <w:noProof/>
          </w:rPr>
          <w:t>10</w:t>
        </w:r>
      </w:fldSimple>
      <w:r>
        <w:t>.</w:t>
      </w:r>
      <w:fldSimple w:instr=" SEQ Table \* ARABIC \s 1 ">
        <w:r w:rsidR="00154DB7">
          <w:rPr>
            <w:noProof/>
          </w:rPr>
          <w:t>3</w:t>
        </w:r>
      </w:fldSimple>
      <w:r>
        <w:t>:  Forecast carbon costs</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3055"/>
        <w:gridCol w:w="1076"/>
        <w:gridCol w:w="1076"/>
        <w:gridCol w:w="1077"/>
        <w:gridCol w:w="1076"/>
        <w:gridCol w:w="1077"/>
      </w:tblGrid>
      <w:tr w:rsidR="00CD68A8" w:rsidRPr="00394DF9" w:rsidTr="00C637FE">
        <w:tc>
          <w:tcPr>
            <w:tcW w:w="3055" w:type="dxa"/>
            <w:shd w:val="clear" w:color="auto" w:fill="333333"/>
          </w:tcPr>
          <w:p w:rsidR="00CD68A8" w:rsidRPr="00394DF9" w:rsidRDefault="00CD68A8" w:rsidP="00C637FE">
            <w:pPr>
              <w:pStyle w:val="TableColumnHeadings"/>
              <w:keepNext/>
              <w:jc w:val="left"/>
              <w:rPr>
                <w:rFonts w:ascii="Century Gothic" w:hAnsi="Century Gothic"/>
                <w:szCs w:val="18"/>
              </w:rPr>
            </w:pPr>
            <w:r>
              <w:rPr>
                <w:rFonts w:ascii="Century Gothic" w:hAnsi="Century Gothic"/>
                <w:szCs w:val="18"/>
              </w:rPr>
              <w:t>$’000</w:t>
            </w:r>
          </w:p>
        </w:tc>
        <w:tc>
          <w:tcPr>
            <w:tcW w:w="1076" w:type="dxa"/>
            <w:shd w:val="clear" w:color="auto" w:fill="333333"/>
            <w:vAlign w:val="center"/>
          </w:tcPr>
          <w:p w:rsidR="00CD68A8" w:rsidRPr="00394DF9" w:rsidRDefault="00CD68A8" w:rsidP="00C637FE">
            <w:pPr>
              <w:pStyle w:val="TableColumnHeadings"/>
              <w:rPr>
                <w:rFonts w:ascii="Century Gothic" w:hAnsi="Century Gothic"/>
                <w:szCs w:val="18"/>
              </w:rPr>
            </w:pPr>
            <w:r w:rsidRPr="00394DF9">
              <w:rPr>
                <w:rFonts w:ascii="Century Gothic" w:hAnsi="Century Gothic"/>
                <w:szCs w:val="18"/>
              </w:rPr>
              <w:t>2018</w:t>
            </w:r>
          </w:p>
        </w:tc>
        <w:tc>
          <w:tcPr>
            <w:tcW w:w="1076" w:type="dxa"/>
            <w:shd w:val="clear" w:color="auto" w:fill="333333"/>
            <w:vAlign w:val="center"/>
          </w:tcPr>
          <w:p w:rsidR="00CD68A8" w:rsidRPr="00394DF9" w:rsidRDefault="00CD68A8" w:rsidP="00C637FE">
            <w:pPr>
              <w:pStyle w:val="TableColumnHeadings"/>
              <w:rPr>
                <w:rFonts w:ascii="Century Gothic" w:hAnsi="Century Gothic"/>
                <w:szCs w:val="18"/>
              </w:rPr>
            </w:pPr>
            <w:r w:rsidRPr="00394DF9">
              <w:rPr>
                <w:rFonts w:ascii="Century Gothic" w:hAnsi="Century Gothic"/>
                <w:szCs w:val="18"/>
              </w:rPr>
              <w:t>2019</w:t>
            </w:r>
          </w:p>
        </w:tc>
        <w:tc>
          <w:tcPr>
            <w:tcW w:w="1077" w:type="dxa"/>
            <w:shd w:val="clear" w:color="auto" w:fill="333333"/>
            <w:vAlign w:val="center"/>
          </w:tcPr>
          <w:p w:rsidR="00CD68A8" w:rsidRPr="00394DF9" w:rsidRDefault="00CD68A8" w:rsidP="00C637FE">
            <w:pPr>
              <w:pStyle w:val="TableColumnHeadings"/>
              <w:rPr>
                <w:rFonts w:ascii="Century Gothic" w:hAnsi="Century Gothic"/>
                <w:szCs w:val="18"/>
              </w:rPr>
            </w:pPr>
            <w:r w:rsidRPr="00394DF9">
              <w:rPr>
                <w:rFonts w:ascii="Century Gothic" w:hAnsi="Century Gothic"/>
                <w:szCs w:val="18"/>
              </w:rPr>
              <w:t>2020</w:t>
            </w:r>
          </w:p>
        </w:tc>
        <w:tc>
          <w:tcPr>
            <w:tcW w:w="1076" w:type="dxa"/>
            <w:shd w:val="clear" w:color="auto" w:fill="333333"/>
            <w:vAlign w:val="center"/>
          </w:tcPr>
          <w:p w:rsidR="00CD68A8" w:rsidRPr="00394DF9" w:rsidRDefault="00CD68A8" w:rsidP="00C637FE">
            <w:pPr>
              <w:pStyle w:val="TableColumnHeadings"/>
              <w:rPr>
                <w:rFonts w:ascii="Century Gothic" w:hAnsi="Century Gothic"/>
                <w:szCs w:val="18"/>
              </w:rPr>
            </w:pPr>
            <w:r w:rsidRPr="00394DF9">
              <w:rPr>
                <w:rFonts w:ascii="Century Gothic" w:hAnsi="Century Gothic"/>
                <w:szCs w:val="18"/>
              </w:rPr>
              <w:t>2021</w:t>
            </w:r>
          </w:p>
        </w:tc>
        <w:tc>
          <w:tcPr>
            <w:tcW w:w="1077" w:type="dxa"/>
            <w:shd w:val="clear" w:color="auto" w:fill="333333"/>
            <w:vAlign w:val="center"/>
          </w:tcPr>
          <w:p w:rsidR="00CD68A8" w:rsidRPr="00394DF9" w:rsidRDefault="00CD68A8" w:rsidP="00C637FE">
            <w:pPr>
              <w:pStyle w:val="TableColumnHeadings"/>
              <w:rPr>
                <w:rFonts w:ascii="Century Gothic" w:hAnsi="Century Gothic"/>
                <w:szCs w:val="18"/>
              </w:rPr>
            </w:pPr>
            <w:r w:rsidRPr="00394DF9">
              <w:rPr>
                <w:rFonts w:ascii="Century Gothic" w:hAnsi="Century Gothic"/>
                <w:szCs w:val="18"/>
              </w:rPr>
              <w:t>2022</w:t>
            </w:r>
          </w:p>
        </w:tc>
      </w:tr>
      <w:tr w:rsidR="00CD68A8" w:rsidRPr="003662A4" w:rsidTr="00C637FE">
        <w:tc>
          <w:tcPr>
            <w:tcW w:w="3055" w:type="dxa"/>
            <w:shd w:val="clear" w:color="auto" w:fill="auto"/>
            <w:vAlign w:val="center"/>
          </w:tcPr>
          <w:p w:rsidR="00CD68A8" w:rsidRPr="003662A4" w:rsidRDefault="00CD68A8" w:rsidP="00C637FE">
            <w:pPr>
              <w:rPr>
                <w:rFonts w:cs="Arial"/>
                <w:sz w:val="18"/>
                <w:szCs w:val="18"/>
              </w:rPr>
            </w:pPr>
          </w:p>
        </w:tc>
        <w:tc>
          <w:tcPr>
            <w:tcW w:w="1076" w:type="dxa"/>
            <w:shd w:val="clear" w:color="auto" w:fill="auto"/>
            <w:vAlign w:val="center"/>
          </w:tcPr>
          <w:p w:rsidR="00CD68A8" w:rsidRPr="003662A4" w:rsidRDefault="00CD68A8" w:rsidP="00C637FE">
            <w:pPr>
              <w:jc w:val="center"/>
              <w:rPr>
                <w:rFonts w:cs="Arial"/>
                <w:sz w:val="18"/>
                <w:szCs w:val="18"/>
              </w:rPr>
            </w:pPr>
            <w:r>
              <w:rPr>
                <w:rFonts w:cs="Arial"/>
                <w:sz w:val="18"/>
                <w:szCs w:val="18"/>
              </w:rPr>
              <w:t>0</w:t>
            </w:r>
          </w:p>
        </w:tc>
        <w:tc>
          <w:tcPr>
            <w:tcW w:w="1076" w:type="dxa"/>
            <w:vAlign w:val="center"/>
          </w:tcPr>
          <w:p w:rsidR="00CD68A8" w:rsidRPr="003662A4" w:rsidRDefault="00CD68A8" w:rsidP="00C637FE">
            <w:pPr>
              <w:jc w:val="center"/>
              <w:rPr>
                <w:rFonts w:cs="Arial"/>
                <w:sz w:val="18"/>
                <w:szCs w:val="18"/>
              </w:rPr>
            </w:pPr>
            <w:r>
              <w:rPr>
                <w:rFonts w:cs="Arial"/>
                <w:sz w:val="18"/>
                <w:szCs w:val="18"/>
              </w:rPr>
              <w:t>0</w:t>
            </w:r>
          </w:p>
        </w:tc>
        <w:tc>
          <w:tcPr>
            <w:tcW w:w="1077" w:type="dxa"/>
            <w:shd w:val="clear" w:color="auto" w:fill="auto"/>
            <w:vAlign w:val="center"/>
          </w:tcPr>
          <w:p w:rsidR="00CD68A8" w:rsidRPr="003662A4" w:rsidRDefault="00CD68A8" w:rsidP="00C637FE">
            <w:pPr>
              <w:jc w:val="center"/>
              <w:rPr>
                <w:rFonts w:cs="Arial"/>
                <w:sz w:val="18"/>
                <w:szCs w:val="18"/>
              </w:rPr>
            </w:pPr>
            <w:r>
              <w:rPr>
                <w:rFonts w:cs="Arial"/>
                <w:sz w:val="18"/>
                <w:szCs w:val="18"/>
              </w:rPr>
              <w:t>0</w:t>
            </w:r>
          </w:p>
        </w:tc>
        <w:tc>
          <w:tcPr>
            <w:tcW w:w="1076" w:type="dxa"/>
            <w:shd w:val="clear" w:color="auto" w:fill="auto"/>
            <w:vAlign w:val="center"/>
          </w:tcPr>
          <w:p w:rsidR="00CD68A8" w:rsidRPr="003662A4" w:rsidRDefault="00CD68A8" w:rsidP="00C637FE">
            <w:pPr>
              <w:jc w:val="center"/>
              <w:rPr>
                <w:rFonts w:cs="Arial"/>
                <w:sz w:val="18"/>
                <w:szCs w:val="18"/>
              </w:rPr>
            </w:pPr>
            <w:r>
              <w:rPr>
                <w:rFonts w:cs="Arial"/>
                <w:sz w:val="18"/>
                <w:szCs w:val="18"/>
              </w:rPr>
              <w:t>0</w:t>
            </w:r>
          </w:p>
        </w:tc>
        <w:tc>
          <w:tcPr>
            <w:tcW w:w="1077" w:type="dxa"/>
            <w:shd w:val="clear" w:color="auto" w:fill="auto"/>
            <w:vAlign w:val="center"/>
          </w:tcPr>
          <w:p w:rsidR="00CD68A8" w:rsidRPr="003662A4" w:rsidRDefault="00CD68A8" w:rsidP="00C637FE">
            <w:pPr>
              <w:jc w:val="center"/>
              <w:rPr>
                <w:rFonts w:cs="Arial"/>
                <w:sz w:val="18"/>
                <w:szCs w:val="18"/>
              </w:rPr>
            </w:pPr>
            <w:r>
              <w:rPr>
                <w:rFonts w:cs="Arial"/>
                <w:sz w:val="18"/>
                <w:szCs w:val="18"/>
              </w:rPr>
              <w:t>0</w:t>
            </w:r>
          </w:p>
        </w:tc>
      </w:tr>
    </w:tbl>
    <w:p w:rsidR="00D157A0" w:rsidRPr="00D157A0" w:rsidRDefault="00D157A0" w:rsidP="00D157A0">
      <w:pPr>
        <w:pStyle w:val="Heading5"/>
        <w:rPr>
          <w:b/>
        </w:rPr>
      </w:pPr>
      <w:r w:rsidRPr="00D157A0">
        <w:rPr>
          <w:b/>
        </w:rPr>
        <w:t>New gas market structure development event</w:t>
      </w:r>
    </w:p>
    <w:p w:rsidR="001F4E56" w:rsidRDefault="00FA6E72" w:rsidP="00970275">
      <w:pPr>
        <w:pStyle w:val="BodyText"/>
      </w:pPr>
      <w:r>
        <w:t>The inclusion of “new gas market development” in the list of defined cost pass-through events is a change from the access arrangement approved by the AER in 2013.</w:t>
      </w:r>
      <w:r w:rsidR="000865C4">
        <w:t xml:space="preserve">  It is a consequence of the Victorian Government having sought, in 2015, a review of the DWGM by the AEMC as part of that organisation’s wider </w:t>
      </w:r>
      <w:r w:rsidR="000865C4">
        <w:rPr>
          <w:szCs w:val="22"/>
        </w:rPr>
        <w:t>East Coast Wholesale Gas Market and Pipeline Frameworks Review.</w:t>
      </w:r>
    </w:p>
    <w:p w:rsidR="001F4E56" w:rsidRDefault="00D157A0" w:rsidP="00970275">
      <w:pPr>
        <w:pStyle w:val="BodyText"/>
      </w:pPr>
      <w:r>
        <w:lastRenderedPageBreak/>
        <w:t>The COAG Energy Council has given in-principle support to the AEMC’s recommended transition of the DWGM to a new Southern Hub, which would operate on a continuous exchange-based trading model supported by a system of firm capacity rights.  Implementation of the changes is to be a matter for the Gas Market Reform Group.</w:t>
      </w:r>
    </w:p>
    <w:p w:rsidR="00D157A0" w:rsidRDefault="00D157A0" w:rsidP="00970275">
      <w:pPr>
        <w:pStyle w:val="BodyText"/>
      </w:pPr>
      <w:r>
        <w:t xml:space="preserve">Transitioning the DWGM </w:t>
      </w:r>
      <w:r w:rsidR="00295334">
        <w:t>to a new Southern Hub is likely to require expenditure</w:t>
      </w:r>
      <w:r w:rsidR="00302D21">
        <w:t>s</w:t>
      </w:r>
      <w:r w:rsidR="00295334">
        <w:t xml:space="preserve"> by APA VTS on systems, processes and procedures.  The </w:t>
      </w:r>
      <w:r w:rsidR="00302D21">
        <w:t xml:space="preserve">scope and </w:t>
      </w:r>
      <w:r w:rsidR="00295334">
        <w:t>magnitude</w:t>
      </w:r>
      <w:r w:rsidR="00302D21">
        <w:t>s</w:t>
      </w:r>
      <w:r w:rsidR="00295334">
        <w:t xml:space="preserve"> of th</w:t>
      </w:r>
      <w:r w:rsidR="00302D21">
        <w:t>es</w:t>
      </w:r>
      <w:r w:rsidR="00295334">
        <w:t>e expenditure</w:t>
      </w:r>
      <w:r w:rsidR="00302D21">
        <w:t>s</w:t>
      </w:r>
      <w:r w:rsidR="00295334">
        <w:t xml:space="preserve"> will depend on the specific market design chosen by the Gas </w:t>
      </w:r>
      <w:r w:rsidR="00302D21">
        <w:t>M</w:t>
      </w:r>
      <w:r w:rsidR="00295334">
        <w:t xml:space="preserve">arket </w:t>
      </w:r>
      <w:r w:rsidR="00302D21">
        <w:t>R</w:t>
      </w:r>
      <w:r w:rsidR="00295334">
        <w:t>eform Group.</w:t>
      </w:r>
    </w:p>
    <w:p w:rsidR="00970275" w:rsidRDefault="00302D21" w:rsidP="00D741FF">
      <w:pPr>
        <w:pStyle w:val="BodyText"/>
      </w:pPr>
      <w:r>
        <w:t>APA VTS is therefore proposing that, once they are known, its prudent and efficient costs of giving effect to a new Victorian market design be passed through for recovery via variation of the VTS Reference Tariffs.</w:t>
      </w:r>
    </w:p>
    <w:p w:rsidR="001F4E56" w:rsidRDefault="002C725B" w:rsidP="001F4E56">
      <w:pPr>
        <w:pStyle w:val="Heading1"/>
      </w:pPr>
      <w:bookmarkStart w:id="84" w:name="_Toc471221375"/>
      <w:r>
        <w:lastRenderedPageBreak/>
        <w:t>P</w:t>
      </w:r>
      <w:r w:rsidR="001F4E56">
        <w:t>roposed incentive mechanism</w:t>
      </w:r>
      <w:bookmarkEnd w:id="84"/>
    </w:p>
    <w:p w:rsidR="0033653B" w:rsidRDefault="00996547" w:rsidP="0033653B">
      <w:pPr>
        <w:pStyle w:val="BodyText"/>
      </w:pPr>
      <w:r>
        <w:t>APA VTS’S</w:t>
      </w:r>
      <w:r w:rsidR="0033653B">
        <w:t xml:space="preserve"> earlier access arrangement included an incentive mechanism with a methodology for calculating the efficiency benefit sharing allowance to apply in the forecast period.  </w:t>
      </w:r>
    </w:p>
    <w:p w:rsidR="0033653B" w:rsidRDefault="0033653B" w:rsidP="0033653B">
      <w:pPr>
        <w:pStyle w:val="BodyText"/>
      </w:pPr>
      <w:r>
        <w:t>APA VTS has retained this mechanism in the forecast period, subject to minor amendment.</w:t>
      </w:r>
    </w:p>
    <w:p w:rsidR="0033653B" w:rsidRDefault="0033653B" w:rsidP="0033653B">
      <w:pPr>
        <w:pStyle w:val="BodyText"/>
      </w:pPr>
      <w:r>
        <w:t xml:space="preserve">Under the incentive mechanism, APA </w:t>
      </w:r>
      <w:r w:rsidR="00FA561E">
        <w:t>VTS</w:t>
      </w:r>
      <w:r>
        <w:t xml:space="preserve"> retains any benefits (or penalties) for a period of five years after the year in which it was realised. This means that the benefits carry over into the next access arrangement period. </w:t>
      </w:r>
    </w:p>
    <w:p w:rsidR="0033653B" w:rsidRDefault="0033653B" w:rsidP="0033653B">
      <w:pPr>
        <w:pStyle w:val="BodyText"/>
      </w:pPr>
      <w:r>
        <w:t>The calculation of the efficiency benefit for each year is incremental, ie, benefits in a year accrue only to the extent that the savings in that year are greater than those already identified in prior years. This means that, especially in the later years of an access arrangement period, a saving from the originally approved operating and maintenance forecast can still generate a negative efficiency benefit.</w:t>
      </w:r>
    </w:p>
    <w:p w:rsidR="0033653B" w:rsidRPr="00EC322F" w:rsidRDefault="0033653B" w:rsidP="0033653B">
      <w:pPr>
        <w:pStyle w:val="BodyText"/>
      </w:pPr>
      <w:r w:rsidRPr="00EC322F">
        <w:t>Operating and maintenance costs for the purposes of the EBSS in Section</w:t>
      </w:r>
      <w:r w:rsidR="00A65023" w:rsidRPr="00EC322F">
        <w:t xml:space="preserve">s 8.2(e) </w:t>
      </w:r>
      <w:proofErr w:type="gramStart"/>
      <w:r w:rsidR="00A65023" w:rsidRPr="00EC322F">
        <w:t xml:space="preserve">and </w:t>
      </w:r>
      <w:r w:rsidRPr="00EC322F">
        <w:t xml:space="preserve"> 8.2</w:t>
      </w:r>
      <w:proofErr w:type="gramEnd"/>
      <w:r w:rsidRPr="00EC322F">
        <w:t>(f) of the access arrangement are as shown below:</w:t>
      </w:r>
    </w:p>
    <w:p w:rsidR="0033653B" w:rsidRPr="00EC322F" w:rsidRDefault="0033653B" w:rsidP="0033653B">
      <w:pPr>
        <w:pStyle w:val="Caption"/>
      </w:pPr>
      <w:r w:rsidRPr="00EC322F">
        <w:t xml:space="preserve">Table </w:t>
      </w:r>
      <w:fldSimple w:instr=" STYLEREF 1 \s ">
        <w:r w:rsidR="00154DB7" w:rsidRPr="00EC322F">
          <w:rPr>
            <w:noProof/>
          </w:rPr>
          <w:t>11</w:t>
        </w:r>
      </w:fldSimple>
      <w:r w:rsidRPr="00EC322F">
        <w:t>.</w:t>
      </w:r>
      <w:fldSimple w:instr=" SEQ Table \* ARABIC \s 1 ">
        <w:r w:rsidR="00154DB7" w:rsidRPr="00EC322F">
          <w:rPr>
            <w:noProof/>
          </w:rPr>
          <w:t>1</w:t>
        </w:r>
      </w:fldSimple>
      <w:r w:rsidRPr="00EC322F">
        <w:t>:  Forecast operating expenditure for EBSS purposes over the access arrangement period</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397"/>
        <w:gridCol w:w="757"/>
        <w:gridCol w:w="756"/>
        <w:gridCol w:w="905"/>
        <w:gridCol w:w="905"/>
        <w:gridCol w:w="906"/>
        <w:gridCol w:w="905"/>
        <w:gridCol w:w="906"/>
      </w:tblGrid>
      <w:tr w:rsidR="0033653B" w:rsidRPr="00EC322F" w:rsidTr="0033653B">
        <w:tc>
          <w:tcPr>
            <w:tcW w:w="2397" w:type="dxa"/>
            <w:shd w:val="clear" w:color="auto" w:fill="333333"/>
          </w:tcPr>
          <w:p w:rsidR="0033653B" w:rsidRPr="00EC322F" w:rsidRDefault="00605F6D" w:rsidP="00EC322F">
            <w:pPr>
              <w:pStyle w:val="TableColumnHeadings"/>
              <w:keepNext/>
              <w:jc w:val="left"/>
              <w:rPr>
                <w:rFonts w:ascii="Century Gothic" w:hAnsi="Century Gothic"/>
                <w:szCs w:val="18"/>
              </w:rPr>
            </w:pPr>
            <w:r w:rsidRPr="00EC322F">
              <w:rPr>
                <w:rFonts w:ascii="Century Gothic" w:hAnsi="Century Gothic"/>
                <w:szCs w:val="18"/>
              </w:rPr>
              <w:t>$’m</w:t>
            </w:r>
            <w:r w:rsidR="0033653B" w:rsidRPr="00EC322F">
              <w:rPr>
                <w:rFonts w:ascii="Century Gothic" w:hAnsi="Century Gothic"/>
                <w:szCs w:val="18"/>
              </w:rPr>
              <w:t xml:space="preserve"> ($201</w:t>
            </w:r>
            <w:r w:rsidR="00EC322F">
              <w:rPr>
                <w:rFonts w:ascii="Century Gothic" w:hAnsi="Century Gothic"/>
                <w:szCs w:val="18"/>
              </w:rPr>
              <w:t>7</w:t>
            </w:r>
            <w:r w:rsidR="0033653B" w:rsidRPr="00EC322F">
              <w:rPr>
                <w:rFonts w:ascii="Century Gothic" w:hAnsi="Century Gothic"/>
                <w:szCs w:val="18"/>
              </w:rPr>
              <w:t xml:space="preserve"> real)</w:t>
            </w:r>
          </w:p>
        </w:tc>
        <w:tc>
          <w:tcPr>
            <w:tcW w:w="757" w:type="dxa"/>
            <w:shd w:val="clear" w:color="auto" w:fill="333333"/>
          </w:tcPr>
          <w:p w:rsidR="0033653B" w:rsidRPr="00EC322F" w:rsidRDefault="0033653B" w:rsidP="0033653B">
            <w:pPr>
              <w:pStyle w:val="TableColumnHeadings"/>
              <w:rPr>
                <w:rFonts w:ascii="Century Gothic" w:hAnsi="Century Gothic"/>
                <w:szCs w:val="18"/>
              </w:rPr>
            </w:pPr>
            <w:r w:rsidRPr="00EC322F">
              <w:rPr>
                <w:rFonts w:ascii="Century Gothic" w:hAnsi="Century Gothic"/>
                <w:szCs w:val="18"/>
              </w:rPr>
              <w:t>2015</w:t>
            </w:r>
          </w:p>
        </w:tc>
        <w:tc>
          <w:tcPr>
            <w:tcW w:w="756" w:type="dxa"/>
            <w:shd w:val="clear" w:color="auto" w:fill="333333"/>
          </w:tcPr>
          <w:p w:rsidR="0033653B" w:rsidRPr="00EC322F" w:rsidRDefault="0033653B" w:rsidP="00C637FE">
            <w:pPr>
              <w:pStyle w:val="TableColumnHeadings"/>
              <w:rPr>
                <w:rFonts w:ascii="Century Gothic" w:hAnsi="Century Gothic"/>
                <w:szCs w:val="18"/>
              </w:rPr>
            </w:pPr>
            <w:r w:rsidRPr="00EC322F">
              <w:rPr>
                <w:rFonts w:ascii="Century Gothic" w:hAnsi="Century Gothic"/>
                <w:szCs w:val="18"/>
              </w:rPr>
              <w:t>2016</w:t>
            </w:r>
          </w:p>
        </w:tc>
        <w:tc>
          <w:tcPr>
            <w:tcW w:w="905" w:type="dxa"/>
            <w:shd w:val="clear" w:color="auto" w:fill="333333"/>
            <w:vAlign w:val="center"/>
          </w:tcPr>
          <w:p w:rsidR="0033653B" w:rsidRPr="00EC322F" w:rsidRDefault="0033653B" w:rsidP="0033653B">
            <w:pPr>
              <w:pStyle w:val="TableColumnHeadings"/>
              <w:rPr>
                <w:rFonts w:ascii="Century Gothic" w:hAnsi="Century Gothic"/>
                <w:szCs w:val="18"/>
              </w:rPr>
            </w:pPr>
            <w:r w:rsidRPr="00EC322F">
              <w:rPr>
                <w:rFonts w:ascii="Century Gothic" w:hAnsi="Century Gothic"/>
                <w:szCs w:val="18"/>
              </w:rPr>
              <w:t>2017</w:t>
            </w:r>
          </w:p>
        </w:tc>
        <w:tc>
          <w:tcPr>
            <w:tcW w:w="905" w:type="dxa"/>
            <w:shd w:val="clear" w:color="auto" w:fill="333333"/>
            <w:vAlign w:val="center"/>
          </w:tcPr>
          <w:p w:rsidR="0033653B" w:rsidRPr="00EC322F" w:rsidRDefault="0033653B" w:rsidP="0033653B">
            <w:pPr>
              <w:pStyle w:val="TableColumnHeadings"/>
              <w:rPr>
                <w:rFonts w:ascii="Century Gothic" w:hAnsi="Century Gothic"/>
                <w:szCs w:val="18"/>
              </w:rPr>
            </w:pPr>
            <w:r w:rsidRPr="00EC322F">
              <w:rPr>
                <w:rFonts w:ascii="Century Gothic" w:hAnsi="Century Gothic"/>
                <w:szCs w:val="18"/>
              </w:rPr>
              <w:t>2018</w:t>
            </w:r>
          </w:p>
        </w:tc>
        <w:tc>
          <w:tcPr>
            <w:tcW w:w="906" w:type="dxa"/>
            <w:shd w:val="clear" w:color="auto" w:fill="333333"/>
            <w:vAlign w:val="center"/>
          </w:tcPr>
          <w:p w:rsidR="0033653B" w:rsidRPr="00EC322F" w:rsidRDefault="0033653B" w:rsidP="0033653B">
            <w:pPr>
              <w:pStyle w:val="TableColumnHeadings"/>
              <w:rPr>
                <w:rFonts w:ascii="Century Gothic" w:hAnsi="Century Gothic"/>
                <w:szCs w:val="18"/>
              </w:rPr>
            </w:pPr>
            <w:r w:rsidRPr="00EC322F">
              <w:rPr>
                <w:rFonts w:ascii="Century Gothic" w:hAnsi="Century Gothic"/>
                <w:szCs w:val="18"/>
              </w:rPr>
              <w:t>2019</w:t>
            </w:r>
          </w:p>
        </w:tc>
        <w:tc>
          <w:tcPr>
            <w:tcW w:w="905" w:type="dxa"/>
            <w:shd w:val="clear" w:color="auto" w:fill="333333"/>
            <w:vAlign w:val="center"/>
          </w:tcPr>
          <w:p w:rsidR="0033653B" w:rsidRPr="00EC322F" w:rsidRDefault="0033653B" w:rsidP="0033653B">
            <w:pPr>
              <w:pStyle w:val="TableColumnHeadings"/>
              <w:rPr>
                <w:rFonts w:ascii="Century Gothic" w:hAnsi="Century Gothic"/>
                <w:szCs w:val="18"/>
              </w:rPr>
            </w:pPr>
            <w:r w:rsidRPr="00EC322F">
              <w:rPr>
                <w:rFonts w:ascii="Century Gothic" w:hAnsi="Century Gothic"/>
                <w:szCs w:val="18"/>
              </w:rPr>
              <w:t>2020</w:t>
            </w:r>
          </w:p>
        </w:tc>
        <w:tc>
          <w:tcPr>
            <w:tcW w:w="906" w:type="dxa"/>
            <w:shd w:val="clear" w:color="auto" w:fill="333333"/>
            <w:vAlign w:val="center"/>
          </w:tcPr>
          <w:p w:rsidR="0033653B" w:rsidRPr="00EC322F" w:rsidRDefault="0033653B" w:rsidP="0033653B">
            <w:pPr>
              <w:pStyle w:val="TableColumnHeadings"/>
              <w:rPr>
                <w:rFonts w:ascii="Century Gothic" w:hAnsi="Century Gothic"/>
                <w:szCs w:val="18"/>
              </w:rPr>
            </w:pPr>
            <w:r w:rsidRPr="00EC322F">
              <w:rPr>
                <w:rFonts w:ascii="Century Gothic" w:hAnsi="Century Gothic"/>
                <w:szCs w:val="18"/>
              </w:rPr>
              <w:t>2021</w:t>
            </w:r>
          </w:p>
        </w:tc>
      </w:tr>
      <w:tr w:rsidR="00C941AA" w:rsidRPr="003662A4" w:rsidTr="00605F6D">
        <w:tc>
          <w:tcPr>
            <w:tcW w:w="2397" w:type="dxa"/>
            <w:shd w:val="clear" w:color="auto" w:fill="auto"/>
            <w:vAlign w:val="center"/>
          </w:tcPr>
          <w:p w:rsidR="00C941AA" w:rsidRPr="00EC322F" w:rsidRDefault="00C941AA" w:rsidP="008C4968">
            <w:pPr>
              <w:pStyle w:val="TableBodyCells"/>
              <w:jc w:val="left"/>
            </w:pPr>
            <w:r w:rsidRPr="00EC322F">
              <w:t>Controllable Opex</w:t>
            </w:r>
          </w:p>
        </w:tc>
        <w:tc>
          <w:tcPr>
            <w:tcW w:w="757" w:type="dxa"/>
          </w:tcPr>
          <w:p w:rsidR="00C941AA" w:rsidRPr="00EC322F" w:rsidRDefault="00C941AA" w:rsidP="008C4968">
            <w:pPr>
              <w:pStyle w:val="TableBodyCells"/>
            </w:pPr>
            <w:r w:rsidRPr="00EC322F">
              <w:t xml:space="preserve"> 29.4 </w:t>
            </w:r>
          </w:p>
        </w:tc>
        <w:tc>
          <w:tcPr>
            <w:tcW w:w="756" w:type="dxa"/>
          </w:tcPr>
          <w:p w:rsidR="00C941AA" w:rsidRPr="00EC322F" w:rsidRDefault="00C941AA" w:rsidP="008C4968">
            <w:pPr>
              <w:pStyle w:val="TableBodyCells"/>
            </w:pPr>
            <w:r w:rsidRPr="00EC322F">
              <w:t xml:space="preserve"> 25.2 </w:t>
            </w:r>
          </w:p>
        </w:tc>
        <w:tc>
          <w:tcPr>
            <w:tcW w:w="905" w:type="dxa"/>
            <w:shd w:val="clear" w:color="auto" w:fill="auto"/>
          </w:tcPr>
          <w:p w:rsidR="00C941AA" w:rsidRPr="00EC322F" w:rsidRDefault="00C941AA" w:rsidP="008C4968">
            <w:pPr>
              <w:pStyle w:val="TableBodyCells"/>
            </w:pPr>
            <w:r w:rsidRPr="00EC322F">
              <w:t xml:space="preserve"> 25.4 </w:t>
            </w:r>
          </w:p>
        </w:tc>
        <w:tc>
          <w:tcPr>
            <w:tcW w:w="905" w:type="dxa"/>
          </w:tcPr>
          <w:p w:rsidR="00C941AA" w:rsidRPr="00EC322F" w:rsidRDefault="00C941AA" w:rsidP="008C4968">
            <w:pPr>
              <w:pStyle w:val="TableBodyCells"/>
            </w:pPr>
            <w:r w:rsidRPr="00EC322F">
              <w:t xml:space="preserve"> 25.4 </w:t>
            </w:r>
          </w:p>
        </w:tc>
        <w:tc>
          <w:tcPr>
            <w:tcW w:w="906" w:type="dxa"/>
            <w:shd w:val="clear" w:color="auto" w:fill="auto"/>
          </w:tcPr>
          <w:p w:rsidR="00C941AA" w:rsidRPr="00EC322F" w:rsidRDefault="00C941AA" w:rsidP="008C4968">
            <w:pPr>
              <w:pStyle w:val="TableBodyCells"/>
            </w:pPr>
            <w:r w:rsidRPr="00EC322F">
              <w:t xml:space="preserve"> 25.4 </w:t>
            </w:r>
          </w:p>
        </w:tc>
        <w:tc>
          <w:tcPr>
            <w:tcW w:w="905" w:type="dxa"/>
            <w:shd w:val="clear" w:color="auto" w:fill="auto"/>
          </w:tcPr>
          <w:p w:rsidR="00C941AA" w:rsidRPr="00EC322F" w:rsidRDefault="00C941AA" w:rsidP="008C4968">
            <w:pPr>
              <w:pStyle w:val="TableBodyCells"/>
            </w:pPr>
            <w:r w:rsidRPr="00EC322F">
              <w:t xml:space="preserve"> 25.4 </w:t>
            </w:r>
          </w:p>
        </w:tc>
        <w:tc>
          <w:tcPr>
            <w:tcW w:w="906" w:type="dxa"/>
            <w:shd w:val="clear" w:color="auto" w:fill="auto"/>
          </w:tcPr>
          <w:p w:rsidR="00C941AA" w:rsidRPr="00465BEF" w:rsidRDefault="00C941AA" w:rsidP="008C4968">
            <w:pPr>
              <w:pStyle w:val="TableBodyCells"/>
            </w:pPr>
            <w:r w:rsidRPr="00EC322F">
              <w:t xml:space="preserve"> 25.4</w:t>
            </w:r>
            <w:r w:rsidRPr="00DA275B">
              <w:t xml:space="preserve"> </w:t>
            </w:r>
          </w:p>
        </w:tc>
      </w:tr>
    </w:tbl>
    <w:p w:rsidR="0033653B" w:rsidRDefault="0033653B" w:rsidP="0033653B">
      <w:pPr>
        <w:pStyle w:val="BodyText"/>
      </w:pPr>
    </w:p>
    <w:p w:rsidR="00970275" w:rsidRDefault="00970275" w:rsidP="00D741FF">
      <w:pPr>
        <w:pStyle w:val="BodyText"/>
      </w:pPr>
    </w:p>
    <w:p w:rsidR="00970275" w:rsidRDefault="00970275" w:rsidP="00D741FF">
      <w:pPr>
        <w:pStyle w:val="BodyText"/>
      </w:pPr>
    </w:p>
    <w:p w:rsidR="001F4E56" w:rsidRDefault="00A65023" w:rsidP="001F4E56">
      <w:pPr>
        <w:pStyle w:val="Heading1"/>
      </w:pPr>
      <w:bookmarkStart w:id="85" w:name="_Toc471221376"/>
      <w:r>
        <w:lastRenderedPageBreak/>
        <w:t>T</w:t>
      </w:r>
      <w:r w:rsidR="001F4E56">
        <w:t>otal revenue</w:t>
      </w:r>
      <w:bookmarkEnd w:id="85"/>
    </w:p>
    <w:p w:rsidR="001F4E56" w:rsidRDefault="001F4E56" w:rsidP="001F4E56">
      <w:pPr>
        <w:pStyle w:val="BodyText"/>
      </w:pPr>
      <w:r>
        <w:t>The total revenue requirement to be derived from pipeline services over the access arrangement period is shown in Table 12.1 below.</w:t>
      </w:r>
    </w:p>
    <w:p w:rsidR="00970275" w:rsidRDefault="001F4E56" w:rsidP="001F4E56">
      <w:pPr>
        <w:pStyle w:val="Caption"/>
      </w:pPr>
      <w:bookmarkStart w:id="86" w:name="_Ref471220837"/>
      <w:r>
        <w:t xml:space="preserve">Table </w:t>
      </w:r>
      <w:fldSimple w:instr=" STYLEREF 1 \s ">
        <w:r w:rsidR="00154DB7">
          <w:rPr>
            <w:noProof/>
          </w:rPr>
          <w:t>12</w:t>
        </w:r>
      </w:fldSimple>
      <w:r>
        <w:t>.</w:t>
      </w:r>
      <w:fldSimple w:instr=" SEQ Table \* ARABIC \s 1 ">
        <w:r w:rsidR="00154DB7">
          <w:rPr>
            <w:noProof/>
          </w:rPr>
          <w:t>1</w:t>
        </w:r>
      </w:fldSimple>
      <w:bookmarkEnd w:id="86"/>
      <w:r>
        <w:t xml:space="preserve">:  </w:t>
      </w:r>
      <w:r w:rsidRPr="001F4E56">
        <w:t>Total revenue requirement ($</w:t>
      </w:r>
      <w:r w:rsidR="004F7A66">
        <w:t xml:space="preserve">m </w:t>
      </w:r>
      <w:r w:rsidRPr="001F4E56">
        <w:t>nominal)</w:t>
      </w:r>
    </w:p>
    <w:tbl>
      <w:tblPr>
        <w:tblW w:w="0" w:type="auto"/>
        <w:tblBorders>
          <w:top w:val="single" w:sz="6" w:space="0" w:color="000000"/>
          <w:bottom w:val="single" w:sz="6" w:space="0" w:color="000000"/>
          <w:insideH w:val="single" w:sz="6" w:space="0" w:color="000000"/>
        </w:tblBorders>
        <w:tblLook w:val="01E0" w:firstRow="1" w:lastRow="1" w:firstColumn="1" w:lastColumn="1" w:noHBand="0" w:noVBand="0"/>
      </w:tblPr>
      <w:tblGrid>
        <w:gridCol w:w="2842"/>
        <w:gridCol w:w="1119"/>
        <w:gridCol w:w="1119"/>
        <w:gridCol w:w="1119"/>
        <w:gridCol w:w="1119"/>
        <w:gridCol w:w="1119"/>
      </w:tblGrid>
      <w:tr w:rsidR="003662A4" w:rsidRPr="0034653B" w:rsidTr="00C941AA">
        <w:tc>
          <w:tcPr>
            <w:tcW w:w="2842" w:type="dxa"/>
            <w:shd w:val="clear" w:color="auto" w:fill="333333"/>
          </w:tcPr>
          <w:p w:rsidR="003662A4" w:rsidRPr="0034653B" w:rsidRDefault="00A65023" w:rsidP="005D5766">
            <w:pPr>
              <w:pStyle w:val="TableColumnHeadings"/>
              <w:keepNext/>
              <w:jc w:val="left"/>
              <w:rPr>
                <w:rFonts w:ascii="Century Gothic" w:hAnsi="Century Gothic"/>
                <w:szCs w:val="18"/>
              </w:rPr>
            </w:pPr>
            <w:r>
              <w:rPr>
                <w:rFonts w:ascii="Century Gothic" w:hAnsi="Century Gothic"/>
                <w:szCs w:val="18"/>
              </w:rPr>
              <w:t>$m nominal</w:t>
            </w:r>
          </w:p>
        </w:tc>
        <w:tc>
          <w:tcPr>
            <w:tcW w:w="1119" w:type="dxa"/>
            <w:shd w:val="clear" w:color="auto" w:fill="333333"/>
          </w:tcPr>
          <w:p w:rsidR="003662A4" w:rsidRPr="0034653B" w:rsidRDefault="003662A4" w:rsidP="0034653B">
            <w:pPr>
              <w:pStyle w:val="TableColumnHeadings"/>
              <w:rPr>
                <w:rFonts w:ascii="Century Gothic" w:hAnsi="Century Gothic"/>
                <w:szCs w:val="18"/>
              </w:rPr>
            </w:pPr>
            <w:r w:rsidRPr="0034653B">
              <w:rPr>
                <w:rFonts w:ascii="Century Gothic" w:hAnsi="Century Gothic"/>
                <w:szCs w:val="18"/>
              </w:rPr>
              <w:t>2018</w:t>
            </w:r>
          </w:p>
        </w:tc>
        <w:tc>
          <w:tcPr>
            <w:tcW w:w="1119" w:type="dxa"/>
            <w:shd w:val="clear" w:color="auto" w:fill="333333"/>
          </w:tcPr>
          <w:p w:rsidR="003662A4" w:rsidRPr="0034653B" w:rsidRDefault="003662A4" w:rsidP="0034653B">
            <w:pPr>
              <w:pStyle w:val="TableColumnHeadings"/>
              <w:rPr>
                <w:rFonts w:ascii="Century Gothic" w:hAnsi="Century Gothic"/>
                <w:szCs w:val="18"/>
              </w:rPr>
            </w:pPr>
            <w:r w:rsidRPr="0034653B">
              <w:rPr>
                <w:rFonts w:ascii="Century Gothic" w:hAnsi="Century Gothic"/>
                <w:szCs w:val="18"/>
              </w:rPr>
              <w:t>2019</w:t>
            </w:r>
          </w:p>
        </w:tc>
        <w:tc>
          <w:tcPr>
            <w:tcW w:w="1119" w:type="dxa"/>
            <w:shd w:val="clear" w:color="auto" w:fill="333333"/>
          </w:tcPr>
          <w:p w:rsidR="003662A4" w:rsidRPr="0034653B" w:rsidRDefault="003662A4" w:rsidP="0034653B">
            <w:pPr>
              <w:pStyle w:val="TableColumnHeadings"/>
              <w:rPr>
                <w:rFonts w:ascii="Century Gothic" w:hAnsi="Century Gothic"/>
                <w:szCs w:val="18"/>
              </w:rPr>
            </w:pPr>
            <w:r w:rsidRPr="0034653B">
              <w:rPr>
                <w:rFonts w:ascii="Century Gothic" w:hAnsi="Century Gothic"/>
                <w:szCs w:val="18"/>
              </w:rPr>
              <w:t>2020</w:t>
            </w:r>
          </w:p>
        </w:tc>
        <w:tc>
          <w:tcPr>
            <w:tcW w:w="1119" w:type="dxa"/>
            <w:shd w:val="clear" w:color="auto" w:fill="333333"/>
          </w:tcPr>
          <w:p w:rsidR="003662A4" w:rsidRPr="0034653B" w:rsidRDefault="003662A4" w:rsidP="0034653B">
            <w:pPr>
              <w:pStyle w:val="TableColumnHeadings"/>
              <w:rPr>
                <w:rFonts w:ascii="Century Gothic" w:hAnsi="Century Gothic"/>
                <w:szCs w:val="18"/>
              </w:rPr>
            </w:pPr>
            <w:r w:rsidRPr="0034653B">
              <w:rPr>
                <w:rFonts w:ascii="Century Gothic" w:hAnsi="Century Gothic"/>
                <w:szCs w:val="18"/>
              </w:rPr>
              <w:t>2021</w:t>
            </w:r>
          </w:p>
        </w:tc>
        <w:tc>
          <w:tcPr>
            <w:tcW w:w="1119" w:type="dxa"/>
            <w:shd w:val="clear" w:color="auto" w:fill="333333"/>
          </w:tcPr>
          <w:p w:rsidR="003662A4" w:rsidRPr="0034653B" w:rsidRDefault="003662A4" w:rsidP="0034653B">
            <w:pPr>
              <w:pStyle w:val="TableColumnHeadings"/>
              <w:rPr>
                <w:rFonts w:ascii="Century Gothic" w:hAnsi="Century Gothic"/>
                <w:szCs w:val="18"/>
              </w:rPr>
            </w:pPr>
            <w:r w:rsidRPr="0034653B">
              <w:rPr>
                <w:rFonts w:ascii="Century Gothic" w:hAnsi="Century Gothic"/>
                <w:szCs w:val="18"/>
              </w:rPr>
              <w:t>2022</w:t>
            </w:r>
          </w:p>
        </w:tc>
      </w:tr>
      <w:tr w:rsidR="00EC322F" w:rsidRPr="003662A4" w:rsidTr="00C64356">
        <w:tc>
          <w:tcPr>
            <w:tcW w:w="2842" w:type="dxa"/>
            <w:shd w:val="clear" w:color="auto" w:fill="auto"/>
          </w:tcPr>
          <w:p w:rsidR="00EC322F" w:rsidRPr="00B816E4" w:rsidRDefault="00EC322F" w:rsidP="00EC322F">
            <w:pPr>
              <w:pStyle w:val="TableBodyCells"/>
              <w:jc w:val="left"/>
            </w:pPr>
            <w:r w:rsidRPr="00B816E4">
              <w:t xml:space="preserve"> Return on capital </w:t>
            </w:r>
          </w:p>
        </w:tc>
        <w:tc>
          <w:tcPr>
            <w:tcW w:w="1119" w:type="dxa"/>
            <w:shd w:val="clear" w:color="auto" w:fill="auto"/>
          </w:tcPr>
          <w:p w:rsidR="00EC322F" w:rsidRPr="00B816E4" w:rsidRDefault="00EC322F" w:rsidP="00EC322F">
            <w:pPr>
              <w:pStyle w:val="TableBodyCells"/>
            </w:pPr>
            <w:r w:rsidRPr="00B816E4">
              <w:t xml:space="preserve"> 76.5 </w:t>
            </w:r>
          </w:p>
        </w:tc>
        <w:tc>
          <w:tcPr>
            <w:tcW w:w="1119" w:type="dxa"/>
          </w:tcPr>
          <w:p w:rsidR="00EC322F" w:rsidRPr="00B816E4" w:rsidRDefault="00EC322F" w:rsidP="00EC322F">
            <w:pPr>
              <w:pStyle w:val="TableBodyCells"/>
            </w:pPr>
            <w:r w:rsidRPr="00B816E4">
              <w:t xml:space="preserve"> 80.8 </w:t>
            </w:r>
          </w:p>
        </w:tc>
        <w:tc>
          <w:tcPr>
            <w:tcW w:w="1119" w:type="dxa"/>
            <w:shd w:val="clear" w:color="auto" w:fill="auto"/>
          </w:tcPr>
          <w:p w:rsidR="00EC322F" w:rsidRPr="00B816E4" w:rsidRDefault="00EC322F" w:rsidP="00EC322F">
            <w:pPr>
              <w:pStyle w:val="TableBodyCells"/>
            </w:pPr>
            <w:r w:rsidRPr="00B816E4">
              <w:t xml:space="preserve"> 85.7 </w:t>
            </w:r>
          </w:p>
        </w:tc>
        <w:tc>
          <w:tcPr>
            <w:tcW w:w="1119" w:type="dxa"/>
            <w:shd w:val="clear" w:color="auto" w:fill="auto"/>
          </w:tcPr>
          <w:p w:rsidR="00EC322F" w:rsidRPr="00B816E4" w:rsidRDefault="00EC322F" w:rsidP="00EC322F">
            <w:pPr>
              <w:pStyle w:val="TableBodyCells"/>
            </w:pPr>
            <w:r w:rsidRPr="00B816E4">
              <w:t xml:space="preserve"> 90.5 </w:t>
            </w:r>
          </w:p>
        </w:tc>
        <w:tc>
          <w:tcPr>
            <w:tcW w:w="1119" w:type="dxa"/>
            <w:shd w:val="clear" w:color="auto" w:fill="auto"/>
          </w:tcPr>
          <w:p w:rsidR="00EC322F" w:rsidRPr="00B816E4" w:rsidRDefault="00EC322F" w:rsidP="00EC322F">
            <w:pPr>
              <w:pStyle w:val="TableBodyCells"/>
            </w:pPr>
            <w:r w:rsidRPr="00B816E4">
              <w:t xml:space="preserve"> 90.3 </w:t>
            </w:r>
          </w:p>
        </w:tc>
      </w:tr>
      <w:tr w:rsidR="00EC322F" w:rsidRPr="003662A4" w:rsidTr="00C64356">
        <w:tc>
          <w:tcPr>
            <w:tcW w:w="2842" w:type="dxa"/>
            <w:shd w:val="clear" w:color="auto" w:fill="auto"/>
          </w:tcPr>
          <w:p w:rsidR="00EC322F" w:rsidRPr="00B816E4" w:rsidRDefault="00EC322F" w:rsidP="00EC322F">
            <w:pPr>
              <w:pStyle w:val="TableBodyCells"/>
              <w:jc w:val="left"/>
            </w:pPr>
            <w:r w:rsidRPr="00B816E4">
              <w:t xml:space="preserve"> Regulatory depreciation </w:t>
            </w:r>
          </w:p>
        </w:tc>
        <w:tc>
          <w:tcPr>
            <w:tcW w:w="1119" w:type="dxa"/>
            <w:shd w:val="clear" w:color="auto" w:fill="auto"/>
          </w:tcPr>
          <w:p w:rsidR="00EC322F" w:rsidRPr="00B816E4" w:rsidRDefault="00EC322F" w:rsidP="00EC322F">
            <w:pPr>
              <w:pStyle w:val="TableBodyCells"/>
            </w:pPr>
            <w:r w:rsidRPr="00B816E4">
              <w:t xml:space="preserve"> 12.5 </w:t>
            </w:r>
          </w:p>
        </w:tc>
        <w:tc>
          <w:tcPr>
            <w:tcW w:w="1119" w:type="dxa"/>
          </w:tcPr>
          <w:p w:rsidR="00EC322F" w:rsidRPr="00B816E4" w:rsidRDefault="00EC322F" w:rsidP="00EC322F">
            <w:pPr>
              <w:pStyle w:val="TableBodyCells"/>
            </w:pPr>
            <w:r w:rsidRPr="00B816E4">
              <w:t xml:space="preserve"> 15.2 </w:t>
            </w:r>
          </w:p>
        </w:tc>
        <w:tc>
          <w:tcPr>
            <w:tcW w:w="1119" w:type="dxa"/>
            <w:shd w:val="clear" w:color="auto" w:fill="auto"/>
          </w:tcPr>
          <w:p w:rsidR="00EC322F" w:rsidRPr="00B816E4" w:rsidRDefault="00EC322F" w:rsidP="00EC322F">
            <w:pPr>
              <w:pStyle w:val="TableBodyCells"/>
            </w:pPr>
            <w:r w:rsidRPr="00B816E4">
              <w:t xml:space="preserve"> 16.9 </w:t>
            </w:r>
          </w:p>
        </w:tc>
        <w:tc>
          <w:tcPr>
            <w:tcW w:w="1119" w:type="dxa"/>
            <w:shd w:val="clear" w:color="auto" w:fill="auto"/>
          </w:tcPr>
          <w:p w:rsidR="00EC322F" w:rsidRPr="00B816E4" w:rsidRDefault="00EC322F" w:rsidP="00EC322F">
            <w:pPr>
              <w:pStyle w:val="TableBodyCells"/>
            </w:pPr>
            <w:r w:rsidRPr="00B816E4">
              <w:t xml:space="preserve"> 20.6 </w:t>
            </w:r>
          </w:p>
        </w:tc>
        <w:tc>
          <w:tcPr>
            <w:tcW w:w="1119" w:type="dxa"/>
            <w:shd w:val="clear" w:color="auto" w:fill="auto"/>
          </w:tcPr>
          <w:p w:rsidR="00EC322F" w:rsidRPr="00B816E4" w:rsidRDefault="00EC322F" w:rsidP="00EC322F">
            <w:pPr>
              <w:pStyle w:val="TableBodyCells"/>
            </w:pPr>
            <w:r w:rsidRPr="00B816E4">
              <w:t xml:space="preserve"> 18.4 </w:t>
            </w:r>
          </w:p>
        </w:tc>
      </w:tr>
      <w:tr w:rsidR="00EC322F" w:rsidRPr="003662A4" w:rsidTr="00C64356">
        <w:tc>
          <w:tcPr>
            <w:tcW w:w="2842" w:type="dxa"/>
            <w:shd w:val="clear" w:color="auto" w:fill="auto"/>
          </w:tcPr>
          <w:p w:rsidR="00EC322F" w:rsidRPr="00B816E4" w:rsidRDefault="00EC322F" w:rsidP="00EC322F">
            <w:pPr>
              <w:pStyle w:val="TableBodyCells"/>
              <w:jc w:val="left"/>
            </w:pPr>
            <w:r w:rsidRPr="00B816E4">
              <w:t xml:space="preserve"> Corporate tax allowance </w:t>
            </w:r>
          </w:p>
        </w:tc>
        <w:tc>
          <w:tcPr>
            <w:tcW w:w="1119" w:type="dxa"/>
            <w:shd w:val="clear" w:color="auto" w:fill="auto"/>
          </w:tcPr>
          <w:p w:rsidR="00EC322F" w:rsidRPr="00B816E4" w:rsidRDefault="00EC322F" w:rsidP="00EC322F">
            <w:pPr>
              <w:pStyle w:val="TableBodyCells"/>
            </w:pPr>
            <w:r w:rsidRPr="00B816E4">
              <w:t xml:space="preserve"> 2.7 </w:t>
            </w:r>
          </w:p>
        </w:tc>
        <w:tc>
          <w:tcPr>
            <w:tcW w:w="1119" w:type="dxa"/>
          </w:tcPr>
          <w:p w:rsidR="00EC322F" w:rsidRPr="00B816E4" w:rsidRDefault="00EC322F" w:rsidP="00EC322F">
            <w:pPr>
              <w:pStyle w:val="TableBodyCells"/>
            </w:pPr>
            <w:r w:rsidRPr="00B816E4">
              <w:t xml:space="preserve"> 3.2 </w:t>
            </w:r>
          </w:p>
        </w:tc>
        <w:tc>
          <w:tcPr>
            <w:tcW w:w="1119" w:type="dxa"/>
            <w:shd w:val="clear" w:color="auto" w:fill="auto"/>
          </w:tcPr>
          <w:p w:rsidR="00EC322F" w:rsidRPr="00B816E4" w:rsidRDefault="00EC322F" w:rsidP="00EC322F">
            <w:pPr>
              <w:pStyle w:val="TableBodyCells"/>
            </w:pPr>
            <w:r w:rsidRPr="00B816E4">
              <w:t xml:space="preserve"> 3.4 </w:t>
            </w:r>
          </w:p>
        </w:tc>
        <w:tc>
          <w:tcPr>
            <w:tcW w:w="1119" w:type="dxa"/>
            <w:shd w:val="clear" w:color="auto" w:fill="auto"/>
          </w:tcPr>
          <w:p w:rsidR="00EC322F" w:rsidRPr="00B816E4" w:rsidRDefault="00EC322F" w:rsidP="00EC322F">
            <w:pPr>
              <w:pStyle w:val="TableBodyCells"/>
            </w:pPr>
            <w:r w:rsidRPr="00B816E4">
              <w:t xml:space="preserve"> 3.0 </w:t>
            </w:r>
          </w:p>
        </w:tc>
        <w:tc>
          <w:tcPr>
            <w:tcW w:w="1119" w:type="dxa"/>
            <w:shd w:val="clear" w:color="auto" w:fill="auto"/>
          </w:tcPr>
          <w:p w:rsidR="00EC322F" w:rsidRPr="00B816E4" w:rsidRDefault="00EC322F" w:rsidP="00EC322F">
            <w:pPr>
              <w:pStyle w:val="TableBodyCells"/>
            </w:pPr>
            <w:r w:rsidRPr="00B816E4">
              <w:t xml:space="preserve"> 2.2 </w:t>
            </w:r>
          </w:p>
        </w:tc>
      </w:tr>
      <w:tr w:rsidR="00EC322F" w:rsidRPr="003662A4" w:rsidTr="00C64356">
        <w:tc>
          <w:tcPr>
            <w:tcW w:w="2842" w:type="dxa"/>
            <w:shd w:val="clear" w:color="auto" w:fill="auto"/>
          </w:tcPr>
          <w:p w:rsidR="00EC322F" w:rsidRPr="00B816E4" w:rsidRDefault="00EC322F" w:rsidP="00EC322F">
            <w:pPr>
              <w:pStyle w:val="TableBodyCells"/>
              <w:jc w:val="left"/>
            </w:pPr>
            <w:r w:rsidRPr="00B816E4">
              <w:t xml:space="preserve"> Incentive mechanisms </w:t>
            </w:r>
          </w:p>
        </w:tc>
        <w:tc>
          <w:tcPr>
            <w:tcW w:w="1119" w:type="dxa"/>
            <w:shd w:val="clear" w:color="auto" w:fill="auto"/>
          </w:tcPr>
          <w:p w:rsidR="00EC322F" w:rsidRPr="00B816E4" w:rsidRDefault="00EC322F" w:rsidP="00EC322F">
            <w:pPr>
              <w:pStyle w:val="TableBodyCells"/>
            </w:pPr>
            <w:r w:rsidRPr="00B816E4">
              <w:t xml:space="preserve"> 7.0 </w:t>
            </w:r>
          </w:p>
        </w:tc>
        <w:tc>
          <w:tcPr>
            <w:tcW w:w="1119" w:type="dxa"/>
          </w:tcPr>
          <w:p w:rsidR="00EC322F" w:rsidRPr="00B816E4" w:rsidRDefault="00EC322F" w:rsidP="00EC322F">
            <w:pPr>
              <w:pStyle w:val="TableBodyCells"/>
            </w:pPr>
            <w:r w:rsidRPr="00B816E4">
              <w:t xml:space="preserve"> 4.2 </w:t>
            </w:r>
          </w:p>
        </w:tc>
        <w:tc>
          <w:tcPr>
            <w:tcW w:w="1119" w:type="dxa"/>
            <w:shd w:val="clear" w:color="auto" w:fill="auto"/>
          </w:tcPr>
          <w:p w:rsidR="00EC322F" w:rsidRPr="00B816E4" w:rsidRDefault="00EC322F" w:rsidP="00EC322F">
            <w:pPr>
              <w:pStyle w:val="TableBodyCells"/>
            </w:pPr>
            <w:r w:rsidRPr="00B816E4">
              <w:t xml:space="preserve"> 3.5 </w:t>
            </w:r>
          </w:p>
        </w:tc>
        <w:tc>
          <w:tcPr>
            <w:tcW w:w="1119" w:type="dxa"/>
            <w:shd w:val="clear" w:color="auto" w:fill="auto"/>
          </w:tcPr>
          <w:p w:rsidR="00EC322F" w:rsidRPr="00B816E4" w:rsidRDefault="00EC322F" w:rsidP="00EC322F">
            <w:pPr>
              <w:pStyle w:val="TableBodyCells"/>
            </w:pPr>
            <w:r w:rsidRPr="00B816E4">
              <w:t xml:space="preserve"> 2.4 </w:t>
            </w:r>
          </w:p>
        </w:tc>
        <w:tc>
          <w:tcPr>
            <w:tcW w:w="1119" w:type="dxa"/>
            <w:shd w:val="clear" w:color="auto" w:fill="auto"/>
          </w:tcPr>
          <w:p w:rsidR="00EC322F" w:rsidRPr="00B816E4" w:rsidRDefault="00EC322F" w:rsidP="00EC322F">
            <w:pPr>
              <w:pStyle w:val="TableBodyCells"/>
            </w:pPr>
            <w:r w:rsidRPr="00B816E4">
              <w:t xml:space="preserve"> -  </w:t>
            </w:r>
          </w:p>
        </w:tc>
      </w:tr>
      <w:tr w:rsidR="00EC322F" w:rsidRPr="003662A4" w:rsidTr="00C64356">
        <w:tc>
          <w:tcPr>
            <w:tcW w:w="2842" w:type="dxa"/>
            <w:shd w:val="clear" w:color="auto" w:fill="auto"/>
          </w:tcPr>
          <w:p w:rsidR="00EC322F" w:rsidRPr="00B816E4" w:rsidRDefault="00EC322F" w:rsidP="00EC322F">
            <w:pPr>
              <w:pStyle w:val="TableBodyCells"/>
              <w:jc w:val="left"/>
            </w:pPr>
            <w:r w:rsidRPr="00B816E4">
              <w:t xml:space="preserve"> Operating costs </w:t>
            </w:r>
          </w:p>
        </w:tc>
        <w:tc>
          <w:tcPr>
            <w:tcW w:w="1119" w:type="dxa"/>
            <w:shd w:val="clear" w:color="auto" w:fill="auto"/>
          </w:tcPr>
          <w:p w:rsidR="00EC322F" w:rsidRPr="00B816E4" w:rsidRDefault="00EC322F" w:rsidP="00EC322F">
            <w:pPr>
              <w:pStyle w:val="TableBodyCells"/>
            </w:pPr>
            <w:r w:rsidRPr="00B816E4">
              <w:t xml:space="preserve"> 26.6 </w:t>
            </w:r>
          </w:p>
        </w:tc>
        <w:tc>
          <w:tcPr>
            <w:tcW w:w="1119" w:type="dxa"/>
          </w:tcPr>
          <w:p w:rsidR="00EC322F" w:rsidRPr="00B816E4" w:rsidRDefault="00EC322F" w:rsidP="00EC322F">
            <w:pPr>
              <w:pStyle w:val="TableBodyCells"/>
            </w:pPr>
            <w:r w:rsidRPr="00B816E4">
              <w:t xml:space="preserve"> 27.3 </w:t>
            </w:r>
          </w:p>
        </w:tc>
        <w:tc>
          <w:tcPr>
            <w:tcW w:w="1119" w:type="dxa"/>
            <w:shd w:val="clear" w:color="auto" w:fill="auto"/>
          </w:tcPr>
          <w:p w:rsidR="00EC322F" w:rsidRPr="00B816E4" w:rsidRDefault="00EC322F" w:rsidP="00EC322F">
            <w:pPr>
              <w:pStyle w:val="TableBodyCells"/>
            </w:pPr>
            <w:r w:rsidRPr="00B816E4">
              <w:t xml:space="preserve"> 28.0 </w:t>
            </w:r>
          </w:p>
        </w:tc>
        <w:tc>
          <w:tcPr>
            <w:tcW w:w="1119" w:type="dxa"/>
            <w:shd w:val="clear" w:color="auto" w:fill="auto"/>
          </w:tcPr>
          <w:p w:rsidR="00EC322F" w:rsidRPr="00B816E4" w:rsidRDefault="00EC322F" w:rsidP="00EC322F">
            <w:pPr>
              <w:pStyle w:val="TableBodyCells"/>
            </w:pPr>
            <w:r w:rsidRPr="00B816E4">
              <w:t xml:space="preserve"> 29.8 </w:t>
            </w:r>
          </w:p>
        </w:tc>
        <w:tc>
          <w:tcPr>
            <w:tcW w:w="1119" w:type="dxa"/>
            <w:shd w:val="clear" w:color="auto" w:fill="auto"/>
          </w:tcPr>
          <w:p w:rsidR="00EC322F" w:rsidRPr="00B816E4" w:rsidRDefault="00EC322F" w:rsidP="00EC322F">
            <w:pPr>
              <w:pStyle w:val="TableBodyCells"/>
            </w:pPr>
            <w:r w:rsidRPr="00B816E4">
              <w:t xml:space="preserve"> 30.8 </w:t>
            </w:r>
          </w:p>
        </w:tc>
      </w:tr>
      <w:tr w:rsidR="00EC322F" w:rsidRPr="003662A4" w:rsidTr="00C64356">
        <w:tc>
          <w:tcPr>
            <w:tcW w:w="2842" w:type="dxa"/>
            <w:shd w:val="clear" w:color="auto" w:fill="auto"/>
          </w:tcPr>
          <w:p w:rsidR="00EC322F" w:rsidRPr="00EC322F" w:rsidRDefault="00EC322F" w:rsidP="00EC322F">
            <w:pPr>
              <w:pStyle w:val="TableBodyCells"/>
              <w:jc w:val="left"/>
              <w:rPr>
                <w:b/>
              </w:rPr>
            </w:pPr>
            <w:r w:rsidRPr="00EC322F">
              <w:rPr>
                <w:b/>
              </w:rPr>
              <w:t xml:space="preserve"> Total  </w:t>
            </w:r>
          </w:p>
        </w:tc>
        <w:tc>
          <w:tcPr>
            <w:tcW w:w="1119" w:type="dxa"/>
            <w:shd w:val="clear" w:color="auto" w:fill="auto"/>
          </w:tcPr>
          <w:p w:rsidR="00EC322F" w:rsidRPr="00EC322F" w:rsidRDefault="00EC322F" w:rsidP="00EC322F">
            <w:pPr>
              <w:pStyle w:val="TableBodyCells"/>
              <w:rPr>
                <w:b/>
              </w:rPr>
            </w:pPr>
            <w:r w:rsidRPr="00EC322F">
              <w:rPr>
                <w:b/>
              </w:rPr>
              <w:t xml:space="preserve"> 125.3 </w:t>
            </w:r>
          </w:p>
        </w:tc>
        <w:tc>
          <w:tcPr>
            <w:tcW w:w="1119" w:type="dxa"/>
          </w:tcPr>
          <w:p w:rsidR="00EC322F" w:rsidRPr="00EC322F" w:rsidRDefault="00EC322F" w:rsidP="00EC322F">
            <w:pPr>
              <w:pStyle w:val="TableBodyCells"/>
              <w:rPr>
                <w:b/>
              </w:rPr>
            </w:pPr>
            <w:r w:rsidRPr="00EC322F">
              <w:rPr>
                <w:b/>
              </w:rPr>
              <w:t xml:space="preserve"> 130.8 </w:t>
            </w:r>
          </w:p>
        </w:tc>
        <w:tc>
          <w:tcPr>
            <w:tcW w:w="1119" w:type="dxa"/>
            <w:shd w:val="clear" w:color="auto" w:fill="auto"/>
          </w:tcPr>
          <w:p w:rsidR="00EC322F" w:rsidRPr="00EC322F" w:rsidRDefault="00EC322F" w:rsidP="00EC322F">
            <w:pPr>
              <w:pStyle w:val="TableBodyCells"/>
              <w:rPr>
                <w:b/>
              </w:rPr>
            </w:pPr>
            <w:r w:rsidRPr="00EC322F">
              <w:rPr>
                <w:b/>
              </w:rPr>
              <w:t xml:space="preserve"> 137.6 </w:t>
            </w:r>
          </w:p>
        </w:tc>
        <w:tc>
          <w:tcPr>
            <w:tcW w:w="1119" w:type="dxa"/>
            <w:shd w:val="clear" w:color="auto" w:fill="auto"/>
          </w:tcPr>
          <w:p w:rsidR="00EC322F" w:rsidRPr="00EC322F" w:rsidRDefault="00EC322F" w:rsidP="00EC322F">
            <w:pPr>
              <w:pStyle w:val="TableBodyCells"/>
              <w:rPr>
                <w:b/>
              </w:rPr>
            </w:pPr>
            <w:r w:rsidRPr="00EC322F">
              <w:rPr>
                <w:b/>
              </w:rPr>
              <w:t xml:space="preserve"> 146.2 </w:t>
            </w:r>
          </w:p>
        </w:tc>
        <w:tc>
          <w:tcPr>
            <w:tcW w:w="1119" w:type="dxa"/>
            <w:shd w:val="clear" w:color="auto" w:fill="auto"/>
          </w:tcPr>
          <w:p w:rsidR="00EC322F" w:rsidRPr="00EC322F" w:rsidRDefault="00EC322F" w:rsidP="00EC322F">
            <w:pPr>
              <w:pStyle w:val="TableBodyCells"/>
              <w:rPr>
                <w:b/>
              </w:rPr>
            </w:pPr>
            <w:r w:rsidRPr="00EC322F">
              <w:rPr>
                <w:b/>
              </w:rPr>
              <w:t xml:space="preserve"> 141.7 </w:t>
            </w:r>
          </w:p>
        </w:tc>
      </w:tr>
      <w:tr w:rsidR="003B0FEA" w:rsidRPr="00FA561E" w:rsidTr="000061C7">
        <w:tc>
          <w:tcPr>
            <w:tcW w:w="2842" w:type="dxa"/>
            <w:shd w:val="clear" w:color="auto" w:fill="auto"/>
            <w:vAlign w:val="center"/>
          </w:tcPr>
          <w:p w:rsidR="003B0FEA" w:rsidRPr="00FA561E" w:rsidRDefault="003B0FEA" w:rsidP="005D5766">
            <w:pPr>
              <w:rPr>
                <w:rFonts w:cs="Arial"/>
                <w:b/>
                <w:bCs/>
                <w:sz w:val="18"/>
                <w:szCs w:val="18"/>
              </w:rPr>
            </w:pPr>
            <w:r w:rsidRPr="00FA561E">
              <w:rPr>
                <w:rFonts w:cs="Arial"/>
                <w:b/>
                <w:bCs/>
                <w:sz w:val="18"/>
                <w:szCs w:val="18"/>
              </w:rPr>
              <w:t>Smoothed revenue requirement</w:t>
            </w:r>
          </w:p>
        </w:tc>
        <w:tc>
          <w:tcPr>
            <w:tcW w:w="1119" w:type="dxa"/>
            <w:shd w:val="clear" w:color="auto" w:fill="auto"/>
          </w:tcPr>
          <w:p w:rsidR="003B0FEA" w:rsidRPr="003B0FEA" w:rsidRDefault="003B0FEA" w:rsidP="003B0FEA">
            <w:pPr>
              <w:pStyle w:val="TableBodyCells"/>
              <w:rPr>
                <w:b/>
              </w:rPr>
            </w:pPr>
            <w:r w:rsidRPr="003B0FEA">
              <w:rPr>
                <w:b/>
              </w:rPr>
              <w:t>119.4</w:t>
            </w:r>
          </w:p>
        </w:tc>
        <w:tc>
          <w:tcPr>
            <w:tcW w:w="1119" w:type="dxa"/>
          </w:tcPr>
          <w:p w:rsidR="003B0FEA" w:rsidRPr="003B0FEA" w:rsidRDefault="003B0FEA" w:rsidP="003B0FEA">
            <w:pPr>
              <w:pStyle w:val="TableBodyCells"/>
              <w:rPr>
                <w:b/>
              </w:rPr>
            </w:pPr>
            <w:r w:rsidRPr="003B0FEA">
              <w:rPr>
                <w:b/>
              </w:rPr>
              <w:t>126.0</w:t>
            </w:r>
          </w:p>
        </w:tc>
        <w:tc>
          <w:tcPr>
            <w:tcW w:w="1119" w:type="dxa"/>
            <w:shd w:val="clear" w:color="auto" w:fill="auto"/>
          </w:tcPr>
          <w:p w:rsidR="003B0FEA" w:rsidRPr="003B0FEA" w:rsidRDefault="003B0FEA" w:rsidP="003B0FEA">
            <w:pPr>
              <w:pStyle w:val="TableBodyCells"/>
              <w:rPr>
                <w:b/>
              </w:rPr>
            </w:pPr>
            <w:r w:rsidRPr="003B0FEA">
              <w:rPr>
                <w:b/>
              </w:rPr>
              <w:t>134.3</w:t>
            </w:r>
          </w:p>
        </w:tc>
        <w:tc>
          <w:tcPr>
            <w:tcW w:w="1119" w:type="dxa"/>
            <w:shd w:val="clear" w:color="auto" w:fill="auto"/>
          </w:tcPr>
          <w:p w:rsidR="003B0FEA" w:rsidRPr="003B0FEA" w:rsidRDefault="003B0FEA" w:rsidP="003B0FEA">
            <w:pPr>
              <w:pStyle w:val="TableBodyCells"/>
              <w:rPr>
                <w:b/>
              </w:rPr>
            </w:pPr>
            <w:r w:rsidRPr="003B0FEA">
              <w:rPr>
                <w:b/>
              </w:rPr>
              <w:t>143.1</w:t>
            </w:r>
          </w:p>
        </w:tc>
        <w:tc>
          <w:tcPr>
            <w:tcW w:w="1119" w:type="dxa"/>
            <w:shd w:val="clear" w:color="auto" w:fill="auto"/>
          </w:tcPr>
          <w:p w:rsidR="003B0FEA" w:rsidRPr="003B0FEA" w:rsidRDefault="003B0FEA" w:rsidP="003B0FEA">
            <w:pPr>
              <w:pStyle w:val="TableBodyCells"/>
              <w:rPr>
                <w:b/>
              </w:rPr>
            </w:pPr>
            <w:r w:rsidRPr="003B0FEA">
              <w:rPr>
                <w:b/>
              </w:rPr>
              <w:t>152.9</w:t>
            </w:r>
          </w:p>
        </w:tc>
      </w:tr>
      <w:tr w:rsidR="009E0D54" w:rsidRPr="009E0D54" w:rsidTr="00C941AA">
        <w:tc>
          <w:tcPr>
            <w:tcW w:w="2842" w:type="dxa"/>
            <w:shd w:val="clear" w:color="auto" w:fill="auto"/>
            <w:vAlign w:val="center"/>
          </w:tcPr>
          <w:p w:rsidR="009E0D54" w:rsidRPr="009E0D54" w:rsidRDefault="009E0D54" w:rsidP="005D5766">
            <w:pPr>
              <w:rPr>
                <w:rFonts w:cs="Arial"/>
                <w:bCs/>
                <w:sz w:val="18"/>
                <w:szCs w:val="18"/>
              </w:rPr>
            </w:pPr>
            <w:r w:rsidRPr="009E0D54">
              <w:rPr>
                <w:rFonts w:cs="Arial"/>
                <w:bCs/>
                <w:sz w:val="18"/>
                <w:szCs w:val="18"/>
              </w:rPr>
              <w:t>X-factor</w:t>
            </w:r>
          </w:p>
        </w:tc>
        <w:tc>
          <w:tcPr>
            <w:tcW w:w="1119" w:type="dxa"/>
            <w:shd w:val="clear" w:color="auto" w:fill="auto"/>
            <w:vAlign w:val="center"/>
          </w:tcPr>
          <w:p w:rsidR="009E0D54" w:rsidRPr="009E0D54" w:rsidRDefault="009E0D54" w:rsidP="000061C7">
            <w:pPr>
              <w:pStyle w:val="TableBodyCells"/>
              <w:rPr>
                <w:rFonts w:cs="Arial"/>
              </w:rPr>
            </w:pPr>
            <w:r w:rsidRPr="009E0D54">
              <w:rPr>
                <w:rFonts w:cs="Arial"/>
              </w:rPr>
              <w:t>-</w:t>
            </w:r>
          </w:p>
        </w:tc>
        <w:tc>
          <w:tcPr>
            <w:tcW w:w="1119" w:type="dxa"/>
            <w:vAlign w:val="center"/>
          </w:tcPr>
          <w:p w:rsidR="009E0D54" w:rsidRPr="009E0D54" w:rsidRDefault="00E62DB8" w:rsidP="000061C7">
            <w:pPr>
              <w:pStyle w:val="TableBodyCells"/>
              <w:rPr>
                <w:rFonts w:cs="Arial"/>
              </w:rPr>
            </w:pPr>
            <w:r>
              <w:rPr>
                <w:rFonts w:cs="Arial"/>
              </w:rPr>
              <w:t>-</w:t>
            </w:r>
            <w:r w:rsidR="009E0D54" w:rsidRPr="009E0D54">
              <w:rPr>
                <w:rFonts w:cs="Arial"/>
              </w:rPr>
              <w:t>6</w:t>
            </w:r>
            <w:r>
              <w:rPr>
                <w:rFonts w:cs="Arial"/>
              </w:rPr>
              <w:t>.0</w:t>
            </w:r>
          </w:p>
        </w:tc>
        <w:tc>
          <w:tcPr>
            <w:tcW w:w="1119" w:type="dxa"/>
            <w:shd w:val="clear" w:color="auto" w:fill="auto"/>
            <w:vAlign w:val="center"/>
          </w:tcPr>
          <w:p w:rsidR="009E0D54" w:rsidRPr="009E0D54" w:rsidRDefault="00E62DB8" w:rsidP="000061C7">
            <w:pPr>
              <w:pStyle w:val="TableBodyCells"/>
              <w:rPr>
                <w:rFonts w:cs="Arial"/>
              </w:rPr>
            </w:pPr>
            <w:r>
              <w:rPr>
                <w:rFonts w:cs="Arial"/>
              </w:rPr>
              <w:t>-</w:t>
            </w:r>
            <w:r w:rsidR="009E0D54" w:rsidRPr="009E0D54">
              <w:rPr>
                <w:rFonts w:cs="Arial"/>
              </w:rPr>
              <w:t>6</w:t>
            </w:r>
            <w:r>
              <w:rPr>
                <w:rFonts w:cs="Arial"/>
              </w:rPr>
              <w:t>.0</w:t>
            </w:r>
          </w:p>
        </w:tc>
        <w:tc>
          <w:tcPr>
            <w:tcW w:w="1119" w:type="dxa"/>
            <w:shd w:val="clear" w:color="auto" w:fill="auto"/>
            <w:vAlign w:val="center"/>
          </w:tcPr>
          <w:p w:rsidR="009E0D54" w:rsidRPr="009E0D54" w:rsidRDefault="00E62DB8" w:rsidP="000061C7">
            <w:pPr>
              <w:pStyle w:val="TableBodyCells"/>
              <w:rPr>
                <w:rFonts w:cs="Arial"/>
              </w:rPr>
            </w:pPr>
            <w:r>
              <w:rPr>
                <w:rFonts w:cs="Arial"/>
              </w:rPr>
              <w:t>-</w:t>
            </w:r>
            <w:r w:rsidR="009E0D54" w:rsidRPr="009E0D54">
              <w:rPr>
                <w:rFonts w:cs="Arial"/>
              </w:rPr>
              <w:t>6</w:t>
            </w:r>
            <w:r>
              <w:rPr>
                <w:rFonts w:cs="Arial"/>
              </w:rPr>
              <w:t>.0</w:t>
            </w:r>
          </w:p>
        </w:tc>
        <w:tc>
          <w:tcPr>
            <w:tcW w:w="1119" w:type="dxa"/>
            <w:shd w:val="clear" w:color="auto" w:fill="auto"/>
            <w:vAlign w:val="center"/>
          </w:tcPr>
          <w:p w:rsidR="009E0D54" w:rsidRPr="009E0D54" w:rsidRDefault="00E62DB8" w:rsidP="000061C7">
            <w:pPr>
              <w:pStyle w:val="TableBodyCells"/>
              <w:rPr>
                <w:rFonts w:cs="Arial"/>
              </w:rPr>
            </w:pPr>
            <w:r>
              <w:rPr>
                <w:rFonts w:cs="Arial"/>
              </w:rPr>
              <w:t>-</w:t>
            </w:r>
            <w:r w:rsidR="009E0D54" w:rsidRPr="009E0D54">
              <w:rPr>
                <w:rFonts w:cs="Arial"/>
              </w:rPr>
              <w:t>6</w:t>
            </w:r>
            <w:r>
              <w:rPr>
                <w:rFonts w:cs="Arial"/>
              </w:rPr>
              <w:t>.0</w:t>
            </w:r>
          </w:p>
        </w:tc>
      </w:tr>
    </w:tbl>
    <w:p w:rsidR="003662A4" w:rsidRDefault="003662A4" w:rsidP="003662A4">
      <w:pPr>
        <w:pStyle w:val="BodyText"/>
      </w:pPr>
    </w:p>
    <w:p w:rsidR="003662A4" w:rsidRDefault="003662A4" w:rsidP="003662A4">
      <w:pPr>
        <w:pStyle w:val="BodyText"/>
      </w:pPr>
    </w:p>
    <w:sectPr w:rsidR="003662A4" w:rsidSect="00996547">
      <w:headerReference w:type="default" r:id="rId24"/>
      <w:footerReference w:type="default" r:id="rId25"/>
      <w:pgSz w:w="11907" w:h="16840" w:code="9"/>
      <w:pgMar w:top="2835" w:right="1616" w:bottom="1702" w:left="1616" w:header="737" w:footer="737" w:gutter="454"/>
      <w:cols w: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356" w:rsidRDefault="00C64356">
      <w:r>
        <w:separator/>
      </w:r>
    </w:p>
  </w:endnote>
  <w:endnote w:type="continuationSeparator" w:id="0">
    <w:p w:rsidR="00C64356" w:rsidRDefault="00C6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CenturyGothic">
    <w:altName w:val="Century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56" w:rsidRDefault="003B0FEA">
    <w:pPr>
      <w:pStyle w:val="Footer"/>
      <w:framePr w:hSpace="181" w:wrap="around" w:vAnchor="text" w:hAnchor="text" w:xAlign="right" w:y="1"/>
    </w:pPr>
    <w:fldSimple w:instr=" FILENAME ">
      <w:r w:rsidR="00C64356">
        <w:rPr>
          <w:noProof/>
        </w:rPr>
        <w:t>APA VTS-Access Arrangement Information-20170102-Public.docx</w:t>
      </w:r>
    </w:fldSimple>
    <w:r w:rsidR="00C64356">
      <w:t xml:space="preserve"> - </w:t>
    </w:r>
    <w:r w:rsidR="00C64356">
      <w:fldChar w:fldCharType="begin"/>
    </w:r>
    <w:r w:rsidR="00C64356">
      <w:instrText xml:space="preserve"> SAVEDATE  \@ </w:instrText>
    </w:r>
    <w:r w:rsidR="00C64356">
      <w:fldChar w:fldCharType="begin"/>
    </w:r>
    <w:r w:rsidR="00C64356">
      <w:instrText xml:space="preserve"> DOCPROPERTY "KISDateFmt" </w:instrText>
    </w:r>
    <w:r w:rsidR="00C64356">
      <w:fldChar w:fldCharType="separate"/>
    </w:r>
    <w:r w:rsidR="00C64356">
      <w:rPr>
        <w:b/>
        <w:bCs/>
        <w:lang w:val="en-US"/>
      </w:rPr>
      <w:instrText>Error! Unknown document property name.</w:instrText>
    </w:r>
    <w:r w:rsidR="00C64356">
      <w:fldChar w:fldCharType="end"/>
    </w:r>
    <w:r w:rsidR="00C64356">
      <w:instrText xml:space="preserve"> </w:instrText>
    </w:r>
    <w:r w:rsidR="00C64356">
      <w:fldChar w:fldCharType="separate"/>
    </w:r>
    <w:r w:rsidR="00237124">
      <w:rPr>
        <w:b/>
        <w:bCs/>
        <w:noProof/>
        <w:lang w:val="en-US"/>
      </w:rPr>
      <w:t>Error! Unknown character in picture string.</w:t>
    </w:r>
    <w:r w:rsidR="00C64356">
      <w:fldChar w:fldCharType="end"/>
    </w:r>
  </w:p>
  <w:p w:rsidR="00C64356" w:rsidRDefault="00C6435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56" w:rsidRDefault="00C64356">
    <w:pPr>
      <w:pStyle w:val="Footer"/>
    </w:pPr>
    <w:r w:rsidRPr="00F21E89">
      <w:rPr>
        <w:noProof/>
        <w:lang w:eastAsia="en-AU"/>
      </w:rPr>
      <w:drawing>
        <wp:anchor distT="0" distB="0" distL="114300" distR="114300" simplePos="0" relativeHeight="251683840" behindDoc="0" locked="0" layoutInCell="1" allowOverlap="1" wp14:anchorId="664E676E" wp14:editId="68E2C226">
          <wp:simplePos x="0" y="0"/>
          <wp:positionH relativeFrom="column">
            <wp:posOffset>3150235</wp:posOffset>
          </wp:positionH>
          <wp:positionV relativeFrom="paragraph">
            <wp:posOffset>60960</wp:posOffset>
          </wp:positionV>
          <wp:extent cx="1843200" cy="219600"/>
          <wp:effectExtent l="0" t="0" r="5080" b="9525"/>
          <wp:wrapThrough wrapText="bothSides">
            <wp:wrapPolygon edited="0">
              <wp:start x="16747" y="0"/>
              <wp:lineTo x="0" y="1878"/>
              <wp:lineTo x="0" y="16904"/>
              <wp:lineTo x="4689" y="20661"/>
              <wp:lineTo x="7592" y="20661"/>
              <wp:lineTo x="21436" y="16904"/>
              <wp:lineTo x="21436" y="11270"/>
              <wp:lineTo x="21213" y="0"/>
              <wp:lineTo x="16747"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843200" cy="2196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56" w:rsidRDefault="00C64356">
    <w:pPr>
      <w:pStyle w:val="Footer"/>
    </w:pPr>
    <w:r w:rsidRPr="00F21E89">
      <w:rPr>
        <w:noProof/>
        <w:lang w:eastAsia="en-AU"/>
      </w:rPr>
      <w:drawing>
        <wp:anchor distT="0" distB="0" distL="114300" distR="114300" simplePos="0" relativeHeight="251661312" behindDoc="0" locked="0" layoutInCell="1" allowOverlap="1" wp14:anchorId="7EFB3964" wp14:editId="06D5B67B">
          <wp:simplePos x="0" y="0"/>
          <wp:positionH relativeFrom="column">
            <wp:posOffset>3851910</wp:posOffset>
          </wp:positionH>
          <wp:positionV relativeFrom="paragraph">
            <wp:posOffset>10795</wp:posOffset>
          </wp:positionV>
          <wp:extent cx="1386840" cy="163830"/>
          <wp:effectExtent l="0" t="0" r="3810" b="7620"/>
          <wp:wrapThrough wrapText="bothSides">
            <wp:wrapPolygon edited="0">
              <wp:start x="16615" y="0"/>
              <wp:lineTo x="0" y="0"/>
              <wp:lineTo x="0" y="17581"/>
              <wp:lineTo x="4451" y="20093"/>
              <wp:lineTo x="7714" y="20093"/>
              <wp:lineTo x="21363" y="17581"/>
              <wp:lineTo x="21363" y="0"/>
              <wp:lineTo x="16615"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386840" cy="163830"/>
                  </a:xfrm>
                  <a:prstGeom prst="rect">
                    <a:avLst/>
                  </a:prstGeom>
                </pic:spPr>
              </pic:pic>
            </a:graphicData>
          </a:graphic>
          <wp14:sizeRelH relativeFrom="page">
            <wp14:pctWidth>0</wp14:pctWidth>
          </wp14:sizeRelH>
          <wp14:sizeRelV relativeFrom="page">
            <wp14:pctHeight>0</wp14:pctHeight>
          </wp14:sizeRelV>
        </wp:anchor>
      </w:drawing>
    </w:r>
    <w:sdt>
      <w:sdtPr>
        <w:id w:val="11313692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37124">
          <w:rPr>
            <w:noProof/>
          </w:rPr>
          <w:t>ii</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735201"/>
      <w:docPartObj>
        <w:docPartGallery w:val="Page Numbers (Bottom of Page)"/>
        <w:docPartUnique/>
      </w:docPartObj>
    </w:sdtPr>
    <w:sdtEndPr>
      <w:rPr>
        <w:noProof/>
      </w:rPr>
    </w:sdtEndPr>
    <w:sdtContent>
      <w:p w:rsidR="00C64356" w:rsidRDefault="00C64356" w:rsidP="00E5542C">
        <w:pPr>
          <w:pStyle w:val="Footer"/>
          <w:tabs>
            <w:tab w:val="clear" w:pos="8222"/>
          </w:tabs>
          <w:rPr>
            <w:noProof/>
          </w:rPr>
        </w:pPr>
        <w:r w:rsidRPr="00F21E89">
          <w:rPr>
            <w:noProof/>
            <w:lang w:eastAsia="en-AU"/>
          </w:rPr>
          <w:drawing>
            <wp:anchor distT="0" distB="0" distL="114300" distR="114300" simplePos="0" relativeHeight="251671552" behindDoc="0" locked="0" layoutInCell="1" allowOverlap="1" wp14:anchorId="7906D63B" wp14:editId="16557B7D">
              <wp:simplePos x="0" y="0"/>
              <wp:positionH relativeFrom="column">
                <wp:posOffset>3852545</wp:posOffset>
              </wp:positionH>
              <wp:positionV relativeFrom="paragraph">
                <wp:posOffset>0</wp:posOffset>
              </wp:positionV>
              <wp:extent cx="1386000" cy="165600"/>
              <wp:effectExtent l="0" t="0" r="5080" b="6350"/>
              <wp:wrapThrough wrapText="bothSides">
                <wp:wrapPolygon edited="0">
                  <wp:start x="16631" y="0"/>
                  <wp:lineTo x="0" y="0"/>
                  <wp:lineTo x="0" y="17446"/>
                  <wp:lineTo x="4455" y="19938"/>
                  <wp:lineTo x="7721" y="19938"/>
                  <wp:lineTo x="21382" y="17446"/>
                  <wp:lineTo x="21382" y="0"/>
                  <wp:lineTo x="16631"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386000" cy="1656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237124">
          <w:rPr>
            <w:noProof/>
          </w:rPr>
          <w:t>37</w:t>
        </w:r>
        <w:r>
          <w:rPr>
            <w:noProof/>
          </w:rPr>
          <w:fldChar w:fldCharType="end"/>
        </w:r>
      </w:p>
      <w:p w:rsidR="00C64356" w:rsidRDefault="00C64356" w:rsidP="00E5542C">
        <w:pPr>
          <w:pStyle w:val="Footer"/>
          <w:tabs>
            <w:tab w:val="clear" w:pos="8222"/>
          </w:tabs>
        </w:pPr>
        <w:r w:rsidRPr="005D5766">
          <w:t>201</w:t>
        </w:r>
        <w:r>
          <w:t>8</w:t>
        </w:r>
        <w:r w:rsidRPr="005D5766">
          <w:t xml:space="preserve">-22 </w:t>
        </w:r>
        <w:r>
          <w:t>VTS</w:t>
        </w:r>
        <w:r w:rsidRPr="005D5766">
          <w:t xml:space="preserve"> Access Arrangement </w:t>
        </w:r>
        <w:r>
          <w:t>Information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356" w:rsidRDefault="00C64356">
      <w:r>
        <w:separator/>
      </w:r>
    </w:p>
  </w:footnote>
  <w:footnote w:type="continuationSeparator" w:id="0">
    <w:p w:rsidR="00C64356" w:rsidRDefault="00C64356">
      <w:r>
        <w:continuationSeparator/>
      </w:r>
    </w:p>
  </w:footnote>
  <w:footnote w:id="1">
    <w:p w:rsidR="00C64356" w:rsidRDefault="00C64356">
      <w:pPr>
        <w:pStyle w:val="FootnoteText"/>
      </w:pPr>
      <w:r>
        <w:rPr>
          <w:rStyle w:val="FootnoteReference"/>
        </w:rPr>
        <w:footnoteRef/>
      </w:r>
      <w:r>
        <w:t xml:space="preserve"> </w:t>
      </w:r>
      <w:r w:rsidRPr="00DC7F3D">
        <w:t>All references to Rules or a particular Rule in this document refer to the National Gas Rules, or part thereof, unless an alternative meaning is expressly stated.</w:t>
      </w:r>
    </w:p>
  </w:footnote>
  <w:footnote w:id="2">
    <w:p w:rsidR="00C64356" w:rsidRDefault="00C64356">
      <w:pPr>
        <w:pStyle w:val="FootnoteText"/>
      </w:pPr>
      <w:r>
        <w:rPr>
          <w:rStyle w:val="FootnoteReference"/>
        </w:rPr>
        <w:footnoteRef/>
      </w:r>
      <w:r>
        <w:t xml:space="preserve"> </w:t>
      </w:r>
      <w:r w:rsidRPr="00180AD1">
        <w:t>As required by Rule 72(1)(a)(</w:t>
      </w:r>
      <w:proofErr w:type="spellStart"/>
      <w:r w:rsidRPr="00180AD1">
        <w:t>i</w:t>
      </w:r>
      <w:proofErr w:type="spellEnd"/>
      <w:r w:rsidRPr="00180AD1">
        <w:t>)</w:t>
      </w:r>
    </w:p>
  </w:footnote>
  <w:footnote w:id="3">
    <w:p w:rsidR="00C64356" w:rsidRDefault="00C64356">
      <w:pPr>
        <w:pStyle w:val="FootnoteText"/>
      </w:pPr>
      <w:r>
        <w:rPr>
          <w:rStyle w:val="FootnoteReference"/>
        </w:rPr>
        <w:footnoteRef/>
      </w:r>
      <w:r>
        <w:t xml:space="preserve"> </w:t>
      </w:r>
      <w:r w:rsidRPr="00180AD1">
        <w:t>As required by Rule 72(1)(a)(ii)</w:t>
      </w:r>
    </w:p>
  </w:footnote>
  <w:footnote w:id="4">
    <w:p w:rsidR="00C64356" w:rsidRDefault="00C64356">
      <w:pPr>
        <w:pStyle w:val="FootnoteText"/>
      </w:pPr>
      <w:r>
        <w:rPr>
          <w:rStyle w:val="FootnoteReference"/>
        </w:rPr>
        <w:footnoteRef/>
      </w:r>
      <w:r>
        <w:t xml:space="preserve"> </w:t>
      </w:r>
      <w:r w:rsidRPr="00180AD1">
        <w:t>As required by Rule 72(1)(a)(iii)(A)</w:t>
      </w:r>
    </w:p>
  </w:footnote>
  <w:footnote w:id="5">
    <w:p w:rsidR="00C64356" w:rsidRDefault="00C64356">
      <w:pPr>
        <w:pStyle w:val="FootnoteText"/>
      </w:pPr>
      <w:r>
        <w:rPr>
          <w:rStyle w:val="FootnoteReference"/>
        </w:rPr>
        <w:footnoteRef/>
      </w:r>
      <w:r>
        <w:t xml:space="preserve"> </w:t>
      </w:r>
      <w:r w:rsidRPr="00180AD1">
        <w:t>As required by Rule 72(1</w:t>
      </w:r>
      <w:proofErr w:type="gramStart"/>
      <w:r w:rsidRPr="00180AD1">
        <w:t>)(</w:t>
      </w:r>
      <w:proofErr w:type="gramEnd"/>
      <w:r w:rsidRPr="00180AD1">
        <w:t>a)(iii)(B)</w:t>
      </w:r>
      <w:r>
        <w:t>.</w:t>
      </w:r>
    </w:p>
  </w:footnote>
  <w:footnote w:id="6">
    <w:p w:rsidR="00C64356" w:rsidRDefault="00C64356">
      <w:pPr>
        <w:pStyle w:val="FootnoteText"/>
      </w:pPr>
      <w:r>
        <w:rPr>
          <w:rStyle w:val="FootnoteReference"/>
        </w:rPr>
        <w:footnoteRef/>
      </w:r>
      <w:r>
        <w:t xml:space="preserve"> </w:t>
      </w:r>
      <w:r w:rsidRPr="00180AD1">
        <w:t>As required by Rule 72(1</w:t>
      </w:r>
      <w:proofErr w:type="gramStart"/>
      <w:r w:rsidRPr="00180AD1">
        <w:t>)(</w:t>
      </w:r>
      <w:proofErr w:type="gramEnd"/>
      <w:r w:rsidRPr="00180AD1">
        <w:t>b)</w:t>
      </w:r>
      <w:r>
        <w:t>.</w:t>
      </w:r>
    </w:p>
  </w:footnote>
  <w:footnote w:id="7">
    <w:p w:rsidR="00C64356" w:rsidRDefault="00C64356">
      <w:pPr>
        <w:pStyle w:val="FootnoteText"/>
      </w:pPr>
      <w:r>
        <w:rPr>
          <w:rStyle w:val="FootnoteReference"/>
        </w:rPr>
        <w:footnoteRef/>
      </w:r>
      <w:r>
        <w:t xml:space="preserve"> </w:t>
      </w:r>
      <w:r w:rsidRPr="00FA5534">
        <w:t>As required by Rule 72(1</w:t>
      </w:r>
      <w:proofErr w:type="gramStart"/>
      <w:r w:rsidRPr="00FA5534">
        <w:t>)(</w:t>
      </w:r>
      <w:proofErr w:type="gramEnd"/>
      <w:r w:rsidRPr="00FA5534">
        <w:t>c)(</w:t>
      </w:r>
      <w:proofErr w:type="spellStart"/>
      <w:r w:rsidRPr="00FA5534">
        <w:t>i</w:t>
      </w:r>
      <w:proofErr w:type="spellEnd"/>
      <w:r w:rsidRPr="00FA5534">
        <w:t>)</w:t>
      </w:r>
      <w:r>
        <w:t>.</w:t>
      </w:r>
    </w:p>
  </w:footnote>
  <w:footnote w:id="8">
    <w:p w:rsidR="00C64356" w:rsidRDefault="00C64356">
      <w:pPr>
        <w:pStyle w:val="FootnoteText"/>
      </w:pPr>
      <w:r>
        <w:rPr>
          <w:rStyle w:val="FootnoteReference"/>
        </w:rPr>
        <w:footnoteRef/>
      </w:r>
      <w:r>
        <w:t xml:space="preserve"> </w:t>
      </w:r>
      <w:r w:rsidRPr="00FA5534">
        <w:t>As required by Rule 72(1</w:t>
      </w:r>
      <w:proofErr w:type="gramStart"/>
      <w:r w:rsidRPr="00FA5534">
        <w:t>)(</w:t>
      </w:r>
      <w:proofErr w:type="gramEnd"/>
      <w:r w:rsidRPr="00FA5534">
        <w:t>c)(ii)</w:t>
      </w:r>
      <w:r>
        <w:t>.</w:t>
      </w:r>
    </w:p>
  </w:footnote>
  <w:footnote w:id="9">
    <w:p w:rsidR="00C64356" w:rsidRDefault="00C64356">
      <w:pPr>
        <w:pStyle w:val="FootnoteText"/>
      </w:pPr>
      <w:r>
        <w:rPr>
          <w:rStyle w:val="FootnoteReference"/>
        </w:rPr>
        <w:footnoteRef/>
      </w:r>
      <w:r>
        <w:t xml:space="preserve"> </w:t>
      </w:r>
      <w:r w:rsidRPr="00FA5534">
        <w:t>As required by Rule 72(1)(c)</w:t>
      </w:r>
    </w:p>
  </w:footnote>
  <w:footnote w:id="10">
    <w:p w:rsidR="00C64356" w:rsidRDefault="00C64356">
      <w:pPr>
        <w:pStyle w:val="FootnoteText"/>
      </w:pPr>
      <w:r>
        <w:rPr>
          <w:rStyle w:val="FootnoteReference"/>
        </w:rPr>
        <w:footnoteRef/>
      </w:r>
      <w:r>
        <w:t xml:space="preserve"> </w:t>
      </w:r>
      <w:r w:rsidRPr="00FA5534">
        <w:t>As required by Rule 72(1</w:t>
      </w:r>
      <w:proofErr w:type="gramStart"/>
      <w:r w:rsidRPr="00FA5534">
        <w:t>)(</w:t>
      </w:r>
      <w:proofErr w:type="gramEnd"/>
      <w:r w:rsidRPr="00FA5534">
        <w:t>d)</w:t>
      </w:r>
      <w:r>
        <w:t>.</w:t>
      </w:r>
    </w:p>
  </w:footnote>
  <w:footnote w:id="11">
    <w:p w:rsidR="00C64356" w:rsidRDefault="00C64356" w:rsidP="00D117C8">
      <w:pPr>
        <w:pStyle w:val="FootnoteText"/>
      </w:pPr>
      <w:r>
        <w:rPr>
          <w:rStyle w:val="FootnoteReference"/>
        </w:rPr>
        <w:footnoteRef/>
      </w:r>
      <w:r>
        <w:t xml:space="preserve"> Includes compressor fuel</w:t>
      </w:r>
    </w:p>
  </w:footnote>
  <w:footnote w:id="12">
    <w:p w:rsidR="00C64356" w:rsidRDefault="00C64356">
      <w:pPr>
        <w:pStyle w:val="FootnoteText"/>
      </w:pPr>
      <w:r>
        <w:rPr>
          <w:rStyle w:val="FootnoteReference"/>
        </w:rPr>
        <w:footnoteRef/>
      </w:r>
      <w:r>
        <w:t xml:space="preserve"> </w:t>
      </w:r>
      <w:r w:rsidRPr="00FA5534">
        <w:t>As required by Rule 72(1)(f)</w:t>
      </w:r>
    </w:p>
  </w:footnote>
  <w:footnote w:id="13">
    <w:p w:rsidR="00C64356" w:rsidRDefault="00C64356">
      <w:pPr>
        <w:pStyle w:val="FootnoteText"/>
      </w:pPr>
      <w:r>
        <w:rPr>
          <w:rStyle w:val="FootnoteReference"/>
        </w:rPr>
        <w:footnoteRef/>
      </w:r>
      <w:r>
        <w:t xml:space="preserve"> </w:t>
      </w:r>
      <w:r w:rsidRPr="00970275">
        <w:t>As required by Rule 72(1)(</w:t>
      </w:r>
      <w:proofErr w:type="spellStart"/>
      <w:r w:rsidRPr="00970275">
        <w:t>i</w:t>
      </w:r>
      <w:proofErr w:type="spellEnd"/>
      <w:r w:rsidRPr="0097027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1" w:type="dxa"/>
        <w:right w:w="71" w:type="dxa"/>
      </w:tblCellMar>
      <w:tblLook w:val="0000" w:firstRow="0" w:lastRow="0" w:firstColumn="0" w:lastColumn="0" w:noHBand="0" w:noVBand="0"/>
    </w:tblPr>
    <w:tblGrid>
      <w:gridCol w:w="4111"/>
    </w:tblGrid>
    <w:tr w:rsidR="00C64356">
      <w:trPr>
        <w:trHeight w:hRule="exact" w:val="220"/>
      </w:trPr>
      <w:tc>
        <w:tcPr>
          <w:tcW w:w="4111" w:type="dxa"/>
        </w:tcPr>
        <w:p w:rsidR="00C64356" w:rsidRDefault="00C64356">
          <w:pPr>
            <w:pStyle w:val="Header"/>
            <w:framePr w:hSpace="181" w:wrap="around" w:vAnchor="text" w:hAnchor="text" w:xAlign="right" w:y="1"/>
            <w:rPr>
              <w:b/>
            </w:rPr>
          </w:pPr>
          <w:r>
            <w:rPr>
              <w:b/>
            </w:rPr>
            <w:fldChar w:fldCharType="begin"/>
          </w:r>
          <w:r>
            <w:rPr>
              <w:b/>
            </w:rPr>
            <w:instrText xml:space="preserve"> DocProperty KISClient \* charformat </w:instrText>
          </w:r>
          <w:r>
            <w:rPr>
              <w:b/>
            </w:rPr>
            <w:fldChar w:fldCharType="separate"/>
          </w:r>
          <w:r>
            <w:rPr>
              <w:b/>
            </w:rPr>
            <w:t>Client name</w:t>
          </w:r>
          <w:r>
            <w:rPr>
              <w:b/>
            </w:rPr>
            <w:fldChar w:fldCharType="end"/>
          </w:r>
        </w:p>
      </w:tc>
    </w:tr>
    <w:tr w:rsidR="00C64356">
      <w:trPr>
        <w:trHeight w:hRule="exact" w:val="220"/>
      </w:trPr>
      <w:tc>
        <w:tcPr>
          <w:tcW w:w="4111" w:type="dxa"/>
        </w:tcPr>
        <w:p w:rsidR="00C64356" w:rsidRDefault="003B0FEA">
          <w:pPr>
            <w:pStyle w:val="Header"/>
            <w:framePr w:hSpace="181" w:wrap="around" w:vAnchor="text" w:hAnchor="text" w:xAlign="right" w:y="1"/>
          </w:pPr>
          <w:fldSimple w:instr=" DocProperty KISSubject  \* charformat ">
            <w:r w:rsidR="00C64356">
              <w:t>Report title</w:t>
            </w:r>
          </w:fldSimple>
        </w:p>
      </w:tc>
    </w:tr>
    <w:tr w:rsidR="00C64356">
      <w:tc>
        <w:tcPr>
          <w:tcW w:w="4111" w:type="dxa"/>
        </w:tcPr>
        <w:p w:rsidR="00C64356" w:rsidRDefault="00C64356">
          <w:pPr>
            <w:pStyle w:val="Header"/>
            <w:framePr w:hSpace="181" w:wrap="around" w:vAnchor="text" w:hAnchor="text" w:xAlign="right" w:y="1"/>
          </w:pPr>
          <w:r>
            <w:fldChar w:fldCharType="begin"/>
          </w:r>
          <w:r>
            <w:instrText xml:space="preserve"> DocProperty KISHdrInfo \* charformat </w:instrText>
          </w:r>
          <w:r>
            <w:fldChar w:fldCharType="separate"/>
          </w:r>
          <w:r>
            <w:t>Core service or market</w:t>
          </w:r>
        </w:p>
        <w:p w:rsidR="00C64356" w:rsidRDefault="00C64356">
          <w:pPr>
            <w:pStyle w:val="Header"/>
            <w:framePr w:hSpace="181" w:wrap="around" w:vAnchor="text" w:hAnchor="text" w:xAlign="right" w:y="1"/>
          </w:pPr>
          <w:r>
            <w:t>Date of issue</w:t>
          </w:r>
          <w:r>
            <w:fldChar w:fldCharType="end"/>
          </w:r>
        </w:p>
      </w:tc>
    </w:tr>
  </w:tbl>
  <w:p w:rsidR="00C64356" w:rsidRDefault="00237124">
    <w:pPr>
      <w:pStyle w:val="Header"/>
    </w:pPr>
    <w:r>
      <w:rPr>
        <w:noProof/>
        <w:lang w:val="en-US"/>
      </w:rPr>
      <w:pict>
        <v:group id="_x0000_s2055" style="position:absolute;left:0;text-align:left;margin-left:0;margin-top:0;width:54pt;height:45.2pt;z-index:251656704;mso-position-horizontal-relative:text;mso-position-vertical-relative:text" coordorigin="8361,885" coordsize="2431,2036">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6" type="#_x0000_t147" style="position:absolute;left:8592;top:885;width:1938;height:2017" adj="9173056,10800" fillcolor="blue" strokecolor="blue">
            <v:shadow color="#868686"/>
            <v:textpath style="font-family:&quot;Verdana&quot;;font-size:12pt" fitshape="t" trim="t" string="INFRASTRUCTURE AND REGULATION &#10;&#10;SERVICES"/>
          </v:shape>
          <v:oval id="_x0000_s2057" style="position:absolute;left:8361;top:1084;width:2431;height:1837;flip:y" filled="f" stroked="f">
            <v:textbox style="mso-next-textbox:#_x0000_s2057">
              <w:txbxContent>
                <w:p w:rsidR="00C64356" w:rsidRPr="005458A4" w:rsidRDefault="00C64356" w:rsidP="005A1209">
                  <w:pPr>
                    <w:jc w:val="center"/>
                    <w:rPr>
                      <w:b/>
                      <w:color w:val="FF6600"/>
                      <w:sz w:val="32"/>
                      <w:szCs w:val="32"/>
                    </w:rPr>
                  </w:pPr>
                  <w:r w:rsidRPr="005458A4">
                    <w:rPr>
                      <w:b/>
                      <w:color w:val="FF6600"/>
                      <w:sz w:val="32"/>
                      <w:szCs w:val="32"/>
                    </w:rPr>
                    <w:t>IRS</w:t>
                  </w:r>
                </w:p>
              </w:txbxContent>
            </v:textbox>
          </v:oval>
          <w10:wrap type="topAndBottom"/>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56" w:rsidRDefault="00C64356">
    <w:pPr>
      <w:pStyle w:val="Header"/>
      <w:tabs>
        <w:tab w:val="left" w:pos="284"/>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56" w:rsidRDefault="00C64356">
    <w:pPr>
      <w:pStyle w:val="Header"/>
      <w:rPr>
        <w:noProof/>
        <w:lang w:eastAsia="en-AU"/>
      </w:rPr>
    </w:pPr>
    <w:r w:rsidRPr="00F21E89">
      <w:rPr>
        <w:noProof/>
        <w:lang w:eastAsia="en-AU"/>
      </w:rPr>
      <w:drawing>
        <wp:anchor distT="0" distB="0" distL="114300" distR="114300" simplePos="0" relativeHeight="251679744" behindDoc="0" locked="0" layoutInCell="1" allowOverlap="1" wp14:anchorId="3180ECE4" wp14:editId="3A0CBD5F">
          <wp:simplePos x="0" y="0"/>
          <wp:positionH relativeFrom="column">
            <wp:posOffset>3150235</wp:posOffset>
          </wp:positionH>
          <wp:positionV relativeFrom="paragraph">
            <wp:posOffset>176530</wp:posOffset>
          </wp:positionV>
          <wp:extent cx="2075815" cy="902970"/>
          <wp:effectExtent l="0" t="0" r="635" b="0"/>
          <wp:wrapThrough wrapText="bothSides">
            <wp:wrapPolygon edited="0">
              <wp:start x="595" y="0"/>
              <wp:lineTo x="0" y="1823"/>
              <wp:lineTo x="0" y="15038"/>
              <wp:lineTo x="15858" y="20506"/>
              <wp:lineTo x="17246" y="20506"/>
              <wp:lineTo x="17642" y="19595"/>
              <wp:lineTo x="21408" y="14582"/>
              <wp:lineTo x="21408" y="11392"/>
              <wp:lineTo x="18435" y="7291"/>
              <wp:lineTo x="14470" y="0"/>
              <wp:lineTo x="595" y="0"/>
            </wp:wrapPolygon>
          </wp:wrapThrough>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email">
                    <a:extLst>
                      <a:ext uri="{28A0092B-C50C-407E-A947-70E740481C1C}">
                        <a14:useLocalDpi xmlns:a14="http://schemas.microsoft.com/office/drawing/2010/main" val="0"/>
                      </a:ext>
                    </a:extLst>
                  </a:blip>
                  <a:srcRect b="-9211"/>
                  <a:stretch/>
                </pic:blipFill>
                <pic:spPr bwMode="auto">
                  <a:xfrm>
                    <a:off x="0" y="0"/>
                    <a:ext cx="2075815" cy="902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4356" w:rsidRDefault="00C64356">
    <w:pPr>
      <w:pStyle w:val="Header"/>
      <w:rPr>
        <w:noProof/>
        <w:lang w:eastAsia="en-AU"/>
      </w:rPr>
    </w:pPr>
  </w:p>
  <w:p w:rsidR="00C64356" w:rsidRDefault="00C64356">
    <w:pPr>
      <w:pStyle w:val="Header"/>
    </w:pPr>
    <w:r>
      <w:rPr>
        <w:noProof/>
        <w:lang w:eastAsia="en-AU"/>
      </w:rPr>
      <mc:AlternateContent>
        <mc:Choice Requires="wpg">
          <w:drawing>
            <wp:anchor distT="0" distB="0" distL="114300" distR="114300" simplePos="0" relativeHeight="251686912" behindDoc="1" locked="0" layoutInCell="1" allowOverlap="1" wp14:anchorId="15C9B77C" wp14:editId="7690DEF2">
              <wp:simplePos x="0" y="0"/>
              <wp:positionH relativeFrom="column">
                <wp:posOffset>3148693</wp:posOffset>
              </wp:positionH>
              <wp:positionV relativeFrom="paragraph">
                <wp:posOffset>4561840</wp:posOffset>
              </wp:positionV>
              <wp:extent cx="1800214" cy="4011476"/>
              <wp:effectExtent l="0" t="0" r="0" b="8255"/>
              <wp:wrapNone/>
              <wp:docPr id="3" name="Group 3"/>
              <wp:cNvGraphicFramePr/>
              <a:graphic xmlns:a="http://schemas.openxmlformats.org/drawingml/2006/main">
                <a:graphicData uri="http://schemas.microsoft.com/office/word/2010/wordprocessingGroup">
                  <wpg:wgp>
                    <wpg:cNvGrpSpPr/>
                    <wpg:grpSpPr>
                      <a:xfrm>
                        <a:off x="0" y="0"/>
                        <a:ext cx="1800214" cy="4011476"/>
                        <a:chOff x="0" y="0"/>
                        <a:chExt cx="1905000" cy="4245429"/>
                      </a:xfrm>
                    </wpg:grpSpPr>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51857" cy="4245429"/>
                        </a:xfrm>
                        <a:prstGeom prst="rect">
                          <a:avLst/>
                        </a:prstGeom>
                      </pic:spPr>
                    </pic:pic>
                    <pic:pic xmlns:pic="http://schemas.openxmlformats.org/drawingml/2006/picture">
                      <pic:nvPicPr>
                        <pic:cNvPr id="2" name="Picture 2"/>
                        <pic:cNvPicPr>
                          <a:picLocks noChangeAspect="1"/>
                        </pic:cNvPicPr>
                      </pic:nvPicPr>
                      <pic:blipFill rotWithShape="1">
                        <a:blip r:embed="rId2">
                          <a:extLst>
                            <a:ext uri="{28A0092B-C50C-407E-A947-70E740481C1C}">
                              <a14:useLocalDpi xmlns:a14="http://schemas.microsoft.com/office/drawing/2010/main" val="0"/>
                            </a:ext>
                          </a:extLst>
                        </a:blip>
                        <a:srcRect r="49505"/>
                        <a:stretch/>
                      </pic:blipFill>
                      <pic:spPr bwMode="auto">
                        <a:xfrm>
                          <a:off x="1273628" y="0"/>
                          <a:ext cx="631372" cy="424542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47.95pt;margin-top:359.2pt;width:141.75pt;height:315.85pt;z-index:-251629568;mso-width-relative:margin;mso-height-relative:margin" coordsize="19050,42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2518;height:42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K/PAAAAA2gAAAA8AAABkcnMvZG93bnJldi54bWxET01rwkAQvRf8D8sI3ppNSykas0oRCtae&#10;qhHa25Adk5DsbNhdk/Tfd4WCp+HxPiffTqYTAznfWFbwlKQgiEurG64UFKf3xyUIH5A1dpZJwS95&#10;2G5mDzlm2o78RcMxVCKGsM9QQR1Cn0npy5oM+sT2xJG7WGcwROgqqR2OMdx08jlNX6XBhmNDjT3t&#10;airb49Uo+Dz8tKt2GF/s1BX48W1pd9ak1GI+va1BBJrCXfzv3us4H26v3K7c/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5Ur88AAAADaAAAADwAAAAAAAAAAAAAAAACfAgAA&#10;ZHJzL2Rvd25yZXYueG1sUEsFBgAAAAAEAAQA9wAAAIwDAAAAAA==&#10;">
                <v:imagedata r:id="rId3" o:title=""/>
                <v:path arrowok="t"/>
              </v:shape>
              <v:shape id="Picture 2" o:spid="_x0000_s1028" type="#_x0000_t75" style="position:absolute;left:12736;width:6314;height:42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H18XFAAAA2gAAAA8AAABkcnMvZG93bnJldi54bWxEj0FrwkAUhO+C/2F5hd7Mph5EUlcpqYIX&#10;pdUKentkn0k0+zZmN5r667sFweMwM98wk1lnKnGlxpWWFbxFMQjizOqScwU/28VgDMJ5ZI2VZVLw&#10;Sw5m035vgom2N/6m68bnIkDYJaig8L5OpHRZQQZdZGvi4B1tY9AH2eRSN3gLcFPJYRyPpMGSw0KB&#10;NaUFZedNaxSsT+f1aDw/3fe7tL2k7df9kK8+lXp96T7eQXjq/DP8aC+1giH8Xwk3QE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R9fFxQAAANoAAAAPAAAAAAAAAAAAAAAA&#10;AJ8CAABkcnMvZG93bnJldi54bWxQSwUGAAAAAAQABAD3AAAAkQMAAAAA&#10;">
                <v:imagedata r:id="rId3" o:title="" cropright="32444f"/>
                <v:path arrowok="t"/>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56" w:rsidRDefault="00C64356">
    <w:pPr>
      <w:pStyle w:val="Header"/>
    </w:pPr>
    <w:r>
      <w:rPr>
        <w:noProof/>
        <w:lang w:eastAsia="en-AU"/>
      </w:rPr>
      <mc:AlternateContent>
        <mc:Choice Requires="wps">
          <w:drawing>
            <wp:anchor distT="0" distB="0" distL="114300" distR="114300" simplePos="0" relativeHeight="251673600" behindDoc="0" locked="0" layoutInCell="1" allowOverlap="1" wp14:anchorId="70A369D6" wp14:editId="482025B6">
              <wp:simplePos x="0" y="0"/>
              <wp:positionH relativeFrom="column">
                <wp:posOffset>-117475</wp:posOffset>
              </wp:positionH>
              <wp:positionV relativeFrom="paragraph">
                <wp:posOffset>304800</wp:posOffset>
              </wp:positionV>
              <wp:extent cx="4478020" cy="716915"/>
              <wp:effectExtent l="0" t="0" r="0" b="6985"/>
              <wp:wrapThrough wrapText="bothSides">
                <wp:wrapPolygon edited="0">
                  <wp:start x="184" y="0"/>
                  <wp:lineTo x="184" y="21236"/>
                  <wp:lineTo x="21318" y="21236"/>
                  <wp:lineTo x="21318" y="0"/>
                  <wp:lineTo x="184" y="0"/>
                </wp:wrapPolygon>
              </wp:wrapThrough>
              <wp:docPr id="9" name="Text Box 9"/>
              <wp:cNvGraphicFramePr/>
              <a:graphic xmlns:a="http://schemas.openxmlformats.org/drawingml/2006/main">
                <a:graphicData uri="http://schemas.microsoft.com/office/word/2010/wordprocessingShape">
                  <wps:wsp>
                    <wps:cNvSpPr txBox="1"/>
                    <wps:spPr>
                      <a:xfrm>
                        <a:off x="0" y="0"/>
                        <a:ext cx="4478020" cy="7169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64356" w:rsidRDefault="00C64356" w:rsidP="00154DB7">
                          <w:pPr>
                            <w:pStyle w:val="header-title"/>
                          </w:pPr>
                          <w:r>
                            <w:fldChar w:fldCharType="begin"/>
                          </w:r>
                          <w:r>
                            <w:instrText xml:space="preserve"> REF  Title  \* MERGEFORMAT </w:instrText>
                          </w:r>
                          <w:r>
                            <w:fldChar w:fldCharType="separate"/>
                          </w:r>
                          <w:proofErr w:type="spellStart"/>
                          <w:proofErr w:type="gramStart"/>
                          <w:r w:rsidRPr="00934B3F">
                            <w:t>victorian</w:t>
                          </w:r>
                          <w:proofErr w:type="spellEnd"/>
                          <w:proofErr w:type="gramEnd"/>
                          <w:r w:rsidRPr="00934B3F">
                            <w:t xml:space="preserve"> transmission system</w:t>
                          </w:r>
                        </w:p>
                        <w:p w:rsidR="00C64356" w:rsidRPr="00154DB7" w:rsidRDefault="00C64356" w:rsidP="00154DB7">
                          <w:pPr>
                            <w:pStyle w:val="header-title"/>
                            <w:rPr>
                              <w:rStyle w:val="red"/>
                            </w:rPr>
                          </w:pPr>
                          <w:r>
                            <w:fldChar w:fldCharType="end"/>
                          </w:r>
                          <w:r>
                            <w:rPr>
                              <w:rStyle w:val="red"/>
                            </w:rPr>
                            <w:fldChar w:fldCharType="begin"/>
                          </w:r>
                          <w:r>
                            <w:rPr>
                              <w:rStyle w:val="red"/>
                            </w:rPr>
                            <w:instrText xml:space="preserve"> REF  Subtitle  \* MERGEFORMAT </w:instrText>
                          </w:r>
                          <w:r>
                            <w:rPr>
                              <w:rStyle w:val="red"/>
                            </w:rPr>
                            <w:fldChar w:fldCharType="separate"/>
                          </w:r>
                          <w:proofErr w:type="gramStart"/>
                          <w:r w:rsidRPr="00154DB7">
                            <w:rPr>
                              <w:rStyle w:val="red"/>
                            </w:rPr>
                            <w:t>access</w:t>
                          </w:r>
                          <w:proofErr w:type="gramEnd"/>
                          <w:r w:rsidRPr="00154DB7">
                            <w:rPr>
                              <w:rStyle w:val="red"/>
                            </w:rPr>
                            <w:t xml:space="preserve"> arrangement information.</w:t>
                          </w:r>
                        </w:p>
                        <w:p w:rsidR="00C64356" w:rsidRPr="000A53EB" w:rsidRDefault="00C64356" w:rsidP="009A07B3">
                          <w:pPr>
                            <w:pStyle w:val="header-title"/>
                          </w:pPr>
                          <w:r>
                            <w:rPr>
                              <w:rStyle w:val="red"/>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9.25pt;margin-top:24pt;width:352.6pt;height:5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aPqwIAAKoFAAAOAAAAZHJzL2Uyb0RvYy54bWysVE1v2zAMvQ/YfxB0T20HTt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" filled="f" stroked="f">
              <v:textbox>
                <w:txbxContent>
                  <w:p w:rsidR="00C64356" w:rsidRDefault="00C64356" w:rsidP="00154DB7">
                    <w:pPr>
                      <w:pStyle w:val="header-title"/>
                    </w:pPr>
                    <w:r>
                      <w:fldChar w:fldCharType="begin"/>
                    </w:r>
                    <w:r>
                      <w:instrText xml:space="preserve"> REF  Title  \* MERGEFORMAT </w:instrText>
                    </w:r>
                    <w:r>
                      <w:fldChar w:fldCharType="separate"/>
                    </w:r>
                    <w:proofErr w:type="spellStart"/>
                    <w:proofErr w:type="gramStart"/>
                    <w:r w:rsidRPr="00934B3F">
                      <w:t>victorian</w:t>
                    </w:r>
                    <w:proofErr w:type="spellEnd"/>
                    <w:proofErr w:type="gramEnd"/>
                    <w:r w:rsidRPr="00934B3F">
                      <w:t xml:space="preserve"> transmission system</w:t>
                    </w:r>
                  </w:p>
                  <w:p w:rsidR="00C64356" w:rsidRPr="00154DB7" w:rsidRDefault="00C64356" w:rsidP="00154DB7">
                    <w:pPr>
                      <w:pStyle w:val="header-title"/>
                      <w:rPr>
                        <w:rStyle w:val="red"/>
                      </w:rPr>
                    </w:pPr>
                    <w:r>
                      <w:fldChar w:fldCharType="end"/>
                    </w:r>
                    <w:r>
                      <w:rPr>
                        <w:rStyle w:val="red"/>
                      </w:rPr>
                      <w:fldChar w:fldCharType="begin"/>
                    </w:r>
                    <w:r>
                      <w:rPr>
                        <w:rStyle w:val="red"/>
                      </w:rPr>
                      <w:instrText xml:space="preserve"> REF  Subtitle  \* MERGEFORMAT </w:instrText>
                    </w:r>
                    <w:r>
                      <w:rPr>
                        <w:rStyle w:val="red"/>
                      </w:rPr>
                      <w:fldChar w:fldCharType="separate"/>
                    </w:r>
                    <w:proofErr w:type="gramStart"/>
                    <w:r w:rsidRPr="00154DB7">
                      <w:rPr>
                        <w:rStyle w:val="red"/>
                      </w:rPr>
                      <w:t>access</w:t>
                    </w:r>
                    <w:proofErr w:type="gramEnd"/>
                    <w:r w:rsidRPr="00154DB7">
                      <w:rPr>
                        <w:rStyle w:val="red"/>
                      </w:rPr>
                      <w:t xml:space="preserve"> arrangement information.</w:t>
                    </w:r>
                  </w:p>
                  <w:p w:rsidR="00C64356" w:rsidRPr="000A53EB" w:rsidRDefault="00C64356" w:rsidP="009A07B3">
                    <w:pPr>
                      <w:pStyle w:val="header-title"/>
                    </w:pPr>
                    <w:r>
                      <w:rPr>
                        <w:rStyle w:val="red"/>
                      </w:rPr>
                      <w:fldChar w:fldCharType="end"/>
                    </w:r>
                  </w:p>
                </w:txbxContent>
              </v:textbox>
              <w10:wrap type="through"/>
            </v:shape>
          </w:pict>
        </mc:Fallback>
      </mc:AlternateContent>
    </w:r>
    <w:r w:rsidRPr="00F21E89">
      <w:rPr>
        <w:noProof/>
        <w:lang w:eastAsia="en-AU"/>
      </w:rPr>
      <w:drawing>
        <wp:anchor distT="0" distB="0" distL="114300" distR="114300" simplePos="0" relativeHeight="251659264" behindDoc="0" locked="0" layoutInCell="1" allowOverlap="1" wp14:anchorId="14539169" wp14:editId="64FE17E6">
          <wp:simplePos x="0" y="0"/>
          <wp:positionH relativeFrom="column">
            <wp:posOffset>3855720</wp:posOffset>
          </wp:positionH>
          <wp:positionV relativeFrom="page">
            <wp:posOffset>362585</wp:posOffset>
          </wp:positionV>
          <wp:extent cx="1656080" cy="660400"/>
          <wp:effectExtent l="0" t="0" r="1270" b="6350"/>
          <wp:wrapThrough wrapText="bothSides">
            <wp:wrapPolygon edited="0">
              <wp:start x="745" y="0"/>
              <wp:lineTo x="0" y="1869"/>
              <wp:lineTo x="0" y="16200"/>
              <wp:lineTo x="14411" y="19938"/>
              <wp:lineTo x="15156" y="21185"/>
              <wp:lineTo x="15405" y="21185"/>
              <wp:lineTo x="17641" y="21185"/>
              <wp:lineTo x="17890" y="21185"/>
              <wp:lineTo x="21368" y="15577"/>
              <wp:lineTo x="21368" y="13085"/>
              <wp:lineTo x="19132" y="9969"/>
              <wp:lineTo x="14411" y="0"/>
              <wp:lineTo x="745"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656080" cy="6604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56" w:rsidRDefault="00C64356">
    <w:pPr>
      <w:pStyle w:val="Header"/>
    </w:pPr>
    <w:r>
      <w:rPr>
        <w:noProof/>
        <w:lang w:eastAsia="en-AU"/>
      </w:rPr>
      <mc:AlternateContent>
        <mc:Choice Requires="wps">
          <w:drawing>
            <wp:anchor distT="0" distB="0" distL="114300" distR="114300" simplePos="0" relativeHeight="251677696" behindDoc="0" locked="0" layoutInCell="1" allowOverlap="1" wp14:anchorId="21BD906B" wp14:editId="005A14AB">
              <wp:simplePos x="0" y="0"/>
              <wp:positionH relativeFrom="column">
                <wp:posOffset>-114935</wp:posOffset>
              </wp:positionH>
              <wp:positionV relativeFrom="paragraph">
                <wp:posOffset>302260</wp:posOffset>
              </wp:positionV>
              <wp:extent cx="4478400" cy="572400"/>
              <wp:effectExtent l="0" t="0" r="0" b="0"/>
              <wp:wrapThrough wrapText="bothSides">
                <wp:wrapPolygon edited="0">
                  <wp:start x="184" y="0"/>
                  <wp:lineTo x="184" y="20857"/>
                  <wp:lineTo x="21318" y="20857"/>
                  <wp:lineTo x="21318" y="0"/>
                  <wp:lineTo x="184" y="0"/>
                </wp:wrapPolygon>
              </wp:wrapThrough>
              <wp:docPr id="30" name="Text Box 30"/>
              <wp:cNvGraphicFramePr/>
              <a:graphic xmlns:a="http://schemas.openxmlformats.org/drawingml/2006/main">
                <a:graphicData uri="http://schemas.microsoft.com/office/word/2010/wordprocessingShape">
                  <wps:wsp>
                    <wps:cNvSpPr txBox="1"/>
                    <wps:spPr>
                      <a:xfrm>
                        <a:off x="0" y="0"/>
                        <a:ext cx="4478400" cy="572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64356" w:rsidRDefault="00C64356" w:rsidP="00154DB7">
                          <w:pPr>
                            <w:pStyle w:val="header-title"/>
                          </w:pPr>
                          <w:r>
                            <w:fldChar w:fldCharType="begin"/>
                          </w:r>
                          <w:r>
                            <w:instrText xml:space="preserve"> REF  Title  \* MERGEFORMAT </w:instrText>
                          </w:r>
                          <w:r>
                            <w:fldChar w:fldCharType="separate"/>
                          </w:r>
                          <w:proofErr w:type="spellStart"/>
                          <w:proofErr w:type="gramStart"/>
                          <w:r w:rsidRPr="00934B3F">
                            <w:t>victorian</w:t>
                          </w:r>
                          <w:proofErr w:type="spellEnd"/>
                          <w:proofErr w:type="gramEnd"/>
                          <w:r w:rsidRPr="00934B3F">
                            <w:t xml:space="preserve"> transmission system</w:t>
                          </w:r>
                        </w:p>
                        <w:p w:rsidR="00C64356" w:rsidRDefault="00C64356" w:rsidP="00154DB7">
                          <w:pPr>
                            <w:pStyle w:val="header-title"/>
                          </w:pPr>
                          <w:r>
                            <w:fldChar w:fldCharType="end"/>
                          </w:r>
                          <w:r>
                            <w:rPr>
                              <w:rStyle w:val="red"/>
                            </w:rPr>
                            <w:fldChar w:fldCharType="begin"/>
                          </w:r>
                          <w:r>
                            <w:rPr>
                              <w:rStyle w:val="red"/>
                            </w:rPr>
                            <w:instrText xml:space="preserve"> REF  Subtitle  \* MERGEFORMAT </w:instrText>
                          </w:r>
                          <w:r>
                            <w:rPr>
                              <w:rStyle w:val="red"/>
                            </w:rPr>
                            <w:fldChar w:fldCharType="separate"/>
                          </w:r>
                          <w:proofErr w:type="gramStart"/>
                          <w:r w:rsidRPr="00154DB7">
                            <w:rPr>
                              <w:rStyle w:val="red"/>
                            </w:rPr>
                            <w:t>access</w:t>
                          </w:r>
                          <w:proofErr w:type="gramEnd"/>
                          <w:r w:rsidRPr="00154DB7">
                            <w:rPr>
                              <w:rStyle w:val="red"/>
                            </w:rPr>
                            <w:t xml:space="preserve"> arrangement</w:t>
                          </w:r>
                          <w:r w:rsidRPr="00154DB7">
                            <w:rPr>
                              <w:color w:val="C8102E"/>
                            </w:rPr>
                            <w:t xml:space="preserve"> information</w:t>
                          </w:r>
                          <w:r w:rsidRPr="000A53EB">
                            <w:t>.</w:t>
                          </w:r>
                        </w:p>
                        <w:p w:rsidR="00C64356" w:rsidRPr="000A53EB" w:rsidRDefault="00C64356" w:rsidP="009A07B3">
                          <w:r>
                            <w:rPr>
                              <w:rStyle w:val="red"/>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9" type="#_x0000_t202" style="position:absolute;left:0;text-align:left;margin-left:-9.05pt;margin-top:23.8pt;width:352.65pt;height:4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" filled="f" stroked="f">
              <v:textbox>
                <w:txbxContent>
                  <w:p w:rsidR="00C64356" w:rsidRDefault="00C64356" w:rsidP="00154DB7">
                    <w:pPr>
                      <w:pStyle w:val="header-title"/>
                    </w:pPr>
                    <w:r>
                      <w:fldChar w:fldCharType="begin"/>
                    </w:r>
                    <w:r>
                      <w:instrText xml:space="preserve"> REF  Title  \* MERGEFORMAT </w:instrText>
                    </w:r>
                    <w:r>
                      <w:fldChar w:fldCharType="separate"/>
                    </w:r>
                    <w:proofErr w:type="spellStart"/>
                    <w:proofErr w:type="gramStart"/>
                    <w:r w:rsidRPr="00934B3F">
                      <w:t>victorian</w:t>
                    </w:r>
                    <w:proofErr w:type="spellEnd"/>
                    <w:proofErr w:type="gramEnd"/>
                    <w:r w:rsidRPr="00934B3F">
                      <w:t xml:space="preserve"> transmission system</w:t>
                    </w:r>
                  </w:p>
                  <w:p w:rsidR="00C64356" w:rsidRDefault="00C64356" w:rsidP="00154DB7">
                    <w:pPr>
                      <w:pStyle w:val="header-title"/>
                    </w:pPr>
                    <w:r>
                      <w:fldChar w:fldCharType="end"/>
                    </w:r>
                    <w:r>
                      <w:rPr>
                        <w:rStyle w:val="red"/>
                      </w:rPr>
                      <w:fldChar w:fldCharType="begin"/>
                    </w:r>
                    <w:r>
                      <w:rPr>
                        <w:rStyle w:val="red"/>
                      </w:rPr>
                      <w:instrText xml:space="preserve"> REF  Subtitle  \* MERGEFORMAT </w:instrText>
                    </w:r>
                    <w:r>
                      <w:rPr>
                        <w:rStyle w:val="red"/>
                      </w:rPr>
                      <w:fldChar w:fldCharType="separate"/>
                    </w:r>
                    <w:proofErr w:type="gramStart"/>
                    <w:r w:rsidRPr="00154DB7">
                      <w:rPr>
                        <w:rStyle w:val="red"/>
                      </w:rPr>
                      <w:t>access</w:t>
                    </w:r>
                    <w:proofErr w:type="gramEnd"/>
                    <w:r w:rsidRPr="00154DB7">
                      <w:rPr>
                        <w:rStyle w:val="red"/>
                      </w:rPr>
                      <w:t xml:space="preserve"> arrangement</w:t>
                    </w:r>
                    <w:r w:rsidRPr="00154DB7">
                      <w:rPr>
                        <w:color w:val="C8102E"/>
                      </w:rPr>
                      <w:t xml:space="preserve"> information</w:t>
                    </w:r>
                    <w:r w:rsidRPr="000A53EB">
                      <w:t>.</w:t>
                    </w:r>
                  </w:p>
                  <w:p w:rsidR="00C64356" w:rsidRPr="000A53EB" w:rsidRDefault="00C64356" w:rsidP="009A07B3">
                    <w:r>
                      <w:rPr>
                        <w:rStyle w:val="red"/>
                      </w:rPr>
                      <w:fldChar w:fldCharType="end"/>
                    </w:r>
                  </w:p>
                </w:txbxContent>
              </v:textbox>
              <w10:wrap type="through"/>
            </v:shape>
          </w:pict>
        </mc:Fallback>
      </mc:AlternateContent>
    </w:r>
    <w:r w:rsidRPr="00F21E89">
      <w:rPr>
        <w:noProof/>
        <w:lang w:eastAsia="en-AU"/>
      </w:rPr>
      <w:drawing>
        <wp:anchor distT="0" distB="0" distL="114300" distR="114300" simplePos="0" relativeHeight="251669504" behindDoc="0" locked="0" layoutInCell="1" allowOverlap="1" wp14:anchorId="1AD795A7" wp14:editId="5B94DD9E">
          <wp:simplePos x="0" y="0"/>
          <wp:positionH relativeFrom="column">
            <wp:posOffset>3852545</wp:posOffset>
          </wp:positionH>
          <wp:positionV relativeFrom="page">
            <wp:posOffset>466725</wp:posOffset>
          </wp:positionV>
          <wp:extent cx="1389600" cy="554400"/>
          <wp:effectExtent l="0" t="0" r="1270" b="0"/>
          <wp:wrapThrough wrapText="bothSides">
            <wp:wrapPolygon edited="0">
              <wp:start x="592" y="0"/>
              <wp:lineTo x="0" y="1485"/>
              <wp:lineTo x="0" y="15588"/>
              <wp:lineTo x="15104" y="20784"/>
              <wp:lineTo x="17770" y="20784"/>
              <wp:lineTo x="21324" y="14845"/>
              <wp:lineTo x="21324" y="11876"/>
              <wp:lineTo x="19843" y="11876"/>
              <wp:lineTo x="17473" y="5938"/>
              <wp:lineTo x="14512" y="0"/>
              <wp:lineTo x="592"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389600" cy="55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64A884"/>
    <w:lvl w:ilvl="0">
      <w:start w:val="1"/>
      <w:numFmt w:val="decimal"/>
      <w:lvlText w:val="%1."/>
      <w:lvlJc w:val="left"/>
      <w:pPr>
        <w:tabs>
          <w:tab w:val="num" w:pos="1492"/>
        </w:tabs>
        <w:ind w:left="1492" w:hanging="360"/>
      </w:pPr>
    </w:lvl>
  </w:abstractNum>
  <w:abstractNum w:abstractNumId="1">
    <w:nsid w:val="FFFFFF7D"/>
    <w:multiLevelType w:val="singleLevel"/>
    <w:tmpl w:val="D1D440B2"/>
    <w:lvl w:ilvl="0">
      <w:start w:val="1"/>
      <w:numFmt w:val="decimal"/>
      <w:lvlText w:val="%1."/>
      <w:lvlJc w:val="left"/>
      <w:pPr>
        <w:tabs>
          <w:tab w:val="num" w:pos="1209"/>
        </w:tabs>
        <w:ind w:left="1209" w:hanging="360"/>
      </w:pPr>
    </w:lvl>
  </w:abstractNum>
  <w:abstractNum w:abstractNumId="2">
    <w:nsid w:val="FFFFFF7E"/>
    <w:multiLevelType w:val="singleLevel"/>
    <w:tmpl w:val="F9F60EB6"/>
    <w:lvl w:ilvl="0">
      <w:start w:val="1"/>
      <w:numFmt w:val="decimal"/>
      <w:lvlText w:val="%1."/>
      <w:lvlJc w:val="left"/>
      <w:pPr>
        <w:tabs>
          <w:tab w:val="num" w:pos="926"/>
        </w:tabs>
        <w:ind w:left="926" w:hanging="360"/>
      </w:pPr>
    </w:lvl>
  </w:abstractNum>
  <w:abstractNum w:abstractNumId="3">
    <w:nsid w:val="FFFFFF7F"/>
    <w:multiLevelType w:val="singleLevel"/>
    <w:tmpl w:val="67F8315C"/>
    <w:lvl w:ilvl="0">
      <w:start w:val="1"/>
      <w:numFmt w:val="decimal"/>
      <w:lvlText w:val="%1."/>
      <w:lvlJc w:val="left"/>
      <w:pPr>
        <w:tabs>
          <w:tab w:val="num" w:pos="643"/>
        </w:tabs>
        <w:ind w:left="643" w:hanging="360"/>
      </w:pPr>
    </w:lvl>
  </w:abstractNum>
  <w:abstractNum w:abstractNumId="4">
    <w:nsid w:val="FFFFFF80"/>
    <w:multiLevelType w:val="singleLevel"/>
    <w:tmpl w:val="5E4AA7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34E7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6AC3B0"/>
    <w:lvl w:ilvl="0">
      <w:start w:val="1"/>
      <w:numFmt w:val="bullet"/>
      <w:lvlText w:val=""/>
      <w:lvlJc w:val="left"/>
      <w:pPr>
        <w:tabs>
          <w:tab w:val="num" w:pos="360"/>
        </w:tabs>
        <w:ind w:left="360" w:hanging="360"/>
      </w:pPr>
      <w:rPr>
        <w:rFonts w:ascii="Wingdings" w:hAnsi="Wingdings" w:hint="default"/>
        <w:sz w:val="14"/>
      </w:rPr>
    </w:lvl>
  </w:abstractNum>
  <w:abstractNum w:abstractNumId="7">
    <w:nsid w:val="FFFFFF88"/>
    <w:multiLevelType w:val="singleLevel"/>
    <w:tmpl w:val="B03C8ED8"/>
    <w:lvl w:ilvl="0">
      <w:start w:val="1"/>
      <w:numFmt w:val="decimal"/>
      <w:lvlText w:val="%1."/>
      <w:lvlJc w:val="left"/>
      <w:pPr>
        <w:tabs>
          <w:tab w:val="num" w:pos="360"/>
        </w:tabs>
        <w:ind w:left="360" w:hanging="360"/>
      </w:pPr>
    </w:lvl>
  </w:abstractNum>
  <w:abstractNum w:abstractNumId="8">
    <w:nsid w:val="FFFFFFFB"/>
    <w:multiLevelType w:val="multilevel"/>
    <w:tmpl w:val="92AC5918"/>
    <w:lvl w:ilvl="0">
      <w:start w:val="1"/>
      <w:numFmt w:val="decimal"/>
      <w:lvlText w:val="%1"/>
      <w:legacy w:legacy="1" w:legacySpace="142" w:legacyIndent="0"/>
      <w:lvlJc w:val="left"/>
    </w:lvl>
    <w:lvl w:ilvl="1">
      <w:start w:val="1"/>
      <w:numFmt w:val="decimal"/>
      <w:lvlText w:val="%1.%2"/>
      <w:legacy w:legacy="1" w:legacySpace="142" w:legacyIndent="0"/>
      <w:lvlJc w:val="left"/>
    </w:lvl>
    <w:lvl w:ilvl="2">
      <w:start w:val="1"/>
      <w:numFmt w:val="decimal"/>
      <w:lvlText w:val="%1.%2.%3"/>
      <w:legacy w:legacy="1" w:legacySpace="142" w:legacyIndent="0"/>
      <w:lvlJc w:val="left"/>
    </w:lvl>
    <w:lvl w:ilvl="3">
      <w:start w:val="1"/>
      <w:numFmt w:val="decimal"/>
      <w:lvlText w:val="%1.%2.%3.%4"/>
      <w:legacy w:legacy="1" w:legacySpace="142" w:legacyIndent="0"/>
      <w:lvlJc w:val="left"/>
    </w:lvl>
    <w:lvl w:ilvl="4">
      <w:numFmt w:val="none"/>
      <w:suff w:val="nothing"/>
      <w:lvlText w:val=""/>
      <w:lvlJc w:val="left"/>
      <w:rPr>
        <w:rFonts w:ascii="Tms Rmn" w:hAnsi="Tms Rmn" w:hint="default"/>
        <w:b w:val="0"/>
        <w:i w:val="0"/>
        <w:strike w:val="0"/>
        <w:u w:val="none"/>
      </w:rPr>
    </w:lvl>
    <w:lvl w:ilvl="5">
      <w:numFmt w:val="none"/>
      <w:suff w:val="nothing"/>
      <w:lvlText w:val=""/>
      <w:lvlJc w:val="left"/>
      <w:rPr>
        <w:rFonts w:ascii="Tms Rmn" w:hAnsi="Tms Rmn" w:hint="default"/>
        <w:b w:val="0"/>
        <w:i w:val="0"/>
        <w:strike w:val="0"/>
        <w:u w:val="none"/>
      </w:rPr>
    </w:lvl>
    <w:lvl w:ilvl="6">
      <w:numFmt w:val="none"/>
      <w:suff w:val="nothing"/>
      <w:lvlText w:val=""/>
      <w:lvlJc w:val="left"/>
      <w:rPr>
        <w:rFonts w:ascii="Tms Rmn" w:hAnsi="Tms Rmn" w:hint="default"/>
        <w:b w:val="0"/>
        <w:i w:val="0"/>
        <w:strike w:val="0"/>
        <w:u w:val="none"/>
      </w:rPr>
    </w:lvl>
    <w:lvl w:ilvl="7">
      <w:numFmt w:val="none"/>
      <w:suff w:val="nothing"/>
      <w:lvlText w:val=""/>
      <w:lvlJc w:val="left"/>
      <w:rPr>
        <w:rFonts w:ascii="Tms Rmn" w:hAnsi="Tms Rmn" w:hint="default"/>
        <w:b w:val="0"/>
        <w:i w:val="0"/>
        <w:strike w:val="0"/>
        <w:u w:val="none"/>
      </w:rPr>
    </w:lvl>
    <w:lvl w:ilvl="8">
      <w:numFmt w:val="none"/>
      <w:suff w:val="nothing"/>
      <w:lvlText w:val=""/>
      <w:lvlJc w:val="left"/>
      <w:rPr>
        <w:rFonts w:ascii="Tms Rmn" w:hAnsi="Tms Rmn" w:hint="default"/>
        <w:b w:val="0"/>
        <w:i w:val="0"/>
        <w:strike w:val="0"/>
        <w:u w:val="none"/>
      </w:rPr>
    </w:lvl>
  </w:abstractNum>
  <w:abstractNum w:abstractNumId="9">
    <w:nsid w:val="01A703D2"/>
    <w:multiLevelType w:val="multilevel"/>
    <w:tmpl w:val="3E06D15C"/>
    <w:lvl w:ilvl="0">
      <w:start w:val="1"/>
      <w:numFmt w:val="bullet"/>
      <w:lvlText w:val=""/>
      <w:lvlJc w:val="left"/>
      <w:pPr>
        <w:tabs>
          <w:tab w:val="num" w:pos="340"/>
        </w:tabs>
        <w:ind w:left="340" w:hanging="340"/>
      </w:pPr>
      <w:rPr>
        <w:rFonts w:ascii="Wingdings" w:hAnsi="Wingdings" w:hint="default"/>
        <w:color w:val="FF0000"/>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20F2D7B"/>
    <w:multiLevelType w:val="multilevel"/>
    <w:tmpl w:val="9E489872"/>
    <w:lvl w:ilvl="0">
      <w:start w:val="1"/>
      <w:numFmt w:val="bullet"/>
      <w:lvlText w:val=""/>
      <w:lvlJc w:val="left"/>
      <w:pPr>
        <w:tabs>
          <w:tab w:val="num" w:pos="340"/>
        </w:tabs>
        <w:ind w:left="340" w:hanging="340"/>
      </w:pPr>
      <w:rPr>
        <w:rFonts w:ascii="Wingdings" w:hAnsi="Wingdings" w:hint="default"/>
        <w:color w:val="FF6600"/>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2AD6666"/>
    <w:multiLevelType w:val="hybridMultilevel"/>
    <w:tmpl w:val="506EE9C4"/>
    <w:lvl w:ilvl="0" w:tplc="AB904222">
      <w:start w:val="1"/>
      <w:numFmt w:val="bullet"/>
      <w:lvlText w:val=""/>
      <w:lvlJc w:val="left"/>
      <w:pPr>
        <w:tabs>
          <w:tab w:val="num" w:pos="340"/>
        </w:tabs>
        <w:ind w:left="340" w:hanging="340"/>
      </w:pPr>
      <w:rPr>
        <w:rFonts w:ascii="Wingdings" w:hAnsi="Wingdings" w:hint="default"/>
        <w:color w:val="FF660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A07144"/>
    <w:multiLevelType w:val="hybridMultilevel"/>
    <w:tmpl w:val="28A470BE"/>
    <w:lvl w:ilvl="0" w:tplc="EED860D4">
      <w:start w:val="1"/>
      <w:numFmt w:val="bullet"/>
      <w:pStyle w:val="ListBullet"/>
      <w:lvlText w:val=""/>
      <w:lvlJc w:val="left"/>
      <w:pPr>
        <w:ind w:left="360" w:hanging="360"/>
      </w:pPr>
      <w:rPr>
        <w:rFonts w:ascii="Symbol" w:hAnsi="Symbol" w:hint="default"/>
        <w:color w:val="C70F2E"/>
        <w:sz w:val="22"/>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5A2E99"/>
    <w:multiLevelType w:val="multilevel"/>
    <w:tmpl w:val="70A86B60"/>
    <w:lvl w:ilvl="0">
      <w:start w:val="1"/>
      <w:numFmt w:val="decimal"/>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C0229F7"/>
    <w:multiLevelType w:val="hybridMultilevel"/>
    <w:tmpl w:val="4F70C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3F1949"/>
    <w:multiLevelType w:val="hybridMultilevel"/>
    <w:tmpl w:val="8A6AAEBA"/>
    <w:lvl w:ilvl="0" w:tplc="0C090003">
      <w:start w:val="1"/>
      <w:numFmt w:val="bullet"/>
      <w:lvlText w:val="o"/>
      <w:lvlJc w:val="left"/>
      <w:pPr>
        <w:ind w:left="1290" w:hanging="360"/>
      </w:pPr>
      <w:rPr>
        <w:rFonts w:ascii="Courier New" w:hAnsi="Courier New" w:cs="Courier New"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6">
    <w:nsid w:val="258E68C4"/>
    <w:multiLevelType w:val="multilevel"/>
    <w:tmpl w:val="30ACA43A"/>
    <w:lvl w:ilvl="0">
      <w:start w:val="1"/>
      <w:numFmt w:val="bullet"/>
      <w:lvlText w:val=""/>
      <w:lvlJc w:val="left"/>
      <w:pPr>
        <w:tabs>
          <w:tab w:val="num" w:pos="340"/>
        </w:tabs>
        <w:ind w:left="340" w:hanging="340"/>
      </w:pPr>
      <w:rPr>
        <w:rFonts w:ascii="Wingdings" w:hAnsi="Wingdings" w:hint="default"/>
        <w:color w:val="981020"/>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B002DDB"/>
    <w:multiLevelType w:val="multilevel"/>
    <w:tmpl w:val="38CE8BEA"/>
    <w:lvl w:ilvl="0">
      <w:start w:val="1"/>
      <w:numFmt w:val="bullet"/>
      <w:lvlText w:val=""/>
      <w:lvlJc w:val="left"/>
      <w:pPr>
        <w:tabs>
          <w:tab w:val="num" w:pos="680"/>
        </w:tabs>
        <w:ind w:left="680" w:hanging="340"/>
      </w:pPr>
      <w:rPr>
        <w:rFonts w:ascii="Wingdings" w:hAnsi="Wingdings" w:cs="Times New Roman"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C3B60EA"/>
    <w:multiLevelType w:val="multilevel"/>
    <w:tmpl w:val="54D295D8"/>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0"/>
        </w:tabs>
        <w:ind w:left="0" w:hanging="964"/>
      </w:pPr>
    </w:lvl>
    <w:lvl w:ilvl="2">
      <w:start w:val="1"/>
      <w:numFmt w:val="decimal"/>
      <w:pStyle w:val="Heading3"/>
      <w:lvlText w:val="%1.%2.%3"/>
      <w:lvlJc w:val="left"/>
      <w:pPr>
        <w:tabs>
          <w:tab w:val="num" w:pos="0"/>
        </w:tabs>
        <w:ind w:left="0"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49114E07"/>
    <w:multiLevelType w:val="multilevel"/>
    <w:tmpl w:val="21BCAA68"/>
    <w:lvl w:ilvl="0">
      <w:start w:val="1"/>
      <w:numFmt w:val="bullet"/>
      <w:lvlText w:val=""/>
      <w:lvlJc w:val="left"/>
      <w:pPr>
        <w:tabs>
          <w:tab w:val="num" w:pos="340"/>
        </w:tabs>
        <w:ind w:left="340" w:hanging="340"/>
      </w:pPr>
      <w:rPr>
        <w:rFonts w:ascii="Wingdings" w:hAnsi="Wingdings" w:hint="default"/>
        <w:color w:val="FF0000"/>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ACB07A5"/>
    <w:multiLevelType w:val="hybridMultilevel"/>
    <w:tmpl w:val="6CD226D0"/>
    <w:lvl w:ilvl="0" w:tplc="C55023E0">
      <w:start w:val="1"/>
      <w:numFmt w:val="decimal"/>
      <w:pStyle w:val="NumberList1"/>
      <w:lvlText w:val="%1."/>
      <w:lvlJc w:val="left"/>
      <w:pPr>
        <w:ind w:left="360" w:hanging="360"/>
      </w:pPr>
      <w:rPr>
        <w:rFonts w:ascii="Century Gothic" w:hAnsi="Century Gothic" w:hint="default"/>
        <w:b w:val="0"/>
        <w:i w:val="0"/>
        <w:color w:val="C70F2E"/>
        <w:sz w:val="22"/>
      </w:rPr>
    </w:lvl>
    <w:lvl w:ilvl="1" w:tplc="790E9B4A">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CD9582A"/>
    <w:multiLevelType w:val="hybridMultilevel"/>
    <w:tmpl w:val="0F302172"/>
    <w:lvl w:ilvl="0" w:tplc="DD6E63DE">
      <w:start w:val="1"/>
      <w:numFmt w:val="lowerLetter"/>
      <w:pStyle w:val="NumberList2"/>
      <w:lvlText w:val="%1."/>
      <w:lvlJc w:val="left"/>
      <w:pPr>
        <w:ind w:left="1440" w:hanging="360"/>
      </w:pPr>
      <w:rPr>
        <w:rFonts w:ascii="Century Gothic" w:hAnsi="Century Gothic" w:hint="default"/>
        <w:b w:val="0"/>
        <w:i w:val="0"/>
        <w:color w:val="C70F2E"/>
        <w:sz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4D226979"/>
    <w:multiLevelType w:val="multilevel"/>
    <w:tmpl w:val="B414F416"/>
    <w:lvl w:ilvl="0">
      <w:start w:val="1"/>
      <w:numFmt w:val="bullet"/>
      <w:lvlText w:val=""/>
      <w:lvlJc w:val="left"/>
      <w:pPr>
        <w:tabs>
          <w:tab w:val="num" w:pos="680"/>
        </w:tabs>
        <w:ind w:left="680" w:hanging="340"/>
      </w:pPr>
      <w:rPr>
        <w:rFonts w:ascii="Wingdings" w:hAnsi="Wingdings" w:cs="Times New Roman" w:hint="default"/>
        <w:color w:val="9810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33A1ED2"/>
    <w:multiLevelType w:val="multilevel"/>
    <w:tmpl w:val="30ACA43A"/>
    <w:lvl w:ilvl="0">
      <w:start w:val="1"/>
      <w:numFmt w:val="bullet"/>
      <w:lvlText w:val=""/>
      <w:lvlJc w:val="left"/>
      <w:pPr>
        <w:tabs>
          <w:tab w:val="num" w:pos="340"/>
        </w:tabs>
        <w:ind w:left="340" w:hanging="340"/>
      </w:pPr>
      <w:rPr>
        <w:rFonts w:ascii="Wingdings" w:hAnsi="Wingdings" w:hint="default"/>
        <w:color w:val="981020"/>
        <w:sz w:val="18"/>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C4030FF"/>
    <w:multiLevelType w:val="singleLevel"/>
    <w:tmpl w:val="179C0B52"/>
    <w:lvl w:ilvl="0">
      <w:start w:val="1"/>
      <w:numFmt w:val="bullet"/>
      <w:lvlText w:val="-"/>
      <w:lvlJc w:val="left"/>
      <w:pPr>
        <w:tabs>
          <w:tab w:val="num" w:pos="680"/>
        </w:tabs>
        <w:ind w:left="680" w:hanging="340"/>
      </w:pPr>
      <w:rPr>
        <w:rFonts w:ascii="Times New Roman" w:hAnsi="Times New Roman" w:cs="Times New Roman" w:hint="default"/>
        <w:color w:val="0000FF"/>
      </w:rPr>
    </w:lvl>
  </w:abstractNum>
  <w:abstractNum w:abstractNumId="25">
    <w:nsid w:val="70B65200"/>
    <w:multiLevelType w:val="hybridMultilevel"/>
    <w:tmpl w:val="9AF63A96"/>
    <w:lvl w:ilvl="0" w:tplc="DC682098">
      <w:start w:val="1"/>
      <w:numFmt w:val="bullet"/>
      <w:pStyle w:val="ListBullet2"/>
      <w:lvlText w:val=""/>
      <w:lvlJc w:val="left"/>
      <w:pPr>
        <w:ind w:left="927" w:hanging="360"/>
      </w:pPr>
      <w:rPr>
        <w:rFonts w:ascii="Wingdings" w:hAnsi="Wingdings" w:cs="Times New Roman" w:hint="default"/>
        <w:b/>
        <w:i w:val="0"/>
        <w:color w:val="C70F2E"/>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7E5F97"/>
    <w:multiLevelType w:val="multilevel"/>
    <w:tmpl w:val="CE12316E"/>
    <w:lvl w:ilvl="0">
      <w:start w:val="1"/>
      <w:numFmt w:val="upperLetter"/>
      <w:pStyle w:val="AppendixHeading1"/>
      <w:lvlText w:val="%1"/>
      <w:lvlJc w:val="left"/>
      <w:pPr>
        <w:tabs>
          <w:tab w:val="num" w:pos="964"/>
        </w:tabs>
        <w:ind w:left="964" w:hanging="964"/>
      </w:pPr>
    </w:lvl>
    <w:lvl w:ilvl="1">
      <w:start w:val="1"/>
      <w:numFmt w:val="decimal"/>
      <w:pStyle w:val="AppendixHeading2"/>
      <w:lvlText w:val="%1.%2"/>
      <w:lvlJc w:val="left"/>
      <w:pPr>
        <w:tabs>
          <w:tab w:val="num" w:pos="964"/>
        </w:tabs>
        <w:ind w:left="964" w:hanging="964"/>
      </w:pPr>
    </w:lvl>
    <w:lvl w:ilvl="2">
      <w:start w:val="1"/>
      <w:numFmt w:val="decimal"/>
      <w:pStyle w:val="AppendixHeading3"/>
      <w:lvlText w:val="%1.%2.%3"/>
      <w:lvlJc w:val="left"/>
      <w:pPr>
        <w:tabs>
          <w:tab w:val="num" w:pos="964"/>
        </w:tabs>
        <w:ind w:left="964" w:hanging="964"/>
      </w:pPr>
    </w:lvl>
    <w:lvl w:ilvl="3">
      <w:start w:val="1"/>
      <w:numFmt w:val="decimal"/>
      <w:pStyle w:val="AppendixHeading4"/>
      <w:lvlText w:val="%1.%2.%3.%4"/>
      <w:lvlJc w:val="left"/>
      <w:pPr>
        <w:tabs>
          <w:tab w:val="num" w:pos="964"/>
        </w:tabs>
        <w:ind w:left="964" w:hanging="964"/>
      </w:pPr>
    </w:lvl>
    <w:lvl w:ilvl="4">
      <w:start w:val="1"/>
      <w:numFmt w:val="decimal"/>
      <w:lvlText w:val="(%5)"/>
      <w:lvlJc w:val="left"/>
      <w:pPr>
        <w:tabs>
          <w:tab w:val="num" w:pos="4204"/>
        </w:tabs>
        <w:ind w:left="3844" w:firstLine="0"/>
      </w:pPr>
    </w:lvl>
    <w:lvl w:ilvl="5">
      <w:start w:val="1"/>
      <w:numFmt w:val="lowerLetter"/>
      <w:lvlText w:val="(%6)"/>
      <w:lvlJc w:val="left"/>
      <w:pPr>
        <w:tabs>
          <w:tab w:val="num" w:pos="4924"/>
        </w:tabs>
        <w:ind w:left="4564" w:firstLine="0"/>
      </w:pPr>
    </w:lvl>
    <w:lvl w:ilvl="6">
      <w:start w:val="1"/>
      <w:numFmt w:val="lowerRoman"/>
      <w:lvlText w:val="(%7)"/>
      <w:lvlJc w:val="left"/>
      <w:pPr>
        <w:tabs>
          <w:tab w:val="num" w:pos="5644"/>
        </w:tabs>
        <w:ind w:left="5284" w:firstLine="0"/>
      </w:pPr>
    </w:lvl>
    <w:lvl w:ilvl="7">
      <w:start w:val="1"/>
      <w:numFmt w:val="lowerLetter"/>
      <w:lvlText w:val="(%8)"/>
      <w:lvlJc w:val="left"/>
      <w:pPr>
        <w:tabs>
          <w:tab w:val="num" w:pos="6364"/>
        </w:tabs>
        <w:ind w:left="6004" w:firstLine="0"/>
      </w:pPr>
    </w:lvl>
    <w:lvl w:ilvl="8">
      <w:start w:val="1"/>
      <w:numFmt w:val="lowerRoman"/>
      <w:lvlText w:val="(%9)"/>
      <w:lvlJc w:val="left"/>
      <w:pPr>
        <w:tabs>
          <w:tab w:val="num" w:pos="7084"/>
        </w:tabs>
        <w:ind w:left="6724" w:firstLine="0"/>
      </w:pPr>
    </w:lvl>
  </w:abstractNum>
  <w:num w:numId="1">
    <w:abstractNumId w:val="8"/>
  </w:num>
  <w:num w:numId="2">
    <w:abstractNumId w:val="24"/>
  </w:num>
  <w:num w:numId="3">
    <w:abstractNumId w:val="11"/>
  </w:num>
  <w:num w:numId="4">
    <w:abstractNumId w:val="18"/>
  </w:num>
  <w:num w:numId="5">
    <w:abstractNumId w:val="26"/>
  </w:num>
  <w:num w:numId="6">
    <w:abstractNumId w:val="6"/>
  </w:num>
  <w:num w:numId="7">
    <w:abstractNumId w:val="6"/>
  </w:num>
  <w:num w:numId="8">
    <w:abstractNumId w:val="5"/>
  </w:num>
  <w:num w:numId="9">
    <w:abstractNumId w:val="5"/>
  </w:num>
  <w:num w:numId="10">
    <w:abstractNumId w:val="13"/>
  </w:num>
  <w:num w:numId="11">
    <w:abstractNumId w:val="10"/>
  </w:num>
  <w:num w:numId="12">
    <w:abstractNumId w:val="12"/>
  </w:num>
  <w:num w:numId="13">
    <w:abstractNumId w:val="25"/>
  </w:num>
  <w:num w:numId="14">
    <w:abstractNumId w:val="9"/>
  </w:num>
  <w:num w:numId="15">
    <w:abstractNumId w:val="19"/>
  </w:num>
  <w:num w:numId="16">
    <w:abstractNumId w:val="17"/>
  </w:num>
  <w:num w:numId="17">
    <w:abstractNumId w:val="4"/>
  </w:num>
  <w:num w:numId="18">
    <w:abstractNumId w:val="7"/>
  </w:num>
  <w:num w:numId="19">
    <w:abstractNumId w:val="3"/>
  </w:num>
  <w:num w:numId="20">
    <w:abstractNumId w:val="2"/>
  </w:num>
  <w:num w:numId="21">
    <w:abstractNumId w:val="1"/>
  </w:num>
  <w:num w:numId="22">
    <w:abstractNumId w:val="0"/>
  </w:num>
  <w:num w:numId="23">
    <w:abstractNumId w:val="16"/>
  </w:num>
  <w:num w:numId="24">
    <w:abstractNumId w:val="23"/>
  </w:num>
  <w:num w:numId="25">
    <w:abstractNumId w:val="22"/>
  </w:num>
  <w:num w:numId="26">
    <w:abstractNumId w:val="20"/>
  </w:num>
  <w:num w:numId="27">
    <w:abstractNumId w:val="21"/>
  </w:num>
  <w:num w:numId="28">
    <w:abstractNumId w:val="14"/>
  </w:num>
  <w:num w:numId="29">
    <w:abstractNumId w:val="15"/>
  </w:num>
  <w:num w:numId="30">
    <w:abstractNumId w:val="18"/>
  </w:num>
  <w:num w:numId="31">
    <w:abstractNumId w:val="18"/>
  </w:num>
  <w:num w:numId="32">
    <w:abstractNumId w:val="18"/>
  </w:num>
  <w:num w:numId="33">
    <w:abstractNumId w:val="18"/>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oNotHyphenateCaps/>
  <w:drawingGridHorizontalSpacing w:val="181"/>
  <w:drawingGridVerticalSpacing w:val="181"/>
  <w:doNotUseMarginsForDrawingGridOrigin/>
  <w:drawingGridVerticalOrigin w:val="1985"/>
  <w:doNotShadeFormData/>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3Paras" w:val="No"/>
    <w:docVar w:name="Orientation" w:val="Portrait"/>
    <w:docVar w:name="ReptStyle" w:val=" 0"/>
  </w:docVars>
  <w:rsids>
    <w:rsidRoot w:val="00B231AB"/>
    <w:rsid w:val="000016E0"/>
    <w:rsid w:val="00002985"/>
    <w:rsid w:val="00002E3B"/>
    <w:rsid w:val="000061C7"/>
    <w:rsid w:val="000218F6"/>
    <w:rsid w:val="00023543"/>
    <w:rsid w:val="00032102"/>
    <w:rsid w:val="00033B69"/>
    <w:rsid w:val="00035608"/>
    <w:rsid w:val="000400E6"/>
    <w:rsid w:val="00041B60"/>
    <w:rsid w:val="000865C4"/>
    <w:rsid w:val="000877F8"/>
    <w:rsid w:val="000A3D02"/>
    <w:rsid w:val="000A3E9C"/>
    <w:rsid w:val="000A4D62"/>
    <w:rsid w:val="000A7BC5"/>
    <w:rsid w:val="000D05EE"/>
    <w:rsid w:val="000F208C"/>
    <w:rsid w:val="000F37AA"/>
    <w:rsid w:val="001007AB"/>
    <w:rsid w:val="00101072"/>
    <w:rsid w:val="00116BCE"/>
    <w:rsid w:val="00117DCB"/>
    <w:rsid w:val="00120593"/>
    <w:rsid w:val="00123EB5"/>
    <w:rsid w:val="0012477B"/>
    <w:rsid w:val="001254D9"/>
    <w:rsid w:val="0013126C"/>
    <w:rsid w:val="00133278"/>
    <w:rsid w:val="00137429"/>
    <w:rsid w:val="0014741F"/>
    <w:rsid w:val="00147746"/>
    <w:rsid w:val="00154DB7"/>
    <w:rsid w:val="00162A5A"/>
    <w:rsid w:val="001732D8"/>
    <w:rsid w:val="001759A1"/>
    <w:rsid w:val="001765BB"/>
    <w:rsid w:val="0018038D"/>
    <w:rsid w:val="00180AD1"/>
    <w:rsid w:val="0018791D"/>
    <w:rsid w:val="001B19B7"/>
    <w:rsid w:val="001C2333"/>
    <w:rsid w:val="001C236D"/>
    <w:rsid w:val="001C2D20"/>
    <w:rsid w:val="001E0A53"/>
    <w:rsid w:val="001E2251"/>
    <w:rsid w:val="001E311B"/>
    <w:rsid w:val="001F4E56"/>
    <w:rsid w:val="00206DCF"/>
    <w:rsid w:val="00210328"/>
    <w:rsid w:val="00211171"/>
    <w:rsid w:val="002114D6"/>
    <w:rsid w:val="00211DFA"/>
    <w:rsid w:val="00216570"/>
    <w:rsid w:val="00220228"/>
    <w:rsid w:val="00220F45"/>
    <w:rsid w:val="00237124"/>
    <w:rsid w:val="00246FC6"/>
    <w:rsid w:val="00250B7B"/>
    <w:rsid w:val="00251AE5"/>
    <w:rsid w:val="00255794"/>
    <w:rsid w:val="0026660C"/>
    <w:rsid w:val="002741E6"/>
    <w:rsid w:val="0028126A"/>
    <w:rsid w:val="002909D7"/>
    <w:rsid w:val="00295334"/>
    <w:rsid w:val="002B07E9"/>
    <w:rsid w:val="002B4695"/>
    <w:rsid w:val="002C725B"/>
    <w:rsid w:val="002D2180"/>
    <w:rsid w:val="002D79FF"/>
    <w:rsid w:val="002E621C"/>
    <w:rsid w:val="002E7D7E"/>
    <w:rsid w:val="002F090C"/>
    <w:rsid w:val="002F2AB9"/>
    <w:rsid w:val="002F4883"/>
    <w:rsid w:val="002F71EB"/>
    <w:rsid w:val="00302D21"/>
    <w:rsid w:val="003156C3"/>
    <w:rsid w:val="0031726E"/>
    <w:rsid w:val="00325A59"/>
    <w:rsid w:val="0033653B"/>
    <w:rsid w:val="003449A6"/>
    <w:rsid w:val="0034653B"/>
    <w:rsid w:val="00352B91"/>
    <w:rsid w:val="00353126"/>
    <w:rsid w:val="003662A4"/>
    <w:rsid w:val="003666BD"/>
    <w:rsid w:val="0039277B"/>
    <w:rsid w:val="00394DF9"/>
    <w:rsid w:val="00395287"/>
    <w:rsid w:val="003B0FEA"/>
    <w:rsid w:val="004021F4"/>
    <w:rsid w:val="00421D28"/>
    <w:rsid w:val="00433639"/>
    <w:rsid w:val="00437131"/>
    <w:rsid w:val="004437B3"/>
    <w:rsid w:val="0046501D"/>
    <w:rsid w:val="00467965"/>
    <w:rsid w:val="00475AC4"/>
    <w:rsid w:val="00482DB0"/>
    <w:rsid w:val="004831C4"/>
    <w:rsid w:val="00484F77"/>
    <w:rsid w:val="004A385B"/>
    <w:rsid w:val="004A7041"/>
    <w:rsid w:val="004E4AD8"/>
    <w:rsid w:val="004F7A66"/>
    <w:rsid w:val="00503C02"/>
    <w:rsid w:val="005279EC"/>
    <w:rsid w:val="00535959"/>
    <w:rsid w:val="005520DA"/>
    <w:rsid w:val="005538C0"/>
    <w:rsid w:val="005813A9"/>
    <w:rsid w:val="00582810"/>
    <w:rsid w:val="005A1209"/>
    <w:rsid w:val="005A1BDD"/>
    <w:rsid w:val="005A492D"/>
    <w:rsid w:val="005A6915"/>
    <w:rsid w:val="005B09AA"/>
    <w:rsid w:val="005B200A"/>
    <w:rsid w:val="005B26C9"/>
    <w:rsid w:val="005B2841"/>
    <w:rsid w:val="005C208F"/>
    <w:rsid w:val="005C2181"/>
    <w:rsid w:val="005C2BE7"/>
    <w:rsid w:val="005D0DA0"/>
    <w:rsid w:val="005D42C8"/>
    <w:rsid w:val="005D5492"/>
    <w:rsid w:val="005D5766"/>
    <w:rsid w:val="005D5E56"/>
    <w:rsid w:val="005E6094"/>
    <w:rsid w:val="005E7FD3"/>
    <w:rsid w:val="005F011F"/>
    <w:rsid w:val="005F3368"/>
    <w:rsid w:val="005F47CF"/>
    <w:rsid w:val="00605F6D"/>
    <w:rsid w:val="00616E46"/>
    <w:rsid w:val="0063714A"/>
    <w:rsid w:val="00642613"/>
    <w:rsid w:val="00643A28"/>
    <w:rsid w:val="0064405E"/>
    <w:rsid w:val="00647134"/>
    <w:rsid w:val="00652DB7"/>
    <w:rsid w:val="00655E0F"/>
    <w:rsid w:val="00665BBF"/>
    <w:rsid w:val="0068050F"/>
    <w:rsid w:val="00680B17"/>
    <w:rsid w:val="00692106"/>
    <w:rsid w:val="00693036"/>
    <w:rsid w:val="006A09A7"/>
    <w:rsid w:val="006A1D43"/>
    <w:rsid w:val="006A4DC4"/>
    <w:rsid w:val="006C20DE"/>
    <w:rsid w:val="006E4A2F"/>
    <w:rsid w:val="006F30D9"/>
    <w:rsid w:val="006F43FB"/>
    <w:rsid w:val="00704981"/>
    <w:rsid w:val="0071340F"/>
    <w:rsid w:val="007147CF"/>
    <w:rsid w:val="00714940"/>
    <w:rsid w:val="00723A88"/>
    <w:rsid w:val="00727693"/>
    <w:rsid w:val="00730689"/>
    <w:rsid w:val="00746BAE"/>
    <w:rsid w:val="00765236"/>
    <w:rsid w:val="00767925"/>
    <w:rsid w:val="007846A9"/>
    <w:rsid w:val="007968E9"/>
    <w:rsid w:val="007A10E9"/>
    <w:rsid w:val="007B2ED2"/>
    <w:rsid w:val="007B3AA6"/>
    <w:rsid w:val="007B7DFE"/>
    <w:rsid w:val="007D0F77"/>
    <w:rsid w:val="007D7E2B"/>
    <w:rsid w:val="00802CF3"/>
    <w:rsid w:val="00814652"/>
    <w:rsid w:val="00817F05"/>
    <w:rsid w:val="0083370D"/>
    <w:rsid w:val="00836190"/>
    <w:rsid w:val="00846E69"/>
    <w:rsid w:val="0085569A"/>
    <w:rsid w:val="008658DB"/>
    <w:rsid w:val="00867A0D"/>
    <w:rsid w:val="00891078"/>
    <w:rsid w:val="0089346F"/>
    <w:rsid w:val="00896A41"/>
    <w:rsid w:val="00897F92"/>
    <w:rsid w:val="008A22F0"/>
    <w:rsid w:val="008A4AF0"/>
    <w:rsid w:val="008A5504"/>
    <w:rsid w:val="008C4968"/>
    <w:rsid w:val="008D49E9"/>
    <w:rsid w:val="008D61A6"/>
    <w:rsid w:val="008D7E15"/>
    <w:rsid w:val="008F1636"/>
    <w:rsid w:val="008F7C27"/>
    <w:rsid w:val="00903F7A"/>
    <w:rsid w:val="00906ADA"/>
    <w:rsid w:val="009271CA"/>
    <w:rsid w:val="00934B3F"/>
    <w:rsid w:val="009351AF"/>
    <w:rsid w:val="00935749"/>
    <w:rsid w:val="009413DC"/>
    <w:rsid w:val="00944730"/>
    <w:rsid w:val="00946E61"/>
    <w:rsid w:val="00957346"/>
    <w:rsid w:val="00960678"/>
    <w:rsid w:val="00967B8A"/>
    <w:rsid w:val="00970275"/>
    <w:rsid w:val="009725AC"/>
    <w:rsid w:val="00975A8A"/>
    <w:rsid w:val="00982043"/>
    <w:rsid w:val="00995E02"/>
    <w:rsid w:val="00996547"/>
    <w:rsid w:val="009A07B3"/>
    <w:rsid w:val="009A41B4"/>
    <w:rsid w:val="009C04E5"/>
    <w:rsid w:val="009D3990"/>
    <w:rsid w:val="009D5021"/>
    <w:rsid w:val="009E0A25"/>
    <w:rsid w:val="009E0D54"/>
    <w:rsid w:val="009F0403"/>
    <w:rsid w:val="00A00500"/>
    <w:rsid w:val="00A05918"/>
    <w:rsid w:val="00A105C2"/>
    <w:rsid w:val="00A255CA"/>
    <w:rsid w:val="00A33C1A"/>
    <w:rsid w:val="00A366A8"/>
    <w:rsid w:val="00A464DF"/>
    <w:rsid w:val="00A528DA"/>
    <w:rsid w:val="00A65023"/>
    <w:rsid w:val="00A665D0"/>
    <w:rsid w:val="00A702CB"/>
    <w:rsid w:val="00A705BB"/>
    <w:rsid w:val="00A931EF"/>
    <w:rsid w:val="00AB0990"/>
    <w:rsid w:val="00AB2E24"/>
    <w:rsid w:val="00AB33E6"/>
    <w:rsid w:val="00AB5CBB"/>
    <w:rsid w:val="00AC2232"/>
    <w:rsid w:val="00AD5B4E"/>
    <w:rsid w:val="00AE4ED0"/>
    <w:rsid w:val="00AE5CFF"/>
    <w:rsid w:val="00AF0E62"/>
    <w:rsid w:val="00AF5CC4"/>
    <w:rsid w:val="00B07A6C"/>
    <w:rsid w:val="00B105A4"/>
    <w:rsid w:val="00B12C6B"/>
    <w:rsid w:val="00B17A4A"/>
    <w:rsid w:val="00B231AB"/>
    <w:rsid w:val="00B251BA"/>
    <w:rsid w:val="00B25735"/>
    <w:rsid w:val="00B3182D"/>
    <w:rsid w:val="00B44007"/>
    <w:rsid w:val="00B47AA7"/>
    <w:rsid w:val="00B5516B"/>
    <w:rsid w:val="00B764E3"/>
    <w:rsid w:val="00B80178"/>
    <w:rsid w:val="00B821B0"/>
    <w:rsid w:val="00B879F6"/>
    <w:rsid w:val="00B90B44"/>
    <w:rsid w:val="00B93E69"/>
    <w:rsid w:val="00BA0254"/>
    <w:rsid w:val="00BA1CF6"/>
    <w:rsid w:val="00BB37C3"/>
    <w:rsid w:val="00BC3AC9"/>
    <w:rsid w:val="00BD5AF7"/>
    <w:rsid w:val="00BD723E"/>
    <w:rsid w:val="00BE4522"/>
    <w:rsid w:val="00C10EF9"/>
    <w:rsid w:val="00C11DE1"/>
    <w:rsid w:val="00C1530F"/>
    <w:rsid w:val="00C15703"/>
    <w:rsid w:val="00C42B06"/>
    <w:rsid w:val="00C45A01"/>
    <w:rsid w:val="00C47F83"/>
    <w:rsid w:val="00C61A22"/>
    <w:rsid w:val="00C63553"/>
    <w:rsid w:val="00C637FE"/>
    <w:rsid w:val="00C64356"/>
    <w:rsid w:val="00C66F74"/>
    <w:rsid w:val="00C72333"/>
    <w:rsid w:val="00C81013"/>
    <w:rsid w:val="00C8126A"/>
    <w:rsid w:val="00C8387D"/>
    <w:rsid w:val="00C941AA"/>
    <w:rsid w:val="00CB5671"/>
    <w:rsid w:val="00CD161A"/>
    <w:rsid w:val="00CD2DA3"/>
    <w:rsid w:val="00CD68A8"/>
    <w:rsid w:val="00CD75C4"/>
    <w:rsid w:val="00CE3437"/>
    <w:rsid w:val="00CE52E3"/>
    <w:rsid w:val="00CF04DB"/>
    <w:rsid w:val="00CF0B91"/>
    <w:rsid w:val="00D04B16"/>
    <w:rsid w:val="00D05793"/>
    <w:rsid w:val="00D101C6"/>
    <w:rsid w:val="00D117C8"/>
    <w:rsid w:val="00D15733"/>
    <w:rsid w:val="00D157A0"/>
    <w:rsid w:val="00D248AC"/>
    <w:rsid w:val="00D34149"/>
    <w:rsid w:val="00D36DB4"/>
    <w:rsid w:val="00D43EBE"/>
    <w:rsid w:val="00D465CA"/>
    <w:rsid w:val="00D62A05"/>
    <w:rsid w:val="00D72A89"/>
    <w:rsid w:val="00D741FF"/>
    <w:rsid w:val="00D75C0B"/>
    <w:rsid w:val="00D842E9"/>
    <w:rsid w:val="00D86A3C"/>
    <w:rsid w:val="00D909C5"/>
    <w:rsid w:val="00D96135"/>
    <w:rsid w:val="00DA054D"/>
    <w:rsid w:val="00DA10C5"/>
    <w:rsid w:val="00DC7F3D"/>
    <w:rsid w:val="00DD41E2"/>
    <w:rsid w:val="00DE61D3"/>
    <w:rsid w:val="00DF1996"/>
    <w:rsid w:val="00DF3343"/>
    <w:rsid w:val="00DF340E"/>
    <w:rsid w:val="00DF5C8E"/>
    <w:rsid w:val="00E0751F"/>
    <w:rsid w:val="00E12FC2"/>
    <w:rsid w:val="00E13A33"/>
    <w:rsid w:val="00E27130"/>
    <w:rsid w:val="00E27C66"/>
    <w:rsid w:val="00E37617"/>
    <w:rsid w:val="00E47E7B"/>
    <w:rsid w:val="00E5542C"/>
    <w:rsid w:val="00E61367"/>
    <w:rsid w:val="00E624F7"/>
    <w:rsid w:val="00E62DB8"/>
    <w:rsid w:val="00E67739"/>
    <w:rsid w:val="00E7446A"/>
    <w:rsid w:val="00E757D6"/>
    <w:rsid w:val="00E9075E"/>
    <w:rsid w:val="00EA321D"/>
    <w:rsid w:val="00EA54DD"/>
    <w:rsid w:val="00EB41E7"/>
    <w:rsid w:val="00EB7D72"/>
    <w:rsid w:val="00EC322F"/>
    <w:rsid w:val="00EC360E"/>
    <w:rsid w:val="00ED4F57"/>
    <w:rsid w:val="00EE07C6"/>
    <w:rsid w:val="00EF4EE8"/>
    <w:rsid w:val="00F02850"/>
    <w:rsid w:val="00F06BD8"/>
    <w:rsid w:val="00F07A8F"/>
    <w:rsid w:val="00F2097A"/>
    <w:rsid w:val="00F238F1"/>
    <w:rsid w:val="00F325DA"/>
    <w:rsid w:val="00F43D39"/>
    <w:rsid w:val="00F5132E"/>
    <w:rsid w:val="00F55674"/>
    <w:rsid w:val="00F6363D"/>
    <w:rsid w:val="00F650D5"/>
    <w:rsid w:val="00F810C4"/>
    <w:rsid w:val="00F833BC"/>
    <w:rsid w:val="00F85371"/>
    <w:rsid w:val="00F8737D"/>
    <w:rsid w:val="00F87EA0"/>
    <w:rsid w:val="00F908C6"/>
    <w:rsid w:val="00FA0325"/>
    <w:rsid w:val="00FA1C77"/>
    <w:rsid w:val="00FA1D72"/>
    <w:rsid w:val="00FA4976"/>
    <w:rsid w:val="00FA5534"/>
    <w:rsid w:val="00FA561E"/>
    <w:rsid w:val="00FA6E72"/>
    <w:rsid w:val="00FA7092"/>
    <w:rsid w:val="00FC3E06"/>
    <w:rsid w:val="00FC76C9"/>
    <w:rsid w:val="00FE1959"/>
    <w:rsid w:val="00FE4833"/>
    <w:rsid w:val="00FE5379"/>
    <w:rsid w:val="00FE6A3F"/>
    <w:rsid w:val="00FF1F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List Bullet" w:qFormat="1"/>
    <w:lsdException w:name="List Bullet 2" w:qFormat="1"/>
    <w:lsdException w:name="Title" w:uiPriority="10" w:qFormat="1"/>
    <w:lsdException w:name="Body Text" w:qFormat="1"/>
    <w:lsdException w:name="Subtitle" w:uiPriority="11" w:qFormat="1"/>
    <w:lsdException w:name="Body Text Indent 2"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1EF"/>
    <w:pPr>
      <w:spacing w:before="160" w:line="276" w:lineRule="auto"/>
    </w:pPr>
    <w:rPr>
      <w:rFonts w:ascii="Century Gothic" w:hAnsi="Century Gothic"/>
      <w:color w:val="25282A"/>
      <w:sz w:val="22"/>
      <w:lang w:eastAsia="en-US"/>
    </w:rPr>
  </w:style>
  <w:style w:type="paragraph" w:styleId="Heading1">
    <w:name w:val="heading 1"/>
    <w:basedOn w:val="Heading2"/>
    <w:next w:val="BodyText"/>
    <w:qFormat/>
    <w:rsid w:val="009A07B3"/>
    <w:pPr>
      <w:pageBreakBefore/>
      <w:numPr>
        <w:ilvl w:val="0"/>
      </w:numPr>
      <w:spacing w:before="160" w:after="0" w:line="276" w:lineRule="auto"/>
      <w:ind w:hanging="1134"/>
      <w:outlineLvl w:val="0"/>
    </w:pPr>
    <w:rPr>
      <w:sz w:val="32"/>
    </w:rPr>
  </w:style>
  <w:style w:type="paragraph" w:styleId="Heading2">
    <w:name w:val="heading 2"/>
    <w:basedOn w:val="BodyText"/>
    <w:next w:val="BodyText"/>
    <w:qFormat/>
    <w:rsid w:val="009A07B3"/>
    <w:pPr>
      <w:keepNext/>
      <w:numPr>
        <w:ilvl w:val="1"/>
        <w:numId w:val="4"/>
      </w:numPr>
      <w:spacing w:before="240" w:after="120" w:line="240" w:lineRule="auto"/>
      <w:jc w:val="left"/>
      <w:outlineLvl w:val="1"/>
    </w:pPr>
    <w:rPr>
      <w:rFonts w:ascii="Arial Bold" w:hAnsi="Arial Bold"/>
      <w:b/>
      <w:color w:val="C8102E"/>
    </w:rPr>
  </w:style>
  <w:style w:type="paragraph" w:styleId="Heading3">
    <w:name w:val="heading 3"/>
    <w:basedOn w:val="Heading4"/>
    <w:next w:val="BodyText"/>
    <w:qFormat/>
    <w:rsid w:val="00002E3B"/>
    <w:pPr>
      <w:numPr>
        <w:ilvl w:val="2"/>
      </w:numPr>
      <w:ind w:hanging="1134"/>
      <w:outlineLvl w:val="2"/>
    </w:pPr>
    <w:rPr>
      <w:b/>
      <w:color w:val="25282A"/>
    </w:rPr>
  </w:style>
  <w:style w:type="paragraph" w:styleId="Heading4">
    <w:name w:val="heading 4"/>
    <w:basedOn w:val="Heading5"/>
    <w:next w:val="BodyText"/>
    <w:qFormat/>
    <w:rsid w:val="00817F05"/>
    <w:pPr>
      <w:numPr>
        <w:ilvl w:val="3"/>
        <w:numId w:val="4"/>
      </w:numPr>
      <w:tabs>
        <w:tab w:val="clear" w:pos="20"/>
      </w:tabs>
      <w:ind w:hanging="1134"/>
      <w:outlineLvl w:val="3"/>
    </w:pPr>
    <w:rPr>
      <w:i/>
    </w:rPr>
  </w:style>
  <w:style w:type="paragraph" w:styleId="Heading5">
    <w:name w:val="heading 5"/>
    <w:basedOn w:val="BodyText"/>
    <w:next w:val="BodyText"/>
    <w:qFormat/>
    <w:rsid w:val="00F43D39"/>
    <w:pPr>
      <w:keepNext/>
      <w:spacing w:before="240" w:after="120" w:line="240" w:lineRule="auto"/>
      <w:jc w:val="left"/>
      <w:outlineLvl w:val="4"/>
    </w:pPr>
    <w:rPr>
      <w:color w:val="333333"/>
    </w:r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copy"/>
    <w:basedOn w:val="Normal"/>
    <w:link w:val="BodyTextChar"/>
    <w:qFormat/>
    <w:rsid w:val="00DF340E"/>
    <w:pPr>
      <w:jc w:val="both"/>
    </w:pPr>
  </w:style>
  <w:style w:type="paragraph" w:styleId="TOC4">
    <w:name w:val="toc 4"/>
    <w:basedOn w:val="TOC3"/>
    <w:semiHidden/>
  </w:style>
  <w:style w:type="paragraph" w:styleId="TOC3">
    <w:name w:val="toc 3"/>
    <w:basedOn w:val="TOC2"/>
    <w:uiPriority w:val="39"/>
    <w:pPr>
      <w:tabs>
        <w:tab w:val="left" w:pos="1418"/>
      </w:tabs>
      <w:ind w:left="1418" w:hanging="1418"/>
    </w:pPr>
  </w:style>
  <w:style w:type="paragraph" w:styleId="TOC2">
    <w:name w:val="toc 2"/>
    <w:basedOn w:val="TOC1"/>
    <w:uiPriority w:val="39"/>
    <w:rsid w:val="0028126A"/>
    <w:pPr>
      <w:spacing w:before="0"/>
    </w:pPr>
    <w:rPr>
      <w:b w:val="0"/>
      <w:sz w:val="24"/>
    </w:rPr>
  </w:style>
  <w:style w:type="paragraph" w:styleId="TOC1">
    <w:name w:val="toc 1"/>
    <w:basedOn w:val="Normal"/>
    <w:uiPriority w:val="39"/>
    <w:rsid w:val="00123EB5"/>
    <w:pPr>
      <w:tabs>
        <w:tab w:val="right" w:pos="8221"/>
      </w:tabs>
      <w:ind w:left="851" w:right="567" w:hanging="851"/>
    </w:pPr>
    <w:rPr>
      <w:b/>
      <w:noProof/>
      <w:sz w:val="28"/>
    </w:rPr>
  </w:style>
  <w:style w:type="paragraph" w:styleId="Footer">
    <w:name w:val="footer"/>
    <w:basedOn w:val="Normal"/>
    <w:link w:val="FooterChar"/>
    <w:uiPriority w:val="99"/>
    <w:pPr>
      <w:tabs>
        <w:tab w:val="right" w:pos="8222"/>
      </w:tabs>
    </w:pPr>
    <w:rPr>
      <w:sz w:val="18"/>
    </w:rPr>
  </w:style>
  <w:style w:type="paragraph" w:styleId="Header">
    <w:name w:val="header"/>
    <w:basedOn w:val="Normal"/>
    <w:pPr>
      <w:spacing w:line="220" w:lineRule="atLeast"/>
      <w:jc w:val="right"/>
    </w:pPr>
    <w:rPr>
      <w:i/>
      <w:sz w:val="18"/>
    </w:rPr>
  </w:style>
  <w:style w:type="paragraph" w:styleId="ListBullet">
    <w:name w:val="List Bullet"/>
    <w:basedOn w:val="BodyText"/>
    <w:qFormat/>
    <w:rsid w:val="00216570"/>
    <w:pPr>
      <w:numPr>
        <w:numId w:val="12"/>
      </w:numPr>
    </w:pPr>
  </w:style>
  <w:style w:type="paragraph" w:styleId="ListBullet2">
    <w:name w:val="List Bullet 2"/>
    <w:basedOn w:val="ListBullet"/>
    <w:qFormat/>
    <w:rsid w:val="00216570"/>
    <w:pPr>
      <w:numPr>
        <w:numId w:val="13"/>
      </w:numPr>
      <w:ind w:left="1134" w:hanging="567"/>
    </w:pPr>
  </w:style>
  <w:style w:type="paragraph" w:customStyle="1" w:styleId="zreportname">
    <w:name w:val="zreport name"/>
    <w:basedOn w:val="Normal"/>
    <w:pPr>
      <w:keepLines/>
      <w:framePr w:w="4536" w:wrap="around" w:vAnchor="page" w:hAnchor="page" w:xAlign="center" w:y="3993"/>
      <w:spacing w:line="440" w:lineRule="exact"/>
      <w:jc w:val="center"/>
    </w:pPr>
    <w:rPr>
      <w:noProof/>
      <w:sz w:val="36"/>
    </w:rPr>
  </w:style>
  <w:style w:type="paragraph" w:customStyle="1" w:styleId="zcontents">
    <w:name w:val="zcontents"/>
    <w:basedOn w:val="Normal"/>
    <w:pPr>
      <w:spacing w:after="260" w:line="240" w:lineRule="auto"/>
    </w:pPr>
    <w:rPr>
      <w:sz w:val="3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qFormat/>
    <w:rPr>
      <w:sz w:val="18"/>
    </w:rPr>
  </w:style>
  <w:style w:type="paragraph" w:customStyle="1" w:styleId="zreportsubtitle">
    <w:name w:val="zreport subtitle"/>
    <w:basedOn w:val="zreportname"/>
    <w:pPr>
      <w:framePr w:wrap="around"/>
      <w:spacing w:line="360" w:lineRule="exact"/>
    </w:pPr>
    <w:rPr>
      <w:sz w:val="32"/>
    </w:rPr>
  </w:style>
  <w:style w:type="paragraph" w:styleId="BodyTextIndent">
    <w:name w:val="Body Text Indent"/>
    <w:basedOn w:val="BodyText"/>
    <w:link w:val="BodyTextIndentChar"/>
    <w:rsid w:val="000A4D62"/>
    <w:pPr>
      <w:ind w:left="567"/>
    </w:pPr>
  </w:style>
  <w:style w:type="paragraph" w:styleId="Index1">
    <w:name w:val="index 1"/>
    <w:basedOn w:val="Normal"/>
    <w:next w:val="Normal"/>
    <w:semiHidden/>
    <w:pPr>
      <w:keepNext/>
      <w:tabs>
        <w:tab w:val="right" w:pos="3750"/>
      </w:tabs>
      <w:spacing w:before="360" w:line="320" w:lineRule="exact"/>
      <w:ind w:right="851"/>
    </w:pPr>
    <w:rPr>
      <w:b/>
      <w:sz w:val="28"/>
    </w:rPr>
  </w:style>
  <w:style w:type="paragraph" w:customStyle="1" w:styleId="Graphic">
    <w:name w:val="Graphic"/>
    <w:basedOn w:val="Signature"/>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pPr>
      <w:spacing w:line="240" w:lineRule="auto"/>
    </w:pPr>
  </w:style>
  <w:style w:type="character" w:styleId="PageNumber">
    <w:name w:val="page number"/>
    <w:rsid w:val="00A105C2"/>
    <w:rPr>
      <w:rFonts w:ascii="Arial" w:hAnsi="Arial"/>
      <w:sz w:val="22"/>
    </w:rPr>
  </w:style>
  <w:style w:type="paragraph" w:styleId="Index2">
    <w:name w:val="index 2"/>
    <w:basedOn w:val="Normal"/>
    <w:next w:val="Normal"/>
    <w:semiHidden/>
    <w:pPr>
      <w:tabs>
        <w:tab w:val="right" w:pos="3750"/>
      </w:tabs>
      <w:ind w:left="340" w:right="851"/>
    </w:pPr>
  </w:style>
  <w:style w:type="paragraph" w:customStyle="1" w:styleId="zreportaddinfo">
    <w:name w:val="zreport addinfo"/>
    <w:basedOn w:val="Normal"/>
    <w:pPr>
      <w:framePr w:wrap="around" w:hAnchor="page" w:xAlign="center" w:yAlign="bottom"/>
      <w:jc w:val="center"/>
    </w:pPr>
    <w:rPr>
      <w:noProof/>
      <w:sz w:val="20"/>
    </w:rPr>
  </w:style>
  <w:style w:type="paragraph" w:customStyle="1" w:styleId="zreportaddinfoit">
    <w:name w:val="zreport addinfoit"/>
    <w:basedOn w:val="Normal"/>
    <w:pPr>
      <w:framePr w:wrap="around" w:hAnchor="page" w:xAlign="center" w:yAlign="bottom"/>
      <w:jc w:val="center"/>
    </w:pPr>
    <w:rPr>
      <w:i/>
      <w:sz w:val="20"/>
    </w:rPr>
  </w:style>
  <w:style w:type="paragraph" w:customStyle="1" w:styleId="AppendixHeading1">
    <w:name w:val="Appendix Heading 1"/>
    <w:basedOn w:val="Heading1"/>
    <w:next w:val="BodyText"/>
    <w:rsid w:val="000F37AA"/>
    <w:pPr>
      <w:numPr>
        <w:numId w:val="5"/>
      </w:numPr>
      <w:tabs>
        <w:tab w:val="clear" w:pos="964"/>
        <w:tab w:val="left" w:pos="0"/>
      </w:tabs>
      <w:ind w:left="0"/>
      <w:outlineLvl w:val="9"/>
    </w:pPr>
  </w:style>
  <w:style w:type="paragraph" w:customStyle="1" w:styleId="TableFooter">
    <w:name w:val="Table Footer"/>
    <w:basedOn w:val="BodyText"/>
    <w:link w:val="TableFooterChar"/>
    <w:rsid w:val="005D5E56"/>
    <w:rPr>
      <w:rFonts w:ascii="Arial Narrow" w:hAnsi="Arial Narrow"/>
      <w:b/>
      <w:bCs/>
      <w:color w:val="292929"/>
    </w:rPr>
  </w:style>
  <w:style w:type="paragraph" w:customStyle="1" w:styleId="AppendixHeading2">
    <w:name w:val="Appendix Heading 2"/>
    <w:basedOn w:val="Heading2"/>
    <w:next w:val="BodyText"/>
    <w:rsid w:val="000F37AA"/>
    <w:pPr>
      <w:numPr>
        <w:numId w:val="5"/>
      </w:numPr>
      <w:tabs>
        <w:tab w:val="clear" w:pos="964"/>
        <w:tab w:val="left" w:pos="0"/>
      </w:tabs>
      <w:ind w:left="0"/>
      <w:outlineLvl w:val="9"/>
    </w:pPr>
  </w:style>
  <w:style w:type="paragraph" w:customStyle="1" w:styleId="AppendixHeading3">
    <w:name w:val="Appendix Heading 3"/>
    <w:basedOn w:val="Heading3"/>
    <w:next w:val="BodyText"/>
    <w:rsid w:val="000F37AA"/>
    <w:pPr>
      <w:numPr>
        <w:numId w:val="5"/>
      </w:numPr>
      <w:tabs>
        <w:tab w:val="clear" w:pos="964"/>
        <w:tab w:val="left" w:pos="0"/>
      </w:tabs>
      <w:ind w:left="0"/>
      <w:outlineLvl w:val="9"/>
    </w:pPr>
  </w:style>
  <w:style w:type="paragraph" w:customStyle="1" w:styleId="AppendixHeading4">
    <w:name w:val="Appendix Heading 4"/>
    <w:basedOn w:val="Heading4"/>
    <w:next w:val="BodyText"/>
    <w:rsid w:val="000F37AA"/>
    <w:pPr>
      <w:numPr>
        <w:numId w:val="5"/>
      </w:numPr>
      <w:tabs>
        <w:tab w:val="clear" w:pos="964"/>
        <w:tab w:val="left" w:pos="0"/>
      </w:tabs>
      <w:ind w:left="0"/>
      <w:outlineLvl w:val="9"/>
    </w:pPr>
  </w:style>
  <w:style w:type="paragraph" w:customStyle="1" w:styleId="AppendixHeading5">
    <w:name w:val="Appendix Heading 5"/>
    <w:basedOn w:val="Heading5"/>
    <w:next w:val="BodyText"/>
    <w:rsid w:val="000F37AA"/>
    <w:pPr>
      <w:outlineLvl w:val="9"/>
    </w:pPr>
  </w:style>
  <w:style w:type="paragraph" w:styleId="BodyText3">
    <w:name w:val="Body Text 3"/>
    <w:basedOn w:val="Normal"/>
    <w:pPr>
      <w:ind w:left="142" w:hanging="142"/>
    </w:pPr>
    <w:rPr>
      <w:sz w:val="18"/>
      <w:szCs w:val="16"/>
    </w:rPr>
  </w:style>
  <w:style w:type="paragraph" w:styleId="Caption">
    <w:name w:val="caption"/>
    <w:basedOn w:val="BodyText"/>
    <w:next w:val="Normal"/>
    <w:link w:val="CaptionChar"/>
    <w:qFormat/>
    <w:rsid w:val="00817F05"/>
    <w:pPr>
      <w:keepNext/>
    </w:pPr>
    <w:rPr>
      <w:bCs/>
      <w:i/>
      <w:color w:val="333333"/>
    </w:rPr>
  </w:style>
  <w:style w:type="character" w:styleId="Hyperlink">
    <w:name w:val="Hyperlink"/>
    <w:rsid w:val="007968E9"/>
    <w:rPr>
      <w:rFonts w:ascii="Arial" w:hAnsi="Arial"/>
      <w:color w:val="0000FF"/>
      <w:sz w:val="22"/>
      <w:u w:val="single"/>
    </w:rPr>
  </w:style>
  <w:style w:type="table" w:styleId="TableGrid">
    <w:name w:val="Table Grid"/>
    <w:basedOn w:val="TableNormal"/>
    <w:rsid w:val="005D0DA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aliases w:val="Table Allgas AA"/>
    <w:basedOn w:val="TableNormal"/>
    <w:rsid w:val="000F37AA"/>
    <w:pPr>
      <w:spacing w:line="260" w:lineRule="atLeast"/>
    </w:pPr>
    <w:rPr>
      <w:rFonts w:ascii="Arial Narrow" w:hAnsi="Arial Narrow"/>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Arial Narrow" w:hAnsi="Arial Narrow"/>
        <w:b/>
        <w:bCs/>
        <w:color w:val="FFFFFF"/>
        <w:sz w:val="22"/>
      </w:rPr>
      <w:tblPr/>
      <w:tcPr>
        <w:tcBorders>
          <w:top w:val="nil"/>
          <w:left w:val="nil"/>
          <w:bottom w:val="nil"/>
          <w:right w:val="nil"/>
          <w:insideH w:val="nil"/>
          <w:insideV w:val="nil"/>
          <w:tl2br w:val="nil"/>
          <w:tr2bl w:val="nil"/>
        </w:tcBorders>
        <w:shd w:val="clear" w:color="auto" w:fill="333333"/>
      </w:tcPr>
    </w:tblStylePr>
    <w:tblStylePr w:type="lastRow">
      <w:rPr>
        <w:rFonts w:ascii="Arial Narrow" w:hAnsi="Arial Narrow"/>
        <w:b/>
        <w:color w:val="333333"/>
        <w:sz w:val="22"/>
      </w:rPr>
    </w:tblStylePr>
    <w:tblStylePr w:type="lastCol">
      <w:rPr>
        <w:color w:val="auto"/>
      </w:rPr>
    </w:tblStylePr>
  </w:style>
  <w:style w:type="character" w:customStyle="1" w:styleId="CaptionChar">
    <w:name w:val="Caption Char"/>
    <w:link w:val="Caption"/>
    <w:rsid w:val="00817F05"/>
    <w:rPr>
      <w:rFonts w:ascii="Century Gothic" w:hAnsi="Century Gothic"/>
      <w:bCs/>
      <w:i/>
      <w:color w:val="333333"/>
      <w:sz w:val="22"/>
      <w:lang w:eastAsia="en-US"/>
    </w:rPr>
  </w:style>
  <w:style w:type="paragraph" w:customStyle="1" w:styleId="zcontentsBoldCustomColorRGB374042">
    <w:name w:val="zcontents + Bold Custom Color(RGB(374042))"/>
    <w:basedOn w:val="zcontents"/>
    <w:rsid w:val="0028126A"/>
    <w:rPr>
      <w:b/>
      <w:bCs/>
      <w:sz w:val="52"/>
      <w:szCs w:val="52"/>
    </w:rPr>
  </w:style>
  <w:style w:type="paragraph" w:customStyle="1" w:styleId="BodyTestIndent2">
    <w:name w:val="Body Test Indent 2"/>
    <w:basedOn w:val="BodyTextIndent"/>
    <w:link w:val="BodyTestIndent2Char"/>
    <w:rsid w:val="000A4D62"/>
    <w:pPr>
      <w:ind w:left="1134"/>
    </w:pPr>
  </w:style>
  <w:style w:type="paragraph" w:customStyle="1" w:styleId="TableColumnHeadings">
    <w:name w:val="Table Column Headings"/>
    <w:basedOn w:val="BodyText"/>
    <w:link w:val="TableColumnHeadingsChar"/>
    <w:qFormat/>
    <w:rsid w:val="00714940"/>
    <w:pPr>
      <w:spacing w:after="160" w:line="240" w:lineRule="auto"/>
      <w:jc w:val="center"/>
    </w:pPr>
    <w:rPr>
      <w:rFonts w:ascii="Arial Narrow" w:hAnsi="Arial Narrow"/>
      <w:b/>
      <w:bCs/>
      <w:color w:val="FFFFFF"/>
      <w:sz w:val="18"/>
    </w:rPr>
  </w:style>
  <w:style w:type="character" w:customStyle="1" w:styleId="BodyTextChar">
    <w:name w:val="Body Text Char"/>
    <w:aliases w:val="Body copy Char"/>
    <w:basedOn w:val="DefaultParagraphFont"/>
    <w:link w:val="BodyText"/>
    <w:rsid w:val="00DF340E"/>
    <w:rPr>
      <w:rFonts w:ascii="Century Gothic" w:hAnsi="Century Gothic"/>
      <w:color w:val="25282A"/>
      <w:sz w:val="22"/>
      <w:lang w:eastAsia="en-US"/>
    </w:rPr>
  </w:style>
  <w:style w:type="character" w:customStyle="1" w:styleId="BodyTextIndentChar">
    <w:name w:val="Body Text Indent Char"/>
    <w:basedOn w:val="BodyTextChar"/>
    <w:link w:val="BodyTextIndent"/>
    <w:rsid w:val="000A4D62"/>
    <w:rPr>
      <w:rFonts w:ascii="Century Gothic" w:hAnsi="Century Gothic"/>
      <w:color w:val="25282A"/>
      <w:sz w:val="22"/>
      <w:lang w:eastAsia="en-US"/>
    </w:rPr>
  </w:style>
  <w:style w:type="character" w:customStyle="1" w:styleId="BodyTestIndent2Char">
    <w:name w:val="Body Test Indent 2 Char"/>
    <w:basedOn w:val="BodyTextIndentChar"/>
    <w:link w:val="BodyTestIndent2"/>
    <w:rsid w:val="000A4D62"/>
    <w:rPr>
      <w:rFonts w:ascii="Century Gothic" w:hAnsi="Century Gothic"/>
      <w:color w:val="25282A"/>
      <w:sz w:val="22"/>
      <w:lang w:eastAsia="en-US"/>
    </w:rPr>
  </w:style>
  <w:style w:type="paragraph" w:styleId="BodyTextIndent2">
    <w:name w:val="Body Text Indent 2"/>
    <w:basedOn w:val="Normal"/>
    <w:link w:val="BodyTextIndent2Char"/>
    <w:qFormat/>
    <w:rsid w:val="007B7DFE"/>
    <w:pPr>
      <w:ind w:left="1134" w:hanging="567"/>
    </w:pPr>
  </w:style>
  <w:style w:type="character" w:customStyle="1" w:styleId="BodyTextIndent2Char">
    <w:name w:val="Body Text Indent 2 Char"/>
    <w:basedOn w:val="DefaultParagraphFont"/>
    <w:link w:val="BodyTextIndent2"/>
    <w:rsid w:val="007B7DFE"/>
    <w:rPr>
      <w:rFonts w:ascii="Century Gothic" w:hAnsi="Century Gothic"/>
      <w:color w:val="25282A"/>
      <w:sz w:val="22"/>
      <w:lang w:eastAsia="en-US"/>
    </w:rPr>
  </w:style>
  <w:style w:type="paragraph" w:customStyle="1" w:styleId="TableBodyCells">
    <w:name w:val="Table Body Cells"/>
    <w:basedOn w:val="BodyText"/>
    <w:link w:val="TableBodyCellsChar"/>
    <w:qFormat/>
    <w:rsid w:val="00AB5CBB"/>
    <w:pPr>
      <w:spacing w:after="160" w:line="240" w:lineRule="auto"/>
      <w:jc w:val="center"/>
    </w:pPr>
    <w:rPr>
      <w:sz w:val="18"/>
      <w:szCs w:val="18"/>
    </w:rPr>
  </w:style>
  <w:style w:type="character" w:customStyle="1" w:styleId="TableColumnHeadingsChar">
    <w:name w:val="Table Column Headings Char"/>
    <w:basedOn w:val="BodyTextChar"/>
    <w:link w:val="TableColumnHeadings"/>
    <w:rsid w:val="00714940"/>
    <w:rPr>
      <w:rFonts w:ascii="Arial Narrow" w:hAnsi="Arial Narrow"/>
      <w:b/>
      <w:bCs/>
      <w:color w:val="FFFFFF"/>
      <w:sz w:val="18"/>
      <w:lang w:eastAsia="en-US"/>
    </w:rPr>
  </w:style>
  <w:style w:type="paragraph" w:customStyle="1" w:styleId="TableTotalRowcells">
    <w:name w:val="Table Total Row cells"/>
    <w:basedOn w:val="TableFooter"/>
    <w:link w:val="TableTotalRowcellsChar"/>
    <w:qFormat/>
    <w:rsid w:val="00714940"/>
    <w:pPr>
      <w:spacing w:after="160" w:line="240" w:lineRule="auto"/>
      <w:jc w:val="center"/>
    </w:pPr>
    <w:rPr>
      <w:rFonts w:ascii="Century Gothic" w:hAnsi="Century Gothic"/>
      <w:sz w:val="18"/>
      <w:szCs w:val="18"/>
    </w:rPr>
  </w:style>
  <w:style w:type="character" w:customStyle="1" w:styleId="TableBodyCellsChar">
    <w:name w:val="Table Body Cells Char"/>
    <w:basedOn w:val="BodyTextChar"/>
    <w:link w:val="TableBodyCells"/>
    <w:rsid w:val="00AB5CBB"/>
    <w:rPr>
      <w:rFonts w:ascii="Century Gothic" w:hAnsi="Century Gothic"/>
      <w:color w:val="25282A"/>
      <w:sz w:val="18"/>
      <w:szCs w:val="18"/>
      <w:lang w:eastAsia="en-US"/>
    </w:rPr>
  </w:style>
  <w:style w:type="paragraph" w:customStyle="1" w:styleId="Tablecellsfirstcolumn">
    <w:name w:val="Table cells first column"/>
    <w:basedOn w:val="TableTotalRowcells"/>
    <w:rsid w:val="00AB5CBB"/>
    <w:pPr>
      <w:jc w:val="left"/>
    </w:pPr>
    <w:rPr>
      <w:szCs w:val="20"/>
    </w:rPr>
  </w:style>
  <w:style w:type="character" w:customStyle="1" w:styleId="TableFooterChar">
    <w:name w:val="Table Footer Char"/>
    <w:basedOn w:val="BodyTextChar"/>
    <w:link w:val="TableFooter"/>
    <w:rsid w:val="00714940"/>
    <w:rPr>
      <w:rFonts w:ascii="Arial Narrow" w:hAnsi="Arial Narrow"/>
      <w:b/>
      <w:bCs/>
      <w:color w:val="292929"/>
      <w:sz w:val="22"/>
      <w:lang w:eastAsia="en-US"/>
    </w:rPr>
  </w:style>
  <w:style w:type="character" w:customStyle="1" w:styleId="TableTotalRowcellsChar">
    <w:name w:val="Table Total Row cells Char"/>
    <w:basedOn w:val="TableFooterChar"/>
    <w:link w:val="TableTotalRowcells"/>
    <w:rsid w:val="00714940"/>
    <w:rPr>
      <w:rFonts w:ascii="Century Gothic" w:hAnsi="Century Gothic"/>
      <w:b/>
      <w:bCs/>
      <w:color w:val="292929"/>
      <w:sz w:val="18"/>
      <w:szCs w:val="18"/>
      <w:lang w:eastAsia="en-US"/>
    </w:rPr>
  </w:style>
  <w:style w:type="paragraph" w:customStyle="1" w:styleId="Featuretext">
    <w:name w:val="Feature text"/>
    <w:basedOn w:val="BodyText"/>
    <w:link w:val="FeaturetextChar"/>
    <w:qFormat/>
    <w:rsid w:val="009A07B3"/>
    <w:rPr>
      <w:b/>
      <w:i/>
      <w:color w:val="C8102E"/>
      <w:sz w:val="28"/>
      <w:szCs w:val="28"/>
    </w:rPr>
  </w:style>
  <w:style w:type="paragraph" w:customStyle="1" w:styleId="SectionIntroStatement">
    <w:name w:val="Section Intro Statement"/>
    <w:basedOn w:val="BodyText"/>
    <w:link w:val="SectionIntroStatementChar"/>
    <w:qFormat/>
    <w:rsid w:val="00AB5CBB"/>
    <w:rPr>
      <w:sz w:val="28"/>
      <w:szCs w:val="28"/>
    </w:rPr>
  </w:style>
  <w:style w:type="character" w:customStyle="1" w:styleId="FeaturetextChar">
    <w:name w:val="Feature text Char"/>
    <w:basedOn w:val="BodyTextChar"/>
    <w:link w:val="Featuretext"/>
    <w:rsid w:val="009A07B3"/>
    <w:rPr>
      <w:rFonts w:ascii="Century Gothic" w:hAnsi="Century Gothic"/>
      <w:b/>
      <w:i/>
      <w:color w:val="C8102E"/>
      <w:sz w:val="28"/>
      <w:szCs w:val="28"/>
      <w:lang w:eastAsia="en-US"/>
    </w:rPr>
  </w:style>
  <w:style w:type="paragraph" w:customStyle="1" w:styleId="NumberList1">
    <w:name w:val="Number List 1"/>
    <w:basedOn w:val="BodyTestIndent2"/>
    <w:link w:val="NumberList1Char"/>
    <w:qFormat/>
    <w:rsid w:val="00F43D39"/>
    <w:pPr>
      <w:numPr>
        <w:numId w:val="26"/>
      </w:numPr>
      <w:ind w:left="567" w:hanging="567"/>
    </w:pPr>
  </w:style>
  <w:style w:type="character" w:customStyle="1" w:styleId="SectionIntroStatementChar">
    <w:name w:val="Section Intro Statement Char"/>
    <w:basedOn w:val="BodyTextChar"/>
    <w:link w:val="SectionIntroStatement"/>
    <w:rsid w:val="00AB5CBB"/>
    <w:rPr>
      <w:rFonts w:ascii="Century Gothic" w:hAnsi="Century Gothic"/>
      <w:color w:val="25282A"/>
      <w:sz w:val="28"/>
      <w:szCs w:val="28"/>
      <w:lang w:eastAsia="en-US"/>
    </w:rPr>
  </w:style>
  <w:style w:type="paragraph" w:customStyle="1" w:styleId="NumberList2">
    <w:name w:val="Number List 2"/>
    <w:basedOn w:val="NumberList1"/>
    <w:link w:val="NumberList2Char"/>
    <w:qFormat/>
    <w:rsid w:val="00F43D39"/>
    <w:pPr>
      <w:numPr>
        <w:numId w:val="27"/>
      </w:numPr>
      <w:ind w:left="1134" w:hanging="567"/>
    </w:pPr>
  </w:style>
  <w:style w:type="character" w:customStyle="1" w:styleId="NumberList1Char">
    <w:name w:val="Number List 1 Char"/>
    <w:basedOn w:val="BodyTestIndent2Char"/>
    <w:link w:val="NumberList1"/>
    <w:rsid w:val="00F43D39"/>
    <w:rPr>
      <w:rFonts w:ascii="Century Gothic" w:hAnsi="Century Gothic"/>
      <w:color w:val="25282A"/>
      <w:sz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qFormat/>
    <w:rsid w:val="00F238F1"/>
    <w:rPr>
      <w:vertAlign w:val="superscript"/>
    </w:rPr>
  </w:style>
  <w:style w:type="character" w:customStyle="1" w:styleId="NumberList2Char">
    <w:name w:val="Number List 2 Char"/>
    <w:basedOn w:val="NumberList1Char"/>
    <w:link w:val="NumberList2"/>
    <w:rsid w:val="00F43D39"/>
    <w:rPr>
      <w:rFonts w:ascii="Century Gothic" w:hAnsi="Century Gothic"/>
      <w:color w:val="25282A"/>
      <w:sz w:val="22"/>
      <w:lang w:eastAsia="en-US"/>
    </w:rPr>
  </w:style>
  <w:style w:type="character" w:customStyle="1" w:styleId="FooterChar">
    <w:name w:val="Footer Char"/>
    <w:basedOn w:val="DefaultParagraphFont"/>
    <w:link w:val="Footer"/>
    <w:uiPriority w:val="99"/>
    <w:rsid w:val="00255794"/>
    <w:rPr>
      <w:rFonts w:ascii="Century Gothic" w:hAnsi="Century Gothic"/>
      <w:color w:val="25282A"/>
      <w:sz w:val="18"/>
      <w:lang w:eastAsia="en-US"/>
    </w:rPr>
  </w:style>
  <w:style w:type="paragraph" w:customStyle="1" w:styleId="BasicParagraph">
    <w:name w:val="[Basic Paragraph]"/>
    <w:basedOn w:val="Normal"/>
    <w:uiPriority w:val="99"/>
    <w:rsid w:val="002B07E9"/>
    <w:pPr>
      <w:widowControl w:val="0"/>
      <w:autoSpaceDE w:val="0"/>
      <w:autoSpaceDN w:val="0"/>
      <w:adjustRightInd w:val="0"/>
      <w:spacing w:line="288" w:lineRule="auto"/>
      <w:textAlignment w:val="center"/>
    </w:pPr>
    <w:rPr>
      <w:rFonts w:ascii="MinionPro-Regular" w:eastAsiaTheme="minorEastAsia" w:hAnsi="MinionPro-Regular" w:cs="MinionPro-Regular"/>
      <w:bCs/>
      <w:color w:val="000000"/>
      <w:sz w:val="20"/>
      <w:lang w:val="en-GB"/>
    </w:rPr>
  </w:style>
  <w:style w:type="paragraph" w:styleId="Title">
    <w:name w:val="Title"/>
    <w:aliases w:val="APA Title"/>
    <w:basedOn w:val="BasicParagraph"/>
    <w:next w:val="Normal"/>
    <w:link w:val="TitleChar"/>
    <w:uiPriority w:val="10"/>
    <w:qFormat/>
    <w:rsid w:val="002B07E9"/>
    <w:pPr>
      <w:spacing w:line="240" w:lineRule="auto"/>
    </w:pPr>
    <w:rPr>
      <w:rFonts w:ascii="CenturyGothic-Bold" w:hAnsi="CenturyGothic-Bold" w:cs="CenturyGothic-Bold"/>
      <w:b/>
      <w:bCs w:val="0"/>
      <w:color w:val="25282A"/>
      <w:sz w:val="80"/>
      <w:szCs w:val="80"/>
    </w:rPr>
  </w:style>
  <w:style w:type="character" w:customStyle="1" w:styleId="TitleChar">
    <w:name w:val="Title Char"/>
    <w:aliases w:val="APA Title Char"/>
    <w:basedOn w:val="DefaultParagraphFont"/>
    <w:link w:val="Title"/>
    <w:uiPriority w:val="10"/>
    <w:rsid w:val="002B07E9"/>
    <w:rPr>
      <w:rFonts w:ascii="CenturyGothic-Bold" w:eastAsiaTheme="minorEastAsia" w:hAnsi="CenturyGothic-Bold" w:cs="CenturyGothic-Bold"/>
      <w:b/>
      <w:color w:val="25282A"/>
      <w:sz w:val="80"/>
      <w:szCs w:val="80"/>
      <w:lang w:val="en-GB" w:eastAsia="en-US"/>
    </w:rPr>
  </w:style>
  <w:style w:type="paragraph" w:styleId="Subtitle">
    <w:name w:val="Subtitle"/>
    <w:aliases w:val="APA Subtitle"/>
    <w:basedOn w:val="BasicParagraph"/>
    <w:next w:val="Normal"/>
    <w:link w:val="SubtitleChar"/>
    <w:uiPriority w:val="11"/>
    <w:qFormat/>
    <w:rsid w:val="009A07B3"/>
    <w:pPr>
      <w:spacing w:line="240" w:lineRule="auto"/>
    </w:pPr>
    <w:rPr>
      <w:rFonts w:ascii="CenturyGothic-Bold" w:hAnsi="CenturyGothic-Bold" w:cs="CenturyGothic-Bold"/>
      <w:b/>
      <w:bCs w:val="0"/>
      <w:color w:val="C8102E"/>
      <w:sz w:val="64"/>
      <w:szCs w:val="64"/>
    </w:rPr>
  </w:style>
  <w:style w:type="character" w:customStyle="1" w:styleId="SubtitleChar">
    <w:name w:val="Subtitle Char"/>
    <w:aliases w:val="APA Subtitle Char"/>
    <w:basedOn w:val="DefaultParagraphFont"/>
    <w:link w:val="Subtitle"/>
    <w:uiPriority w:val="11"/>
    <w:rsid w:val="009A07B3"/>
    <w:rPr>
      <w:rFonts w:ascii="CenturyGothic-Bold" w:eastAsiaTheme="minorEastAsia" w:hAnsi="CenturyGothic-Bold" w:cs="CenturyGothic-Bold"/>
      <w:b/>
      <w:color w:val="C8102E"/>
      <w:sz w:val="64"/>
      <w:szCs w:val="64"/>
      <w:lang w:val="en-GB" w:eastAsia="en-US"/>
    </w:rPr>
  </w:style>
  <w:style w:type="character" w:styleId="BookTitle">
    <w:name w:val="Book Title"/>
    <w:aliases w:val="APA Cover Date|Presented by"/>
    <w:uiPriority w:val="33"/>
    <w:qFormat/>
    <w:rsid w:val="00AB2E24"/>
    <w:rPr>
      <w:rFonts w:ascii="CenturyGothic" w:hAnsi="CenturyGothic" w:cs="CenturyGothic"/>
      <w:color w:val="25282A"/>
    </w:rPr>
  </w:style>
  <w:style w:type="paragraph" w:styleId="BalloonText">
    <w:name w:val="Balloon Text"/>
    <w:basedOn w:val="Normal"/>
    <w:link w:val="BalloonTextChar"/>
    <w:rsid w:val="006A1D4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A1D43"/>
    <w:rPr>
      <w:rFonts w:ascii="Tahoma" w:hAnsi="Tahoma" w:cs="Tahoma"/>
      <w:color w:val="25282A"/>
      <w:sz w:val="16"/>
      <w:szCs w:val="16"/>
      <w:lang w:eastAsia="en-US"/>
    </w:rPr>
  </w:style>
  <w:style w:type="paragraph" w:customStyle="1" w:styleId="header-title">
    <w:name w:val="header-title"/>
    <w:basedOn w:val="BasicParagraph"/>
    <w:qFormat/>
    <w:rsid w:val="009A07B3"/>
    <w:pPr>
      <w:spacing w:before="0"/>
    </w:pPr>
    <w:rPr>
      <w:rFonts w:ascii="Century Gothic" w:hAnsi="Century Gothic"/>
      <w:b/>
      <w:color w:val="25282A" w:themeColor="text1"/>
    </w:rPr>
  </w:style>
  <w:style w:type="character" w:customStyle="1" w:styleId="red">
    <w:name w:val="red"/>
    <w:basedOn w:val="DefaultParagraphFont"/>
    <w:uiPriority w:val="1"/>
    <w:qFormat/>
    <w:rsid w:val="00A528DA"/>
    <w:rPr>
      <w:color w:val="C8102E" w:themeColor="accent1"/>
    </w:rPr>
  </w:style>
  <w:style w:type="paragraph" w:customStyle="1" w:styleId="BodyTextIndent1">
    <w:name w:val="Body Text Indent 1"/>
    <w:basedOn w:val="BodyText"/>
    <w:qFormat/>
    <w:rsid w:val="00D43EBE"/>
    <w:pPr>
      <w:ind w:left="567" w:hanging="567"/>
    </w:pPr>
    <w:rPr>
      <w:szCs w:val="22"/>
    </w:rPr>
  </w:style>
  <w:style w:type="paragraph" w:customStyle="1" w:styleId="Default">
    <w:name w:val="Default"/>
    <w:rsid w:val="000877F8"/>
    <w:pPr>
      <w:autoSpaceDE w:val="0"/>
      <w:autoSpaceDN w:val="0"/>
      <w:adjustRightInd w:val="0"/>
    </w:pPr>
    <w:rPr>
      <w:rFonts w:ascii="Arial" w:hAnsi="Arial" w:cs="Arial"/>
      <w:color w:val="000000"/>
      <w:sz w:val="24"/>
      <w:szCs w:val="24"/>
    </w:rPr>
  </w:style>
  <w:style w:type="paragraph" w:customStyle="1" w:styleId="BodyTextIndent31">
    <w:name w:val="Body Text Indent 31"/>
    <w:basedOn w:val="Normal"/>
    <w:link w:val="BodytextIndent3Char"/>
    <w:qFormat/>
    <w:rsid w:val="00F8737D"/>
    <w:pPr>
      <w:ind w:left="1701" w:hanging="567"/>
    </w:pPr>
  </w:style>
  <w:style w:type="character" w:customStyle="1" w:styleId="BodytextIndent3Char">
    <w:name w:val="Body text Indent 3 Char"/>
    <w:basedOn w:val="DefaultParagraphFont"/>
    <w:link w:val="BodyTextIndent31"/>
    <w:rsid w:val="00F8737D"/>
    <w:rPr>
      <w:rFonts w:ascii="Century Gothic" w:hAnsi="Century Gothic"/>
      <w:color w:val="25282A"/>
      <w:sz w:val="22"/>
      <w:lang w:eastAsia="en-US"/>
    </w:rPr>
  </w:style>
  <w:style w:type="paragraph" w:customStyle="1" w:styleId="AASUBparagraph">
    <w:name w:val="AASUB paragraph"/>
    <w:basedOn w:val="Normal"/>
    <w:link w:val="AASUBparagraphChar"/>
    <w:qFormat/>
    <w:rsid w:val="00DF340E"/>
    <w:pPr>
      <w:spacing w:before="0" w:after="240" w:line="264" w:lineRule="auto"/>
      <w:ind w:left="851"/>
    </w:pPr>
    <w:rPr>
      <w:rFonts w:ascii="Arial" w:eastAsiaTheme="minorHAnsi" w:hAnsi="Arial" w:cs="Arial"/>
      <w:color w:val="auto"/>
      <w:sz w:val="20"/>
      <w:szCs w:val="22"/>
    </w:rPr>
  </w:style>
  <w:style w:type="character" w:customStyle="1" w:styleId="AASUBparagraphChar">
    <w:name w:val="AASUB paragraph Char"/>
    <w:basedOn w:val="DefaultParagraphFont"/>
    <w:link w:val="AASUBparagraph"/>
    <w:rsid w:val="00DF340E"/>
    <w:rPr>
      <w:rFonts w:ascii="Arial" w:eastAsiaTheme="minorHAnsi" w:hAnsi="Arial" w:cs="Arial"/>
      <w:szCs w:val="22"/>
      <w:lang w:eastAsia="en-US"/>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4E4AD8"/>
    <w:rPr>
      <w:rFonts w:ascii="Century Gothic" w:hAnsi="Century Gothic"/>
      <w:color w:val="25282A"/>
      <w:sz w:val="18"/>
      <w:lang w:eastAsia="en-US"/>
    </w:rPr>
  </w:style>
  <w:style w:type="paragraph" w:styleId="Revision">
    <w:name w:val="Revision"/>
    <w:hidden/>
    <w:uiPriority w:val="99"/>
    <w:semiHidden/>
    <w:rsid w:val="00E757D6"/>
    <w:rPr>
      <w:rFonts w:ascii="Century Gothic" w:hAnsi="Century Gothic"/>
      <w:color w:val="25282A"/>
      <w:sz w:val="22"/>
      <w:lang w:eastAsia="en-US"/>
    </w:rPr>
  </w:style>
  <w:style w:type="paragraph" w:customStyle="1" w:styleId="AABody">
    <w:name w:val="AA Body"/>
    <w:basedOn w:val="BodyText"/>
    <w:link w:val="AABodyChar"/>
    <w:rsid w:val="00BA0254"/>
    <w:pPr>
      <w:spacing w:before="0" w:after="240" w:line="260" w:lineRule="atLeast"/>
      <w:jc w:val="left"/>
    </w:pPr>
    <w:rPr>
      <w:rFonts w:ascii="Arial" w:hAnsi="Arial"/>
      <w:color w:val="auto"/>
      <w:lang w:val="x-none"/>
    </w:rPr>
  </w:style>
  <w:style w:type="character" w:customStyle="1" w:styleId="AABodyChar">
    <w:name w:val="AA Body Char"/>
    <w:link w:val="AABody"/>
    <w:rsid w:val="00BA0254"/>
    <w:rPr>
      <w:rFonts w:ascii="Arial" w:hAnsi="Arial"/>
      <w:sz w:val="22"/>
      <w:lang w:val="x-none" w:eastAsia="en-US"/>
    </w:rPr>
  </w:style>
  <w:style w:type="paragraph" w:customStyle="1" w:styleId="AppendixHeading">
    <w:name w:val="Appendix Heading"/>
    <w:basedOn w:val="Heading1"/>
    <w:next w:val="BodyText"/>
    <w:rsid w:val="00353126"/>
    <w:pPr>
      <w:numPr>
        <w:numId w:val="0"/>
      </w:numPr>
      <w:tabs>
        <w:tab w:val="left" w:pos="0"/>
        <w:tab w:val="num" w:pos="964"/>
      </w:tabs>
      <w:ind w:left="964" w:hanging="964"/>
      <w:outlineLvl w:val="9"/>
    </w:pPr>
  </w:style>
  <w:style w:type="character" w:styleId="CommentReference">
    <w:name w:val="annotation reference"/>
    <w:basedOn w:val="DefaultParagraphFont"/>
    <w:rsid w:val="00353126"/>
    <w:rPr>
      <w:sz w:val="16"/>
      <w:szCs w:val="16"/>
    </w:rPr>
  </w:style>
  <w:style w:type="paragraph" w:styleId="CommentText">
    <w:name w:val="annotation text"/>
    <w:basedOn w:val="Normal"/>
    <w:link w:val="CommentTextChar"/>
    <w:rsid w:val="00353126"/>
    <w:pPr>
      <w:spacing w:line="240" w:lineRule="auto"/>
    </w:pPr>
    <w:rPr>
      <w:sz w:val="20"/>
    </w:rPr>
  </w:style>
  <w:style w:type="character" w:customStyle="1" w:styleId="CommentTextChar">
    <w:name w:val="Comment Text Char"/>
    <w:basedOn w:val="DefaultParagraphFont"/>
    <w:link w:val="CommentText"/>
    <w:rsid w:val="00353126"/>
    <w:rPr>
      <w:rFonts w:ascii="Century Gothic" w:hAnsi="Century Gothic"/>
      <w:color w:val="25282A"/>
      <w:lang w:eastAsia="en-US"/>
    </w:rPr>
  </w:style>
  <w:style w:type="paragraph" w:customStyle="1" w:styleId="TableBody">
    <w:name w:val="Table Body"/>
    <w:basedOn w:val="BodyText"/>
    <w:link w:val="TableBodyChar"/>
    <w:rsid w:val="000218F6"/>
    <w:rPr>
      <w:sz w:val="18"/>
      <w:szCs w:val="18"/>
    </w:rPr>
  </w:style>
  <w:style w:type="character" w:customStyle="1" w:styleId="TableBodyChar">
    <w:name w:val="Table Body Char"/>
    <w:basedOn w:val="BodyTextChar"/>
    <w:link w:val="TableBody"/>
    <w:rsid w:val="000218F6"/>
    <w:rPr>
      <w:rFonts w:ascii="Century Gothic" w:hAnsi="Century Gothic"/>
      <w:color w:val="25282A"/>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footer" w:uiPriority="99"/>
    <w:lsdException w:name="caption" w:qFormat="1"/>
    <w:lsdException w:name="footnote reference" w:qFormat="1"/>
    <w:lsdException w:name="List Bullet" w:qFormat="1"/>
    <w:lsdException w:name="List Bullet 2" w:qFormat="1"/>
    <w:lsdException w:name="Title" w:uiPriority="10" w:qFormat="1"/>
    <w:lsdException w:name="Body Text" w:qFormat="1"/>
    <w:lsdException w:name="Subtitle" w:uiPriority="11" w:qFormat="1"/>
    <w:lsdException w:name="Body Text Indent 2"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1EF"/>
    <w:pPr>
      <w:spacing w:before="160" w:line="276" w:lineRule="auto"/>
    </w:pPr>
    <w:rPr>
      <w:rFonts w:ascii="Century Gothic" w:hAnsi="Century Gothic"/>
      <w:color w:val="25282A"/>
      <w:sz w:val="22"/>
      <w:lang w:eastAsia="en-US"/>
    </w:rPr>
  </w:style>
  <w:style w:type="paragraph" w:styleId="Heading1">
    <w:name w:val="heading 1"/>
    <w:basedOn w:val="Heading2"/>
    <w:next w:val="BodyText"/>
    <w:qFormat/>
    <w:rsid w:val="009A07B3"/>
    <w:pPr>
      <w:pageBreakBefore/>
      <w:numPr>
        <w:ilvl w:val="0"/>
      </w:numPr>
      <w:spacing w:before="160" w:after="0" w:line="276" w:lineRule="auto"/>
      <w:ind w:hanging="1134"/>
      <w:outlineLvl w:val="0"/>
    </w:pPr>
    <w:rPr>
      <w:sz w:val="32"/>
    </w:rPr>
  </w:style>
  <w:style w:type="paragraph" w:styleId="Heading2">
    <w:name w:val="heading 2"/>
    <w:basedOn w:val="BodyText"/>
    <w:next w:val="BodyText"/>
    <w:qFormat/>
    <w:rsid w:val="009A07B3"/>
    <w:pPr>
      <w:keepNext/>
      <w:numPr>
        <w:ilvl w:val="1"/>
        <w:numId w:val="4"/>
      </w:numPr>
      <w:spacing w:before="240" w:after="120" w:line="240" w:lineRule="auto"/>
      <w:jc w:val="left"/>
      <w:outlineLvl w:val="1"/>
    </w:pPr>
    <w:rPr>
      <w:rFonts w:ascii="Arial Bold" w:hAnsi="Arial Bold"/>
      <w:b/>
      <w:color w:val="C8102E"/>
    </w:rPr>
  </w:style>
  <w:style w:type="paragraph" w:styleId="Heading3">
    <w:name w:val="heading 3"/>
    <w:basedOn w:val="Heading4"/>
    <w:next w:val="BodyText"/>
    <w:qFormat/>
    <w:rsid w:val="00002E3B"/>
    <w:pPr>
      <w:numPr>
        <w:ilvl w:val="2"/>
      </w:numPr>
      <w:ind w:hanging="1134"/>
      <w:outlineLvl w:val="2"/>
    </w:pPr>
    <w:rPr>
      <w:b/>
      <w:color w:val="25282A"/>
    </w:rPr>
  </w:style>
  <w:style w:type="paragraph" w:styleId="Heading4">
    <w:name w:val="heading 4"/>
    <w:basedOn w:val="Heading5"/>
    <w:next w:val="BodyText"/>
    <w:qFormat/>
    <w:rsid w:val="00817F05"/>
    <w:pPr>
      <w:numPr>
        <w:ilvl w:val="3"/>
        <w:numId w:val="4"/>
      </w:numPr>
      <w:tabs>
        <w:tab w:val="clear" w:pos="20"/>
      </w:tabs>
      <w:ind w:hanging="1134"/>
      <w:outlineLvl w:val="3"/>
    </w:pPr>
    <w:rPr>
      <w:i/>
    </w:rPr>
  </w:style>
  <w:style w:type="paragraph" w:styleId="Heading5">
    <w:name w:val="heading 5"/>
    <w:basedOn w:val="BodyText"/>
    <w:next w:val="BodyText"/>
    <w:qFormat/>
    <w:rsid w:val="00F43D39"/>
    <w:pPr>
      <w:keepNext/>
      <w:spacing w:before="240" w:after="120" w:line="240" w:lineRule="auto"/>
      <w:jc w:val="left"/>
      <w:outlineLvl w:val="4"/>
    </w:pPr>
    <w:rPr>
      <w:color w:val="333333"/>
    </w:r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copy"/>
    <w:basedOn w:val="Normal"/>
    <w:link w:val="BodyTextChar"/>
    <w:qFormat/>
    <w:rsid w:val="00DF340E"/>
    <w:pPr>
      <w:jc w:val="both"/>
    </w:pPr>
  </w:style>
  <w:style w:type="paragraph" w:styleId="TOC4">
    <w:name w:val="toc 4"/>
    <w:basedOn w:val="TOC3"/>
    <w:semiHidden/>
  </w:style>
  <w:style w:type="paragraph" w:styleId="TOC3">
    <w:name w:val="toc 3"/>
    <w:basedOn w:val="TOC2"/>
    <w:uiPriority w:val="39"/>
    <w:pPr>
      <w:tabs>
        <w:tab w:val="left" w:pos="1418"/>
      </w:tabs>
      <w:ind w:left="1418" w:hanging="1418"/>
    </w:pPr>
  </w:style>
  <w:style w:type="paragraph" w:styleId="TOC2">
    <w:name w:val="toc 2"/>
    <w:basedOn w:val="TOC1"/>
    <w:uiPriority w:val="39"/>
    <w:rsid w:val="0028126A"/>
    <w:pPr>
      <w:spacing w:before="0"/>
    </w:pPr>
    <w:rPr>
      <w:b w:val="0"/>
      <w:sz w:val="24"/>
    </w:rPr>
  </w:style>
  <w:style w:type="paragraph" w:styleId="TOC1">
    <w:name w:val="toc 1"/>
    <w:basedOn w:val="Normal"/>
    <w:uiPriority w:val="39"/>
    <w:rsid w:val="00123EB5"/>
    <w:pPr>
      <w:tabs>
        <w:tab w:val="right" w:pos="8221"/>
      </w:tabs>
      <w:ind w:left="851" w:right="567" w:hanging="851"/>
    </w:pPr>
    <w:rPr>
      <w:b/>
      <w:noProof/>
      <w:sz w:val="28"/>
    </w:rPr>
  </w:style>
  <w:style w:type="paragraph" w:styleId="Footer">
    <w:name w:val="footer"/>
    <w:basedOn w:val="Normal"/>
    <w:link w:val="FooterChar"/>
    <w:uiPriority w:val="99"/>
    <w:pPr>
      <w:tabs>
        <w:tab w:val="right" w:pos="8222"/>
      </w:tabs>
    </w:pPr>
    <w:rPr>
      <w:sz w:val="18"/>
    </w:rPr>
  </w:style>
  <w:style w:type="paragraph" w:styleId="Header">
    <w:name w:val="header"/>
    <w:basedOn w:val="Normal"/>
    <w:pPr>
      <w:spacing w:line="220" w:lineRule="atLeast"/>
      <w:jc w:val="right"/>
    </w:pPr>
    <w:rPr>
      <w:i/>
      <w:sz w:val="18"/>
    </w:rPr>
  </w:style>
  <w:style w:type="paragraph" w:styleId="ListBullet">
    <w:name w:val="List Bullet"/>
    <w:basedOn w:val="BodyText"/>
    <w:qFormat/>
    <w:rsid w:val="00216570"/>
    <w:pPr>
      <w:numPr>
        <w:numId w:val="12"/>
      </w:numPr>
    </w:pPr>
  </w:style>
  <w:style w:type="paragraph" w:styleId="ListBullet2">
    <w:name w:val="List Bullet 2"/>
    <w:basedOn w:val="ListBullet"/>
    <w:qFormat/>
    <w:rsid w:val="00216570"/>
    <w:pPr>
      <w:numPr>
        <w:numId w:val="13"/>
      </w:numPr>
      <w:ind w:left="1134" w:hanging="567"/>
    </w:pPr>
  </w:style>
  <w:style w:type="paragraph" w:customStyle="1" w:styleId="zreportname">
    <w:name w:val="zreport name"/>
    <w:basedOn w:val="Normal"/>
    <w:pPr>
      <w:keepLines/>
      <w:framePr w:w="4536" w:wrap="around" w:vAnchor="page" w:hAnchor="page" w:xAlign="center" w:y="3993"/>
      <w:spacing w:line="440" w:lineRule="exact"/>
      <w:jc w:val="center"/>
    </w:pPr>
    <w:rPr>
      <w:noProof/>
      <w:sz w:val="36"/>
    </w:rPr>
  </w:style>
  <w:style w:type="paragraph" w:customStyle="1" w:styleId="zcontents">
    <w:name w:val="zcontents"/>
    <w:basedOn w:val="Normal"/>
    <w:pPr>
      <w:spacing w:after="260" w:line="240" w:lineRule="auto"/>
    </w:pPr>
    <w:rPr>
      <w:sz w:val="3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qFormat/>
    <w:rPr>
      <w:sz w:val="18"/>
    </w:rPr>
  </w:style>
  <w:style w:type="paragraph" w:customStyle="1" w:styleId="zreportsubtitle">
    <w:name w:val="zreport subtitle"/>
    <w:basedOn w:val="zreportname"/>
    <w:pPr>
      <w:framePr w:wrap="around"/>
      <w:spacing w:line="360" w:lineRule="exact"/>
    </w:pPr>
    <w:rPr>
      <w:sz w:val="32"/>
    </w:rPr>
  </w:style>
  <w:style w:type="paragraph" w:styleId="BodyTextIndent">
    <w:name w:val="Body Text Indent"/>
    <w:basedOn w:val="BodyText"/>
    <w:link w:val="BodyTextIndentChar"/>
    <w:rsid w:val="000A4D62"/>
    <w:pPr>
      <w:ind w:left="567"/>
    </w:pPr>
  </w:style>
  <w:style w:type="paragraph" w:styleId="Index1">
    <w:name w:val="index 1"/>
    <w:basedOn w:val="Normal"/>
    <w:next w:val="Normal"/>
    <w:semiHidden/>
    <w:pPr>
      <w:keepNext/>
      <w:tabs>
        <w:tab w:val="right" w:pos="3750"/>
      </w:tabs>
      <w:spacing w:before="360" w:line="320" w:lineRule="exact"/>
      <w:ind w:right="851"/>
    </w:pPr>
    <w:rPr>
      <w:b/>
      <w:sz w:val="28"/>
    </w:rPr>
  </w:style>
  <w:style w:type="paragraph" w:customStyle="1" w:styleId="Graphic">
    <w:name w:val="Graphic"/>
    <w:basedOn w:val="Signature"/>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pPr>
      <w:spacing w:line="240" w:lineRule="auto"/>
    </w:pPr>
  </w:style>
  <w:style w:type="character" w:styleId="PageNumber">
    <w:name w:val="page number"/>
    <w:rsid w:val="00A105C2"/>
    <w:rPr>
      <w:rFonts w:ascii="Arial" w:hAnsi="Arial"/>
      <w:sz w:val="22"/>
    </w:rPr>
  </w:style>
  <w:style w:type="paragraph" w:styleId="Index2">
    <w:name w:val="index 2"/>
    <w:basedOn w:val="Normal"/>
    <w:next w:val="Normal"/>
    <w:semiHidden/>
    <w:pPr>
      <w:tabs>
        <w:tab w:val="right" w:pos="3750"/>
      </w:tabs>
      <w:ind w:left="340" w:right="851"/>
    </w:pPr>
  </w:style>
  <w:style w:type="paragraph" w:customStyle="1" w:styleId="zreportaddinfo">
    <w:name w:val="zreport addinfo"/>
    <w:basedOn w:val="Normal"/>
    <w:pPr>
      <w:framePr w:wrap="around" w:hAnchor="page" w:xAlign="center" w:yAlign="bottom"/>
      <w:jc w:val="center"/>
    </w:pPr>
    <w:rPr>
      <w:noProof/>
      <w:sz w:val="20"/>
    </w:rPr>
  </w:style>
  <w:style w:type="paragraph" w:customStyle="1" w:styleId="zreportaddinfoit">
    <w:name w:val="zreport addinfoit"/>
    <w:basedOn w:val="Normal"/>
    <w:pPr>
      <w:framePr w:wrap="around" w:hAnchor="page" w:xAlign="center" w:yAlign="bottom"/>
      <w:jc w:val="center"/>
    </w:pPr>
    <w:rPr>
      <w:i/>
      <w:sz w:val="20"/>
    </w:rPr>
  </w:style>
  <w:style w:type="paragraph" w:customStyle="1" w:styleId="AppendixHeading1">
    <w:name w:val="Appendix Heading 1"/>
    <w:basedOn w:val="Heading1"/>
    <w:next w:val="BodyText"/>
    <w:rsid w:val="000F37AA"/>
    <w:pPr>
      <w:numPr>
        <w:numId w:val="5"/>
      </w:numPr>
      <w:tabs>
        <w:tab w:val="clear" w:pos="964"/>
        <w:tab w:val="left" w:pos="0"/>
      </w:tabs>
      <w:ind w:left="0"/>
      <w:outlineLvl w:val="9"/>
    </w:pPr>
  </w:style>
  <w:style w:type="paragraph" w:customStyle="1" w:styleId="TableFooter">
    <w:name w:val="Table Footer"/>
    <w:basedOn w:val="BodyText"/>
    <w:link w:val="TableFooterChar"/>
    <w:rsid w:val="005D5E56"/>
    <w:rPr>
      <w:rFonts w:ascii="Arial Narrow" w:hAnsi="Arial Narrow"/>
      <w:b/>
      <w:bCs/>
      <w:color w:val="292929"/>
    </w:rPr>
  </w:style>
  <w:style w:type="paragraph" w:customStyle="1" w:styleId="AppendixHeading2">
    <w:name w:val="Appendix Heading 2"/>
    <w:basedOn w:val="Heading2"/>
    <w:next w:val="BodyText"/>
    <w:rsid w:val="000F37AA"/>
    <w:pPr>
      <w:numPr>
        <w:numId w:val="5"/>
      </w:numPr>
      <w:tabs>
        <w:tab w:val="clear" w:pos="964"/>
        <w:tab w:val="left" w:pos="0"/>
      </w:tabs>
      <w:ind w:left="0"/>
      <w:outlineLvl w:val="9"/>
    </w:pPr>
  </w:style>
  <w:style w:type="paragraph" w:customStyle="1" w:styleId="AppendixHeading3">
    <w:name w:val="Appendix Heading 3"/>
    <w:basedOn w:val="Heading3"/>
    <w:next w:val="BodyText"/>
    <w:rsid w:val="000F37AA"/>
    <w:pPr>
      <w:numPr>
        <w:numId w:val="5"/>
      </w:numPr>
      <w:tabs>
        <w:tab w:val="clear" w:pos="964"/>
        <w:tab w:val="left" w:pos="0"/>
      </w:tabs>
      <w:ind w:left="0"/>
      <w:outlineLvl w:val="9"/>
    </w:pPr>
  </w:style>
  <w:style w:type="paragraph" w:customStyle="1" w:styleId="AppendixHeading4">
    <w:name w:val="Appendix Heading 4"/>
    <w:basedOn w:val="Heading4"/>
    <w:next w:val="BodyText"/>
    <w:rsid w:val="000F37AA"/>
    <w:pPr>
      <w:numPr>
        <w:numId w:val="5"/>
      </w:numPr>
      <w:tabs>
        <w:tab w:val="clear" w:pos="964"/>
        <w:tab w:val="left" w:pos="0"/>
      </w:tabs>
      <w:ind w:left="0"/>
      <w:outlineLvl w:val="9"/>
    </w:pPr>
  </w:style>
  <w:style w:type="paragraph" w:customStyle="1" w:styleId="AppendixHeading5">
    <w:name w:val="Appendix Heading 5"/>
    <w:basedOn w:val="Heading5"/>
    <w:next w:val="BodyText"/>
    <w:rsid w:val="000F37AA"/>
    <w:pPr>
      <w:outlineLvl w:val="9"/>
    </w:pPr>
  </w:style>
  <w:style w:type="paragraph" w:styleId="BodyText3">
    <w:name w:val="Body Text 3"/>
    <w:basedOn w:val="Normal"/>
    <w:pPr>
      <w:ind w:left="142" w:hanging="142"/>
    </w:pPr>
    <w:rPr>
      <w:sz w:val="18"/>
      <w:szCs w:val="16"/>
    </w:rPr>
  </w:style>
  <w:style w:type="paragraph" w:styleId="Caption">
    <w:name w:val="caption"/>
    <w:basedOn w:val="BodyText"/>
    <w:next w:val="Normal"/>
    <w:link w:val="CaptionChar"/>
    <w:qFormat/>
    <w:rsid w:val="00817F05"/>
    <w:pPr>
      <w:keepNext/>
    </w:pPr>
    <w:rPr>
      <w:bCs/>
      <w:i/>
      <w:color w:val="333333"/>
    </w:rPr>
  </w:style>
  <w:style w:type="character" w:styleId="Hyperlink">
    <w:name w:val="Hyperlink"/>
    <w:rsid w:val="007968E9"/>
    <w:rPr>
      <w:rFonts w:ascii="Arial" w:hAnsi="Arial"/>
      <w:color w:val="0000FF"/>
      <w:sz w:val="22"/>
      <w:u w:val="single"/>
    </w:rPr>
  </w:style>
  <w:style w:type="table" w:styleId="TableGrid">
    <w:name w:val="Table Grid"/>
    <w:basedOn w:val="TableNormal"/>
    <w:rsid w:val="005D0DA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aliases w:val="Table Allgas AA"/>
    <w:basedOn w:val="TableNormal"/>
    <w:rsid w:val="000F37AA"/>
    <w:pPr>
      <w:spacing w:line="260" w:lineRule="atLeast"/>
    </w:pPr>
    <w:rPr>
      <w:rFonts w:ascii="Arial Narrow" w:hAnsi="Arial Narrow"/>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Arial Narrow" w:hAnsi="Arial Narrow"/>
        <w:b/>
        <w:bCs/>
        <w:color w:val="FFFFFF"/>
        <w:sz w:val="22"/>
      </w:rPr>
      <w:tblPr/>
      <w:tcPr>
        <w:tcBorders>
          <w:top w:val="nil"/>
          <w:left w:val="nil"/>
          <w:bottom w:val="nil"/>
          <w:right w:val="nil"/>
          <w:insideH w:val="nil"/>
          <w:insideV w:val="nil"/>
          <w:tl2br w:val="nil"/>
          <w:tr2bl w:val="nil"/>
        </w:tcBorders>
        <w:shd w:val="clear" w:color="auto" w:fill="333333"/>
      </w:tcPr>
    </w:tblStylePr>
    <w:tblStylePr w:type="lastRow">
      <w:rPr>
        <w:rFonts w:ascii="Arial Narrow" w:hAnsi="Arial Narrow"/>
        <w:b/>
        <w:color w:val="333333"/>
        <w:sz w:val="22"/>
      </w:rPr>
    </w:tblStylePr>
    <w:tblStylePr w:type="lastCol">
      <w:rPr>
        <w:color w:val="auto"/>
      </w:rPr>
    </w:tblStylePr>
  </w:style>
  <w:style w:type="character" w:customStyle="1" w:styleId="CaptionChar">
    <w:name w:val="Caption Char"/>
    <w:link w:val="Caption"/>
    <w:rsid w:val="00817F05"/>
    <w:rPr>
      <w:rFonts w:ascii="Century Gothic" w:hAnsi="Century Gothic"/>
      <w:bCs/>
      <w:i/>
      <w:color w:val="333333"/>
      <w:sz w:val="22"/>
      <w:lang w:eastAsia="en-US"/>
    </w:rPr>
  </w:style>
  <w:style w:type="paragraph" w:customStyle="1" w:styleId="zcontentsBoldCustomColorRGB374042">
    <w:name w:val="zcontents + Bold Custom Color(RGB(374042))"/>
    <w:basedOn w:val="zcontents"/>
    <w:rsid w:val="0028126A"/>
    <w:rPr>
      <w:b/>
      <w:bCs/>
      <w:sz w:val="52"/>
      <w:szCs w:val="52"/>
    </w:rPr>
  </w:style>
  <w:style w:type="paragraph" w:customStyle="1" w:styleId="BodyTestIndent2">
    <w:name w:val="Body Test Indent 2"/>
    <w:basedOn w:val="BodyTextIndent"/>
    <w:link w:val="BodyTestIndent2Char"/>
    <w:rsid w:val="000A4D62"/>
    <w:pPr>
      <w:ind w:left="1134"/>
    </w:pPr>
  </w:style>
  <w:style w:type="paragraph" w:customStyle="1" w:styleId="TableColumnHeadings">
    <w:name w:val="Table Column Headings"/>
    <w:basedOn w:val="BodyText"/>
    <w:link w:val="TableColumnHeadingsChar"/>
    <w:qFormat/>
    <w:rsid w:val="00714940"/>
    <w:pPr>
      <w:spacing w:after="160" w:line="240" w:lineRule="auto"/>
      <w:jc w:val="center"/>
    </w:pPr>
    <w:rPr>
      <w:rFonts w:ascii="Arial Narrow" w:hAnsi="Arial Narrow"/>
      <w:b/>
      <w:bCs/>
      <w:color w:val="FFFFFF"/>
      <w:sz w:val="18"/>
    </w:rPr>
  </w:style>
  <w:style w:type="character" w:customStyle="1" w:styleId="BodyTextChar">
    <w:name w:val="Body Text Char"/>
    <w:aliases w:val="Body copy Char"/>
    <w:basedOn w:val="DefaultParagraphFont"/>
    <w:link w:val="BodyText"/>
    <w:rsid w:val="00DF340E"/>
    <w:rPr>
      <w:rFonts w:ascii="Century Gothic" w:hAnsi="Century Gothic"/>
      <w:color w:val="25282A"/>
      <w:sz w:val="22"/>
      <w:lang w:eastAsia="en-US"/>
    </w:rPr>
  </w:style>
  <w:style w:type="character" w:customStyle="1" w:styleId="BodyTextIndentChar">
    <w:name w:val="Body Text Indent Char"/>
    <w:basedOn w:val="BodyTextChar"/>
    <w:link w:val="BodyTextIndent"/>
    <w:rsid w:val="000A4D62"/>
    <w:rPr>
      <w:rFonts w:ascii="Century Gothic" w:hAnsi="Century Gothic"/>
      <w:color w:val="25282A"/>
      <w:sz w:val="22"/>
      <w:lang w:eastAsia="en-US"/>
    </w:rPr>
  </w:style>
  <w:style w:type="character" w:customStyle="1" w:styleId="BodyTestIndent2Char">
    <w:name w:val="Body Test Indent 2 Char"/>
    <w:basedOn w:val="BodyTextIndentChar"/>
    <w:link w:val="BodyTestIndent2"/>
    <w:rsid w:val="000A4D62"/>
    <w:rPr>
      <w:rFonts w:ascii="Century Gothic" w:hAnsi="Century Gothic"/>
      <w:color w:val="25282A"/>
      <w:sz w:val="22"/>
      <w:lang w:eastAsia="en-US"/>
    </w:rPr>
  </w:style>
  <w:style w:type="paragraph" w:styleId="BodyTextIndent2">
    <w:name w:val="Body Text Indent 2"/>
    <w:basedOn w:val="Normal"/>
    <w:link w:val="BodyTextIndent2Char"/>
    <w:qFormat/>
    <w:rsid w:val="007B7DFE"/>
    <w:pPr>
      <w:ind w:left="1134" w:hanging="567"/>
    </w:pPr>
  </w:style>
  <w:style w:type="character" w:customStyle="1" w:styleId="BodyTextIndent2Char">
    <w:name w:val="Body Text Indent 2 Char"/>
    <w:basedOn w:val="DefaultParagraphFont"/>
    <w:link w:val="BodyTextIndent2"/>
    <w:rsid w:val="007B7DFE"/>
    <w:rPr>
      <w:rFonts w:ascii="Century Gothic" w:hAnsi="Century Gothic"/>
      <w:color w:val="25282A"/>
      <w:sz w:val="22"/>
      <w:lang w:eastAsia="en-US"/>
    </w:rPr>
  </w:style>
  <w:style w:type="paragraph" w:customStyle="1" w:styleId="TableBodyCells">
    <w:name w:val="Table Body Cells"/>
    <w:basedOn w:val="BodyText"/>
    <w:link w:val="TableBodyCellsChar"/>
    <w:qFormat/>
    <w:rsid w:val="00AB5CBB"/>
    <w:pPr>
      <w:spacing w:after="160" w:line="240" w:lineRule="auto"/>
      <w:jc w:val="center"/>
    </w:pPr>
    <w:rPr>
      <w:sz w:val="18"/>
      <w:szCs w:val="18"/>
    </w:rPr>
  </w:style>
  <w:style w:type="character" w:customStyle="1" w:styleId="TableColumnHeadingsChar">
    <w:name w:val="Table Column Headings Char"/>
    <w:basedOn w:val="BodyTextChar"/>
    <w:link w:val="TableColumnHeadings"/>
    <w:rsid w:val="00714940"/>
    <w:rPr>
      <w:rFonts w:ascii="Arial Narrow" w:hAnsi="Arial Narrow"/>
      <w:b/>
      <w:bCs/>
      <w:color w:val="FFFFFF"/>
      <w:sz w:val="18"/>
      <w:lang w:eastAsia="en-US"/>
    </w:rPr>
  </w:style>
  <w:style w:type="paragraph" w:customStyle="1" w:styleId="TableTotalRowcells">
    <w:name w:val="Table Total Row cells"/>
    <w:basedOn w:val="TableFooter"/>
    <w:link w:val="TableTotalRowcellsChar"/>
    <w:qFormat/>
    <w:rsid w:val="00714940"/>
    <w:pPr>
      <w:spacing w:after="160" w:line="240" w:lineRule="auto"/>
      <w:jc w:val="center"/>
    </w:pPr>
    <w:rPr>
      <w:rFonts w:ascii="Century Gothic" w:hAnsi="Century Gothic"/>
      <w:sz w:val="18"/>
      <w:szCs w:val="18"/>
    </w:rPr>
  </w:style>
  <w:style w:type="character" w:customStyle="1" w:styleId="TableBodyCellsChar">
    <w:name w:val="Table Body Cells Char"/>
    <w:basedOn w:val="BodyTextChar"/>
    <w:link w:val="TableBodyCells"/>
    <w:rsid w:val="00AB5CBB"/>
    <w:rPr>
      <w:rFonts w:ascii="Century Gothic" w:hAnsi="Century Gothic"/>
      <w:color w:val="25282A"/>
      <w:sz w:val="18"/>
      <w:szCs w:val="18"/>
      <w:lang w:eastAsia="en-US"/>
    </w:rPr>
  </w:style>
  <w:style w:type="paragraph" w:customStyle="1" w:styleId="Tablecellsfirstcolumn">
    <w:name w:val="Table cells first column"/>
    <w:basedOn w:val="TableTotalRowcells"/>
    <w:rsid w:val="00AB5CBB"/>
    <w:pPr>
      <w:jc w:val="left"/>
    </w:pPr>
    <w:rPr>
      <w:szCs w:val="20"/>
    </w:rPr>
  </w:style>
  <w:style w:type="character" w:customStyle="1" w:styleId="TableFooterChar">
    <w:name w:val="Table Footer Char"/>
    <w:basedOn w:val="BodyTextChar"/>
    <w:link w:val="TableFooter"/>
    <w:rsid w:val="00714940"/>
    <w:rPr>
      <w:rFonts w:ascii="Arial Narrow" w:hAnsi="Arial Narrow"/>
      <w:b/>
      <w:bCs/>
      <w:color w:val="292929"/>
      <w:sz w:val="22"/>
      <w:lang w:eastAsia="en-US"/>
    </w:rPr>
  </w:style>
  <w:style w:type="character" w:customStyle="1" w:styleId="TableTotalRowcellsChar">
    <w:name w:val="Table Total Row cells Char"/>
    <w:basedOn w:val="TableFooterChar"/>
    <w:link w:val="TableTotalRowcells"/>
    <w:rsid w:val="00714940"/>
    <w:rPr>
      <w:rFonts w:ascii="Century Gothic" w:hAnsi="Century Gothic"/>
      <w:b/>
      <w:bCs/>
      <w:color w:val="292929"/>
      <w:sz w:val="18"/>
      <w:szCs w:val="18"/>
      <w:lang w:eastAsia="en-US"/>
    </w:rPr>
  </w:style>
  <w:style w:type="paragraph" w:customStyle="1" w:styleId="Featuretext">
    <w:name w:val="Feature text"/>
    <w:basedOn w:val="BodyText"/>
    <w:link w:val="FeaturetextChar"/>
    <w:qFormat/>
    <w:rsid w:val="009A07B3"/>
    <w:rPr>
      <w:b/>
      <w:i/>
      <w:color w:val="C8102E"/>
      <w:sz w:val="28"/>
      <w:szCs w:val="28"/>
    </w:rPr>
  </w:style>
  <w:style w:type="paragraph" w:customStyle="1" w:styleId="SectionIntroStatement">
    <w:name w:val="Section Intro Statement"/>
    <w:basedOn w:val="BodyText"/>
    <w:link w:val="SectionIntroStatementChar"/>
    <w:qFormat/>
    <w:rsid w:val="00AB5CBB"/>
    <w:rPr>
      <w:sz w:val="28"/>
      <w:szCs w:val="28"/>
    </w:rPr>
  </w:style>
  <w:style w:type="character" w:customStyle="1" w:styleId="FeaturetextChar">
    <w:name w:val="Feature text Char"/>
    <w:basedOn w:val="BodyTextChar"/>
    <w:link w:val="Featuretext"/>
    <w:rsid w:val="009A07B3"/>
    <w:rPr>
      <w:rFonts w:ascii="Century Gothic" w:hAnsi="Century Gothic"/>
      <w:b/>
      <w:i/>
      <w:color w:val="C8102E"/>
      <w:sz w:val="28"/>
      <w:szCs w:val="28"/>
      <w:lang w:eastAsia="en-US"/>
    </w:rPr>
  </w:style>
  <w:style w:type="paragraph" w:customStyle="1" w:styleId="NumberList1">
    <w:name w:val="Number List 1"/>
    <w:basedOn w:val="BodyTestIndent2"/>
    <w:link w:val="NumberList1Char"/>
    <w:qFormat/>
    <w:rsid w:val="00F43D39"/>
    <w:pPr>
      <w:numPr>
        <w:numId w:val="26"/>
      </w:numPr>
      <w:ind w:left="567" w:hanging="567"/>
    </w:pPr>
  </w:style>
  <w:style w:type="character" w:customStyle="1" w:styleId="SectionIntroStatementChar">
    <w:name w:val="Section Intro Statement Char"/>
    <w:basedOn w:val="BodyTextChar"/>
    <w:link w:val="SectionIntroStatement"/>
    <w:rsid w:val="00AB5CBB"/>
    <w:rPr>
      <w:rFonts w:ascii="Century Gothic" w:hAnsi="Century Gothic"/>
      <w:color w:val="25282A"/>
      <w:sz w:val="28"/>
      <w:szCs w:val="28"/>
      <w:lang w:eastAsia="en-US"/>
    </w:rPr>
  </w:style>
  <w:style w:type="paragraph" w:customStyle="1" w:styleId="NumberList2">
    <w:name w:val="Number List 2"/>
    <w:basedOn w:val="NumberList1"/>
    <w:link w:val="NumberList2Char"/>
    <w:qFormat/>
    <w:rsid w:val="00F43D39"/>
    <w:pPr>
      <w:numPr>
        <w:numId w:val="27"/>
      </w:numPr>
      <w:ind w:left="1134" w:hanging="567"/>
    </w:pPr>
  </w:style>
  <w:style w:type="character" w:customStyle="1" w:styleId="NumberList1Char">
    <w:name w:val="Number List 1 Char"/>
    <w:basedOn w:val="BodyTestIndent2Char"/>
    <w:link w:val="NumberList1"/>
    <w:rsid w:val="00F43D39"/>
    <w:rPr>
      <w:rFonts w:ascii="Century Gothic" w:hAnsi="Century Gothic"/>
      <w:color w:val="25282A"/>
      <w:sz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qFormat/>
    <w:rsid w:val="00F238F1"/>
    <w:rPr>
      <w:vertAlign w:val="superscript"/>
    </w:rPr>
  </w:style>
  <w:style w:type="character" w:customStyle="1" w:styleId="NumberList2Char">
    <w:name w:val="Number List 2 Char"/>
    <w:basedOn w:val="NumberList1Char"/>
    <w:link w:val="NumberList2"/>
    <w:rsid w:val="00F43D39"/>
    <w:rPr>
      <w:rFonts w:ascii="Century Gothic" w:hAnsi="Century Gothic"/>
      <w:color w:val="25282A"/>
      <w:sz w:val="22"/>
      <w:lang w:eastAsia="en-US"/>
    </w:rPr>
  </w:style>
  <w:style w:type="character" w:customStyle="1" w:styleId="FooterChar">
    <w:name w:val="Footer Char"/>
    <w:basedOn w:val="DefaultParagraphFont"/>
    <w:link w:val="Footer"/>
    <w:uiPriority w:val="99"/>
    <w:rsid w:val="00255794"/>
    <w:rPr>
      <w:rFonts w:ascii="Century Gothic" w:hAnsi="Century Gothic"/>
      <w:color w:val="25282A"/>
      <w:sz w:val="18"/>
      <w:lang w:eastAsia="en-US"/>
    </w:rPr>
  </w:style>
  <w:style w:type="paragraph" w:customStyle="1" w:styleId="BasicParagraph">
    <w:name w:val="[Basic Paragraph]"/>
    <w:basedOn w:val="Normal"/>
    <w:uiPriority w:val="99"/>
    <w:rsid w:val="002B07E9"/>
    <w:pPr>
      <w:widowControl w:val="0"/>
      <w:autoSpaceDE w:val="0"/>
      <w:autoSpaceDN w:val="0"/>
      <w:adjustRightInd w:val="0"/>
      <w:spacing w:line="288" w:lineRule="auto"/>
      <w:textAlignment w:val="center"/>
    </w:pPr>
    <w:rPr>
      <w:rFonts w:ascii="MinionPro-Regular" w:eastAsiaTheme="minorEastAsia" w:hAnsi="MinionPro-Regular" w:cs="MinionPro-Regular"/>
      <w:bCs/>
      <w:color w:val="000000"/>
      <w:sz w:val="20"/>
      <w:lang w:val="en-GB"/>
    </w:rPr>
  </w:style>
  <w:style w:type="paragraph" w:styleId="Title">
    <w:name w:val="Title"/>
    <w:aliases w:val="APA Title"/>
    <w:basedOn w:val="BasicParagraph"/>
    <w:next w:val="Normal"/>
    <w:link w:val="TitleChar"/>
    <w:uiPriority w:val="10"/>
    <w:qFormat/>
    <w:rsid w:val="002B07E9"/>
    <w:pPr>
      <w:spacing w:line="240" w:lineRule="auto"/>
    </w:pPr>
    <w:rPr>
      <w:rFonts w:ascii="CenturyGothic-Bold" w:hAnsi="CenturyGothic-Bold" w:cs="CenturyGothic-Bold"/>
      <w:b/>
      <w:bCs w:val="0"/>
      <w:color w:val="25282A"/>
      <w:sz w:val="80"/>
      <w:szCs w:val="80"/>
    </w:rPr>
  </w:style>
  <w:style w:type="character" w:customStyle="1" w:styleId="TitleChar">
    <w:name w:val="Title Char"/>
    <w:aliases w:val="APA Title Char"/>
    <w:basedOn w:val="DefaultParagraphFont"/>
    <w:link w:val="Title"/>
    <w:uiPriority w:val="10"/>
    <w:rsid w:val="002B07E9"/>
    <w:rPr>
      <w:rFonts w:ascii="CenturyGothic-Bold" w:eastAsiaTheme="minorEastAsia" w:hAnsi="CenturyGothic-Bold" w:cs="CenturyGothic-Bold"/>
      <w:b/>
      <w:color w:val="25282A"/>
      <w:sz w:val="80"/>
      <w:szCs w:val="80"/>
      <w:lang w:val="en-GB" w:eastAsia="en-US"/>
    </w:rPr>
  </w:style>
  <w:style w:type="paragraph" w:styleId="Subtitle">
    <w:name w:val="Subtitle"/>
    <w:aliases w:val="APA Subtitle"/>
    <w:basedOn w:val="BasicParagraph"/>
    <w:next w:val="Normal"/>
    <w:link w:val="SubtitleChar"/>
    <w:uiPriority w:val="11"/>
    <w:qFormat/>
    <w:rsid w:val="009A07B3"/>
    <w:pPr>
      <w:spacing w:line="240" w:lineRule="auto"/>
    </w:pPr>
    <w:rPr>
      <w:rFonts w:ascii="CenturyGothic-Bold" w:hAnsi="CenturyGothic-Bold" w:cs="CenturyGothic-Bold"/>
      <w:b/>
      <w:bCs w:val="0"/>
      <w:color w:val="C8102E"/>
      <w:sz w:val="64"/>
      <w:szCs w:val="64"/>
    </w:rPr>
  </w:style>
  <w:style w:type="character" w:customStyle="1" w:styleId="SubtitleChar">
    <w:name w:val="Subtitle Char"/>
    <w:aliases w:val="APA Subtitle Char"/>
    <w:basedOn w:val="DefaultParagraphFont"/>
    <w:link w:val="Subtitle"/>
    <w:uiPriority w:val="11"/>
    <w:rsid w:val="009A07B3"/>
    <w:rPr>
      <w:rFonts w:ascii="CenturyGothic-Bold" w:eastAsiaTheme="minorEastAsia" w:hAnsi="CenturyGothic-Bold" w:cs="CenturyGothic-Bold"/>
      <w:b/>
      <w:color w:val="C8102E"/>
      <w:sz w:val="64"/>
      <w:szCs w:val="64"/>
      <w:lang w:val="en-GB" w:eastAsia="en-US"/>
    </w:rPr>
  </w:style>
  <w:style w:type="character" w:styleId="BookTitle">
    <w:name w:val="Book Title"/>
    <w:aliases w:val="APA Cover Date|Presented by"/>
    <w:uiPriority w:val="33"/>
    <w:qFormat/>
    <w:rsid w:val="00AB2E24"/>
    <w:rPr>
      <w:rFonts w:ascii="CenturyGothic" w:hAnsi="CenturyGothic" w:cs="CenturyGothic"/>
      <w:color w:val="25282A"/>
    </w:rPr>
  </w:style>
  <w:style w:type="paragraph" w:styleId="BalloonText">
    <w:name w:val="Balloon Text"/>
    <w:basedOn w:val="Normal"/>
    <w:link w:val="BalloonTextChar"/>
    <w:rsid w:val="006A1D4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A1D43"/>
    <w:rPr>
      <w:rFonts w:ascii="Tahoma" w:hAnsi="Tahoma" w:cs="Tahoma"/>
      <w:color w:val="25282A"/>
      <w:sz w:val="16"/>
      <w:szCs w:val="16"/>
      <w:lang w:eastAsia="en-US"/>
    </w:rPr>
  </w:style>
  <w:style w:type="paragraph" w:customStyle="1" w:styleId="header-title">
    <w:name w:val="header-title"/>
    <w:basedOn w:val="BasicParagraph"/>
    <w:qFormat/>
    <w:rsid w:val="009A07B3"/>
    <w:pPr>
      <w:spacing w:before="0"/>
    </w:pPr>
    <w:rPr>
      <w:rFonts w:ascii="Century Gothic" w:hAnsi="Century Gothic"/>
      <w:b/>
      <w:color w:val="25282A" w:themeColor="text1"/>
    </w:rPr>
  </w:style>
  <w:style w:type="character" w:customStyle="1" w:styleId="red">
    <w:name w:val="red"/>
    <w:basedOn w:val="DefaultParagraphFont"/>
    <w:uiPriority w:val="1"/>
    <w:qFormat/>
    <w:rsid w:val="00A528DA"/>
    <w:rPr>
      <w:color w:val="C8102E" w:themeColor="accent1"/>
    </w:rPr>
  </w:style>
  <w:style w:type="paragraph" w:customStyle="1" w:styleId="BodyTextIndent1">
    <w:name w:val="Body Text Indent 1"/>
    <w:basedOn w:val="BodyText"/>
    <w:qFormat/>
    <w:rsid w:val="00D43EBE"/>
    <w:pPr>
      <w:ind w:left="567" w:hanging="567"/>
    </w:pPr>
    <w:rPr>
      <w:szCs w:val="22"/>
    </w:rPr>
  </w:style>
  <w:style w:type="paragraph" w:customStyle="1" w:styleId="Default">
    <w:name w:val="Default"/>
    <w:rsid w:val="000877F8"/>
    <w:pPr>
      <w:autoSpaceDE w:val="0"/>
      <w:autoSpaceDN w:val="0"/>
      <w:adjustRightInd w:val="0"/>
    </w:pPr>
    <w:rPr>
      <w:rFonts w:ascii="Arial" w:hAnsi="Arial" w:cs="Arial"/>
      <w:color w:val="000000"/>
      <w:sz w:val="24"/>
      <w:szCs w:val="24"/>
    </w:rPr>
  </w:style>
  <w:style w:type="paragraph" w:customStyle="1" w:styleId="BodyTextIndent31">
    <w:name w:val="Body Text Indent 31"/>
    <w:basedOn w:val="Normal"/>
    <w:link w:val="BodytextIndent3Char"/>
    <w:qFormat/>
    <w:rsid w:val="00F8737D"/>
    <w:pPr>
      <w:ind w:left="1701" w:hanging="567"/>
    </w:pPr>
  </w:style>
  <w:style w:type="character" w:customStyle="1" w:styleId="BodytextIndent3Char">
    <w:name w:val="Body text Indent 3 Char"/>
    <w:basedOn w:val="DefaultParagraphFont"/>
    <w:link w:val="BodyTextIndent31"/>
    <w:rsid w:val="00F8737D"/>
    <w:rPr>
      <w:rFonts w:ascii="Century Gothic" w:hAnsi="Century Gothic"/>
      <w:color w:val="25282A"/>
      <w:sz w:val="22"/>
      <w:lang w:eastAsia="en-US"/>
    </w:rPr>
  </w:style>
  <w:style w:type="paragraph" w:customStyle="1" w:styleId="AASUBparagraph">
    <w:name w:val="AASUB paragraph"/>
    <w:basedOn w:val="Normal"/>
    <w:link w:val="AASUBparagraphChar"/>
    <w:qFormat/>
    <w:rsid w:val="00DF340E"/>
    <w:pPr>
      <w:spacing w:before="0" w:after="240" w:line="264" w:lineRule="auto"/>
      <w:ind w:left="851"/>
    </w:pPr>
    <w:rPr>
      <w:rFonts w:ascii="Arial" w:eastAsiaTheme="minorHAnsi" w:hAnsi="Arial" w:cs="Arial"/>
      <w:color w:val="auto"/>
      <w:sz w:val="20"/>
      <w:szCs w:val="22"/>
    </w:rPr>
  </w:style>
  <w:style w:type="character" w:customStyle="1" w:styleId="AASUBparagraphChar">
    <w:name w:val="AASUB paragraph Char"/>
    <w:basedOn w:val="DefaultParagraphFont"/>
    <w:link w:val="AASUBparagraph"/>
    <w:rsid w:val="00DF340E"/>
    <w:rPr>
      <w:rFonts w:ascii="Arial" w:eastAsiaTheme="minorHAnsi" w:hAnsi="Arial" w:cs="Arial"/>
      <w:szCs w:val="22"/>
      <w:lang w:eastAsia="en-US"/>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4E4AD8"/>
    <w:rPr>
      <w:rFonts w:ascii="Century Gothic" w:hAnsi="Century Gothic"/>
      <w:color w:val="25282A"/>
      <w:sz w:val="18"/>
      <w:lang w:eastAsia="en-US"/>
    </w:rPr>
  </w:style>
  <w:style w:type="paragraph" w:styleId="Revision">
    <w:name w:val="Revision"/>
    <w:hidden/>
    <w:uiPriority w:val="99"/>
    <w:semiHidden/>
    <w:rsid w:val="00E757D6"/>
    <w:rPr>
      <w:rFonts w:ascii="Century Gothic" w:hAnsi="Century Gothic"/>
      <w:color w:val="25282A"/>
      <w:sz w:val="22"/>
      <w:lang w:eastAsia="en-US"/>
    </w:rPr>
  </w:style>
  <w:style w:type="paragraph" w:customStyle="1" w:styleId="AABody">
    <w:name w:val="AA Body"/>
    <w:basedOn w:val="BodyText"/>
    <w:link w:val="AABodyChar"/>
    <w:rsid w:val="00BA0254"/>
    <w:pPr>
      <w:spacing w:before="0" w:after="240" w:line="260" w:lineRule="atLeast"/>
      <w:jc w:val="left"/>
    </w:pPr>
    <w:rPr>
      <w:rFonts w:ascii="Arial" w:hAnsi="Arial"/>
      <w:color w:val="auto"/>
      <w:lang w:val="x-none"/>
    </w:rPr>
  </w:style>
  <w:style w:type="character" w:customStyle="1" w:styleId="AABodyChar">
    <w:name w:val="AA Body Char"/>
    <w:link w:val="AABody"/>
    <w:rsid w:val="00BA0254"/>
    <w:rPr>
      <w:rFonts w:ascii="Arial" w:hAnsi="Arial"/>
      <w:sz w:val="22"/>
      <w:lang w:val="x-none" w:eastAsia="en-US"/>
    </w:rPr>
  </w:style>
  <w:style w:type="paragraph" w:customStyle="1" w:styleId="AppendixHeading">
    <w:name w:val="Appendix Heading"/>
    <w:basedOn w:val="Heading1"/>
    <w:next w:val="BodyText"/>
    <w:rsid w:val="00353126"/>
    <w:pPr>
      <w:numPr>
        <w:numId w:val="0"/>
      </w:numPr>
      <w:tabs>
        <w:tab w:val="left" w:pos="0"/>
        <w:tab w:val="num" w:pos="964"/>
      </w:tabs>
      <w:ind w:left="964" w:hanging="964"/>
      <w:outlineLvl w:val="9"/>
    </w:pPr>
  </w:style>
  <w:style w:type="character" w:styleId="CommentReference">
    <w:name w:val="annotation reference"/>
    <w:basedOn w:val="DefaultParagraphFont"/>
    <w:rsid w:val="00353126"/>
    <w:rPr>
      <w:sz w:val="16"/>
      <w:szCs w:val="16"/>
    </w:rPr>
  </w:style>
  <w:style w:type="paragraph" w:styleId="CommentText">
    <w:name w:val="annotation text"/>
    <w:basedOn w:val="Normal"/>
    <w:link w:val="CommentTextChar"/>
    <w:rsid w:val="00353126"/>
    <w:pPr>
      <w:spacing w:line="240" w:lineRule="auto"/>
    </w:pPr>
    <w:rPr>
      <w:sz w:val="20"/>
    </w:rPr>
  </w:style>
  <w:style w:type="character" w:customStyle="1" w:styleId="CommentTextChar">
    <w:name w:val="Comment Text Char"/>
    <w:basedOn w:val="DefaultParagraphFont"/>
    <w:link w:val="CommentText"/>
    <w:rsid w:val="00353126"/>
    <w:rPr>
      <w:rFonts w:ascii="Century Gothic" w:hAnsi="Century Gothic"/>
      <w:color w:val="25282A"/>
      <w:lang w:eastAsia="en-US"/>
    </w:rPr>
  </w:style>
  <w:style w:type="paragraph" w:customStyle="1" w:styleId="TableBody">
    <w:name w:val="Table Body"/>
    <w:basedOn w:val="BodyText"/>
    <w:link w:val="TableBodyChar"/>
    <w:rsid w:val="000218F6"/>
    <w:rPr>
      <w:sz w:val="18"/>
      <w:szCs w:val="18"/>
    </w:rPr>
  </w:style>
  <w:style w:type="character" w:customStyle="1" w:styleId="TableBodyChar">
    <w:name w:val="Table Body Char"/>
    <w:basedOn w:val="BodyTextChar"/>
    <w:link w:val="TableBody"/>
    <w:rsid w:val="000218F6"/>
    <w:rPr>
      <w:rFonts w:ascii="Century Gothic" w:hAnsi="Century Gothic"/>
      <w:color w:val="25282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6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4.bin"/><Relationship Id="rId10" Type="http://schemas.openxmlformats.org/officeDocument/2006/relationships/header" Target="header2.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7.wmf"/><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PA_colours-010">
      <a:dk1>
        <a:srgbClr val="25282A"/>
      </a:dk1>
      <a:lt1>
        <a:sysClr val="window" lastClr="FFFFFF"/>
      </a:lt1>
      <a:dk2>
        <a:srgbClr val="25282A"/>
      </a:dk2>
      <a:lt2>
        <a:srgbClr val="FFFFFF"/>
      </a:lt2>
      <a:accent1>
        <a:srgbClr val="C8102E"/>
      </a:accent1>
      <a:accent2>
        <a:srgbClr val="F36C42"/>
      </a:accent2>
      <a:accent3>
        <a:srgbClr val="BEAFA8"/>
      </a:accent3>
      <a:accent4>
        <a:srgbClr val="FFD100"/>
      </a:accent4>
      <a:accent5>
        <a:srgbClr val="1C4483"/>
      </a:accent5>
      <a:accent6>
        <a:srgbClr val="92C83E"/>
      </a:accent6>
      <a:hlink>
        <a:srgbClr val="5FC8D7"/>
      </a:hlink>
      <a:folHlink>
        <a:srgbClr val="845A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49E13-881A-47E1-BB31-1EF4EB17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6984</Words>
  <Characters>39812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IRS Report</vt:lpstr>
    </vt:vector>
  </TitlesOfParts>
  <Company>Infrastructure and Regulation Services</Company>
  <LinksUpToDate>false</LinksUpToDate>
  <CharactersWithSpaces>46703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IRS Report</dc:title>
  <dc:creator>Williams, John</dc:creator>
  <cp:lastModifiedBy>APA2</cp:lastModifiedBy>
  <cp:revision>2</cp:revision>
  <cp:lastPrinted>2017-01-03T04:57:00Z</cp:lastPrinted>
  <dcterms:created xsi:type="dcterms:W3CDTF">2017-08-14T23:30:00Z</dcterms:created>
  <dcterms:modified xsi:type="dcterms:W3CDTF">2017-08-14T23:30:00Z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Client">
    <vt:lpwstr>Client name</vt:lpwstr>
  </property>
  <property fmtid="{D5CDD505-2E9C-101B-9397-08002B2CF9AE}" pid="3" name="KISSubject">
    <vt:lpwstr>Report title</vt:lpwstr>
  </property>
  <property fmtid="{D5CDD505-2E9C-101B-9397-08002B2CF9AE}" pid="4" name="KISRepSubTitle">
    <vt:lpwstr>Subtitle / optional date</vt:lpwstr>
  </property>
  <property fmtid="{D5CDD505-2E9C-101B-9397-08002B2CF9AE}" pid="5" name="KISHdrInfo">
    <vt:lpwstr>Core service or market_x000d_Date of issue</vt:lpwstr>
  </property>
</Properties>
</file>