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C9" w:rsidRDefault="00A106A9" w:rsidP="009C22C9">
      <w:pPr>
        <w:pStyle w:val="Subtitle"/>
        <w:rPr>
          <w:sz w:val="50"/>
        </w:rPr>
      </w:pPr>
      <w:r>
        <w:rPr>
          <w:sz w:val="50"/>
        </w:rPr>
        <w:t>APA VTS response to AER Information request</w:t>
      </w:r>
      <w:bookmarkStart w:id="0" w:name="_GoBack"/>
      <w:bookmarkEnd w:id="0"/>
    </w:p>
    <w:p w:rsidR="00A106A9" w:rsidRPr="00A106A9" w:rsidRDefault="00A106A9" w:rsidP="00A106A9">
      <w:pPr>
        <w:rPr>
          <w:lang w:val="en-G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76"/>
        <w:gridCol w:w="6866"/>
      </w:tblGrid>
      <w:tr w:rsidR="00A106A9" w:rsidRPr="00A106A9" w:rsidTr="00A106A9">
        <w:tc>
          <w:tcPr>
            <w:tcW w:w="2376" w:type="dxa"/>
          </w:tcPr>
          <w:p w:rsidR="00A106A9" w:rsidRPr="00C17FE4" w:rsidRDefault="00A106A9" w:rsidP="00A106A9">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AER Reference</w:t>
            </w:r>
          </w:p>
        </w:tc>
        <w:tc>
          <w:tcPr>
            <w:tcW w:w="6866" w:type="dxa"/>
          </w:tcPr>
          <w:p w:rsidR="00A106A9" w:rsidRPr="00A106A9" w:rsidRDefault="00D4335F" w:rsidP="00A106A9">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IR003</w:t>
            </w:r>
          </w:p>
        </w:tc>
      </w:tr>
      <w:tr w:rsidR="00A106A9" w:rsidRPr="00A106A9" w:rsidTr="00A106A9">
        <w:tc>
          <w:tcPr>
            <w:tcW w:w="2376" w:type="dxa"/>
          </w:tcPr>
          <w:p w:rsidR="00A106A9" w:rsidRPr="00C17FE4" w:rsidRDefault="00A106A9" w:rsidP="00A106A9">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Topic</w:t>
            </w:r>
          </w:p>
        </w:tc>
        <w:tc>
          <w:tcPr>
            <w:tcW w:w="6866" w:type="dxa"/>
          </w:tcPr>
          <w:p w:rsidR="00A106A9" w:rsidRPr="00A106A9" w:rsidRDefault="00017176" w:rsidP="00A106A9">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Inflation</w:t>
            </w:r>
          </w:p>
        </w:tc>
      </w:tr>
      <w:tr w:rsidR="00A106A9" w:rsidRPr="00A106A9" w:rsidTr="00A106A9">
        <w:tc>
          <w:tcPr>
            <w:tcW w:w="2376" w:type="dxa"/>
          </w:tcPr>
          <w:p w:rsidR="00A106A9" w:rsidRPr="00C17FE4" w:rsidRDefault="00A106A9" w:rsidP="00A106A9">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Date of response</w:t>
            </w:r>
          </w:p>
        </w:tc>
        <w:tc>
          <w:tcPr>
            <w:tcW w:w="6866" w:type="dxa"/>
          </w:tcPr>
          <w:p w:rsidR="00A106A9" w:rsidRPr="00A106A9" w:rsidRDefault="00017176" w:rsidP="00A106A9">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3 March</w:t>
            </w:r>
            <w:r w:rsidR="00A106A9">
              <w:rPr>
                <w:rFonts w:ascii="Century Gothic" w:hAnsi="Century Gothic" w:cs="Arial"/>
                <w:color w:val="333333"/>
                <w:sz w:val="20"/>
                <w:szCs w:val="20"/>
              </w:rPr>
              <w:t xml:space="preserve"> 2017</w:t>
            </w:r>
          </w:p>
        </w:tc>
      </w:tr>
      <w:tr w:rsidR="00C17FE4" w:rsidRPr="00A106A9" w:rsidTr="00A106A9">
        <w:tc>
          <w:tcPr>
            <w:tcW w:w="2376" w:type="dxa"/>
          </w:tcPr>
          <w:p w:rsidR="00C17FE4" w:rsidRPr="00C17FE4" w:rsidRDefault="00C17FE4" w:rsidP="00A106A9">
            <w:pPr>
              <w:pStyle w:val="NoSpacing"/>
              <w:spacing w:before="160" w:after="160"/>
              <w:rPr>
                <w:rFonts w:ascii="Century Gothic" w:hAnsi="Century Gothic" w:cs="Arial"/>
                <w:i/>
                <w:color w:val="333333"/>
                <w:sz w:val="20"/>
                <w:szCs w:val="20"/>
              </w:rPr>
            </w:pPr>
            <w:r w:rsidRPr="00C17FE4">
              <w:rPr>
                <w:rFonts w:ascii="Century Gothic" w:hAnsi="Century Gothic" w:cs="Arial"/>
                <w:i/>
                <w:color w:val="333333"/>
                <w:sz w:val="20"/>
                <w:szCs w:val="20"/>
              </w:rPr>
              <w:t>Public/Confidential</w:t>
            </w:r>
          </w:p>
        </w:tc>
        <w:tc>
          <w:tcPr>
            <w:tcW w:w="6866" w:type="dxa"/>
          </w:tcPr>
          <w:p w:rsidR="00C17FE4" w:rsidRDefault="00C17FE4" w:rsidP="00A106A9">
            <w:pPr>
              <w:pStyle w:val="NoSpacing"/>
              <w:spacing w:before="160" w:after="160"/>
              <w:rPr>
                <w:rFonts w:ascii="Century Gothic" w:hAnsi="Century Gothic" w:cs="Arial"/>
                <w:color w:val="333333"/>
                <w:sz w:val="20"/>
                <w:szCs w:val="20"/>
              </w:rPr>
            </w:pPr>
            <w:r>
              <w:rPr>
                <w:rFonts w:ascii="Century Gothic" w:hAnsi="Century Gothic" w:cs="Arial"/>
                <w:color w:val="333333"/>
                <w:sz w:val="20"/>
                <w:szCs w:val="20"/>
              </w:rPr>
              <w:t>Public</w:t>
            </w:r>
          </w:p>
        </w:tc>
      </w:tr>
    </w:tbl>
    <w:p w:rsidR="00017176" w:rsidRDefault="00017176" w:rsidP="00A106A9">
      <w:pPr>
        <w:rPr>
          <w:rFonts w:ascii="Century Gothic" w:hAnsi="Century Gothic"/>
          <w:lang w:val="en-GB"/>
        </w:rPr>
      </w:pPr>
    </w:p>
    <w:p w:rsidR="00017176" w:rsidRPr="00017176" w:rsidRDefault="00017176" w:rsidP="00017176">
      <w:pPr>
        <w:rPr>
          <w:rFonts w:ascii="Century Gothic" w:hAnsi="Century Gothic"/>
          <w: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A106A9" w:rsidTr="00A106A9">
        <w:tc>
          <w:tcPr>
            <w:tcW w:w="9242" w:type="dxa"/>
            <w:shd w:val="clear" w:color="auto" w:fill="EEECE1" w:themeFill="background2"/>
            <w:vAlign w:val="center"/>
          </w:tcPr>
          <w:p w:rsidR="00F14CE8" w:rsidRDefault="00F14CE8" w:rsidP="00017176">
            <w:pPr>
              <w:spacing w:before="120" w:after="120"/>
              <w:rPr>
                <w:rFonts w:ascii="Century Gothic" w:hAnsi="Century Gothic"/>
                <w:lang w:val="en-GB"/>
              </w:rPr>
            </w:pPr>
            <w:r>
              <w:rPr>
                <w:rFonts w:ascii="Century Gothic" w:hAnsi="Century Gothic"/>
                <w:b/>
                <w:lang w:val="en-GB"/>
              </w:rPr>
              <w:t xml:space="preserve">3.1  </w:t>
            </w:r>
            <w:r w:rsidR="00017176" w:rsidRPr="00017176">
              <w:rPr>
                <w:rFonts w:ascii="Century Gothic" w:hAnsi="Century Gothic"/>
                <w:b/>
                <w:lang w:val="en-GB"/>
              </w:rPr>
              <w:t>Applying annually updated inflation</w:t>
            </w:r>
          </w:p>
          <w:p w:rsidR="00017176" w:rsidRPr="00017176" w:rsidRDefault="00017176" w:rsidP="00017176">
            <w:pPr>
              <w:spacing w:before="120" w:after="120"/>
              <w:rPr>
                <w:rFonts w:ascii="Century Gothic" w:hAnsi="Century Gothic"/>
                <w:lang w:val="en-GB"/>
              </w:rPr>
            </w:pPr>
            <w:r w:rsidRPr="00017176">
              <w:rPr>
                <w:rFonts w:ascii="Century Gothic" w:hAnsi="Century Gothic"/>
                <w:lang w:val="en-GB"/>
              </w:rPr>
              <w:t xml:space="preserve">Does APA intend to apply the annually updated inflation series (row 431 of tab ‘PTRM input’ in the workbook ‘APA VTS – B2 – Post Tax Revenue Model – 20170103 – Public.xlsm’) to index a number of other components (and potentially all components) within the PTRM? </w:t>
            </w:r>
          </w:p>
          <w:p w:rsidR="00017176" w:rsidRPr="00017176" w:rsidRDefault="00017176" w:rsidP="00017176">
            <w:pPr>
              <w:spacing w:before="120" w:after="120"/>
              <w:rPr>
                <w:rFonts w:ascii="Century Gothic" w:hAnsi="Century Gothic"/>
                <w:lang w:val="en-GB"/>
              </w:rPr>
            </w:pPr>
            <w:r w:rsidRPr="00017176">
              <w:rPr>
                <w:rFonts w:ascii="Century Gothic" w:hAnsi="Century Gothic"/>
                <w:lang w:val="en-GB"/>
              </w:rPr>
              <w:t>If so, please supply an amended version of the PTRM that implements APA’s proposed treatment of inflation. Please also provide supporting information that aligns with the amended PTRM, including (but not limited to):</w:t>
            </w:r>
          </w:p>
          <w:p w:rsidR="00017176" w:rsidRPr="00017176" w:rsidRDefault="00017176" w:rsidP="00017176">
            <w:pPr>
              <w:pStyle w:val="ListParagraph"/>
              <w:numPr>
                <w:ilvl w:val="0"/>
                <w:numId w:val="6"/>
              </w:numPr>
              <w:spacing w:before="120" w:after="120"/>
              <w:rPr>
                <w:rFonts w:ascii="Century Gothic" w:hAnsi="Century Gothic"/>
                <w:lang w:val="en-GB"/>
              </w:rPr>
            </w:pPr>
            <w:r w:rsidRPr="00017176">
              <w:rPr>
                <w:rFonts w:ascii="Century Gothic" w:hAnsi="Century Gothic"/>
                <w:lang w:val="en-GB"/>
              </w:rPr>
              <w:t>section 4.6.2 of the access arrangement</w:t>
            </w:r>
          </w:p>
          <w:p w:rsidR="00017176" w:rsidRPr="00017176" w:rsidRDefault="00017176" w:rsidP="00017176">
            <w:pPr>
              <w:pStyle w:val="ListParagraph"/>
              <w:numPr>
                <w:ilvl w:val="0"/>
                <w:numId w:val="6"/>
              </w:numPr>
              <w:spacing w:before="120" w:after="120"/>
              <w:rPr>
                <w:rFonts w:ascii="Century Gothic" w:hAnsi="Century Gothic"/>
                <w:lang w:val="en-GB"/>
              </w:rPr>
            </w:pPr>
            <w:r w:rsidRPr="00017176">
              <w:rPr>
                <w:rFonts w:ascii="Century Gothic" w:hAnsi="Century Gothic"/>
                <w:lang w:val="en-GB"/>
              </w:rPr>
              <w:t>section 10.4.2 of the access arrangement information</w:t>
            </w:r>
          </w:p>
          <w:p w:rsidR="00A106A9" w:rsidRPr="00017176" w:rsidRDefault="00017176" w:rsidP="009F5C0F">
            <w:pPr>
              <w:pStyle w:val="ListParagraph"/>
              <w:numPr>
                <w:ilvl w:val="0"/>
                <w:numId w:val="6"/>
              </w:numPr>
              <w:spacing w:before="120" w:after="120"/>
              <w:rPr>
                <w:rFonts w:ascii="Century Gothic" w:hAnsi="Century Gothic"/>
                <w:lang w:val="en-GB"/>
              </w:rPr>
            </w:pPr>
            <w:proofErr w:type="gramStart"/>
            <w:r w:rsidRPr="00017176">
              <w:rPr>
                <w:rFonts w:ascii="Century Gothic" w:hAnsi="Century Gothic"/>
                <w:lang w:val="en-GB"/>
              </w:rPr>
              <w:t>section</w:t>
            </w:r>
            <w:proofErr w:type="gramEnd"/>
            <w:r w:rsidRPr="00017176">
              <w:rPr>
                <w:rFonts w:ascii="Century Gothic" w:hAnsi="Century Gothic"/>
                <w:lang w:val="en-GB"/>
              </w:rPr>
              <w:t xml:space="preserve"> 6.3.5, 6.3.6 and 10.5.3 of the access arrangement submission.</w:t>
            </w:r>
          </w:p>
        </w:tc>
      </w:tr>
    </w:tbl>
    <w:p w:rsidR="00A106A9" w:rsidRDefault="00A106A9" w:rsidP="00A106A9">
      <w:pPr>
        <w:rPr>
          <w:rFonts w:ascii="Century Gothic" w:hAnsi="Century Gothic"/>
          <w:lang w:val="en-GB"/>
        </w:rPr>
      </w:pPr>
    </w:p>
    <w:p w:rsidR="000D428A" w:rsidRDefault="000D428A" w:rsidP="000D428A">
      <w:pPr>
        <w:rPr>
          <w:rFonts w:ascii="Century Gothic" w:hAnsi="Century Gothic"/>
          <w:lang w:val="en-GB"/>
        </w:rPr>
      </w:pPr>
      <w:r>
        <w:rPr>
          <w:rFonts w:ascii="Century Gothic" w:hAnsi="Century Gothic"/>
          <w:lang w:val="en-GB"/>
        </w:rPr>
        <w:t xml:space="preserve">APA VTS’s goal is to ensure that </w:t>
      </w:r>
      <w:r w:rsidR="00277CBC">
        <w:rPr>
          <w:rFonts w:ascii="Century Gothic" w:hAnsi="Century Gothic"/>
          <w:lang w:val="en-GB"/>
        </w:rPr>
        <w:t xml:space="preserve">depreciation recovered through revenue </w:t>
      </w:r>
      <w:r>
        <w:rPr>
          <w:rFonts w:ascii="Century Gothic" w:hAnsi="Century Gothic"/>
          <w:lang w:val="en-GB"/>
        </w:rPr>
        <w:t xml:space="preserve">in the RFM, and </w:t>
      </w:r>
      <w:r w:rsidR="00277CBC">
        <w:rPr>
          <w:rFonts w:ascii="Century Gothic" w:hAnsi="Century Gothic"/>
          <w:lang w:val="en-GB"/>
        </w:rPr>
        <w:t xml:space="preserve">depreciation recovered </w:t>
      </w:r>
      <w:r>
        <w:rPr>
          <w:rFonts w:ascii="Century Gothic" w:hAnsi="Century Gothic"/>
          <w:lang w:val="en-GB"/>
        </w:rPr>
        <w:t xml:space="preserve">via reference tariffs determined from the total revenue of the PTRM, are aligned.  Their alignment, which can be achieved using an annually updated inflation series in the VTS PTRM, should promote achievement of the NGO and the revenue and pricing principles by ensuring that APA will neither under recover, </w:t>
      </w:r>
      <w:r w:rsidR="00C72410">
        <w:rPr>
          <w:rFonts w:ascii="Century Gothic" w:hAnsi="Century Gothic"/>
          <w:lang w:val="en-GB"/>
        </w:rPr>
        <w:t>n</w:t>
      </w:r>
      <w:r>
        <w:rPr>
          <w:rFonts w:ascii="Century Gothic" w:hAnsi="Century Gothic"/>
          <w:lang w:val="en-GB"/>
        </w:rPr>
        <w:t>or over recover, its depreciation allowance due to a variation in inflation rate compared to forecast</w:t>
      </w:r>
      <w:r w:rsidRPr="001021DF">
        <w:rPr>
          <w:rFonts w:ascii="Century Gothic" w:hAnsi="Century Gothic"/>
          <w:lang w:val="en-GB"/>
        </w:rPr>
        <w:t xml:space="preserve">.  </w:t>
      </w:r>
    </w:p>
    <w:p w:rsidR="00121253" w:rsidRDefault="000D428A" w:rsidP="000D428A">
      <w:pPr>
        <w:rPr>
          <w:rFonts w:ascii="Century Gothic" w:hAnsi="Century Gothic"/>
          <w:lang w:val="en-GB"/>
        </w:rPr>
      </w:pPr>
      <w:r>
        <w:rPr>
          <w:rFonts w:ascii="Century Gothic" w:hAnsi="Century Gothic"/>
          <w:lang w:val="en-GB"/>
        </w:rPr>
        <w:t xml:space="preserve">After discussion with the AER, we agree there may be benefit </w:t>
      </w:r>
      <w:r w:rsidR="00121253">
        <w:rPr>
          <w:rFonts w:ascii="Century Gothic" w:hAnsi="Century Gothic"/>
          <w:lang w:val="en-GB"/>
        </w:rPr>
        <w:t>in extending</w:t>
      </w:r>
      <w:r>
        <w:rPr>
          <w:rFonts w:ascii="Century Gothic" w:hAnsi="Century Gothic"/>
          <w:lang w:val="en-GB"/>
        </w:rPr>
        <w:t xml:space="preserve"> annual updating </w:t>
      </w:r>
      <w:r w:rsidR="00121253">
        <w:rPr>
          <w:rFonts w:ascii="Century Gothic" w:hAnsi="Century Gothic"/>
          <w:lang w:val="en-GB"/>
        </w:rPr>
        <w:t xml:space="preserve">of inflation </w:t>
      </w:r>
      <w:r>
        <w:rPr>
          <w:rFonts w:ascii="Century Gothic" w:hAnsi="Century Gothic"/>
          <w:lang w:val="en-GB"/>
        </w:rPr>
        <w:t xml:space="preserve">to forecast opex as this includes </w:t>
      </w:r>
      <w:r w:rsidR="0065257C">
        <w:rPr>
          <w:rFonts w:ascii="Century Gothic" w:hAnsi="Century Gothic"/>
          <w:lang w:val="en-GB"/>
        </w:rPr>
        <w:t xml:space="preserve">the </w:t>
      </w:r>
      <w:r>
        <w:rPr>
          <w:rFonts w:ascii="Century Gothic" w:hAnsi="Century Gothic"/>
          <w:lang w:val="en-GB"/>
        </w:rPr>
        <w:t>fore</w:t>
      </w:r>
      <w:r w:rsidR="00121253">
        <w:rPr>
          <w:rFonts w:ascii="Century Gothic" w:hAnsi="Century Gothic"/>
          <w:lang w:val="en-GB"/>
        </w:rPr>
        <w:t xml:space="preserve">cast </w:t>
      </w:r>
      <w:r w:rsidR="0065257C">
        <w:rPr>
          <w:rFonts w:ascii="Century Gothic" w:hAnsi="Century Gothic"/>
          <w:lang w:val="en-GB"/>
        </w:rPr>
        <w:t xml:space="preserve">of </w:t>
      </w:r>
      <w:r w:rsidR="00121253">
        <w:rPr>
          <w:rFonts w:ascii="Century Gothic" w:hAnsi="Century Gothic"/>
          <w:lang w:val="en-GB"/>
        </w:rPr>
        <w:t xml:space="preserve">inflation as an input. </w:t>
      </w:r>
    </w:p>
    <w:p w:rsidR="009F5C0F" w:rsidRDefault="00121253" w:rsidP="00A106A9">
      <w:pPr>
        <w:rPr>
          <w:rFonts w:ascii="Century Gothic" w:hAnsi="Century Gothic"/>
          <w:lang w:val="en-GB"/>
        </w:rPr>
      </w:pPr>
      <w:r w:rsidRPr="006B1381">
        <w:rPr>
          <w:rFonts w:ascii="Century Gothic" w:hAnsi="Century Gothic"/>
          <w:lang w:val="en-GB"/>
        </w:rPr>
        <w:lastRenderedPageBreak/>
        <w:t>The same argument does not apply to the rate of return, which does not</w:t>
      </w:r>
      <w:r w:rsidR="0065257C" w:rsidRPr="006B1381">
        <w:rPr>
          <w:rFonts w:ascii="Century Gothic" w:hAnsi="Century Gothic"/>
          <w:lang w:val="en-GB"/>
        </w:rPr>
        <w:t xml:space="preserve"> have the forecast of inflation as an input</w:t>
      </w:r>
      <w:r w:rsidRPr="0065257C">
        <w:rPr>
          <w:rFonts w:ascii="Century Gothic" w:hAnsi="Century Gothic"/>
          <w:lang w:val="en-GB"/>
        </w:rPr>
        <w:t>.</w:t>
      </w:r>
      <w:r>
        <w:rPr>
          <w:rFonts w:ascii="Century Gothic" w:hAnsi="Century Gothic"/>
          <w:lang w:val="en-GB"/>
        </w:rPr>
        <w:t xml:space="preserve"> </w:t>
      </w:r>
    </w:p>
    <w:p w:rsidR="00121253" w:rsidRDefault="003578F8" w:rsidP="00A106A9">
      <w:pPr>
        <w:rPr>
          <w:rFonts w:ascii="Century Gothic" w:hAnsi="Century Gothic"/>
          <w:lang w:val="en-GB"/>
        </w:rPr>
      </w:pPr>
      <w:r>
        <w:rPr>
          <w:rFonts w:ascii="Century Gothic" w:hAnsi="Century Gothic"/>
          <w:lang w:val="en-GB"/>
        </w:rPr>
        <w:t xml:space="preserve">APA’s proposal does not </w:t>
      </w:r>
      <w:r w:rsidR="00254CBC">
        <w:rPr>
          <w:rFonts w:ascii="Century Gothic" w:hAnsi="Century Gothic"/>
          <w:lang w:val="en-GB"/>
        </w:rPr>
        <w:t xml:space="preserve">extend to </w:t>
      </w:r>
      <w:r>
        <w:rPr>
          <w:rFonts w:ascii="Century Gothic" w:hAnsi="Century Gothic"/>
          <w:lang w:val="en-GB"/>
        </w:rPr>
        <w:t>indexing the rate of return on equity.</w:t>
      </w:r>
      <w:r w:rsidR="00C72410">
        <w:rPr>
          <w:rFonts w:ascii="Century Gothic" w:hAnsi="Century Gothic"/>
          <w:lang w:val="en-GB"/>
        </w:rPr>
        <w:t xml:space="preserve"> </w:t>
      </w:r>
      <w:r w:rsidR="00DD5EF5">
        <w:rPr>
          <w:rFonts w:ascii="Century Gothic" w:hAnsi="Century Gothic"/>
          <w:lang w:val="en-GB"/>
        </w:rPr>
        <w:t xml:space="preserve">Nor does APA’s proposal extend to indexing the rate of return on debt.  </w:t>
      </w:r>
    </w:p>
    <w:p w:rsidR="00277CBC" w:rsidRDefault="00277CBC" w:rsidP="00277CBC">
      <w:pPr>
        <w:rPr>
          <w:rFonts w:ascii="Century Gothic" w:hAnsi="Century Gothic"/>
          <w:lang w:val="en-GB"/>
        </w:rPr>
      </w:pPr>
      <w:r>
        <w:rPr>
          <w:rFonts w:ascii="Century Gothic" w:hAnsi="Century Gothic"/>
          <w:lang w:val="en-GB"/>
        </w:rPr>
        <w:t>The AER’s rate of return guideline does not</w:t>
      </w:r>
      <w:r w:rsidRPr="00CF01C5">
        <w:rPr>
          <w:rFonts w:ascii="Century Gothic" w:hAnsi="Century Gothic"/>
          <w:lang w:val="en-GB"/>
        </w:rPr>
        <w:t xml:space="preserve"> </w:t>
      </w:r>
      <w:r>
        <w:rPr>
          <w:rFonts w:ascii="Century Gothic" w:hAnsi="Century Gothic"/>
          <w:lang w:val="en-GB"/>
        </w:rPr>
        <w:t xml:space="preserve">use forecast inflation as an input, and further does not include an annual updating of inflation. </w:t>
      </w:r>
    </w:p>
    <w:p w:rsidR="00775D17" w:rsidRDefault="00775D17" w:rsidP="007E2B95">
      <w:pPr>
        <w:rPr>
          <w:rFonts w:ascii="Century Gothic" w:hAnsi="Century Gothic"/>
          <w:lang w:val="en-GB"/>
        </w:rPr>
      </w:pPr>
      <w:r>
        <w:rPr>
          <w:rFonts w:ascii="Century Gothic" w:hAnsi="Century Gothic"/>
          <w:lang w:val="en-GB"/>
        </w:rPr>
        <w:t xml:space="preserve">An amended version of the </w:t>
      </w:r>
      <w:r w:rsidR="00277CBC">
        <w:rPr>
          <w:rFonts w:ascii="Century Gothic" w:hAnsi="Century Gothic"/>
          <w:lang w:val="en-GB"/>
        </w:rPr>
        <w:t xml:space="preserve">APA </w:t>
      </w:r>
      <w:r>
        <w:rPr>
          <w:rFonts w:ascii="Century Gothic" w:hAnsi="Century Gothic"/>
          <w:lang w:val="en-GB"/>
        </w:rPr>
        <w:t>PTRM (APA VTS-B2-Post Tax Revenue Model-20170103-Public-Updated for inflation links</w:t>
      </w:r>
      <w:r w:rsidR="002F3BDF">
        <w:rPr>
          <w:rFonts w:ascii="Century Gothic" w:hAnsi="Century Gothic"/>
          <w:lang w:val="en-GB"/>
        </w:rPr>
        <w:t xml:space="preserve"> 20170221</w:t>
      </w:r>
      <w:r>
        <w:rPr>
          <w:rFonts w:ascii="Century Gothic" w:hAnsi="Century Gothic"/>
          <w:lang w:val="en-GB"/>
        </w:rPr>
        <w:t>.xlsm) is provided with this response to AER information request IR003.</w:t>
      </w:r>
    </w:p>
    <w:p w:rsidR="007E2B95" w:rsidRDefault="007E2B95" w:rsidP="007E2B95">
      <w:pPr>
        <w:rPr>
          <w:rFonts w:ascii="Century Gothic" w:hAnsi="Century Gothic"/>
          <w:lang w:val="en-GB"/>
        </w:rPr>
      </w:pPr>
      <w:r>
        <w:rPr>
          <w:rFonts w:ascii="Century Gothic" w:hAnsi="Century Gothic"/>
          <w:lang w:val="en-GB"/>
        </w:rPr>
        <w:t xml:space="preserve">This model incorporates the following changes made to the VTS PTRM which was lodged with the VTS </w:t>
      </w:r>
      <w:r w:rsidR="00440687">
        <w:rPr>
          <w:rFonts w:ascii="Century Gothic" w:hAnsi="Century Gothic"/>
          <w:lang w:val="en-GB"/>
        </w:rPr>
        <w:t>A</w:t>
      </w:r>
      <w:r>
        <w:rPr>
          <w:rFonts w:ascii="Century Gothic" w:hAnsi="Century Gothic"/>
          <w:lang w:val="en-GB"/>
        </w:rPr>
        <w:t xml:space="preserve">ccess </w:t>
      </w:r>
      <w:r w:rsidR="00440687">
        <w:rPr>
          <w:rFonts w:ascii="Century Gothic" w:hAnsi="Century Gothic"/>
          <w:lang w:val="en-GB"/>
        </w:rPr>
        <w:t>A</w:t>
      </w:r>
      <w:r>
        <w:rPr>
          <w:rFonts w:ascii="Century Gothic" w:hAnsi="Century Gothic"/>
          <w:lang w:val="en-GB"/>
        </w:rPr>
        <w:t>rrangement revision proposal:</w:t>
      </w:r>
    </w:p>
    <w:p w:rsidR="007E2B95" w:rsidRPr="000E2E62" w:rsidRDefault="007E2B95" w:rsidP="000E2E62">
      <w:pPr>
        <w:pStyle w:val="ListParagraph"/>
        <w:numPr>
          <w:ilvl w:val="0"/>
          <w:numId w:val="8"/>
        </w:numPr>
        <w:ind w:left="714" w:hanging="357"/>
        <w:contextualSpacing w:val="0"/>
        <w:rPr>
          <w:rFonts w:ascii="Century Gothic" w:hAnsi="Century Gothic"/>
          <w:lang w:val="en-GB"/>
        </w:rPr>
      </w:pPr>
      <w:r w:rsidRPr="000E2E62">
        <w:rPr>
          <w:rFonts w:ascii="Century Gothic" w:hAnsi="Century Gothic"/>
          <w:lang w:val="en-GB"/>
        </w:rPr>
        <w:t>"Assets" tab cells G6 - P6 now link to "PTRM input" tab cells G431 - P431;</w:t>
      </w:r>
    </w:p>
    <w:p w:rsidR="007E2B95" w:rsidRPr="000E2E62" w:rsidRDefault="007E2B95" w:rsidP="000E2E62">
      <w:pPr>
        <w:pStyle w:val="ListParagraph"/>
        <w:numPr>
          <w:ilvl w:val="0"/>
          <w:numId w:val="8"/>
        </w:numPr>
        <w:ind w:left="714" w:hanging="357"/>
        <w:contextualSpacing w:val="0"/>
        <w:rPr>
          <w:rFonts w:ascii="Century Gothic" w:hAnsi="Century Gothic"/>
          <w:lang w:val="en-GB"/>
        </w:rPr>
      </w:pPr>
      <w:r w:rsidRPr="000E2E62">
        <w:rPr>
          <w:rFonts w:ascii="Century Gothic" w:hAnsi="Century Gothic"/>
          <w:lang w:val="en-GB"/>
        </w:rPr>
        <w:t>"Analysis" tab cells G6 - P6 now link to "PTRM input" tab cells G431 - P431;</w:t>
      </w:r>
    </w:p>
    <w:p w:rsidR="007E2B95" w:rsidRPr="000E2E62" w:rsidRDefault="007E2B95" w:rsidP="000E2E62">
      <w:pPr>
        <w:pStyle w:val="ListParagraph"/>
        <w:numPr>
          <w:ilvl w:val="0"/>
          <w:numId w:val="8"/>
        </w:numPr>
        <w:ind w:left="714" w:hanging="357"/>
        <w:contextualSpacing w:val="0"/>
        <w:rPr>
          <w:rFonts w:ascii="Century Gothic" w:hAnsi="Century Gothic"/>
          <w:lang w:val="en-GB"/>
        </w:rPr>
      </w:pPr>
      <w:r w:rsidRPr="000E2E62">
        <w:rPr>
          <w:rFonts w:ascii="Century Gothic" w:hAnsi="Century Gothic"/>
          <w:lang w:val="en-GB"/>
        </w:rPr>
        <w:t>"WACC" tab cells H6 - P6 now link to cell G6 on "WACC" tab;</w:t>
      </w:r>
    </w:p>
    <w:p w:rsidR="007E2B95" w:rsidRPr="000E2E62" w:rsidRDefault="007E2B95" w:rsidP="000E2E62">
      <w:pPr>
        <w:pStyle w:val="ListParagraph"/>
        <w:numPr>
          <w:ilvl w:val="0"/>
          <w:numId w:val="8"/>
        </w:numPr>
        <w:ind w:left="714" w:hanging="357"/>
        <w:contextualSpacing w:val="0"/>
        <w:rPr>
          <w:rFonts w:ascii="Century Gothic" w:hAnsi="Century Gothic"/>
          <w:lang w:val="en-GB"/>
        </w:rPr>
      </w:pPr>
      <w:r w:rsidRPr="000E2E62">
        <w:rPr>
          <w:rFonts w:ascii="Century Gothic" w:hAnsi="Century Gothic"/>
          <w:lang w:val="en-GB"/>
        </w:rPr>
        <w:t xml:space="preserve">"X factors" </w:t>
      </w:r>
      <w:r w:rsidR="00073D8D">
        <w:rPr>
          <w:rFonts w:ascii="Century Gothic" w:hAnsi="Century Gothic"/>
          <w:lang w:val="en-GB"/>
        </w:rPr>
        <w:t>tab cells G10 -</w:t>
      </w:r>
      <w:r w:rsidRPr="000E2E62">
        <w:rPr>
          <w:rFonts w:ascii="Century Gothic" w:hAnsi="Century Gothic"/>
          <w:lang w:val="en-GB"/>
        </w:rPr>
        <w:t xml:space="preserve"> P10 now link to "PTRM input" tab cells G431 - P431; and</w:t>
      </w:r>
    </w:p>
    <w:p w:rsidR="007E2B95" w:rsidRPr="000E2E62" w:rsidRDefault="007E2B95" w:rsidP="000E2E62">
      <w:pPr>
        <w:pStyle w:val="ListParagraph"/>
        <w:numPr>
          <w:ilvl w:val="0"/>
          <w:numId w:val="8"/>
        </w:numPr>
        <w:spacing w:after="400"/>
        <w:ind w:left="714" w:hanging="357"/>
        <w:contextualSpacing w:val="0"/>
        <w:rPr>
          <w:rFonts w:ascii="Century Gothic" w:hAnsi="Century Gothic"/>
          <w:lang w:val="en-GB"/>
        </w:rPr>
      </w:pPr>
      <w:r w:rsidRPr="000E2E62">
        <w:rPr>
          <w:rFonts w:ascii="Century Gothic" w:hAnsi="Century Gothic"/>
          <w:lang w:val="en-GB"/>
        </w:rPr>
        <w:t>"X factors" tab cells G44 to P44 now link</w:t>
      </w:r>
      <w:r w:rsidR="000E2E62" w:rsidRPr="000E2E62">
        <w:rPr>
          <w:rFonts w:ascii="Century Gothic" w:hAnsi="Century Gothic"/>
          <w:lang w:val="en-GB"/>
        </w:rPr>
        <w:t xml:space="preserve"> to </w:t>
      </w:r>
      <w:r w:rsidRPr="000E2E62">
        <w:rPr>
          <w:rFonts w:ascii="Century Gothic" w:hAnsi="Century Gothic"/>
          <w:lang w:val="en-GB"/>
        </w:rPr>
        <w:t>"PTRM input" tab cells G431 - P431</w:t>
      </w:r>
      <w:r w:rsidR="000E2E62" w:rsidRPr="000E2E62">
        <w:rPr>
          <w:rFonts w:ascii="Century Gothic" w:hAnsi="Century Gothic"/>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E65B48" w:rsidTr="000323D4">
        <w:tc>
          <w:tcPr>
            <w:tcW w:w="9242" w:type="dxa"/>
            <w:shd w:val="clear" w:color="auto" w:fill="EEECE1" w:themeFill="background2"/>
            <w:vAlign w:val="center"/>
          </w:tcPr>
          <w:p w:rsidR="00017176" w:rsidRPr="00017176" w:rsidRDefault="00F14CE8" w:rsidP="00017176">
            <w:pPr>
              <w:spacing w:before="120" w:after="120"/>
              <w:rPr>
                <w:rFonts w:ascii="Century Gothic" w:hAnsi="Century Gothic"/>
                <w:lang w:val="en-GB"/>
              </w:rPr>
            </w:pPr>
            <w:r>
              <w:rPr>
                <w:rFonts w:ascii="Century Gothic" w:hAnsi="Century Gothic"/>
                <w:b/>
                <w:lang w:val="en-GB"/>
              </w:rPr>
              <w:t xml:space="preserve">3.2  </w:t>
            </w:r>
            <w:r w:rsidR="00017176" w:rsidRPr="00017176">
              <w:rPr>
                <w:rFonts w:ascii="Century Gothic" w:hAnsi="Century Gothic"/>
                <w:b/>
                <w:lang w:val="en-GB"/>
              </w:rPr>
              <w:t>Applying annually updated inflation</w:t>
            </w:r>
          </w:p>
          <w:p w:rsidR="00017176" w:rsidRPr="00017176" w:rsidRDefault="00017176" w:rsidP="00017176">
            <w:pPr>
              <w:spacing w:before="120" w:after="120"/>
              <w:rPr>
                <w:rFonts w:ascii="Century Gothic" w:hAnsi="Century Gothic"/>
                <w:lang w:val="en-GB"/>
              </w:rPr>
            </w:pPr>
            <w:r w:rsidRPr="00017176">
              <w:rPr>
                <w:rFonts w:ascii="Century Gothic" w:hAnsi="Century Gothic"/>
                <w:lang w:val="en-GB"/>
              </w:rPr>
              <w:t>If APA intends to refer to the annually updated inflation series when calculating some building block components, but to refer to constant initial expected inflation (cell G424 of tab ‘PTRM input’) when calculating other building block components:</w:t>
            </w:r>
          </w:p>
          <w:p w:rsidR="00E65B48" w:rsidRDefault="00017176" w:rsidP="00017176">
            <w:pPr>
              <w:pStyle w:val="ListParagraph"/>
              <w:numPr>
                <w:ilvl w:val="0"/>
                <w:numId w:val="6"/>
              </w:numPr>
              <w:spacing w:before="120" w:after="120"/>
              <w:rPr>
                <w:rFonts w:ascii="Century Gothic" w:hAnsi="Century Gothic"/>
                <w:lang w:val="en-GB"/>
              </w:rPr>
            </w:pPr>
            <w:r w:rsidRPr="00017176">
              <w:rPr>
                <w:rFonts w:ascii="Century Gothic" w:hAnsi="Century Gothic"/>
                <w:lang w:val="en-GB"/>
              </w:rPr>
              <w:t>What is your rationale for combining two inflation series in this way? How would this approach promote the ARORO and NGO?</w:t>
            </w:r>
          </w:p>
          <w:p w:rsidR="00F75590" w:rsidRPr="00F75590" w:rsidRDefault="00F75590" w:rsidP="00F75590">
            <w:pPr>
              <w:spacing w:before="120" w:after="120"/>
              <w:rPr>
                <w:rFonts w:ascii="Century Gothic" w:hAnsi="Century Gothic"/>
                <w:lang w:val="en-GB"/>
              </w:rPr>
            </w:pPr>
            <w:r w:rsidRPr="00017176">
              <w:rPr>
                <w:rFonts w:ascii="Century Gothic" w:hAnsi="Century Gothic"/>
                <w:lang w:val="en-GB"/>
              </w:rPr>
              <w:t xml:space="preserve">If APA intends to refer to the annually updated inflation series when calculating all building block components (that is, throughout the PTRM): </w:t>
            </w:r>
          </w:p>
          <w:p w:rsidR="00F75590" w:rsidRPr="00017176" w:rsidRDefault="00F75590" w:rsidP="00017176">
            <w:pPr>
              <w:pStyle w:val="ListParagraph"/>
              <w:numPr>
                <w:ilvl w:val="0"/>
                <w:numId w:val="6"/>
              </w:numPr>
              <w:spacing w:before="120" w:after="120"/>
              <w:rPr>
                <w:rFonts w:ascii="Century Gothic" w:hAnsi="Century Gothic"/>
                <w:lang w:val="en-GB"/>
              </w:rPr>
            </w:pPr>
            <w:r w:rsidRPr="00017176">
              <w:rPr>
                <w:rFonts w:ascii="Century Gothic" w:hAnsi="Century Gothic"/>
                <w:lang w:val="en-GB"/>
              </w:rPr>
              <w:t>What is your rationale for combining this annually updated inflation series with the (constant) nominal return on equity? What is your rationale for combining this annually updated inflation series with the (annually updated) nominal return on debt, noting that the inflation update will ex post adjust the inflation outcome paired with the previous year’s debt update? How would this approach promote the ARORO and NGO?</w:t>
            </w:r>
          </w:p>
        </w:tc>
      </w:tr>
    </w:tbl>
    <w:p w:rsidR="00440687" w:rsidRDefault="00CD269B" w:rsidP="00012131">
      <w:pPr>
        <w:spacing w:before="400"/>
        <w:rPr>
          <w:rFonts w:ascii="Century Gothic" w:hAnsi="Century Gothic"/>
          <w:lang w:val="en-GB"/>
        </w:rPr>
      </w:pPr>
      <w:r>
        <w:rPr>
          <w:rFonts w:ascii="Century Gothic" w:hAnsi="Century Gothic"/>
          <w:lang w:val="en-GB"/>
        </w:rPr>
        <w:lastRenderedPageBreak/>
        <w:t xml:space="preserve">As APA has noted in its submission supporting the VTS Access Arrangement revisions proposal, the annual updating of the inflation series in the PTRM is intended to bring into alignment depreciation calculated in the PTRM, and the </w:t>
      </w:r>
      <w:r w:rsidR="00277CBC">
        <w:rPr>
          <w:rFonts w:ascii="Century Gothic" w:hAnsi="Century Gothic"/>
          <w:lang w:val="en-GB"/>
        </w:rPr>
        <w:t xml:space="preserve">recovery </w:t>
      </w:r>
      <w:r w:rsidR="001803CE">
        <w:rPr>
          <w:rFonts w:ascii="Century Gothic" w:hAnsi="Century Gothic"/>
          <w:lang w:val="en-GB"/>
        </w:rPr>
        <w:t>of capital</w:t>
      </w:r>
      <w:r>
        <w:rPr>
          <w:rFonts w:ascii="Century Gothic" w:hAnsi="Century Gothic"/>
          <w:lang w:val="en-GB"/>
        </w:rPr>
        <w:t xml:space="preserve"> effected by inclusion of that depreciation in total revenue and reference tariff calculation</w:t>
      </w:r>
      <w:r w:rsidR="006D0578">
        <w:rPr>
          <w:rFonts w:ascii="Century Gothic" w:hAnsi="Century Gothic"/>
          <w:lang w:val="en-GB"/>
        </w:rPr>
        <w:t>,</w:t>
      </w:r>
      <w:r>
        <w:rPr>
          <w:rFonts w:ascii="Century Gothic" w:hAnsi="Century Gothic"/>
          <w:lang w:val="en-GB"/>
        </w:rPr>
        <w:t xml:space="preserve"> with the </w:t>
      </w:r>
      <w:r w:rsidR="00C72410">
        <w:rPr>
          <w:rFonts w:ascii="Century Gothic" w:hAnsi="Century Gothic"/>
          <w:lang w:val="en-GB"/>
        </w:rPr>
        <w:t xml:space="preserve">depreciation recovered through revenue </w:t>
      </w:r>
      <w:r w:rsidR="006D0578">
        <w:rPr>
          <w:rFonts w:ascii="Century Gothic" w:hAnsi="Century Gothic"/>
          <w:lang w:val="en-GB"/>
        </w:rPr>
        <w:t>assu</w:t>
      </w:r>
      <w:r w:rsidR="00440687">
        <w:rPr>
          <w:rFonts w:ascii="Century Gothic" w:hAnsi="Century Gothic"/>
          <w:lang w:val="en-GB"/>
        </w:rPr>
        <w:t xml:space="preserve">med in the </w:t>
      </w:r>
      <w:r w:rsidR="001803CE">
        <w:rPr>
          <w:rFonts w:ascii="Century Gothic" w:hAnsi="Century Gothic"/>
          <w:lang w:val="en-GB"/>
        </w:rPr>
        <w:t>RFM</w:t>
      </w:r>
      <w:r w:rsidR="00440687">
        <w:rPr>
          <w:rFonts w:ascii="Century Gothic" w:hAnsi="Century Gothic"/>
          <w:lang w:val="en-GB"/>
        </w:rPr>
        <w:t>.</w:t>
      </w:r>
    </w:p>
    <w:p w:rsidR="00CD269B" w:rsidRDefault="006D0578" w:rsidP="00012131">
      <w:pPr>
        <w:spacing w:before="400"/>
        <w:rPr>
          <w:rFonts w:ascii="Century Gothic" w:hAnsi="Century Gothic"/>
          <w:lang w:val="en-GB"/>
        </w:rPr>
      </w:pPr>
      <w:r>
        <w:rPr>
          <w:rFonts w:ascii="Century Gothic" w:hAnsi="Century Gothic"/>
          <w:lang w:val="en-GB"/>
        </w:rPr>
        <w:t xml:space="preserve">If the depreciation in the </w:t>
      </w:r>
      <w:r w:rsidR="00440687">
        <w:rPr>
          <w:rFonts w:ascii="Century Gothic" w:hAnsi="Century Gothic"/>
          <w:lang w:val="en-GB"/>
        </w:rPr>
        <w:t>RFM and the PTRM</w:t>
      </w:r>
      <w:r>
        <w:rPr>
          <w:rFonts w:ascii="Century Gothic" w:hAnsi="Century Gothic"/>
          <w:lang w:val="en-GB"/>
        </w:rPr>
        <w:t xml:space="preserve"> </w:t>
      </w:r>
      <w:r w:rsidR="005C5ED3">
        <w:rPr>
          <w:rFonts w:ascii="Century Gothic" w:hAnsi="Century Gothic"/>
          <w:lang w:val="en-GB"/>
        </w:rPr>
        <w:t>are</w:t>
      </w:r>
      <w:r>
        <w:rPr>
          <w:rFonts w:ascii="Century Gothic" w:hAnsi="Century Gothic"/>
          <w:lang w:val="en-GB"/>
        </w:rPr>
        <w:t xml:space="preserve"> not aligned</w:t>
      </w:r>
      <w:r w:rsidR="00440687">
        <w:rPr>
          <w:rFonts w:ascii="Century Gothic" w:hAnsi="Century Gothic"/>
          <w:lang w:val="en-GB"/>
        </w:rPr>
        <w:t>,</w:t>
      </w:r>
      <w:r>
        <w:rPr>
          <w:rFonts w:ascii="Century Gothic" w:hAnsi="Century Gothic"/>
          <w:lang w:val="en-GB"/>
        </w:rPr>
        <w:t xml:space="preserve"> there will be either an </w:t>
      </w:r>
      <w:r w:rsidRPr="006D0578">
        <w:rPr>
          <w:rFonts w:ascii="Century Gothic" w:hAnsi="Century Gothic"/>
          <w:lang w:val="en-GB"/>
        </w:rPr>
        <w:t xml:space="preserve">over-recovery or under-recovery of the service provider’s investment in the VTS.  Neither over-recovery, nor under-recovery, is conducive to future efficient investment in the pipeline system, or to the efficient operation and use of the system.  Neither </w:t>
      </w:r>
      <w:r w:rsidR="00ED0DD2">
        <w:rPr>
          <w:rFonts w:ascii="Century Gothic" w:hAnsi="Century Gothic"/>
          <w:lang w:val="en-GB"/>
        </w:rPr>
        <w:t>ove</w:t>
      </w:r>
      <w:r w:rsidR="004F22E9">
        <w:rPr>
          <w:rFonts w:ascii="Century Gothic" w:hAnsi="Century Gothic"/>
          <w:lang w:val="en-GB"/>
        </w:rPr>
        <w:t xml:space="preserve">r-recovery nor </w:t>
      </w:r>
      <w:r w:rsidR="00ED0DD2">
        <w:rPr>
          <w:rFonts w:ascii="Century Gothic" w:hAnsi="Century Gothic"/>
          <w:lang w:val="en-GB"/>
        </w:rPr>
        <w:t>under</w:t>
      </w:r>
      <w:r w:rsidR="004F22E9">
        <w:rPr>
          <w:rFonts w:ascii="Century Gothic" w:hAnsi="Century Gothic"/>
          <w:lang w:val="en-GB"/>
        </w:rPr>
        <w:t>-recovery of capital is</w:t>
      </w:r>
      <w:r w:rsidRPr="006D0578">
        <w:rPr>
          <w:rFonts w:ascii="Century Gothic" w:hAnsi="Century Gothic"/>
          <w:lang w:val="en-GB"/>
        </w:rPr>
        <w:t xml:space="preserve"> in the long term interests of consumers of natural gas.</w:t>
      </w:r>
      <w:r>
        <w:rPr>
          <w:rFonts w:ascii="Century Gothic" w:hAnsi="Century Gothic"/>
          <w:lang w:val="en-GB"/>
        </w:rPr>
        <w:t xml:space="preserve">  Relative to the current practice of </w:t>
      </w:r>
      <w:r w:rsidR="00337DA8">
        <w:rPr>
          <w:rFonts w:ascii="Century Gothic" w:hAnsi="Century Gothic"/>
          <w:lang w:val="en-GB"/>
        </w:rPr>
        <w:t>adopting an inflation forecast in the PTRM</w:t>
      </w:r>
      <w:r w:rsidR="00ED0DD2">
        <w:rPr>
          <w:rFonts w:ascii="Century Gothic" w:hAnsi="Century Gothic"/>
          <w:lang w:val="en-GB"/>
        </w:rPr>
        <w:t>,</w:t>
      </w:r>
      <w:r w:rsidR="00337DA8">
        <w:rPr>
          <w:rFonts w:ascii="Century Gothic" w:hAnsi="Century Gothic"/>
          <w:lang w:val="en-GB"/>
        </w:rPr>
        <w:t xml:space="preserve"> and actual inflation in the RFM, APA’s proposal promotes the NGO.</w:t>
      </w:r>
    </w:p>
    <w:p w:rsidR="005C5ED3" w:rsidRDefault="005C5ED3" w:rsidP="00E65B48">
      <w:pPr>
        <w:rPr>
          <w:rFonts w:ascii="Century Gothic" w:hAnsi="Century Gothic"/>
          <w:lang w:val="en-GB"/>
        </w:rPr>
      </w:pPr>
      <w:r>
        <w:rPr>
          <w:rFonts w:ascii="Century Gothic" w:hAnsi="Century Gothic"/>
          <w:lang w:val="en-GB"/>
        </w:rPr>
        <w:t>APA has proposed to align depreciation in the RFM and the PTRM by using, in the PTRM, for the indexation of the capital base and the calculation of depreciation, a series of, effectively, actual inflation rates, which will vary over time.</w:t>
      </w:r>
    </w:p>
    <w:p w:rsidR="005C65F4" w:rsidRDefault="00987B8C" w:rsidP="005C65F4">
      <w:pPr>
        <w:spacing w:after="400"/>
        <w:rPr>
          <w:rFonts w:ascii="Century Gothic" w:hAnsi="Century Gothic"/>
          <w:lang w:val="en-GB"/>
        </w:rPr>
      </w:pPr>
      <w:r>
        <w:rPr>
          <w:rFonts w:ascii="Century Gothic" w:hAnsi="Century Gothic"/>
          <w:lang w:val="en-GB"/>
        </w:rPr>
        <w:t>T</w:t>
      </w:r>
      <w:r w:rsidR="004F22E9">
        <w:rPr>
          <w:rFonts w:ascii="Century Gothic" w:hAnsi="Century Gothic"/>
          <w:lang w:val="en-GB"/>
        </w:rPr>
        <w:t>he NGR require</w:t>
      </w:r>
      <w:r w:rsidR="001D261D">
        <w:rPr>
          <w:rFonts w:ascii="Century Gothic" w:hAnsi="Century Gothic"/>
          <w:lang w:val="en-GB"/>
        </w:rPr>
        <w:t xml:space="preserve"> that</w:t>
      </w:r>
      <w:r w:rsidR="004F22E9">
        <w:rPr>
          <w:rFonts w:ascii="Century Gothic" w:hAnsi="Century Gothic"/>
          <w:lang w:val="en-GB"/>
        </w:rPr>
        <w:t xml:space="preserve"> </w:t>
      </w:r>
      <w:r w:rsidR="001D261D">
        <w:rPr>
          <w:rFonts w:ascii="Century Gothic" w:hAnsi="Century Gothic"/>
          <w:lang w:val="en-GB"/>
        </w:rPr>
        <w:t xml:space="preserve">the nominal rates of return on equity and debt used to </w:t>
      </w:r>
      <w:r w:rsidR="001D261D" w:rsidRPr="00277CBC">
        <w:rPr>
          <w:rFonts w:ascii="Century Gothic" w:hAnsi="Century Gothic"/>
          <w:lang w:val="en-GB"/>
        </w:rPr>
        <w:t xml:space="preserve">estimate the allowed rate of return </w:t>
      </w:r>
      <w:r w:rsidRPr="00277CBC">
        <w:rPr>
          <w:rFonts w:ascii="Century Gothic" w:hAnsi="Century Gothic"/>
          <w:lang w:val="en-GB"/>
        </w:rPr>
        <w:t>be estimated in such</w:t>
      </w:r>
      <w:r w:rsidR="004F22E9" w:rsidRPr="00277CBC">
        <w:rPr>
          <w:rFonts w:ascii="Century Gothic" w:hAnsi="Century Gothic"/>
          <w:lang w:val="en-GB"/>
        </w:rPr>
        <w:t xml:space="preserve"> way</w:t>
      </w:r>
      <w:r w:rsidR="001803CE" w:rsidRPr="00277CBC">
        <w:rPr>
          <w:rFonts w:ascii="Century Gothic" w:hAnsi="Century Gothic"/>
          <w:lang w:val="en-GB"/>
        </w:rPr>
        <w:t>s</w:t>
      </w:r>
      <w:r w:rsidRPr="00277CBC">
        <w:rPr>
          <w:rFonts w:ascii="Century Gothic" w:hAnsi="Century Gothic"/>
          <w:lang w:val="en-GB"/>
        </w:rPr>
        <w:t xml:space="preserve"> that they contribute to</w:t>
      </w:r>
      <w:r w:rsidR="001D261D" w:rsidRPr="00277CBC">
        <w:rPr>
          <w:rFonts w:ascii="Century Gothic" w:hAnsi="Century Gothic"/>
          <w:lang w:val="en-GB"/>
        </w:rPr>
        <w:t xml:space="preserve"> the achievement of the ARORO.</w:t>
      </w:r>
      <w:r w:rsidR="001803CE" w:rsidRPr="00277CBC">
        <w:rPr>
          <w:rFonts w:ascii="Century Gothic" w:hAnsi="Century Gothic"/>
          <w:lang w:val="en-GB"/>
        </w:rPr>
        <w:t xml:space="preserve">  </w:t>
      </w:r>
      <w:r w:rsidR="00121253" w:rsidRPr="00277CBC">
        <w:rPr>
          <w:rFonts w:ascii="Century Gothic" w:hAnsi="Century Gothic"/>
          <w:lang w:val="en-GB"/>
        </w:rPr>
        <w:t>This approach</w:t>
      </w:r>
      <w:r w:rsidR="006B1381" w:rsidRPr="00277CBC">
        <w:rPr>
          <w:rFonts w:ascii="Century Gothic" w:hAnsi="Century Gothic"/>
          <w:lang w:val="en-GB"/>
        </w:rPr>
        <w:t xml:space="preserve"> </w:t>
      </w:r>
      <w:r w:rsidR="00277CBC" w:rsidRPr="00277CBC">
        <w:rPr>
          <w:rFonts w:ascii="Century Gothic" w:hAnsi="Century Gothic"/>
          <w:lang w:val="en-GB"/>
        </w:rPr>
        <w:t xml:space="preserve">(which does not consider inflation as an input) is adopted by the AER in its </w:t>
      </w:r>
      <w:r w:rsidR="006B1381" w:rsidRPr="00277CBC">
        <w:rPr>
          <w:rFonts w:ascii="Century Gothic" w:hAnsi="Century Gothic"/>
          <w:lang w:val="en-GB"/>
        </w:rPr>
        <w:t>Rate of Return Guideline</w:t>
      </w:r>
      <w:r w:rsidR="00121253" w:rsidRPr="00277CBC">
        <w:rPr>
          <w:rFonts w:ascii="Century Gothic" w:hAnsi="Century Gothic"/>
          <w:lang w:val="en-GB"/>
        </w:rPr>
        <w:t>, which APA considers promote</w:t>
      </w:r>
      <w:r w:rsidR="00277CBC" w:rsidRPr="00277CBC">
        <w:rPr>
          <w:rFonts w:ascii="Century Gothic" w:hAnsi="Century Gothic"/>
          <w:lang w:val="en-GB"/>
        </w:rPr>
        <w:t>s</w:t>
      </w:r>
      <w:r w:rsidR="00121253" w:rsidRPr="00277CBC">
        <w:rPr>
          <w:rFonts w:ascii="Century Gothic" w:hAnsi="Century Gothic"/>
          <w:lang w:val="en-GB"/>
        </w:rPr>
        <w:t xml:space="preserve"> the ARORO, and which APA has </w:t>
      </w:r>
      <w:r w:rsidR="00277CBC">
        <w:rPr>
          <w:rFonts w:ascii="Century Gothic" w:hAnsi="Century Gothic"/>
          <w:lang w:val="en-GB"/>
        </w:rPr>
        <w:t xml:space="preserve">itself </w:t>
      </w:r>
      <w:r w:rsidR="00121253" w:rsidRPr="00277CBC">
        <w:rPr>
          <w:rFonts w:ascii="Century Gothic" w:hAnsi="Century Gothic"/>
          <w:lang w:val="en-GB"/>
        </w:rPr>
        <w:t>adopted.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17176" w:rsidTr="000323D4">
        <w:tc>
          <w:tcPr>
            <w:tcW w:w="9242" w:type="dxa"/>
            <w:shd w:val="clear" w:color="auto" w:fill="EEECE1" w:themeFill="background2"/>
            <w:vAlign w:val="center"/>
          </w:tcPr>
          <w:p w:rsidR="00017176" w:rsidRPr="00017176" w:rsidRDefault="00F14CE8" w:rsidP="000323D4">
            <w:pPr>
              <w:spacing w:before="120" w:after="120"/>
              <w:rPr>
                <w:rFonts w:ascii="Century Gothic" w:hAnsi="Century Gothic"/>
                <w:lang w:val="en-GB"/>
              </w:rPr>
            </w:pPr>
            <w:r>
              <w:rPr>
                <w:rFonts w:ascii="Century Gothic" w:hAnsi="Century Gothic"/>
                <w:b/>
                <w:lang w:val="en-GB"/>
              </w:rPr>
              <w:t xml:space="preserve">3.3(a)  </w:t>
            </w:r>
            <w:r w:rsidR="00017176">
              <w:rPr>
                <w:rFonts w:ascii="Century Gothic" w:hAnsi="Century Gothic"/>
                <w:b/>
                <w:lang w:val="en-GB"/>
              </w:rPr>
              <w:t>Lags in inflation measures</w:t>
            </w:r>
          </w:p>
          <w:p w:rsidR="00017176" w:rsidRPr="00017176" w:rsidRDefault="00017176" w:rsidP="00017176">
            <w:pPr>
              <w:spacing w:before="120" w:after="120"/>
              <w:rPr>
                <w:rFonts w:ascii="Century Gothic" w:hAnsi="Century Gothic"/>
                <w:lang w:val="en-GB"/>
              </w:rPr>
            </w:pPr>
            <w:r w:rsidRPr="00017176">
              <w:rPr>
                <w:rFonts w:ascii="Century Gothic" w:hAnsi="Century Gothic"/>
                <w:lang w:val="en-GB"/>
              </w:rPr>
              <w:t xml:space="preserve">Does APA propose to replace 2018 forecast inflation with 2018 actual inflation (an </w:t>
            </w:r>
            <w:proofErr w:type="spellStart"/>
            <w:r w:rsidRPr="00017176">
              <w:rPr>
                <w:rFonts w:ascii="Century Gothic" w:hAnsi="Century Gothic"/>
                <w:lang w:val="en-GB"/>
              </w:rPr>
              <w:t>unlagged</w:t>
            </w:r>
            <w:proofErr w:type="spellEnd"/>
            <w:r w:rsidRPr="00017176">
              <w:rPr>
                <w:rFonts w:ascii="Century Gothic" w:hAnsi="Century Gothic"/>
                <w:lang w:val="en-GB"/>
              </w:rPr>
              <w:t xml:space="preserve"> actual inflation series in the PTRM), or does APA propose to replace 2019 forecast inflation with 2018 actual inflation (a one year lagged actual inflation series in the PTRM)?</w:t>
            </w:r>
          </w:p>
        </w:tc>
      </w:tr>
    </w:tbl>
    <w:p w:rsidR="00017176" w:rsidRDefault="00F0389D" w:rsidP="00093811">
      <w:pPr>
        <w:spacing w:before="400"/>
        <w:rPr>
          <w:rFonts w:ascii="Century Gothic" w:hAnsi="Century Gothic"/>
          <w:lang w:val="en-GB"/>
        </w:rPr>
      </w:pPr>
      <w:r>
        <w:rPr>
          <w:rFonts w:ascii="Century Gothic" w:hAnsi="Century Gothic"/>
          <w:lang w:val="en-GB"/>
        </w:rPr>
        <w:t xml:space="preserve">APA </w:t>
      </w:r>
      <w:r w:rsidR="005C65F4">
        <w:rPr>
          <w:rFonts w:ascii="Century Gothic" w:hAnsi="Century Gothic"/>
          <w:lang w:val="en-GB"/>
        </w:rPr>
        <w:t xml:space="preserve">VTS </w:t>
      </w:r>
      <w:r>
        <w:rPr>
          <w:rFonts w:ascii="Century Gothic" w:hAnsi="Century Gothic"/>
          <w:lang w:val="en-GB"/>
        </w:rPr>
        <w:t>does not propose to replace the 2018 forecast of inflation used in the PTRM with 2018 actual inflation.</w:t>
      </w:r>
    </w:p>
    <w:p w:rsidR="00F0389D" w:rsidRDefault="00F0389D" w:rsidP="00A106A9">
      <w:pPr>
        <w:rPr>
          <w:rFonts w:ascii="Century Gothic" w:hAnsi="Century Gothic"/>
          <w:lang w:val="en-GB"/>
        </w:rPr>
      </w:pPr>
      <w:r>
        <w:rPr>
          <w:rFonts w:ascii="Century Gothic" w:hAnsi="Century Gothic"/>
          <w:lang w:val="en-GB"/>
        </w:rPr>
        <w:t xml:space="preserve">APA </w:t>
      </w:r>
      <w:r w:rsidR="005C65F4">
        <w:rPr>
          <w:rFonts w:ascii="Century Gothic" w:hAnsi="Century Gothic"/>
          <w:lang w:val="en-GB"/>
        </w:rPr>
        <w:t xml:space="preserve">VTS </w:t>
      </w:r>
      <w:r>
        <w:rPr>
          <w:rFonts w:ascii="Century Gothic" w:hAnsi="Century Gothic"/>
          <w:lang w:val="en-GB"/>
        </w:rPr>
        <w:t xml:space="preserve">has proposed that, prior to a final decision on the VTS Access </w:t>
      </w:r>
      <w:r w:rsidR="005C65F4">
        <w:rPr>
          <w:rFonts w:ascii="Century Gothic" w:hAnsi="Century Gothic"/>
          <w:lang w:val="en-GB"/>
        </w:rPr>
        <w:t>A</w:t>
      </w:r>
      <w:r>
        <w:rPr>
          <w:rFonts w:ascii="Century Gothic" w:hAnsi="Century Gothic"/>
          <w:lang w:val="en-GB"/>
        </w:rPr>
        <w:t xml:space="preserve">rrangement revision proposal, the forecast of inflation be updated to be the actual inflation measured as the </w:t>
      </w:r>
      <w:r w:rsidRPr="00F0389D">
        <w:rPr>
          <w:rFonts w:ascii="Century Gothic" w:hAnsi="Century Gothic"/>
          <w:lang w:val="en-GB"/>
        </w:rPr>
        <w:t xml:space="preserve">year-on-year change in the CPI </w:t>
      </w:r>
      <w:r>
        <w:rPr>
          <w:rFonts w:ascii="Century Gothic" w:hAnsi="Century Gothic"/>
          <w:lang w:val="en-GB"/>
        </w:rPr>
        <w:t>to the June quarter</w:t>
      </w:r>
      <w:r w:rsidRPr="00F0389D">
        <w:rPr>
          <w:rFonts w:ascii="Century Gothic" w:hAnsi="Century Gothic"/>
          <w:lang w:val="en-GB"/>
        </w:rPr>
        <w:t xml:space="preserve"> 2017</w:t>
      </w:r>
      <w:r>
        <w:rPr>
          <w:rFonts w:ascii="Century Gothic" w:hAnsi="Century Gothic"/>
          <w:lang w:val="en-GB"/>
        </w:rPr>
        <w:t>.</w:t>
      </w:r>
    </w:p>
    <w:p w:rsidR="00F0389D" w:rsidRDefault="00F0389D" w:rsidP="00A106A9">
      <w:pPr>
        <w:rPr>
          <w:rFonts w:ascii="Century Gothic" w:hAnsi="Century Gothic"/>
          <w:lang w:val="en-GB"/>
        </w:rPr>
      </w:pPr>
      <w:r>
        <w:rPr>
          <w:rFonts w:ascii="Century Gothic" w:hAnsi="Century Gothic"/>
          <w:lang w:val="en-GB"/>
        </w:rPr>
        <w:t>When the reference tariff is to be varied, in 2018, for effect from 1 January 2019:</w:t>
      </w:r>
    </w:p>
    <w:p w:rsidR="00F0389D" w:rsidRDefault="009516D6" w:rsidP="009516D6">
      <w:pPr>
        <w:ind w:left="567" w:hanging="567"/>
        <w:rPr>
          <w:rFonts w:ascii="Century Gothic" w:hAnsi="Century Gothic"/>
          <w:lang w:val="en-GB"/>
        </w:rPr>
      </w:pPr>
      <w:r>
        <w:rPr>
          <w:rFonts w:ascii="Century Gothic" w:hAnsi="Century Gothic"/>
          <w:lang w:val="en-GB"/>
        </w:rPr>
        <w:t>(a)</w:t>
      </w:r>
      <w:r>
        <w:rPr>
          <w:rFonts w:ascii="Century Gothic" w:hAnsi="Century Gothic"/>
          <w:lang w:val="en-GB"/>
        </w:rPr>
        <w:tab/>
      </w:r>
      <w:proofErr w:type="gramStart"/>
      <w:r w:rsidR="00F0389D">
        <w:rPr>
          <w:rFonts w:ascii="Century Gothic" w:hAnsi="Century Gothic"/>
          <w:lang w:val="en-GB"/>
        </w:rPr>
        <w:t>the</w:t>
      </w:r>
      <w:proofErr w:type="gramEnd"/>
      <w:r w:rsidR="00F0389D">
        <w:rPr>
          <w:rFonts w:ascii="Century Gothic" w:hAnsi="Century Gothic"/>
          <w:lang w:val="en-GB"/>
        </w:rPr>
        <w:t xml:space="preserve"> inflation for 2018 would not be varied;</w:t>
      </w:r>
      <w:r>
        <w:rPr>
          <w:rFonts w:ascii="Century Gothic" w:hAnsi="Century Gothic"/>
          <w:lang w:val="en-GB"/>
        </w:rPr>
        <w:t xml:space="preserve"> and</w:t>
      </w:r>
    </w:p>
    <w:p w:rsidR="00F0389D" w:rsidRDefault="009516D6" w:rsidP="009516D6">
      <w:pPr>
        <w:ind w:left="567" w:hanging="567"/>
        <w:rPr>
          <w:rFonts w:ascii="Century Gothic" w:hAnsi="Century Gothic"/>
          <w:lang w:val="en-GB"/>
        </w:rPr>
      </w:pPr>
      <w:r>
        <w:rPr>
          <w:rFonts w:ascii="Century Gothic" w:hAnsi="Century Gothic"/>
          <w:lang w:val="en-GB"/>
        </w:rPr>
        <w:lastRenderedPageBreak/>
        <w:t>(b)</w:t>
      </w:r>
      <w:r>
        <w:rPr>
          <w:rFonts w:ascii="Century Gothic" w:hAnsi="Century Gothic"/>
          <w:lang w:val="en-GB"/>
        </w:rPr>
        <w:tab/>
      </w:r>
      <w:proofErr w:type="gramStart"/>
      <w:r w:rsidR="00F0389D">
        <w:rPr>
          <w:rFonts w:ascii="Century Gothic" w:hAnsi="Century Gothic"/>
          <w:lang w:val="en-GB"/>
        </w:rPr>
        <w:t>the</w:t>
      </w:r>
      <w:proofErr w:type="gramEnd"/>
      <w:r w:rsidR="00F0389D">
        <w:rPr>
          <w:rFonts w:ascii="Century Gothic" w:hAnsi="Century Gothic"/>
          <w:lang w:val="en-GB"/>
        </w:rPr>
        <w:t xml:space="preserve"> inflation for 2019 (and for the future years of the access arrangement period) would be the actual inflation measured as the </w:t>
      </w:r>
      <w:r w:rsidR="00F0389D" w:rsidRPr="00F0389D">
        <w:rPr>
          <w:rFonts w:ascii="Century Gothic" w:hAnsi="Century Gothic"/>
          <w:lang w:val="en-GB"/>
        </w:rPr>
        <w:t xml:space="preserve">year-on-year change in the CPI </w:t>
      </w:r>
      <w:r w:rsidR="00F0389D">
        <w:rPr>
          <w:rFonts w:ascii="Century Gothic" w:hAnsi="Century Gothic"/>
          <w:lang w:val="en-GB"/>
        </w:rPr>
        <w:t>to the June quarter</w:t>
      </w:r>
      <w:r w:rsidR="00F0389D" w:rsidRPr="00F0389D">
        <w:rPr>
          <w:rFonts w:ascii="Century Gothic" w:hAnsi="Century Gothic"/>
          <w:lang w:val="en-GB"/>
        </w:rPr>
        <w:t xml:space="preserve"> 201</w:t>
      </w:r>
      <w:r w:rsidR="00F0389D">
        <w:rPr>
          <w:rFonts w:ascii="Century Gothic" w:hAnsi="Century Gothic"/>
          <w:lang w:val="en-GB"/>
        </w:rPr>
        <w:t>8.</w:t>
      </w:r>
    </w:p>
    <w:p w:rsidR="00017176" w:rsidRDefault="009516D6" w:rsidP="009516D6">
      <w:pPr>
        <w:spacing w:after="400"/>
        <w:rPr>
          <w:rFonts w:ascii="Century Gothic" w:hAnsi="Century Gothic"/>
          <w:lang w:val="en-GB"/>
        </w:rPr>
      </w:pPr>
      <w:r>
        <w:rPr>
          <w:rFonts w:ascii="Century Gothic" w:hAnsi="Century Gothic"/>
          <w:lang w:val="en-GB"/>
        </w:rPr>
        <w:t xml:space="preserve">APA proposes, in effect, to use </w:t>
      </w:r>
      <w:r w:rsidRPr="00017176">
        <w:rPr>
          <w:rFonts w:ascii="Century Gothic" w:hAnsi="Century Gothic"/>
          <w:lang w:val="en-GB"/>
        </w:rPr>
        <w:t>a one year lagged actual inflation series in the PTRM</w:t>
      </w:r>
      <w:r>
        <w:rPr>
          <w:rFonts w:ascii="Century Gothic" w:hAnsi="Century Gothic"/>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17176" w:rsidTr="000323D4">
        <w:tc>
          <w:tcPr>
            <w:tcW w:w="9242" w:type="dxa"/>
            <w:shd w:val="clear" w:color="auto" w:fill="EEECE1" w:themeFill="background2"/>
            <w:vAlign w:val="center"/>
          </w:tcPr>
          <w:p w:rsidR="00017176" w:rsidRPr="00017176" w:rsidRDefault="00F14CE8" w:rsidP="000323D4">
            <w:pPr>
              <w:spacing w:before="120" w:after="120"/>
              <w:rPr>
                <w:rFonts w:ascii="Century Gothic" w:hAnsi="Century Gothic"/>
                <w:lang w:val="en-GB"/>
              </w:rPr>
            </w:pPr>
            <w:r>
              <w:rPr>
                <w:rFonts w:ascii="Century Gothic" w:hAnsi="Century Gothic"/>
                <w:b/>
                <w:lang w:val="en-GB"/>
              </w:rPr>
              <w:t xml:space="preserve">3.3(b)  </w:t>
            </w:r>
            <w:r w:rsidR="00017176">
              <w:rPr>
                <w:rFonts w:ascii="Century Gothic" w:hAnsi="Century Gothic"/>
                <w:b/>
                <w:lang w:val="en-GB"/>
              </w:rPr>
              <w:t>Lags in inflation measures</w:t>
            </w:r>
          </w:p>
          <w:p w:rsidR="00017176" w:rsidRPr="00017176" w:rsidRDefault="00017176" w:rsidP="000323D4">
            <w:pPr>
              <w:spacing w:before="120" w:after="120"/>
              <w:rPr>
                <w:rFonts w:ascii="Century Gothic" w:hAnsi="Century Gothic"/>
                <w:lang w:val="en-GB"/>
              </w:rPr>
            </w:pPr>
            <w:r w:rsidRPr="00017176">
              <w:rPr>
                <w:rFonts w:ascii="Century Gothic" w:hAnsi="Century Gothic"/>
                <w:lang w:val="en-GB"/>
              </w:rPr>
              <w:t xml:space="preserve">The AER’s template RFM applies a ‘partially lagged’ approach to adjust for actual inflation outcomes—that is, it applies one year lagged actual inflation to some components within the RFM, and </w:t>
            </w:r>
            <w:proofErr w:type="spellStart"/>
            <w:r w:rsidRPr="00017176">
              <w:rPr>
                <w:rFonts w:ascii="Century Gothic" w:hAnsi="Century Gothic"/>
                <w:lang w:val="en-GB"/>
              </w:rPr>
              <w:t>unlagged</w:t>
            </w:r>
            <w:proofErr w:type="spellEnd"/>
            <w:r w:rsidRPr="00017176">
              <w:rPr>
                <w:rFonts w:ascii="Century Gothic" w:hAnsi="Century Gothic"/>
                <w:lang w:val="en-GB"/>
              </w:rPr>
              <w:t xml:space="preserve"> actual inflation to other components. APA’s VTS access arrangement proposal includes a proposed RFM for the 2013–17 access arrangement </w:t>
            </w:r>
            <w:proofErr w:type="gramStart"/>
            <w:r w:rsidRPr="00017176">
              <w:rPr>
                <w:rFonts w:ascii="Century Gothic" w:hAnsi="Century Gothic"/>
                <w:lang w:val="en-GB"/>
              </w:rPr>
              <w:t>period</w:t>
            </w:r>
            <w:proofErr w:type="gramEnd"/>
            <w:r w:rsidRPr="00017176">
              <w:rPr>
                <w:rFonts w:ascii="Century Gothic" w:hAnsi="Century Gothic"/>
                <w:lang w:val="en-GB"/>
              </w:rPr>
              <w:t xml:space="preserve"> that uses forecast inflation (not actual inflation outcomes). Please clarify whether APA does not intend to use forecast inflation in the RFM for the 2018–22 period, when this is submitted at the next access arrangement review.</w:t>
            </w:r>
          </w:p>
        </w:tc>
      </w:tr>
    </w:tbl>
    <w:p w:rsidR="00017176" w:rsidRDefault="00BD3CF2" w:rsidP="00BD3CF2">
      <w:pPr>
        <w:spacing w:before="400"/>
        <w:rPr>
          <w:rFonts w:ascii="Century Gothic" w:hAnsi="Century Gothic"/>
          <w:lang w:val="en-GB"/>
        </w:rPr>
      </w:pPr>
      <w:r>
        <w:rPr>
          <w:rFonts w:ascii="Century Gothic" w:hAnsi="Century Gothic"/>
          <w:lang w:val="en-GB"/>
        </w:rPr>
        <w:t>APA’s use of forecast inflation (and not actual inflation ou</w:t>
      </w:r>
      <w:r w:rsidR="002D3984">
        <w:rPr>
          <w:rFonts w:ascii="Century Gothic" w:hAnsi="Century Gothic"/>
          <w:lang w:val="en-GB"/>
        </w:rPr>
        <w:t>tcomes) in the RFM for 2013-2017</w:t>
      </w:r>
      <w:r>
        <w:rPr>
          <w:rFonts w:ascii="Century Gothic" w:hAnsi="Century Gothic"/>
          <w:lang w:val="en-GB"/>
        </w:rPr>
        <w:t xml:space="preserve"> has the purpose of aligning </w:t>
      </w:r>
      <w:r w:rsidR="00277CBC">
        <w:rPr>
          <w:rFonts w:ascii="Century Gothic" w:hAnsi="Century Gothic"/>
          <w:lang w:val="en-GB"/>
        </w:rPr>
        <w:t xml:space="preserve">depreciation recovered through revenue </w:t>
      </w:r>
      <w:r>
        <w:rPr>
          <w:rFonts w:ascii="Century Gothic" w:hAnsi="Century Gothic"/>
          <w:lang w:val="en-GB"/>
        </w:rPr>
        <w:t xml:space="preserve">in the RFM with the </w:t>
      </w:r>
      <w:r w:rsidR="00277CBC">
        <w:rPr>
          <w:rFonts w:ascii="Century Gothic" w:hAnsi="Century Gothic"/>
          <w:lang w:val="en-GB"/>
        </w:rPr>
        <w:t xml:space="preserve">recovery of depreciation </w:t>
      </w:r>
      <w:r>
        <w:rPr>
          <w:rFonts w:ascii="Century Gothic" w:hAnsi="Century Gothic"/>
          <w:lang w:val="en-GB"/>
        </w:rPr>
        <w:t>via the reference tariffs set for the period 2013-2017.</w:t>
      </w:r>
      <w:r w:rsidR="001021DF">
        <w:rPr>
          <w:rFonts w:ascii="Century Gothic" w:hAnsi="Century Gothic"/>
          <w:lang w:val="en-GB"/>
        </w:rPr>
        <w:t xml:space="preserve"> It is a transitional measure.</w:t>
      </w:r>
    </w:p>
    <w:p w:rsidR="009B31A6" w:rsidRDefault="00BD3CF2" w:rsidP="009B31A6">
      <w:pPr>
        <w:rPr>
          <w:rFonts w:ascii="Century Gothic" w:hAnsi="Century Gothic"/>
          <w:lang w:val="en-GB"/>
        </w:rPr>
      </w:pPr>
      <w:r>
        <w:rPr>
          <w:rFonts w:ascii="Century Gothic" w:hAnsi="Century Gothic"/>
          <w:lang w:val="en-GB"/>
        </w:rPr>
        <w:t xml:space="preserve">APA’s proposed updating of inflation in the PTRM during the period 2018-22 is, then, intended to ensure that </w:t>
      </w:r>
      <w:r w:rsidR="00277CBC">
        <w:rPr>
          <w:rFonts w:ascii="Century Gothic" w:hAnsi="Century Gothic"/>
          <w:lang w:val="en-GB"/>
        </w:rPr>
        <w:t>recovery of depreciation</w:t>
      </w:r>
      <w:r>
        <w:rPr>
          <w:rFonts w:ascii="Century Gothic" w:hAnsi="Century Gothic"/>
          <w:lang w:val="en-GB"/>
        </w:rPr>
        <w:t xml:space="preserve"> via the reference tariffs during that period will be approximately equal to the </w:t>
      </w:r>
      <w:r w:rsidR="00277CBC">
        <w:rPr>
          <w:rFonts w:ascii="Century Gothic" w:hAnsi="Century Gothic"/>
          <w:lang w:val="en-GB"/>
        </w:rPr>
        <w:t>depreciation recovered through revenue</w:t>
      </w:r>
      <w:r>
        <w:rPr>
          <w:rFonts w:ascii="Century Gothic" w:hAnsi="Century Gothic"/>
          <w:lang w:val="en-GB"/>
        </w:rPr>
        <w:t xml:space="preserve"> in </w:t>
      </w:r>
      <w:r w:rsidR="009B31A6">
        <w:rPr>
          <w:rFonts w:ascii="Century Gothic" w:hAnsi="Century Gothic"/>
          <w:lang w:val="en-GB"/>
        </w:rPr>
        <w:t>a</w:t>
      </w:r>
      <w:r>
        <w:rPr>
          <w:rFonts w:ascii="Century Gothic" w:hAnsi="Century Gothic"/>
          <w:lang w:val="en-GB"/>
        </w:rPr>
        <w:t xml:space="preserve"> </w:t>
      </w:r>
      <w:r w:rsidR="00827D05">
        <w:rPr>
          <w:rFonts w:ascii="Century Gothic" w:hAnsi="Century Gothic"/>
          <w:lang w:val="en-GB"/>
        </w:rPr>
        <w:t xml:space="preserve">future </w:t>
      </w:r>
      <w:r>
        <w:rPr>
          <w:rFonts w:ascii="Century Gothic" w:hAnsi="Century Gothic"/>
          <w:lang w:val="en-GB"/>
        </w:rPr>
        <w:t>RFM for the 2018-22 period</w:t>
      </w:r>
      <w:r w:rsidR="009B31A6">
        <w:rPr>
          <w:rFonts w:ascii="Century Gothic" w:hAnsi="Century Gothic"/>
          <w:lang w:val="en-GB"/>
        </w:rPr>
        <w:t xml:space="preserve"> </w:t>
      </w:r>
      <w:r w:rsidR="00497CD7">
        <w:rPr>
          <w:rFonts w:ascii="Century Gothic" w:hAnsi="Century Gothic"/>
          <w:lang w:val="en-GB"/>
        </w:rPr>
        <w:t>which uses</w:t>
      </w:r>
      <w:r w:rsidR="009B31A6">
        <w:rPr>
          <w:rFonts w:ascii="Century Gothic" w:hAnsi="Century Gothic"/>
          <w:lang w:val="en-GB"/>
        </w:rPr>
        <w:t xml:space="preserve"> actual inflation.</w:t>
      </w:r>
    </w:p>
    <w:p w:rsidR="009B31A6" w:rsidRDefault="009B31A6" w:rsidP="00320074">
      <w:pPr>
        <w:spacing w:after="400"/>
        <w:rPr>
          <w:rFonts w:ascii="Century Gothic" w:hAnsi="Century Gothic"/>
          <w:lang w:val="en-GB"/>
        </w:rPr>
      </w:pPr>
      <w:r>
        <w:rPr>
          <w:rFonts w:ascii="Century Gothic" w:hAnsi="Century Gothic"/>
          <w:lang w:val="en-GB"/>
        </w:rPr>
        <w:t xml:space="preserve">APA does not intend to use forecast inflation in </w:t>
      </w:r>
      <w:r w:rsidR="00827D05">
        <w:rPr>
          <w:rFonts w:ascii="Century Gothic" w:hAnsi="Century Gothic"/>
          <w:lang w:val="en-GB"/>
        </w:rPr>
        <w:t>a future</w:t>
      </w:r>
      <w:r w:rsidRPr="00017176">
        <w:rPr>
          <w:rFonts w:ascii="Century Gothic" w:hAnsi="Century Gothic"/>
          <w:lang w:val="en-GB"/>
        </w:rPr>
        <w:t xml:space="preserve"> RFM for the 2018–22 period</w:t>
      </w:r>
      <w:r>
        <w:rPr>
          <w:rFonts w:ascii="Century Gothic" w:hAnsi="Century Gothic"/>
          <w:lang w:val="en-GB"/>
        </w:rPr>
        <w:t xml:space="preserve"> </w:t>
      </w:r>
      <w:r w:rsidRPr="00017176">
        <w:rPr>
          <w:rFonts w:ascii="Century Gothic" w:hAnsi="Century Gothic"/>
          <w:lang w:val="en-GB"/>
        </w:rPr>
        <w:t xml:space="preserve">when </w:t>
      </w:r>
      <w:r>
        <w:rPr>
          <w:rFonts w:ascii="Century Gothic" w:hAnsi="Century Gothic"/>
          <w:lang w:val="en-GB"/>
        </w:rPr>
        <w:t>that model</w:t>
      </w:r>
      <w:r w:rsidRPr="00017176">
        <w:rPr>
          <w:rFonts w:ascii="Century Gothic" w:hAnsi="Century Gothic"/>
          <w:lang w:val="en-GB"/>
        </w:rPr>
        <w:t xml:space="preserve"> is submitted at the next access arrangement review</w:t>
      </w:r>
      <w:r>
        <w:rPr>
          <w:rFonts w:ascii="Century Gothic" w:hAnsi="Century Gothic"/>
          <w:lang w:val="en-GB"/>
        </w:rPr>
        <w:t xml:space="preserve">.  </w:t>
      </w:r>
      <w:r w:rsidR="001021DF">
        <w:rPr>
          <w:rFonts w:ascii="Century Gothic" w:hAnsi="Century Gothic"/>
          <w:lang w:val="en-GB"/>
        </w:rPr>
        <w:t xml:space="preserve">The use of forecast inflation in the 2013-17 </w:t>
      </w:r>
      <w:proofErr w:type="gramStart"/>
      <w:r w:rsidR="001021DF">
        <w:rPr>
          <w:rFonts w:ascii="Century Gothic" w:hAnsi="Century Gothic"/>
          <w:lang w:val="en-GB"/>
        </w:rPr>
        <w:t>period</w:t>
      </w:r>
      <w:proofErr w:type="gramEnd"/>
      <w:r w:rsidR="001021DF">
        <w:rPr>
          <w:rFonts w:ascii="Century Gothic" w:hAnsi="Century Gothic"/>
          <w:lang w:val="en-GB"/>
        </w:rPr>
        <w:t xml:space="preserve"> is a transitional measure. </w:t>
      </w:r>
      <w:r>
        <w:rPr>
          <w:rFonts w:ascii="Century Gothic" w:hAnsi="Century Gothic"/>
          <w:lang w:val="en-GB"/>
        </w:rPr>
        <w:t xml:space="preserve">APA expects that the </w:t>
      </w:r>
      <w:r w:rsidR="001A784F">
        <w:rPr>
          <w:rFonts w:ascii="Century Gothic" w:hAnsi="Century Gothic"/>
          <w:lang w:val="en-GB"/>
        </w:rPr>
        <w:t>depreciation recovered through revenue</w:t>
      </w:r>
      <w:r>
        <w:rPr>
          <w:rFonts w:ascii="Century Gothic" w:hAnsi="Century Gothic"/>
          <w:lang w:val="en-GB"/>
        </w:rPr>
        <w:t xml:space="preserve"> in the RFM (calculated using actual inflation) and the capital base at the commencement of </w:t>
      </w:r>
      <w:r w:rsidR="00320074">
        <w:rPr>
          <w:rFonts w:ascii="Century Gothic" w:hAnsi="Century Gothic"/>
          <w:lang w:val="en-GB"/>
        </w:rPr>
        <w:t>the next access arrangement period</w:t>
      </w:r>
      <w:r>
        <w:rPr>
          <w:rFonts w:ascii="Century Gothic" w:hAnsi="Century Gothic"/>
          <w:lang w:val="en-GB"/>
        </w:rPr>
        <w:t xml:space="preserve"> </w:t>
      </w:r>
      <w:r w:rsidR="00320074">
        <w:rPr>
          <w:rFonts w:ascii="Century Gothic" w:hAnsi="Century Gothic"/>
          <w:lang w:val="en-GB"/>
        </w:rPr>
        <w:t xml:space="preserve">(1 January 2023) </w:t>
      </w:r>
      <w:r w:rsidR="002D3984">
        <w:rPr>
          <w:rFonts w:ascii="Century Gothic" w:hAnsi="Century Gothic"/>
          <w:lang w:val="en-GB"/>
        </w:rPr>
        <w:t>will be approximately equal</w:t>
      </w:r>
      <w:r w:rsidR="00827D05">
        <w:rPr>
          <w:rFonts w:ascii="Century Gothic" w:hAnsi="Century Gothic"/>
          <w:lang w:val="en-GB"/>
        </w:rPr>
        <w:t>,</w:t>
      </w:r>
      <w:r w:rsidR="002D3984">
        <w:rPr>
          <w:rFonts w:ascii="Century Gothic" w:hAnsi="Century Gothic"/>
          <w:lang w:val="en-GB"/>
        </w:rPr>
        <w:t xml:space="preserve"> </w:t>
      </w:r>
      <w:r w:rsidR="00320074">
        <w:rPr>
          <w:rFonts w:ascii="Century Gothic" w:hAnsi="Century Gothic"/>
          <w:lang w:val="en-GB"/>
        </w:rPr>
        <w:t xml:space="preserve">with any difference largely account for by differences between forecast capital expenditure (in the PTRM) </w:t>
      </w:r>
      <w:r w:rsidR="002D3984">
        <w:rPr>
          <w:rFonts w:ascii="Century Gothic" w:hAnsi="Century Gothic"/>
          <w:lang w:val="en-GB"/>
        </w:rPr>
        <w:t xml:space="preserve">and actual capital expenditure </w:t>
      </w:r>
      <w:r w:rsidR="00320074">
        <w:rPr>
          <w:rFonts w:ascii="Century Gothic" w:hAnsi="Century Gothic"/>
          <w:lang w:val="en-GB"/>
        </w:rPr>
        <w:t>(in the RFM).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17176" w:rsidTr="000323D4">
        <w:tc>
          <w:tcPr>
            <w:tcW w:w="9242" w:type="dxa"/>
            <w:shd w:val="clear" w:color="auto" w:fill="EEECE1" w:themeFill="background2"/>
            <w:vAlign w:val="center"/>
          </w:tcPr>
          <w:p w:rsidR="00017176" w:rsidRPr="00017176" w:rsidRDefault="00F14CE8" w:rsidP="000323D4">
            <w:pPr>
              <w:spacing w:before="120" w:after="120"/>
              <w:rPr>
                <w:rFonts w:ascii="Century Gothic" w:hAnsi="Century Gothic"/>
                <w:lang w:val="en-GB"/>
              </w:rPr>
            </w:pPr>
            <w:r>
              <w:rPr>
                <w:rFonts w:ascii="Century Gothic" w:hAnsi="Century Gothic"/>
                <w:b/>
                <w:lang w:val="en-GB"/>
              </w:rPr>
              <w:t xml:space="preserve">3.3(c)   </w:t>
            </w:r>
            <w:r w:rsidR="00017176">
              <w:rPr>
                <w:rFonts w:ascii="Century Gothic" w:hAnsi="Century Gothic"/>
                <w:b/>
                <w:lang w:val="en-GB"/>
              </w:rPr>
              <w:t>Lags in inflation measures</w:t>
            </w:r>
          </w:p>
          <w:p w:rsidR="00017176" w:rsidRPr="00017176" w:rsidRDefault="00017176" w:rsidP="000323D4">
            <w:pPr>
              <w:spacing w:before="120" w:after="120"/>
              <w:rPr>
                <w:rFonts w:ascii="Century Gothic" w:hAnsi="Century Gothic"/>
                <w:lang w:val="en-GB"/>
              </w:rPr>
            </w:pPr>
            <w:r w:rsidRPr="00017176">
              <w:rPr>
                <w:rFonts w:ascii="Century Gothic" w:hAnsi="Century Gothic"/>
                <w:lang w:val="en-GB"/>
              </w:rPr>
              <w:t xml:space="preserve">What inflation approach does APA intend to apply in the RFM covering the 2018–22 access arrangement period? What components will use lagged actual inflation and what components will use </w:t>
            </w:r>
            <w:proofErr w:type="spellStart"/>
            <w:r w:rsidRPr="00017176">
              <w:rPr>
                <w:rFonts w:ascii="Century Gothic" w:hAnsi="Century Gothic"/>
                <w:lang w:val="en-GB"/>
              </w:rPr>
              <w:t>unlagged</w:t>
            </w:r>
            <w:proofErr w:type="spellEnd"/>
            <w:r w:rsidRPr="00017176">
              <w:rPr>
                <w:rFonts w:ascii="Century Gothic" w:hAnsi="Century Gothic"/>
                <w:lang w:val="en-GB"/>
              </w:rPr>
              <w:t xml:space="preserve"> actual inflation? How will this reconcile with the inflation approach adopted in the PTRM and annual tariff variations across the 2018–</w:t>
            </w:r>
            <w:r w:rsidRPr="00017176">
              <w:rPr>
                <w:rFonts w:ascii="Century Gothic" w:hAnsi="Century Gothic"/>
                <w:lang w:val="en-GB"/>
              </w:rPr>
              <w:lastRenderedPageBreak/>
              <w:t xml:space="preserve">22 </w:t>
            </w:r>
            <w:proofErr w:type="gramStart"/>
            <w:r w:rsidRPr="00017176">
              <w:rPr>
                <w:rFonts w:ascii="Century Gothic" w:hAnsi="Century Gothic"/>
                <w:lang w:val="en-GB"/>
              </w:rPr>
              <w:t>period</w:t>
            </w:r>
            <w:proofErr w:type="gramEnd"/>
            <w:r w:rsidRPr="00017176">
              <w:rPr>
                <w:rFonts w:ascii="Century Gothic" w:hAnsi="Century Gothic"/>
                <w:lang w:val="en-GB"/>
              </w:rPr>
              <w:t>? Please provide a version of the RFM that implements this approach.</w:t>
            </w:r>
          </w:p>
        </w:tc>
      </w:tr>
    </w:tbl>
    <w:p w:rsidR="00017176" w:rsidRDefault="00B36F51" w:rsidP="00B36F51">
      <w:pPr>
        <w:spacing w:before="400"/>
        <w:rPr>
          <w:rFonts w:ascii="Century Gothic" w:hAnsi="Century Gothic"/>
          <w:lang w:val="en-GB"/>
        </w:rPr>
      </w:pPr>
      <w:r>
        <w:rPr>
          <w:rFonts w:ascii="Century Gothic" w:hAnsi="Century Gothic"/>
          <w:lang w:val="en-GB"/>
        </w:rPr>
        <w:lastRenderedPageBreak/>
        <w:t>When re</w:t>
      </w:r>
      <w:r w:rsidR="00C72410">
        <w:rPr>
          <w:rFonts w:ascii="Century Gothic" w:hAnsi="Century Gothic"/>
          <w:lang w:val="en-GB"/>
        </w:rPr>
        <w:t>-</w:t>
      </w:r>
      <w:r>
        <w:rPr>
          <w:rFonts w:ascii="Century Gothic" w:hAnsi="Century Gothic"/>
          <w:lang w:val="en-GB"/>
        </w:rPr>
        <w:t>determining VTS reference tariffs for the access arrangement period expected to commence on 1 January 2023, APA</w:t>
      </w:r>
      <w:r w:rsidR="00F949C1">
        <w:rPr>
          <w:rFonts w:ascii="Century Gothic" w:hAnsi="Century Gothic"/>
          <w:lang w:val="en-GB"/>
        </w:rPr>
        <w:t xml:space="preserve"> VTS</w:t>
      </w:r>
      <w:r>
        <w:rPr>
          <w:rFonts w:ascii="Century Gothic" w:hAnsi="Century Gothic"/>
          <w:lang w:val="en-GB"/>
        </w:rPr>
        <w:t xml:space="preserve"> intends to </w:t>
      </w:r>
      <w:r w:rsidR="00F949C1">
        <w:rPr>
          <w:rFonts w:ascii="Century Gothic" w:hAnsi="Century Gothic"/>
          <w:lang w:val="en-GB"/>
        </w:rPr>
        <w:t>use, in the RFM for the period 2018-22, the inflation approach currently used by the AER when applying the RFM</w:t>
      </w:r>
      <w:r w:rsidR="002A67FE">
        <w:rPr>
          <w:rFonts w:ascii="Century Gothic" w:hAnsi="Century Gothic"/>
          <w:lang w:val="en-GB"/>
        </w:rPr>
        <w:t>.</w:t>
      </w:r>
    </w:p>
    <w:p w:rsidR="002A67FE" w:rsidRDefault="002A67FE" w:rsidP="002A67FE">
      <w:pPr>
        <w:spacing w:after="400"/>
        <w:rPr>
          <w:rFonts w:ascii="Century Gothic" w:hAnsi="Century Gothic"/>
          <w:lang w:val="en-GB"/>
        </w:rPr>
      </w:pPr>
      <w:r>
        <w:rPr>
          <w:rFonts w:ascii="Century Gothic" w:hAnsi="Century Gothic"/>
          <w:lang w:val="en-GB"/>
        </w:rPr>
        <w:t>APA</w:t>
      </w:r>
      <w:r w:rsidR="00F949C1">
        <w:rPr>
          <w:rFonts w:ascii="Century Gothic" w:hAnsi="Century Gothic"/>
          <w:lang w:val="en-GB"/>
        </w:rPr>
        <w:t xml:space="preserve"> VTS</w:t>
      </w:r>
      <w:r>
        <w:rPr>
          <w:rFonts w:ascii="Century Gothic" w:hAnsi="Century Gothic"/>
          <w:lang w:val="en-GB"/>
        </w:rPr>
        <w:t>’s intention is</w:t>
      </w:r>
      <w:r w:rsidR="00F949C1">
        <w:rPr>
          <w:rFonts w:ascii="Century Gothic" w:hAnsi="Century Gothic"/>
          <w:lang w:val="en-GB"/>
        </w:rPr>
        <w:t xml:space="preserve"> to achieve, in the future,</w:t>
      </w:r>
      <w:r>
        <w:rPr>
          <w:rFonts w:ascii="Century Gothic" w:hAnsi="Century Gothic"/>
          <w:lang w:val="en-GB"/>
        </w:rPr>
        <w:t xml:space="preserve"> </w:t>
      </w:r>
      <w:r w:rsidR="00F949C1">
        <w:rPr>
          <w:rFonts w:ascii="Century Gothic" w:hAnsi="Century Gothic"/>
          <w:lang w:val="en-GB"/>
        </w:rPr>
        <w:t xml:space="preserve">an </w:t>
      </w:r>
      <w:r>
        <w:rPr>
          <w:rFonts w:ascii="Century Gothic" w:hAnsi="Century Gothic"/>
          <w:lang w:val="en-GB"/>
        </w:rPr>
        <w:t>align</w:t>
      </w:r>
      <w:r w:rsidR="00F949C1">
        <w:rPr>
          <w:rFonts w:ascii="Century Gothic" w:hAnsi="Century Gothic"/>
          <w:lang w:val="en-GB"/>
        </w:rPr>
        <w:t>ment of the</w:t>
      </w:r>
      <w:r>
        <w:rPr>
          <w:rFonts w:ascii="Century Gothic" w:hAnsi="Century Gothic"/>
          <w:lang w:val="en-GB"/>
        </w:rPr>
        <w:t xml:space="preserve"> depreciation and asset values </w:t>
      </w:r>
      <w:r w:rsidR="00F949C1">
        <w:rPr>
          <w:rFonts w:ascii="Century Gothic" w:hAnsi="Century Gothic"/>
          <w:lang w:val="en-GB"/>
        </w:rPr>
        <w:t xml:space="preserve">determined in the RFM </w:t>
      </w:r>
      <w:r w:rsidR="009A6EB8">
        <w:rPr>
          <w:rFonts w:ascii="Century Gothic" w:hAnsi="Century Gothic"/>
          <w:lang w:val="en-GB"/>
        </w:rPr>
        <w:t>using actual inflation</w:t>
      </w:r>
      <w:r w:rsidR="00F949C1">
        <w:rPr>
          <w:rFonts w:ascii="Century Gothic" w:hAnsi="Century Gothic"/>
          <w:lang w:val="en-GB"/>
        </w:rPr>
        <w:t>,</w:t>
      </w:r>
      <w:r>
        <w:rPr>
          <w:rFonts w:ascii="Century Gothic" w:hAnsi="Century Gothic"/>
          <w:lang w:val="en-GB"/>
        </w:rPr>
        <w:t xml:space="preserve"> with those in </w:t>
      </w:r>
      <w:r w:rsidR="00F949C1">
        <w:rPr>
          <w:rFonts w:ascii="Century Gothic" w:hAnsi="Century Gothic"/>
          <w:lang w:val="en-GB"/>
        </w:rPr>
        <w:t>the</w:t>
      </w:r>
      <w:r>
        <w:rPr>
          <w:rFonts w:ascii="Century Gothic" w:hAnsi="Century Gothic"/>
          <w:lang w:val="en-GB"/>
        </w:rPr>
        <w:t xml:space="preserve"> PTRM</w:t>
      </w:r>
      <w:r w:rsidR="00F949C1">
        <w:rPr>
          <w:rFonts w:ascii="Century Gothic" w:hAnsi="Century Gothic"/>
          <w:lang w:val="en-GB"/>
        </w:rPr>
        <w:t>,</w:t>
      </w:r>
      <w:r>
        <w:rPr>
          <w:rFonts w:ascii="Century Gothic" w:hAnsi="Century Gothic"/>
          <w:lang w:val="en-GB"/>
        </w:rPr>
        <w:t xml:space="preserve"> </w:t>
      </w:r>
      <w:r w:rsidR="00F949C1">
        <w:rPr>
          <w:rFonts w:ascii="Century Gothic" w:hAnsi="Century Gothic"/>
          <w:lang w:val="en-GB"/>
        </w:rPr>
        <w:t>by annually updating inflation in the PTRM</w:t>
      </w:r>
      <w:r>
        <w:rPr>
          <w:rFonts w:ascii="Century Gothic" w:hAnsi="Century Gothic"/>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17176" w:rsidTr="000323D4">
        <w:tc>
          <w:tcPr>
            <w:tcW w:w="9242" w:type="dxa"/>
            <w:shd w:val="clear" w:color="auto" w:fill="EEECE1" w:themeFill="background2"/>
            <w:vAlign w:val="center"/>
          </w:tcPr>
          <w:p w:rsidR="00017176" w:rsidRDefault="00F14CE8" w:rsidP="000323D4">
            <w:pPr>
              <w:spacing w:before="120" w:after="120"/>
              <w:rPr>
                <w:rFonts w:ascii="Century Gothic" w:hAnsi="Century Gothic"/>
                <w:b/>
                <w:lang w:val="en-GB"/>
              </w:rPr>
            </w:pPr>
            <w:r>
              <w:rPr>
                <w:rFonts w:ascii="Century Gothic" w:hAnsi="Century Gothic"/>
                <w:b/>
                <w:lang w:val="en-GB"/>
              </w:rPr>
              <w:t xml:space="preserve">3.4  </w:t>
            </w:r>
            <w:r w:rsidR="00017176" w:rsidRPr="00017176">
              <w:rPr>
                <w:rFonts w:ascii="Century Gothic" w:hAnsi="Century Gothic"/>
                <w:b/>
                <w:lang w:val="en-GB"/>
              </w:rPr>
              <w:t>Implications for return on capital</w:t>
            </w:r>
          </w:p>
          <w:p w:rsidR="00017176" w:rsidRDefault="00017176" w:rsidP="00017176">
            <w:pPr>
              <w:spacing w:before="120" w:after="120"/>
              <w:rPr>
                <w:rFonts w:ascii="Century Gothic" w:hAnsi="Century Gothic"/>
                <w:lang w:val="en-GB"/>
              </w:rPr>
            </w:pPr>
            <w:r w:rsidRPr="00017176">
              <w:rPr>
                <w:rFonts w:ascii="Century Gothic" w:hAnsi="Century Gothic"/>
                <w:lang w:val="en-GB"/>
              </w:rPr>
              <w:t>If APA intends for the return of capital building block to be matched in the PTRM and RFM, how does this better achieve the ARORO?</w:t>
            </w:r>
          </w:p>
          <w:p w:rsidR="00F75590" w:rsidRPr="00017176" w:rsidRDefault="00F75590" w:rsidP="00017176">
            <w:pPr>
              <w:spacing w:before="120" w:after="120"/>
              <w:rPr>
                <w:rFonts w:ascii="Century Gothic" w:hAnsi="Century Gothic"/>
                <w:lang w:val="en-GB"/>
              </w:rPr>
            </w:pPr>
            <w:r w:rsidRPr="00017176">
              <w:rPr>
                <w:rFonts w:ascii="Century Gothic" w:hAnsi="Century Gothic"/>
                <w:lang w:val="en-GB"/>
              </w:rPr>
              <w:t>Is a total return/revenues set in nominal terms preferable to a return set in real terms? If APA considers total revenues set in nominal terms preferable to real terms, why does APA consider this to be preferable?</w:t>
            </w:r>
          </w:p>
        </w:tc>
      </w:tr>
    </w:tbl>
    <w:p w:rsidR="00C72410" w:rsidRDefault="005B26BE" w:rsidP="00C72410">
      <w:pPr>
        <w:spacing w:before="400"/>
        <w:rPr>
          <w:rFonts w:ascii="Century Gothic" w:hAnsi="Century Gothic"/>
          <w:lang w:val="en-GB"/>
        </w:rPr>
      </w:pPr>
      <w:r>
        <w:rPr>
          <w:rFonts w:ascii="Century Gothic" w:hAnsi="Century Gothic"/>
          <w:lang w:val="en-GB"/>
        </w:rPr>
        <w:t xml:space="preserve">APA is of the view that </w:t>
      </w:r>
      <w:r w:rsidR="00C13267">
        <w:rPr>
          <w:rFonts w:ascii="Century Gothic" w:hAnsi="Century Gothic"/>
          <w:lang w:val="en-GB"/>
        </w:rPr>
        <w:t>the requirement of rule 87(4), that the allowed rate of return be determined on a nominal vanilla basis, drives the setting of total revenue in nominal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17176" w:rsidTr="000323D4">
        <w:tc>
          <w:tcPr>
            <w:tcW w:w="9242" w:type="dxa"/>
            <w:shd w:val="clear" w:color="auto" w:fill="EEECE1" w:themeFill="background2"/>
            <w:vAlign w:val="center"/>
          </w:tcPr>
          <w:p w:rsidR="00017176" w:rsidRDefault="00F14CE8" w:rsidP="000323D4">
            <w:pPr>
              <w:spacing w:before="120" w:after="120"/>
              <w:rPr>
                <w:rFonts w:ascii="Century Gothic" w:hAnsi="Century Gothic"/>
                <w:b/>
                <w:lang w:val="en-GB"/>
              </w:rPr>
            </w:pPr>
            <w:r>
              <w:rPr>
                <w:rFonts w:ascii="Century Gothic" w:hAnsi="Century Gothic"/>
                <w:b/>
                <w:lang w:val="en-GB"/>
              </w:rPr>
              <w:t xml:space="preserve">3.5  </w:t>
            </w:r>
            <w:r w:rsidR="00017176" w:rsidRPr="00017176">
              <w:rPr>
                <w:rFonts w:ascii="Century Gothic" w:hAnsi="Century Gothic"/>
                <w:b/>
                <w:lang w:val="en-GB"/>
              </w:rPr>
              <w:t>Tariff variation mechanism</w:t>
            </w:r>
          </w:p>
          <w:p w:rsidR="00F14CE8" w:rsidRPr="00F14CE8" w:rsidRDefault="00F14CE8" w:rsidP="00F14CE8">
            <w:pPr>
              <w:spacing w:before="120" w:after="120"/>
              <w:rPr>
                <w:rFonts w:ascii="Century Gothic" w:hAnsi="Century Gothic"/>
                <w:lang w:val="en-GB"/>
              </w:rPr>
            </w:pPr>
            <w:r w:rsidRPr="00F14CE8">
              <w:rPr>
                <w:rFonts w:ascii="Century Gothic" w:hAnsi="Century Gothic"/>
                <w:lang w:val="en-GB"/>
              </w:rPr>
              <w:t>Under the CPI–X framework, inflation outcomes are typically not used to calculate tariffs in the first year of an access arrangement period, but rather the single, fixed expected inflation rate from the PTRM is used to calculate first year tariffs. In subsequent years of the access arrangement period, one year lagged actual inflation is used to update tariffs. The net effect is that expected inflation is applied to revenues in year 1, and one year lagged inflation is applied in years 2, 3, 4 and 5 (given a five year access arrangement period).</w:t>
            </w:r>
          </w:p>
          <w:p w:rsidR="00F14CE8" w:rsidRDefault="00F14CE8" w:rsidP="00F14CE8">
            <w:pPr>
              <w:spacing w:before="120" w:after="120"/>
              <w:rPr>
                <w:rFonts w:ascii="Century Gothic" w:hAnsi="Century Gothic"/>
                <w:lang w:val="en-GB"/>
              </w:rPr>
            </w:pPr>
            <w:r w:rsidRPr="00F14CE8">
              <w:rPr>
                <w:rFonts w:ascii="Century Gothic" w:hAnsi="Century Gothic"/>
                <w:lang w:val="en-GB"/>
              </w:rPr>
              <w:t>Under APA’s proposed tariff variation mechanism the single, fixed expected inflation rate from the PTRM is used to calculate first year tariffs. However, when setting subsequent year’s revenue, the prior year’s revenue is valued using actual inflation for that year. The change in revenue value arising from the difference between forecast and actual inflation is then reflected in tariffs for the subsequent year. There will be an equivalent adjustment in the following access arrangement period to reflect the difference between forecast and actual inflation in year 5 of the current period. The net effect is that actual inflation is applied to index revenue in all years of the access arrangement period.</w:t>
            </w:r>
          </w:p>
          <w:p w:rsidR="00F14CE8" w:rsidRDefault="00F14CE8" w:rsidP="000323D4">
            <w:pPr>
              <w:spacing w:before="120" w:after="120"/>
              <w:rPr>
                <w:rFonts w:ascii="Century Gothic" w:hAnsi="Century Gothic"/>
                <w:lang w:val="en-GB"/>
              </w:rPr>
            </w:pPr>
            <w:r>
              <w:rPr>
                <w:rFonts w:ascii="Century Gothic" w:hAnsi="Century Gothic"/>
                <w:lang w:val="en-GB"/>
              </w:rPr>
              <w:t>3.5(a</w:t>
            </w:r>
            <w:proofErr w:type="gramStart"/>
            <w:r>
              <w:rPr>
                <w:rFonts w:ascii="Century Gothic" w:hAnsi="Century Gothic"/>
                <w:lang w:val="en-GB"/>
              </w:rPr>
              <w:t>)</w:t>
            </w:r>
            <w:r>
              <w:t xml:space="preserve">  </w:t>
            </w:r>
            <w:r w:rsidRPr="00F14CE8">
              <w:rPr>
                <w:rFonts w:ascii="Century Gothic" w:hAnsi="Century Gothic"/>
                <w:lang w:val="en-GB"/>
              </w:rPr>
              <w:t>Have</w:t>
            </w:r>
            <w:proofErr w:type="gramEnd"/>
            <w:r w:rsidRPr="00F14CE8">
              <w:rPr>
                <w:rFonts w:ascii="Century Gothic" w:hAnsi="Century Gothic"/>
                <w:lang w:val="en-GB"/>
              </w:rPr>
              <w:t xml:space="preserve"> we correctly described the operation of APA’s proposed tariff variation </w:t>
            </w:r>
            <w:r w:rsidRPr="00F14CE8">
              <w:rPr>
                <w:rFonts w:ascii="Century Gothic" w:hAnsi="Century Gothic"/>
                <w:lang w:val="en-GB"/>
              </w:rPr>
              <w:lastRenderedPageBreak/>
              <w:t>mechanism?</w:t>
            </w:r>
          </w:p>
          <w:p w:rsidR="00F14CE8" w:rsidRPr="00F14CE8" w:rsidRDefault="00F14CE8" w:rsidP="00F14CE8">
            <w:pPr>
              <w:spacing w:before="120" w:after="120"/>
              <w:rPr>
                <w:rFonts w:ascii="Century Gothic" w:hAnsi="Century Gothic"/>
                <w:lang w:val="en-GB"/>
              </w:rPr>
            </w:pPr>
            <w:r>
              <w:rPr>
                <w:rFonts w:ascii="Century Gothic" w:hAnsi="Century Gothic"/>
                <w:lang w:val="en-GB"/>
              </w:rPr>
              <w:t>3.5(b</w:t>
            </w:r>
            <w:proofErr w:type="gramStart"/>
            <w:r>
              <w:rPr>
                <w:rFonts w:ascii="Century Gothic" w:hAnsi="Century Gothic"/>
                <w:lang w:val="en-GB"/>
              </w:rPr>
              <w:t>)</w:t>
            </w:r>
            <w:r w:rsidR="00261826">
              <w:rPr>
                <w:rFonts w:ascii="Century Gothic" w:hAnsi="Century Gothic"/>
                <w:lang w:val="en-GB"/>
              </w:rPr>
              <w:t xml:space="preserve"> </w:t>
            </w:r>
            <w:r w:rsidRPr="00F14CE8">
              <w:rPr>
                <w:rFonts w:ascii="Century Gothic" w:hAnsi="Century Gothic"/>
                <w:lang w:val="en-GB"/>
              </w:rPr>
              <w:t xml:space="preserve"> If</w:t>
            </w:r>
            <w:proofErr w:type="gramEnd"/>
            <w:r w:rsidRPr="00F14CE8">
              <w:rPr>
                <w:rFonts w:ascii="Century Gothic" w:hAnsi="Century Gothic"/>
                <w:lang w:val="en-GB"/>
              </w:rPr>
              <w:t xml:space="preserve"> not, please describe in detail the correct operation of the mechanism. </w:t>
            </w:r>
          </w:p>
          <w:p w:rsidR="00017176" w:rsidRPr="00017176" w:rsidRDefault="00F14CE8" w:rsidP="00F14CE8">
            <w:pPr>
              <w:spacing w:before="120" w:after="120"/>
              <w:rPr>
                <w:rFonts w:ascii="Century Gothic" w:hAnsi="Century Gothic"/>
                <w:lang w:val="en-GB"/>
              </w:rPr>
            </w:pPr>
            <w:r>
              <w:rPr>
                <w:rFonts w:ascii="Century Gothic" w:hAnsi="Century Gothic"/>
                <w:lang w:val="en-GB"/>
              </w:rPr>
              <w:t>3.5(c</w:t>
            </w:r>
            <w:proofErr w:type="gramStart"/>
            <w:r>
              <w:rPr>
                <w:rFonts w:ascii="Century Gothic" w:hAnsi="Century Gothic"/>
                <w:lang w:val="en-GB"/>
              </w:rPr>
              <w:t xml:space="preserve">)  </w:t>
            </w:r>
            <w:r w:rsidRPr="00F14CE8">
              <w:rPr>
                <w:rFonts w:ascii="Century Gothic" w:hAnsi="Century Gothic"/>
                <w:lang w:val="en-GB"/>
              </w:rPr>
              <w:t>Does</w:t>
            </w:r>
            <w:proofErr w:type="gramEnd"/>
            <w:r w:rsidRPr="00F14CE8">
              <w:rPr>
                <w:rFonts w:ascii="Century Gothic" w:hAnsi="Century Gothic"/>
                <w:lang w:val="en-GB"/>
              </w:rPr>
              <w:t xml:space="preserve"> this approach promote consistency across PTRM, annual tariff updates and RFM?</w:t>
            </w:r>
          </w:p>
        </w:tc>
      </w:tr>
    </w:tbl>
    <w:p w:rsidR="00017176" w:rsidRDefault="00C72410" w:rsidP="00466C0A">
      <w:pPr>
        <w:spacing w:before="400"/>
        <w:rPr>
          <w:rFonts w:ascii="Century Gothic" w:hAnsi="Century Gothic"/>
          <w:lang w:val="en-GB"/>
        </w:rPr>
      </w:pPr>
      <w:r>
        <w:rPr>
          <w:rFonts w:ascii="Century Gothic" w:hAnsi="Century Gothic"/>
          <w:lang w:val="en-GB"/>
        </w:rPr>
        <w:lastRenderedPageBreak/>
        <w:t>T</w:t>
      </w:r>
      <w:r w:rsidR="00466C0A">
        <w:rPr>
          <w:rFonts w:ascii="Century Gothic" w:hAnsi="Century Gothic"/>
          <w:lang w:val="en-GB"/>
        </w:rPr>
        <w:t>he AER has correctly described the operation of the proposed tariff variation mechanism</w:t>
      </w:r>
      <w:r w:rsidR="00481FA9">
        <w:rPr>
          <w:rFonts w:ascii="Century Gothic" w:hAnsi="Century Gothic"/>
          <w:lang w:val="en-GB"/>
        </w:rPr>
        <w:t>.</w:t>
      </w:r>
    </w:p>
    <w:p w:rsidR="00466C0A" w:rsidRDefault="00466C0A" w:rsidP="00466C0A">
      <w:pPr>
        <w:rPr>
          <w:rFonts w:ascii="Century Gothic" w:hAnsi="Century Gothic"/>
          <w:lang w:val="en-GB"/>
        </w:rPr>
      </w:pPr>
      <w:r>
        <w:rPr>
          <w:rFonts w:ascii="Century Gothic" w:hAnsi="Century Gothic"/>
          <w:lang w:val="en-GB"/>
        </w:rPr>
        <w:t>APA’s approach is intended to achieve reasonable consistency across the PTRM, annual tariff updates and the RFM, although specific values (for example the capital base in a given year as determined in the PTRM and in the RFM) may not be exactly the same.</w:t>
      </w:r>
    </w:p>
    <w:sectPr w:rsidR="00466C0A" w:rsidSect="00542F27">
      <w:headerReference w:type="even" r:id="rId8"/>
      <w:headerReference w:type="default" r:id="rId9"/>
      <w:footerReference w:type="even" r:id="rId10"/>
      <w:footerReference w:type="default" r:id="rId11"/>
      <w:headerReference w:type="first" r:id="rId12"/>
      <w:footerReference w:type="first" r:id="rId13"/>
      <w:pgSz w:w="11906" w:h="16838"/>
      <w:pgMar w:top="2804" w:right="1440" w:bottom="1276"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BA" w:rsidRDefault="00E05DBA" w:rsidP="00296A95">
      <w:pPr>
        <w:spacing w:after="0" w:line="240" w:lineRule="auto"/>
      </w:pPr>
      <w:r>
        <w:separator/>
      </w:r>
    </w:p>
  </w:endnote>
  <w:endnote w:type="continuationSeparator" w:id="0">
    <w:p w:rsidR="00E05DBA" w:rsidRDefault="00E05DBA" w:rsidP="0029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DE" w:rsidRDefault="003B4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31" w:rsidRPr="00012131" w:rsidRDefault="00012131" w:rsidP="00012131">
    <w:pPr>
      <w:pStyle w:val="Footer"/>
      <w:jc w:val="center"/>
      <w:rPr>
        <w:rFonts w:ascii="Century Gothic" w:hAnsi="Century Gothic"/>
        <w:sz w:val="18"/>
        <w:szCs w:val="18"/>
      </w:rPr>
    </w:pPr>
    <w:r w:rsidRPr="00012131">
      <w:rPr>
        <w:rFonts w:ascii="Century Gothic" w:hAnsi="Century Gothic"/>
        <w:sz w:val="18"/>
        <w:szCs w:val="18"/>
      </w:rPr>
      <w:fldChar w:fldCharType="begin"/>
    </w:r>
    <w:r w:rsidRPr="00012131">
      <w:rPr>
        <w:rFonts w:ascii="Century Gothic" w:hAnsi="Century Gothic"/>
        <w:sz w:val="18"/>
        <w:szCs w:val="18"/>
      </w:rPr>
      <w:instrText xml:space="preserve"> PAGE   \* MERGEFORMAT </w:instrText>
    </w:r>
    <w:r w:rsidRPr="00012131">
      <w:rPr>
        <w:rFonts w:ascii="Century Gothic" w:hAnsi="Century Gothic"/>
        <w:sz w:val="18"/>
        <w:szCs w:val="18"/>
      </w:rPr>
      <w:fldChar w:fldCharType="separate"/>
    </w:r>
    <w:r w:rsidR="003B40DE">
      <w:rPr>
        <w:rFonts w:ascii="Century Gothic" w:hAnsi="Century Gothic"/>
        <w:noProof/>
        <w:sz w:val="18"/>
        <w:szCs w:val="18"/>
      </w:rPr>
      <w:t>1</w:t>
    </w:r>
    <w:r w:rsidRPr="00012131">
      <w:rPr>
        <w:rFonts w:ascii="Century Gothic" w:hAnsi="Century Gothic"/>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DE" w:rsidRDefault="003B4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BA" w:rsidRDefault="00E05DBA" w:rsidP="00296A95">
      <w:pPr>
        <w:spacing w:after="0" w:line="240" w:lineRule="auto"/>
      </w:pPr>
      <w:r>
        <w:separator/>
      </w:r>
    </w:p>
  </w:footnote>
  <w:footnote w:type="continuationSeparator" w:id="0">
    <w:p w:rsidR="00E05DBA" w:rsidRDefault="00E05DBA" w:rsidP="00296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DE" w:rsidRDefault="003B40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95" w:rsidRDefault="00296A95">
    <w:pPr>
      <w:pStyle w:val="Header"/>
    </w:pPr>
    <w:r w:rsidRPr="00F21E89">
      <w:rPr>
        <w:noProof/>
        <w:lang w:eastAsia="en-AU"/>
      </w:rPr>
      <w:drawing>
        <wp:anchor distT="0" distB="0" distL="114300" distR="114300" simplePos="0" relativeHeight="251659264" behindDoc="0" locked="0" layoutInCell="1" allowOverlap="1" wp14:anchorId="595DD120" wp14:editId="7F2C8C77">
          <wp:simplePos x="0" y="0"/>
          <wp:positionH relativeFrom="column">
            <wp:posOffset>3702685</wp:posOffset>
          </wp:positionH>
          <wp:positionV relativeFrom="paragraph">
            <wp:posOffset>347345</wp:posOffset>
          </wp:positionV>
          <wp:extent cx="2075815" cy="902970"/>
          <wp:effectExtent l="0" t="0" r="635" b="0"/>
          <wp:wrapThrough wrapText="bothSides">
            <wp:wrapPolygon edited="0">
              <wp:start x="595" y="0"/>
              <wp:lineTo x="0" y="1823"/>
              <wp:lineTo x="0" y="15038"/>
              <wp:lineTo x="15858" y="20506"/>
              <wp:lineTo x="17246" y="20506"/>
              <wp:lineTo x="17642" y="19595"/>
              <wp:lineTo x="21408" y="14582"/>
              <wp:lineTo x="21408" y="11392"/>
              <wp:lineTo x="18435" y="7291"/>
              <wp:lineTo x="14470" y="0"/>
              <wp:lineTo x="595" y="0"/>
            </wp:wrapPolygon>
          </wp:wrapThrough>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email">
                    <a:extLst>
                      <a:ext uri="{28A0092B-C50C-407E-A947-70E740481C1C}">
                        <a14:useLocalDpi xmlns:a14="http://schemas.microsoft.com/office/drawing/2010/main" val="0"/>
                      </a:ext>
                    </a:extLst>
                  </a:blip>
                  <a:srcRect b="-9211"/>
                  <a:stretch/>
                </pic:blipFill>
                <pic:spPr bwMode="auto">
                  <a:xfrm>
                    <a:off x="0" y="0"/>
                    <a:ext cx="2075815" cy="902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0DE" w:rsidRDefault="003B4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3F4E"/>
    <w:multiLevelType w:val="hybridMultilevel"/>
    <w:tmpl w:val="163EA6E4"/>
    <w:lvl w:ilvl="0" w:tplc="5CB850F4">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930C7A"/>
    <w:multiLevelType w:val="hybridMultilevel"/>
    <w:tmpl w:val="86C47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013237"/>
    <w:multiLevelType w:val="hybridMultilevel"/>
    <w:tmpl w:val="3D869192"/>
    <w:lvl w:ilvl="0" w:tplc="5CB850F4">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2812CD"/>
    <w:multiLevelType w:val="hybridMultilevel"/>
    <w:tmpl w:val="FF2028D8"/>
    <w:lvl w:ilvl="0" w:tplc="5CB850F4">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1BF26EA"/>
    <w:multiLevelType w:val="hybridMultilevel"/>
    <w:tmpl w:val="2F16BE74"/>
    <w:lvl w:ilvl="0" w:tplc="5CB850F4">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FC1C05"/>
    <w:multiLevelType w:val="hybridMultilevel"/>
    <w:tmpl w:val="4822B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3E2702E"/>
    <w:multiLevelType w:val="hybridMultilevel"/>
    <w:tmpl w:val="C016B192"/>
    <w:lvl w:ilvl="0" w:tplc="5CB850F4">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9CC55BA"/>
    <w:multiLevelType w:val="hybridMultilevel"/>
    <w:tmpl w:val="10923360"/>
    <w:lvl w:ilvl="0" w:tplc="5CB850F4">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lwarr\AppData\Local\Microsoft\Windows\Temporary Internet Files\Content.Outlook\XC9C24DE\APA VTS-IR3-Response to AER-20170303-Public.docx"/>
  </w:docVars>
  <w:rsids>
    <w:rsidRoot w:val="00296A95"/>
    <w:rsid w:val="00012131"/>
    <w:rsid w:val="00017176"/>
    <w:rsid w:val="000437B0"/>
    <w:rsid w:val="00073D8D"/>
    <w:rsid w:val="000756D3"/>
    <w:rsid w:val="00093811"/>
    <w:rsid w:val="000D428A"/>
    <w:rsid w:val="000E2E62"/>
    <w:rsid w:val="000F780B"/>
    <w:rsid w:val="001021DF"/>
    <w:rsid w:val="00107C03"/>
    <w:rsid w:val="00115C1B"/>
    <w:rsid w:val="00121253"/>
    <w:rsid w:val="001803CE"/>
    <w:rsid w:val="001A784F"/>
    <w:rsid w:val="001C1B37"/>
    <w:rsid w:val="001D261D"/>
    <w:rsid w:val="001D606D"/>
    <w:rsid w:val="001F5144"/>
    <w:rsid w:val="00201FDC"/>
    <w:rsid w:val="00204019"/>
    <w:rsid w:val="00254CBC"/>
    <w:rsid w:val="00261826"/>
    <w:rsid w:val="002642DA"/>
    <w:rsid w:val="00277CBC"/>
    <w:rsid w:val="0029634C"/>
    <w:rsid w:val="00296A95"/>
    <w:rsid w:val="002A67FE"/>
    <w:rsid w:val="002D3984"/>
    <w:rsid w:val="002F3BDF"/>
    <w:rsid w:val="002F7A1B"/>
    <w:rsid w:val="00306693"/>
    <w:rsid w:val="00320074"/>
    <w:rsid w:val="00337DA8"/>
    <w:rsid w:val="003578F8"/>
    <w:rsid w:val="003B40DE"/>
    <w:rsid w:val="003C3AAD"/>
    <w:rsid w:val="0040184D"/>
    <w:rsid w:val="00423CAB"/>
    <w:rsid w:val="00440687"/>
    <w:rsid w:val="00466C0A"/>
    <w:rsid w:val="00481FA9"/>
    <w:rsid w:val="00497CD7"/>
    <w:rsid w:val="004F22E9"/>
    <w:rsid w:val="005076F6"/>
    <w:rsid w:val="00533F52"/>
    <w:rsid w:val="0053565F"/>
    <w:rsid w:val="005402A7"/>
    <w:rsid w:val="00542F27"/>
    <w:rsid w:val="005B26BE"/>
    <w:rsid w:val="005B3443"/>
    <w:rsid w:val="005C3F51"/>
    <w:rsid w:val="005C5ED3"/>
    <w:rsid w:val="005C65F4"/>
    <w:rsid w:val="005D198A"/>
    <w:rsid w:val="005D7055"/>
    <w:rsid w:val="005F036E"/>
    <w:rsid w:val="006150B2"/>
    <w:rsid w:val="00615A55"/>
    <w:rsid w:val="0062090E"/>
    <w:rsid w:val="0065257C"/>
    <w:rsid w:val="006B1381"/>
    <w:rsid w:val="006D0578"/>
    <w:rsid w:val="006F6C55"/>
    <w:rsid w:val="00775D17"/>
    <w:rsid w:val="007C047D"/>
    <w:rsid w:val="007D3EB9"/>
    <w:rsid w:val="007E2B95"/>
    <w:rsid w:val="00811880"/>
    <w:rsid w:val="00827D05"/>
    <w:rsid w:val="00837385"/>
    <w:rsid w:val="00900617"/>
    <w:rsid w:val="009516D6"/>
    <w:rsid w:val="00964EE8"/>
    <w:rsid w:val="00987B8C"/>
    <w:rsid w:val="009972BC"/>
    <w:rsid w:val="009A6EB8"/>
    <w:rsid w:val="009B31A6"/>
    <w:rsid w:val="009C22C9"/>
    <w:rsid w:val="009F5C0F"/>
    <w:rsid w:val="00A106A9"/>
    <w:rsid w:val="00A820E3"/>
    <w:rsid w:val="00B36F51"/>
    <w:rsid w:val="00B64A10"/>
    <w:rsid w:val="00B65D01"/>
    <w:rsid w:val="00BB3546"/>
    <w:rsid w:val="00BB3AFD"/>
    <w:rsid w:val="00BC09A8"/>
    <w:rsid w:val="00BD2F11"/>
    <w:rsid w:val="00BD3CF2"/>
    <w:rsid w:val="00C00A01"/>
    <w:rsid w:val="00C13267"/>
    <w:rsid w:val="00C17FE4"/>
    <w:rsid w:val="00C42281"/>
    <w:rsid w:val="00C54CFA"/>
    <w:rsid w:val="00C72410"/>
    <w:rsid w:val="00C83408"/>
    <w:rsid w:val="00CB13A5"/>
    <w:rsid w:val="00CB2C57"/>
    <w:rsid w:val="00CB3DC4"/>
    <w:rsid w:val="00CD269B"/>
    <w:rsid w:val="00D018A7"/>
    <w:rsid w:val="00D06605"/>
    <w:rsid w:val="00D4335F"/>
    <w:rsid w:val="00D81F1F"/>
    <w:rsid w:val="00D82D76"/>
    <w:rsid w:val="00DC63A1"/>
    <w:rsid w:val="00DD5EF5"/>
    <w:rsid w:val="00DE14D2"/>
    <w:rsid w:val="00E05DBA"/>
    <w:rsid w:val="00E14183"/>
    <w:rsid w:val="00E21582"/>
    <w:rsid w:val="00E54BD4"/>
    <w:rsid w:val="00E5558C"/>
    <w:rsid w:val="00E65B48"/>
    <w:rsid w:val="00E87FC7"/>
    <w:rsid w:val="00E91A21"/>
    <w:rsid w:val="00EA5612"/>
    <w:rsid w:val="00EB48D9"/>
    <w:rsid w:val="00ED0DD2"/>
    <w:rsid w:val="00EE6F03"/>
    <w:rsid w:val="00F0389D"/>
    <w:rsid w:val="00F14CE8"/>
    <w:rsid w:val="00F75590"/>
    <w:rsid w:val="00F86C07"/>
    <w:rsid w:val="00F949C1"/>
    <w:rsid w:val="00F96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2C9"/>
    <w:pPr>
      <w:keepNext/>
      <w:keepLines/>
      <w:spacing w:before="480" w:after="0"/>
      <w:outlineLvl w:val="0"/>
    </w:pPr>
    <w:rPr>
      <w:rFonts w:ascii="Century Gothic" w:eastAsiaTheme="majorEastAsia" w:hAnsi="Century Gothic" w:cstheme="majorBidi"/>
      <w:b/>
      <w:bCs/>
      <w:color w:val="333333"/>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95"/>
  </w:style>
  <w:style w:type="paragraph" w:styleId="Footer">
    <w:name w:val="footer"/>
    <w:basedOn w:val="Normal"/>
    <w:link w:val="FooterChar"/>
    <w:uiPriority w:val="99"/>
    <w:unhideWhenUsed/>
    <w:rsid w:val="00296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95"/>
  </w:style>
  <w:style w:type="paragraph" w:styleId="Subtitle">
    <w:name w:val="Subtitle"/>
    <w:aliases w:val="APA Subtitle"/>
    <w:basedOn w:val="Normal"/>
    <w:next w:val="Normal"/>
    <w:link w:val="SubtitleChar"/>
    <w:uiPriority w:val="11"/>
    <w:qFormat/>
    <w:rsid w:val="00296A95"/>
    <w:pPr>
      <w:widowControl w:val="0"/>
      <w:autoSpaceDE w:val="0"/>
      <w:autoSpaceDN w:val="0"/>
      <w:adjustRightInd w:val="0"/>
      <w:spacing w:before="160" w:after="0" w:line="240" w:lineRule="auto"/>
      <w:textAlignment w:val="center"/>
    </w:pPr>
    <w:rPr>
      <w:rFonts w:ascii="CenturyGothic-Bold" w:eastAsiaTheme="minorEastAsia" w:hAnsi="CenturyGothic-Bold" w:cs="CenturyGothic-Bold"/>
      <w:b/>
      <w:color w:val="C8102E"/>
      <w:sz w:val="64"/>
      <w:szCs w:val="64"/>
      <w:lang w:val="en-GB"/>
    </w:rPr>
  </w:style>
  <w:style w:type="character" w:customStyle="1" w:styleId="SubtitleChar">
    <w:name w:val="Subtitle Char"/>
    <w:aliases w:val="APA Subtitle Char"/>
    <w:basedOn w:val="DefaultParagraphFont"/>
    <w:link w:val="Subtitle"/>
    <w:uiPriority w:val="11"/>
    <w:rsid w:val="00296A95"/>
    <w:rPr>
      <w:rFonts w:ascii="CenturyGothic-Bold" w:eastAsiaTheme="minorEastAsia" w:hAnsi="CenturyGothic-Bold" w:cs="CenturyGothic-Bold"/>
      <w:b/>
      <w:color w:val="C8102E"/>
      <w:sz w:val="64"/>
      <w:szCs w:val="64"/>
      <w:lang w:val="en-GB"/>
    </w:rPr>
  </w:style>
  <w:style w:type="paragraph" w:styleId="NoSpacing">
    <w:name w:val="No Spacing"/>
    <w:uiPriority w:val="1"/>
    <w:qFormat/>
    <w:rsid w:val="009C22C9"/>
    <w:pPr>
      <w:spacing w:after="0" w:line="240" w:lineRule="auto"/>
    </w:pPr>
  </w:style>
  <w:style w:type="paragraph" w:customStyle="1" w:styleId="BodyText1">
    <w:name w:val="Body Text1"/>
    <w:basedOn w:val="Normal"/>
    <w:link w:val="BodytextChar"/>
    <w:qFormat/>
    <w:rsid w:val="009C22C9"/>
    <w:rPr>
      <w:rFonts w:ascii="Century Gothic" w:hAnsi="Century Gothic"/>
      <w:lang w:val="en-GB"/>
    </w:rPr>
  </w:style>
  <w:style w:type="character" w:customStyle="1" w:styleId="Heading1Char">
    <w:name w:val="Heading 1 Char"/>
    <w:basedOn w:val="DefaultParagraphFont"/>
    <w:link w:val="Heading1"/>
    <w:uiPriority w:val="9"/>
    <w:rsid w:val="009C22C9"/>
    <w:rPr>
      <w:rFonts w:ascii="Century Gothic" w:eastAsiaTheme="majorEastAsia" w:hAnsi="Century Gothic" w:cstheme="majorBidi"/>
      <w:b/>
      <w:bCs/>
      <w:color w:val="333333"/>
      <w:sz w:val="28"/>
      <w:szCs w:val="28"/>
      <w:lang w:val="en-GB"/>
    </w:rPr>
  </w:style>
  <w:style w:type="character" w:customStyle="1" w:styleId="BodytextChar">
    <w:name w:val="Body text Char"/>
    <w:basedOn w:val="DefaultParagraphFont"/>
    <w:link w:val="BodyText1"/>
    <w:rsid w:val="009C22C9"/>
    <w:rPr>
      <w:rFonts w:ascii="Century Gothic" w:hAnsi="Century Gothic"/>
      <w:lang w:val="en-GB"/>
    </w:rPr>
  </w:style>
  <w:style w:type="table" w:styleId="TableGrid">
    <w:name w:val="Table Grid"/>
    <w:basedOn w:val="TableNormal"/>
    <w:uiPriority w:val="59"/>
    <w:rsid w:val="009C2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copy"/>
    <w:basedOn w:val="Normal"/>
    <w:link w:val="BodyTextChar0"/>
    <w:qFormat/>
    <w:rsid w:val="00542F27"/>
    <w:pPr>
      <w:spacing w:before="160" w:after="0"/>
      <w:jc w:val="both"/>
    </w:pPr>
    <w:rPr>
      <w:rFonts w:ascii="Century Gothic" w:eastAsia="Times New Roman" w:hAnsi="Century Gothic" w:cs="Times New Roman"/>
      <w:color w:val="25282A"/>
      <w:szCs w:val="20"/>
    </w:rPr>
  </w:style>
  <w:style w:type="character" w:customStyle="1" w:styleId="BodyTextChar0">
    <w:name w:val="Body Text Char"/>
    <w:aliases w:val="Body copy Char"/>
    <w:basedOn w:val="DefaultParagraphFont"/>
    <w:link w:val="BodyText"/>
    <w:rsid w:val="00542F27"/>
    <w:rPr>
      <w:rFonts w:ascii="Century Gothic" w:eastAsia="Times New Roman" w:hAnsi="Century Gothic" w:cs="Times New Roman"/>
      <w:color w:val="25282A"/>
      <w:szCs w:val="20"/>
    </w:rPr>
  </w:style>
  <w:style w:type="paragraph" w:styleId="ListParagraph">
    <w:name w:val="List Paragraph"/>
    <w:basedOn w:val="Normal"/>
    <w:uiPriority w:val="34"/>
    <w:qFormat/>
    <w:rsid w:val="009F5C0F"/>
    <w:pPr>
      <w:ind w:left="720"/>
      <w:contextualSpacing/>
    </w:pPr>
  </w:style>
  <w:style w:type="character" w:styleId="CommentReference">
    <w:name w:val="annotation reference"/>
    <w:basedOn w:val="DefaultParagraphFont"/>
    <w:uiPriority w:val="99"/>
    <w:semiHidden/>
    <w:unhideWhenUsed/>
    <w:rsid w:val="001D606D"/>
    <w:rPr>
      <w:sz w:val="16"/>
      <w:szCs w:val="16"/>
    </w:rPr>
  </w:style>
  <w:style w:type="paragraph" w:styleId="CommentText">
    <w:name w:val="annotation text"/>
    <w:basedOn w:val="Normal"/>
    <w:link w:val="CommentTextChar"/>
    <w:uiPriority w:val="99"/>
    <w:semiHidden/>
    <w:unhideWhenUsed/>
    <w:rsid w:val="001D606D"/>
    <w:pPr>
      <w:spacing w:line="240" w:lineRule="auto"/>
    </w:pPr>
    <w:rPr>
      <w:sz w:val="20"/>
      <w:szCs w:val="20"/>
    </w:rPr>
  </w:style>
  <w:style w:type="character" w:customStyle="1" w:styleId="CommentTextChar">
    <w:name w:val="Comment Text Char"/>
    <w:basedOn w:val="DefaultParagraphFont"/>
    <w:link w:val="CommentText"/>
    <w:uiPriority w:val="99"/>
    <w:semiHidden/>
    <w:rsid w:val="001D606D"/>
    <w:rPr>
      <w:sz w:val="20"/>
      <w:szCs w:val="20"/>
    </w:rPr>
  </w:style>
  <w:style w:type="paragraph" w:styleId="CommentSubject">
    <w:name w:val="annotation subject"/>
    <w:basedOn w:val="CommentText"/>
    <w:next w:val="CommentText"/>
    <w:link w:val="CommentSubjectChar"/>
    <w:uiPriority w:val="99"/>
    <w:semiHidden/>
    <w:unhideWhenUsed/>
    <w:rsid w:val="001D606D"/>
    <w:rPr>
      <w:b/>
      <w:bCs/>
    </w:rPr>
  </w:style>
  <w:style w:type="character" w:customStyle="1" w:styleId="CommentSubjectChar">
    <w:name w:val="Comment Subject Char"/>
    <w:basedOn w:val="CommentTextChar"/>
    <w:link w:val="CommentSubject"/>
    <w:uiPriority w:val="99"/>
    <w:semiHidden/>
    <w:rsid w:val="001D606D"/>
    <w:rPr>
      <w:b/>
      <w:bCs/>
      <w:sz w:val="20"/>
      <w:szCs w:val="20"/>
    </w:rPr>
  </w:style>
  <w:style w:type="paragraph" w:styleId="BalloonText">
    <w:name w:val="Balloon Text"/>
    <w:basedOn w:val="Normal"/>
    <w:link w:val="BalloonTextChar"/>
    <w:uiPriority w:val="99"/>
    <w:semiHidden/>
    <w:unhideWhenUsed/>
    <w:rsid w:val="001D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C22C9"/>
    <w:pPr>
      <w:keepNext/>
      <w:keepLines/>
      <w:spacing w:before="480" w:after="0"/>
      <w:outlineLvl w:val="0"/>
    </w:pPr>
    <w:rPr>
      <w:rFonts w:ascii="Century Gothic" w:eastAsiaTheme="majorEastAsia" w:hAnsi="Century Gothic" w:cstheme="majorBidi"/>
      <w:b/>
      <w:bCs/>
      <w:color w:val="333333"/>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95"/>
  </w:style>
  <w:style w:type="paragraph" w:styleId="Footer">
    <w:name w:val="footer"/>
    <w:basedOn w:val="Normal"/>
    <w:link w:val="FooterChar"/>
    <w:uiPriority w:val="99"/>
    <w:unhideWhenUsed/>
    <w:rsid w:val="00296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95"/>
  </w:style>
  <w:style w:type="paragraph" w:styleId="Subtitle">
    <w:name w:val="Subtitle"/>
    <w:aliases w:val="APA Subtitle"/>
    <w:basedOn w:val="Normal"/>
    <w:next w:val="Normal"/>
    <w:link w:val="SubtitleChar"/>
    <w:uiPriority w:val="11"/>
    <w:qFormat/>
    <w:rsid w:val="00296A95"/>
    <w:pPr>
      <w:widowControl w:val="0"/>
      <w:autoSpaceDE w:val="0"/>
      <w:autoSpaceDN w:val="0"/>
      <w:adjustRightInd w:val="0"/>
      <w:spacing w:before="160" w:after="0" w:line="240" w:lineRule="auto"/>
      <w:textAlignment w:val="center"/>
    </w:pPr>
    <w:rPr>
      <w:rFonts w:ascii="CenturyGothic-Bold" w:eastAsiaTheme="minorEastAsia" w:hAnsi="CenturyGothic-Bold" w:cs="CenturyGothic-Bold"/>
      <w:b/>
      <w:color w:val="C8102E"/>
      <w:sz w:val="64"/>
      <w:szCs w:val="64"/>
      <w:lang w:val="en-GB"/>
    </w:rPr>
  </w:style>
  <w:style w:type="character" w:customStyle="1" w:styleId="SubtitleChar">
    <w:name w:val="Subtitle Char"/>
    <w:aliases w:val="APA Subtitle Char"/>
    <w:basedOn w:val="DefaultParagraphFont"/>
    <w:link w:val="Subtitle"/>
    <w:uiPriority w:val="11"/>
    <w:rsid w:val="00296A95"/>
    <w:rPr>
      <w:rFonts w:ascii="CenturyGothic-Bold" w:eastAsiaTheme="minorEastAsia" w:hAnsi="CenturyGothic-Bold" w:cs="CenturyGothic-Bold"/>
      <w:b/>
      <w:color w:val="C8102E"/>
      <w:sz w:val="64"/>
      <w:szCs w:val="64"/>
      <w:lang w:val="en-GB"/>
    </w:rPr>
  </w:style>
  <w:style w:type="paragraph" w:styleId="NoSpacing">
    <w:name w:val="No Spacing"/>
    <w:uiPriority w:val="1"/>
    <w:qFormat/>
    <w:rsid w:val="009C22C9"/>
    <w:pPr>
      <w:spacing w:after="0" w:line="240" w:lineRule="auto"/>
    </w:pPr>
  </w:style>
  <w:style w:type="paragraph" w:customStyle="1" w:styleId="BodyText1">
    <w:name w:val="Body Text1"/>
    <w:basedOn w:val="Normal"/>
    <w:link w:val="BodytextChar"/>
    <w:qFormat/>
    <w:rsid w:val="009C22C9"/>
    <w:rPr>
      <w:rFonts w:ascii="Century Gothic" w:hAnsi="Century Gothic"/>
      <w:lang w:val="en-GB"/>
    </w:rPr>
  </w:style>
  <w:style w:type="character" w:customStyle="1" w:styleId="Heading1Char">
    <w:name w:val="Heading 1 Char"/>
    <w:basedOn w:val="DefaultParagraphFont"/>
    <w:link w:val="Heading1"/>
    <w:uiPriority w:val="9"/>
    <w:rsid w:val="009C22C9"/>
    <w:rPr>
      <w:rFonts w:ascii="Century Gothic" w:eastAsiaTheme="majorEastAsia" w:hAnsi="Century Gothic" w:cstheme="majorBidi"/>
      <w:b/>
      <w:bCs/>
      <w:color w:val="333333"/>
      <w:sz w:val="28"/>
      <w:szCs w:val="28"/>
      <w:lang w:val="en-GB"/>
    </w:rPr>
  </w:style>
  <w:style w:type="character" w:customStyle="1" w:styleId="BodytextChar">
    <w:name w:val="Body text Char"/>
    <w:basedOn w:val="DefaultParagraphFont"/>
    <w:link w:val="BodyText1"/>
    <w:rsid w:val="009C22C9"/>
    <w:rPr>
      <w:rFonts w:ascii="Century Gothic" w:hAnsi="Century Gothic"/>
      <w:lang w:val="en-GB"/>
    </w:rPr>
  </w:style>
  <w:style w:type="table" w:styleId="TableGrid">
    <w:name w:val="Table Grid"/>
    <w:basedOn w:val="TableNormal"/>
    <w:uiPriority w:val="59"/>
    <w:rsid w:val="009C2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aliases w:val="Body copy"/>
    <w:basedOn w:val="Normal"/>
    <w:link w:val="BodyTextChar0"/>
    <w:qFormat/>
    <w:rsid w:val="00542F27"/>
    <w:pPr>
      <w:spacing w:before="160" w:after="0"/>
      <w:jc w:val="both"/>
    </w:pPr>
    <w:rPr>
      <w:rFonts w:ascii="Century Gothic" w:eastAsia="Times New Roman" w:hAnsi="Century Gothic" w:cs="Times New Roman"/>
      <w:color w:val="25282A"/>
      <w:szCs w:val="20"/>
    </w:rPr>
  </w:style>
  <w:style w:type="character" w:customStyle="1" w:styleId="BodyTextChar0">
    <w:name w:val="Body Text Char"/>
    <w:aliases w:val="Body copy Char"/>
    <w:basedOn w:val="DefaultParagraphFont"/>
    <w:link w:val="BodyText"/>
    <w:rsid w:val="00542F27"/>
    <w:rPr>
      <w:rFonts w:ascii="Century Gothic" w:eastAsia="Times New Roman" w:hAnsi="Century Gothic" w:cs="Times New Roman"/>
      <w:color w:val="25282A"/>
      <w:szCs w:val="20"/>
    </w:rPr>
  </w:style>
  <w:style w:type="paragraph" w:styleId="ListParagraph">
    <w:name w:val="List Paragraph"/>
    <w:basedOn w:val="Normal"/>
    <w:uiPriority w:val="34"/>
    <w:qFormat/>
    <w:rsid w:val="009F5C0F"/>
    <w:pPr>
      <w:ind w:left="720"/>
      <w:contextualSpacing/>
    </w:pPr>
  </w:style>
  <w:style w:type="character" w:styleId="CommentReference">
    <w:name w:val="annotation reference"/>
    <w:basedOn w:val="DefaultParagraphFont"/>
    <w:uiPriority w:val="99"/>
    <w:semiHidden/>
    <w:unhideWhenUsed/>
    <w:rsid w:val="001D606D"/>
    <w:rPr>
      <w:sz w:val="16"/>
      <w:szCs w:val="16"/>
    </w:rPr>
  </w:style>
  <w:style w:type="paragraph" w:styleId="CommentText">
    <w:name w:val="annotation text"/>
    <w:basedOn w:val="Normal"/>
    <w:link w:val="CommentTextChar"/>
    <w:uiPriority w:val="99"/>
    <w:semiHidden/>
    <w:unhideWhenUsed/>
    <w:rsid w:val="001D606D"/>
    <w:pPr>
      <w:spacing w:line="240" w:lineRule="auto"/>
    </w:pPr>
    <w:rPr>
      <w:sz w:val="20"/>
      <w:szCs w:val="20"/>
    </w:rPr>
  </w:style>
  <w:style w:type="character" w:customStyle="1" w:styleId="CommentTextChar">
    <w:name w:val="Comment Text Char"/>
    <w:basedOn w:val="DefaultParagraphFont"/>
    <w:link w:val="CommentText"/>
    <w:uiPriority w:val="99"/>
    <w:semiHidden/>
    <w:rsid w:val="001D606D"/>
    <w:rPr>
      <w:sz w:val="20"/>
      <w:szCs w:val="20"/>
    </w:rPr>
  </w:style>
  <w:style w:type="paragraph" w:styleId="CommentSubject">
    <w:name w:val="annotation subject"/>
    <w:basedOn w:val="CommentText"/>
    <w:next w:val="CommentText"/>
    <w:link w:val="CommentSubjectChar"/>
    <w:uiPriority w:val="99"/>
    <w:semiHidden/>
    <w:unhideWhenUsed/>
    <w:rsid w:val="001D606D"/>
    <w:rPr>
      <w:b/>
      <w:bCs/>
    </w:rPr>
  </w:style>
  <w:style w:type="character" w:customStyle="1" w:styleId="CommentSubjectChar">
    <w:name w:val="Comment Subject Char"/>
    <w:basedOn w:val="CommentTextChar"/>
    <w:link w:val="CommentSubject"/>
    <w:uiPriority w:val="99"/>
    <w:semiHidden/>
    <w:rsid w:val="001D606D"/>
    <w:rPr>
      <w:b/>
      <w:bCs/>
      <w:sz w:val="20"/>
      <w:szCs w:val="20"/>
    </w:rPr>
  </w:style>
  <w:style w:type="paragraph" w:styleId="BalloonText">
    <w:name w:val="Balloon Text"/>
    <w:basedOn w:val="Normal"/>
    <w:link w:val="BalloonTextChar"/>
    <w:uiPriority w:val="99"/>
    <w:semiHidden/>
    <w:unhideWhenUsed/>
    <w:rsid w:val="001D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771DE1FC</Template>
  <TotalTime>0</TotalTime>
  <Pages>6</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2017-05-01T03:03:00Z</dcterms:created>
  <dcterms:modified xsi:type="dcterms:W3CDTF">2017-05-01T03:04:00Z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