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41" w:rsidRPr="008A4AF0" w:rsidRDefault="00541D84" w:rsidP="00210328">
      <w:r w:rsidRPr="008A4AF0">
        <w:rPr>
          <w:noProof/>
          <w:lang w:eastAsia="en-AU"/>
        </w:rPr>
        <mc:AlternateContent>
          <mc:Choice Requires="wps">
            <w:drawing>
              <wp:anchor distT="0" distB="0" distL="114300" distR="114300" simplePos="0" relativeHeight="251661312" behindDoc="0" locked="0" layoutInCell="1" allowOverlap="1" wp14:anchorId="502D9FF6" wp14:editId="015E8A52">
                <wp:simplePos x="0" y="0"/>
                <wp:positionH relativeFrom="column">
                  <wp:posOffset>-1099820</wp:posOffset>
                </wp:positionH>
                <wp:positionV relativeFrom="paragraph">
                  <wp:posOffset>449580</wp:posOffset>
                </wp:positionV>
                <wp:extent cx="4093845" cy="410210"/>
                <wp:effectExtent l="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4093845" cy="41021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25B6F" w:rsidRDefault="00225B6F" w:rsidP="00AB2E24">
                            <w:r>
                              <w:rPr>
                                <w:rStyle w:val="BookTitle"/>
                                <w:rFonts w:eastAsiaTheme="minorEastAsia"/>
                                <w:bCs/>
                                <w:sz w:val="20"/>
                                <w:lang w:val="en-GB"/>
                              </w:rPr>
                              <w:t>15 May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6.6pt;margin-top:35.4pt;width:322.35pt;height: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P8qwIAAKM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" filled="f" stroked="f">
                <v:textbox>
                  <w:txbxContent>
                    <w:p w:rsidR="00225B6F" w:rsidRDefault="00225B6F" w:rsidP="00AB2E24">
                      <w:r>
                        <w:rPr>
                          <w:rStyle w:val="BookTitle"/>
                          <w:rFonts w:eastAsiaTheme="minorEastAsia"/>
                          <w:bCs/>
                          <w:sz w:val="20"/>
                          <w:lang w:val="en-GB"/>
                        </w:rPr>
                        <w:t>15 May 2017</w:t>
                      </w:r>
                    </w:p>
                  </w:txbxContent>
                </v:textbox>
                <w10:wrap type="square"/>
              </v:shape>
            </w:pict>
          </mc:Fallback>
        </mc:AlternateContent>
      </w:r>
      <w:r w:rsidR="00F908C6" w:rsidRPr="008A4AF0">
        <w:rPr>
          <w:noProof/>
          <w:lang w:eastAsia="en-AU"/>
        </w:rPr>
        <mc:AlternateContent>
          <mc:Choice Requires="wps">
            <w:drawing>
              <wp:anchor distT="0" distB="0" distL="114300" distR="114300" simplePos="0" relativeHeight="251659264" behindDoc="0" locked="0" layoutInCell="1" allowOverlap="1" wp14:anchorId="22ED191F" wp14:editId="7CE98FFA">
                <wp:simplePos x="0" y="0"/>
                <wp:positionH relativeFrom="column">
                  <wp:posOffset>-1099820</wp:posOffset>
                </wp:positionH>
                <wp:positionV relativeFrom="paragraph">
                  <wp:posOffset>568960</wp:posOffset>
                </wp:positionV>
                <wp:extent cx="7315200" cy="343217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315200" cy="343217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25B6F" w:rsidRDefault="00225B6F" w:rsidP="00162A5A">
                            <w:pPr>
                              <w:pStyle w:val="Title"/>
                            </w:pPr>
                            <w:bookmarkStart w:id="0" w:name="Title"/>
                            <w:proofErr w:type="spellStart"/>
                            <w:proofErr w:type="gramStart"/>
                            <w:r>
                              <w:t>victorian</w:t>
                            </w:r>
                            <w:proofErr w:type="spellEnd"/>
                            <w:proofErr w:type="gramEnd"/>
                            <w:r>
                              <w:t xml:space="preserve"> transmission system</w:t>
                            </w:r>
                          </w:p>
                          <w:p w:rsidR="00225B6F" w:rsidRPr="00BE2CDF" w:rsidRDefault="00225B6F" w:rsidP="00162A5A">
                            <w:pPr>
                              <w:pStyle w:val="Subtitle"/>
                              <w:rPr>
                                <w:sz w:val="58"/>
                              </w:rPr>
                            </w:pPr>
                            <w:bookmarkStart w:id="1" w:name="Subtitle"/>
                            <w:bookmarkEnd w:id="0"/>
                            <w:proofErr w:type="gramStart"/>
                            <w:r>
                              <w:rPr>
                                <w:sz w:val="58"/>
                              </w:rPr>
                              <w:t>supplementary</w:t>
                            </w:r>
                            <w:proofErr w:type="gramEnd"/>
                            <w:r w:rsidRPr="00BE2CDF">
                              <w:rPr>
                                <w:sz w:val="58"/>
                              </w:rPr>
                              <w:t xml:space="preserve"> capital expenditure submission</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6.6pt;margin-top:44.8pt;width:8in;height:2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" filled="f" stroked="f">
                <v:textbox>
                  <w:txbxContent>
                    <w:p w:rsidR="00225B6F" w:rsidRDefault="00225B6F" w:rsidP="00162A5A">
                      <w:pPr>
                        <w:pStyle w:val="Title"/>
                      </w:pPr>
                      <w:bookmarkStart w:id="2" w:name="Title"/>
                      <w:proofErr w:type="spellStart"/>
                      <w:proofErr w:type="gramStart"/>
                      <w:r>
                        <w:t>victorian</w:t>
                      </w:r>
                      <w:proofErr w:type="spellEnd"/>
                      <w:proofErr w:type="gramEnd"/>
                      <w:r>
                        <w:t xml:space="preserve"> transmission system</w:t>
                      </w:r>
                    </w:p>
                    <w:p w:rsidR="00225B6F" w:rsidRPr="00BE2CDF" w:rsidRDefault="00225B6F" w:rsidP="00162A5A">
                      <w:pPr>
                        <w:pStyle w:val="Subtitle"/>
                        <w:rPr>
                          <w:sz w:val="58"/>
                        </w:rPr>
                      </w:pPr>
                      <w:bookmarkStart w:id="3" w:name="Subtitle"/>
                      <w:bookmarkEnd w:id="2"/>
                      <w:proofErr w:type="gramStart"/>
                      <w:r>
                        <w:rPr>
                          <w:sz w:val="58"/>
                        </w:rPr>
                        <w:t>supplementary</w:t>
                      </w:r>
                      <w:proofErr w:type="gramEnd"/>
                      <w:r w:rsidRPr="00BE2CDF">
                        <w:rPr>
                          <w:sz w:val="58"/>
                        </w:rPr>
                        <w:t xml:space="preserve"> capital expenditure submission</w:t>
                      </w:r>
                      <w:bookmarkEnd w:id="3"/>
                    </w:p>
                  </w:txbxContent>
                </v:textbox>
                <w10:wrap type="square"/>
              </v:shape>
            </w:pict>
          </mc:Fallback>
        </mc:AlternateContent>
      </w:r>
    </w:p>
    <w:p w:rsidR="004A7041" w:rsidRPr="00E32835" w:rsidRDefault="00E32835">
      <w:r w:rsidRPr="00E32835">
        <w:t>Public submission</w:t>
      </w:r>
    </w:p>
    <w:p w:rsidR="006A09A7" w:rsidRPr="008A4AF0" w:rsidRDefault="006A09A7"/>
    <w:p w:rsidR="006A09A7" w:rsidRPr="008A4AF0" w:rsidRDefault="006A09A7"/>
    <w:p w:rsidR="006A09A7" w:rsidRPr="008A4AF0" w:rsidRDefault="006A09A7"/>
    <w:p w:rsidR="006A09A7" w:rsidRPr="008A4AF0" w:rsidRDefault="006A09A7"/>
    <w:p w:rsidR="006A09A7" w:rsidRPr="008A4AF0" w:rsidRDefault="006A09A7"/>
    <w:p w:rsidR="004A7041" w:rsidRPr="008A4AF0" w:rsidRDefault="004A7041">
      <w:pPr>
        <w:sectPr w:rsidR="004A7041" w:rsidRPr="008A4AF0" w:rsidSect="003D42B3">
          <w:headerReference w:type="even" r:id="rId9"/>
          <w:headerReference w:type="default" r:id="rId10"/>
          <w:footerReference w:type="even" r:id="rId11"/>
          <w:headerReference w:type="first" r:id="rId12"/>
          <w:footerReference w:type="first" r:id="rId13"/>
          <w:pgSz w:w="11907" w:h="16840" w:code="9"/>
          <w:pgMar w:top="2835" w:right="1616" w:bottom="2126" w:left="1616" w:header="737" w:footer="737" w:gutter="454"/>
          <w:pgNumType w:start="1"/>
          <w:cols w:space="720"/>
          <w:titlePg/>
          <w:docGrid w:linePitch="299"/>
        </w:sectPr>
      </w:pPr>
    </w:p>
    <w:p w:rsidR="004A7041" w:rsidRPr="008A4AF0" w:rsidRDefault="004A7041" w:rsidP="0028126A">
      <w:pPr>
        <w:pStyle w:val="zcontentsBoldCustomColorRGB374042"/>
      </w:pPr>
      <w:r w:rsidRPr="008A4AF0">
        <w:lastRenderedPageBreak/>
        <w:t>Contents</w:t>
      </w:r>
    </w:p>
    <w:p w:rsidR="00CB054D" w:rsidRDefault="00AC2681">
      <w:pPr>
        <w:pStyle w:val="TOC1"/>
        <w:rPr>
          <w:rFonts w:asciiTheme="minorHAnsi" w:eastAsiaTheme="minorEastAsia" w:hAnsiTheme="minorHAnsi" w:cstheme="minorBidi"/>
          <w:b w:val="0"/>
          <w:color w:val="auto"/>
          <w:sz w:val="22"/>
          <w:szCs w:val="22"/>
          <w:lang w:eastAsia="en-AU"/>
        </w:rPr>
      </w:pPr>
      <w:r>
        <w:fldChar w:fldCharType="begin"/>
      </w:r>
      <w:r>
        <w:instrText xml:space="preserve"> TOC \o "1-2" \t "Appendix Heading,1,Appendix Heading 2,2" </w:instrText>
      </w:r>
      <w:r>
        <w:fldChar w:fldCharType="separate"/>
      </w:r>
      <w:r w:rsidR="00CB054D">
        <w:t>Summary</w:t>
      </w:r>
      <w:r w:rsidR="00CB054D">
        <w:tab/>
      </w:r>
      <w:r w:rsidR="00CB054D">
        <w:fldChar w:fldCharType="begin"/>
      </w:r>
      <w:r w:rsidR="00CB054D">
        <w:instrText xml:space="preserve"> PAGEREF _Toc482626052 \h </w:instrText>
      </w:r>
      <w:r w:rsidR="00CB054D">
        <w:fldChar w:fldCharType="separate"/>
      </w:r>
      <w:r w:rsidR="006D055F">
        <w:t>1</w:t>
      </w:r>
      <w:r w:rsidR="00CB054D">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1</w:t>
      </w:r>
      <w:r>
        <w:rPr>
          <w:rFonts w:asciiTheme="minorHAnsi" w:eastAsiaTheme="minorEastAsia" w:hAnsiTheme="minorHAnsi" w:cstheme="minorBidi"/>
          <w:b w:val="0"/>
          <w:color w:val="auto"/>
          <w:sz w:val="22"/>
          <w:szCs w:val="22"/>
          <w:lang w:eastAsia="en-AU"/>
        </w:rPr>
        <w:tab/>
      </w:r>
      <w:r>
        <w:t>Introduction</w:t>
      </w:r>
      <w:r>
        <w:tab/>
      </w:r>
      <w:r>
        <w:fldChar w:fldCharType="begin"/>
      </w:r>
      <w:r>
        <w:instrText xml:space="preserve"> PAGEREF _Toc482626053 \h </w:instrText>
      </w:r>
      <w:r>
        <w:fldChar w:fldCharType="separate"/>
      </w:r>
      <w:r w:rsidR="006D055F">
        <w:t>5</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1.1</w:t>
      </w:r>
      <w:r>
        <w:rPr>
          <w:rFonts w:asciiTheme="minorHAnsi" w:eastAsiaTheme="minorEastAsia" w:hAnsiTheme="minorHAnsi" w:cstheme="minorBidi"/>
          <w:color w:val="auto"/>
          <w:sz w:val="22"/>
          <w:szCs w:val="22"/>
          <w:lang w:eastAsia="en-AU"/>
        </w:rPr>
        <w:tab/>
      </w:r>
      <w:r>
        <w:t>Revisions to access arrangement to accommodate the Western Outer Ring Main project</w:t>
      </w:r>
      <w:r>
        <w:tab/>
      </w:r>
      <w:r>
        <w:fldChar w:fldCharType="begin"/>
      </w:r>
      <w:r>
        <w:instrText xml:space="preserve"> PAGEREF _Toc482626054 \h </w:instrText>
      </w:r>
      <w:r>
        <w:fldChar w:fldCharType="separate"/>
      </w:r>
      <w:r w:rsidR="006D055F">
        <w:t>5</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1.2</w:t>
      </w:r>
      <w:r>
        <w:rPr>
          <w:rFonts w:asciiTheme="minorHAnsi" w:eastAsiaTheme="minorEastAsia" w:hAnsiTheme="minorHAnsi" w:cstheme="minorBidi"/>
          <w:color w:val="auto"/>
          <w:sz w:val="22"/>
          <w:szCs w:val="22"/>
          <w:lang w:eastAsia="en-AU"/>
        </w:rPr>
        <w:tab/>
      </w:r>
      <w:r>
        <w:t>Additional revisions</w:t>
      </w:r>
      <w:r>
        <w:tab/>
      </w:r>
      <w:r>
        <w:fldChar w:fldCharType="begin"/>
      </w:r>
      <w:r>
        <w:instrText xml:space="preserve"> PAGEREF _Toc482626055 \h </w:instrText>
      </w:r>
      <w:r>
        <w:fldChar w:fldCharType="separate"/>
      </w:r>
      <w:r w:rsidR="006D055F">
        <w:t>5</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1.3</w:t>
      </w:r>
      <w:r>
        <w:rPr>
          <w:rFonts w:asciiTheme="minorHAnsi" w:eastAsiaTheme="minorEastAsia" w:hAnsiTheme="minorHAnsi" w:cstheme="minorBidi"/>
          <w:color w:val="auto"/>
          <w:sz w:val="22"/>
          <w:szCs w:val="22"/>
          <w:lang w:eastAsia="en-AU"/>
        </w:rPr>
        <w:tab/>
      </w:r>
      <w:r>
        <w:t>Elements of supplementary submission</w:t>
      </w:r>
      <w:r>
        <w:tab/>
      </w:r>
      <w:r>
        <w:fldChar w:fldCharType="begin"/>
      </w:r>
      <w:r>
        <w:instrText xml:space="preserve"> PAGEREF _Toc482626056 \h </w:instrText>
      </w:r>
      <w:r>
        <w:fldChar w:fldCharType="separate"/>
      </w:r>
      <w:r w:rsidR="006D055F">
        <w:t>5</w:t>
      </w:r>
      <w:r>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2</w:t>
      </w:r>
      <w:r>
        <w:rPr>
          <w:rFonts w:asciiTheme="minorHAnsi" w:eastAsiaTheme="minorEastAsia" w:hAnsiTheme="minorHAnsi" w:cstheme="minorBidi"/>
          <w:b w:val="0"/>
          <w:color w:val="auto"/>
          <w:sz w:val="22"/>
          <w:szCs w:val="22"/>
          <w:lang w:eastAsia="en-AU"/>
        </w:rPr>
        <w:tab/>
      </w:r>
      <w:r>
        <w:t>Services</w:t>
      </w:r>
      <w:r>
        <w:tab/>
      </w:r>
      <w:r>
        <w:fldChar w:fldCharType="begin"/>
      </w:r>
      <w:r>
        <w:instrText xml:space="preserve"> PAGEREF _Toc482626057 \h </w:instrText>
      </w:r>
      <w:r>
        <w:fldChar w:fldCharType="separate"/>
      </w:r>
      <w:r w:rsidR="006D055F">
        <w:t>7</w:t>
      </w:r>
      <w:r>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3</w:t>
      </w:r>
      <w:r>
        <w:rPr>
          <w:rFonts w:asciiTheme="minorHAnsi" w:eastAsiaTheme="minorEastAsia" w:hAnsiTheme="minorHAnsi" w:cstheme="minorBidi"/>
          <w:b w:val="0"/>
          <w:color w:val="auto"/>
          <w:sz w:val="22"/>
          <w:szCs w:val="22"/>
          <w:lang w:eastAsia="en-AU"/>
        </w:rPr>
        <w:tab/>
      </w:r>
      <w:r>
        <w:t>Pipeline demand and utilisation</w:t>
      </w:r>
      <w:r>
        <w:tab/>
      </w:r>
      <w:r>
        <w:fldChar w:fldCharType="begin"/>
      </w:r>
      <w:r>
        <w:instrText xml:space="preserve"> PAGEREF _Toc482626058 \h </w:instrText>
      </w:r>
      <w:r>
        <w:fldChar w:fldCharType="separate"/>
      </w:r>
      <w:r w:rsidR="006D055F">
        <w:t>8</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3.1</w:t>
      </w:r>
      <w:r>
        <w:rPr>
          <w:rFonts w:asciiTheme="minorHAnsi" w:eastAsiaTheme="minorEastAsia" w:hAnsiTheme="minorHAnsi" w:cstheme="minorBidi"/>
          <w:color w:val="auto"/>
          <w:sz w:val="22"/>
          <w:szCs w:val="22"/>
          <w:lang w:eastAsia="en-AU"/>
        </w:rPr>
        <w:tab/>
      </w:r>
      <w:r>
        <w:t>Iona Underground Storage Facility</w:t>
      </w:r>
      <w:r>
        <w:tab/>
      </w:r>
      <w:r>
        <w:fldChar w:fldCharType="begin"/>
      </w:r>
      <w:r>
        <w:instrText xml:space="preserve"> PAGEREF _Toc482626059 \h </w:instrText>
      </w:r>
      <w:r>
        <w:fldChar w:fldCharType="separate"/>
      </w:r>
      <w:r w:rsidR="006D055F">
        <w:t>8</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3.2</w:t>
      </w:r>
      <w:r>
        <w:rPr>
          <w:rFonts w:asciiTheme="minorHAnsi" w:eastAsiaTheme="minorEastAsia" w:hAnsiTheme="minorHAnsi" w:cstheme="minorBidi"/>
          <w:color w:val="auto"/>
          <w:sz w:val="22"/>
          <w:szCs w:val="22"/>
          <w:lang w:eastAsia="en-AU"/>
        </w:rPr>
        <w:tab/>
      </w:r>
      <w:r>
        <w:t>Proposed augmentation of the VTS</w:t>
      </w:r>
      <w:r>
        <w:tab/>
      </w:r>
      <w:r>
        <w:fldChar w:fldCharType="begin"/>
      </w:r>
      <w:r>
        <w:instrText xml:space="preserve"> PAGEREF _Toc482626060 \h </w:instrText>
      </w:r>
      <w:r>
        <w:fldChar w:fldCharType="separate"/>
      </w:r>
      <w:r w:rsidR="006D055F">
        <w:t>10</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3.3</w:t>
      </w:r>
      <w:r>
        <w:rPr>
          <w:rFonts w:asciiTheme="minorHAnsi" w:eastAsiaTheme="minorEastAsia" w:hAnsiTheme="minorHAnsi" w:cstheme="minorBidi"/>
          <w:color w:val="auto"/>
          <w:sz w:val="22"/>
          <w:szCs w:val="22"/>
          <w:lang w:eastAsia="en-AU"/>
        </w:rPr>
        <w:tab/>
      </w:r>
      <w:r>
        <w:t>Implications for APA VTS’s January AA demand proposal</w:t>
      </w:r>
      <w:r>
        <w:tab/>
      </w:r>
      <w:r>
        <w:fldChar w:fldCharType="begin"/>
      </w:r>
      <w:r>
        <w:instrText xml:space="preserve"> PAGEREF _Toc482626061 \h </w:instrText>
      </w:r>
      <w:r>
        <w:fldChar w:fldCharType="separate"/>
      </w:r>
      <w:r w:rsidR="006D055F">
        <w:t>13</w:t>
      </w:r>
      <w:r>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4</w:t>
      </w:r>
      <w:r>
        <w:rPr>
          <w:rFonts w:asciiTheme="minorHAnsi" w:eastAsiaTheme="minorEastAsia" w:hAnsiTheme="minorHAnsi" w:cstheme="minorBidi"/>
          <w:b w:val="0"/>
          <w:color w:val="auto"/>
          <w:sz w:val="22"/>
          <w:szCs w:val="22"/>
          <w:lang w:eastAsia="en-AU"/>
        </w:rPr>
        <w:tab/>
      </w:r>
      <w:r>
        <w:t>Pipeline asset management planning</w:t>
      </w:r>
      <w:r>
        <w:tab/>
      </w:r>
      <w:r>
        <w:fldChar w:fldCharType="begin"/>
      </w:r>
      <w:r>
        <w:instrText xml:space="preserve"> PAGEREF _Toc482626062 \h </w:instrText>
      </w:r>
      <w:r>
        <w:fldChar w:fldCharType="separate"/>
      </w:r>
      <w:r w:rsidR="006D055F">
        <w:t>17</w:t>
      </w:r>
      <w:r>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5</w:t>
      </w:r>
      <w:r>
        <w:rPr>
          <w:rFonts w:asciiTheme="minorHAnsi" w:eastAsiaTheme="minorEastAsia" w:hAnsiTheme="minorHAnsi" w:cstheme="minorBidi"/>
          <w:b w:val="0"/>
          <w:color w:val="auto"/>
          <w:sz w:val="22"/>
          <w:szCs w:val="22"/>
          <w:lang w:eastAsia="en-AU"/>
        </w:rPr>
        <w:tab/>
      </w:r>
      <w:r>
        <w:t>Capital expenditure</w:t>
      </w:r>
      <w:r>
        <w:tab/>
      </w:r>
      <w:r>
        <w:fldChar w:fldCharType="begin"/>
      </w:r>
      <w:r>
        <w:instrText xml:space="preserve"> PAGEREF _Toc482626063 \h </w:instrText>
      </w:r>
      <w:r>
        <w:fldChar w:fldCharType="separate"/>
      </w:r>
      <w:r w:rsidR="006D055F">
        <w:t>18</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5.1</w:t>
      </w:r>
      <w:r>
        <w:rPr>
          <w:rFonts w:asciiTheme="minorHAnsi" w:eastAsiaTheme="minorEastAsia" w:hAnsiTheme="minorHAnsi" w:cstheme="minorBidi"/>
          <w:color w:val="auto"/>
          <w:sz w:val="22"/>
          <w:szCs w:val="22"/>
          <w:lang w:eastAsia="en-AU"/>
        </w:rPr>
        <w:tab/>
      </w:r>
      <w:r>
        <w:t>Western Outer Ring Main</w:t>
      </w:r>
      <w:r>
        <w:tab/>
      </w:r>
      <w:r>
        <w:fldChar w:fldCharType="begin"/>
      </w:r>
      <w:r>
        <w:instrText xml:space="preserve"> PAGEREF _Toc482626064 \h </w:instrText>
      </w:r>
      <w:r>
        <w:fldChar w:fldCharType="separate"/>
      </w:r>
      <w:r w:rsidR="006D055F">
        <w:t>18</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5.2</w:t>
      </w:r>
      <w:r>
        <w:rPr>
          <w:rFonts w:asciiTheme="minorHAnsi" w:eastAsiaTheme="minorEastAsia" w:hAnsiTheme="minorHAnsi" w:cstheme="minorBidi"/>
          <w:color w:val="auto"/>
          <w:sz w:val="22"/>
          <w:szCs w:val="22"/>
          <w:lang w:eastAsia="en-AU"/>
        </w:rPr>
        <w:tab/>
      </w:r>
      <w:r>
        <w:t>Consequential changes to capital expenditure forecast</w:t>
      </w:r>
      <w:r>
        <w:tab/>
      </w:r>
      <w:r>
        <w:fldChar w:fldCharType="begin"/>
      </w:r>
      <w:r>
        <w:instrText xml:space="preserve"> PAGEREF _Toc482626065 \h </w:instrText>
      </w:r>
      <w:r>
        <w:fldChar w:fldCharType="separate"/>
      </w:r>
      <w:r w:rsidR="006D055F">
        <w:t>25</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5.3</w:t>
      </w:r>
      <w:r>
        <w:rPr>
          <w:rFonts w:asciiTheme="minorHAnsi" w:eastAsiaTheme="minorEastAsia" w:hAnsiTheme="minorHAnsi" w:cstheme="minorBidi"/>
          <w:color w:val="auto"/>
          <w:sz w:val="22"/>
          <w:szCs w:val="22"/>
          <w:lang w:eastAsia="en-AU"/>
        </w:rPr>
        <w:tab/>
      </w:r>
      <w:r>
        <w:t>Projects identified as being avoided by the WORM in the 2012 proposal</w:t>
      </w:r>
      <w:r>
        <w:tab/>
      </w:r>
      <w:r>
        <w:fldChar w:fldCharType="begin"/>
      </w:r>
      <w:r>
        <w:instrText xml:space="preserve"> PAGEREF _Toc482626066 \h </w:instrText>
      </w:r>
      <w:r>
        <w:fldChar w:fldCharType="separate"/>
      </w:r>
      <w:r w:rsidR="006D055F">
        <w:t>26</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5.4</w:t>
      </w:r>
      <w:r>
        <w:rPr>
          <w:rFonts w:asciiTheme="minorHAnsi" w:eastAsiaTheme="minorEastAsia" w:hAnsiTheme="minorHAnsi" w:cstheme="minorBidi"/>
          <w:color w:val="auto"/>
          <w:sz w:val="22"/>
          <w:szCs w:val="22"/>
          <w:lang w:eastAsia="en-AU"/>
        </w:rPr>
        <w:tab/>
      </w:r>
      <w:r>
        <w:t>Other changes to capital expenditure</w:t>
      </w:r>
      <w:r>
        <w:tab/>
      </w:r>
      <w:r>
        <w:fldChar w:fldCharType="begin"/>
      </w:r>
      <w:r>
        <w:instrText xml:space="preserve"> PAGEREF _Toc482626067 \h </w:instrText>
      </w:r>
      <w:r>
        <w:fldChar w:fldCharType="separate"/>
      </w:r>
      <w:r w:rsidR="006D055F">
        <w:t>29</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5.5</w:t>
      </w:r>
      <w:r>
        <w:rPr>
          <w:rFonts w:asciiTheme="minorHAnsi" w:eastAsiaTheme="minorEastAsia" w:hAnsiTheme="minorHAnsi" w:cstheme="minorBidi"/>
          <w:color w:val="auto"/>
          <w:sz w:val="22"/>
          <w:szCs w:val="22"/>
          <w:lang w:eastAsia="en-AU"/>
        </w:rPr>
        <w:tab/>
      </w:r>
      <w:r>
        <w:t>Total forecast capital expenditure</w:t>
      </w:r>
      <w:r>
        <w:tab/>
      </w:r>
      <w:r>
        <w:fldChar w:fldCharType="begin"/>
      </w:r>
      <w:r>
        <w:instrText xml:space="preserve"> PAGEREF _Toc482626068 \h </w:instrText>
      </w:r>
      <w:r>
        <w:fldChar w:fldCharType="separate"/>
      </w:r>
      <w:r w:rsidR="006D055F">
        <w:t>29</w:t>
      </w:r>
      <w:r>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6</w:t>
      </w:r>
      <w:r>
        <w:rPr>
          <w:rFonts w:asciiTheme="minorHAnsi" w:eastAsiaTheme="minorEastAsia" w:hAnsiTheme="minorHAnsi" w:cstheme="minorBidi"/>
          <w:b w:val="0"/>
          <w:color w:val="auto"/>
          <w:sz w:val="22"/>
          <w:szCs w:val="22"/>
          <w:lang w:eastAsia="en-AU"/>
        </w:rPr>
        <w:tab/>
      </w:r>
      <w:r>
        <w:t>Capital base</w:t>
      </w:r>
      <w:r>
        <w:tab/>
      </w:r>
      <w:r>
        <w:fldChar w:fldCharType="begin"/>
      </w:r>
      <w:r>
        <w:instrText xml:space="preserve"> PAGEREF _Toc482626069 \h </w:instrText>
      </w:r>
      <w:r>
        <w:fldChar w:fldCharType="separate"/>
      </w:r>
      <w:r w:rsidR="006D055F">
        <w:t>30</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6.1</w:t>
      </w:r>
      <w:r>
        <w:rPr>
          <w:rFonts w:asciiTheme="minorHAnsi" w:eastAsiaTheme="minorEastAsia" w:hAnsiTheme="minorHAnsi" w:cstheme="minorBidi"/>
          <w:color w:val="auto"/>
          <w:sz w:val="22"/>
          <w:szCs w:val="22"/>
          <w:lang w:eastAsia="en-AU"/>
        </w:rPr>
        <w:tab/>
      </w:r>
      <w:r>
        <w:t>Opening capital base for the access arrangement period</w:t>
      </w:r>
      <w:r>
        <w:tab/>
      </w:r>
      <w:r>
        <w:fldChar w:fldCharType="begin"/>
      </w:r>
      <w:r>
        <w:instrText xml:space="preserve"> PAGEREF _Toc482626070 \h </w:instrText>
      </w:r>
      <w:r>
        <w:fldChar w:fldCharType="separate"/>
      </w:r>
      <w:r w:rsidR="006D055F">
        <w:t>30</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6.2</w:t>
      </w:r>
      <w:r>
        <w:rPr>
          <w:rFonts w:asciiTheme="minorHAnsi" w:eastAsiaTheme="minorEastAsia" w:hAnsiTheme="minorHAnsi" w:cstheme="minorBidi"/>
          <w:color w:val="auto"/>
          <w:sz w:val="22"/>
          <w:szCs w:val="22"/>
          <w:lang w:eastAsia="en-AU"/>
        </w:rPr>
        <w:tab/>
      </w:r>
      <w:r>
        <w:t>Projected capital base for the access arrangement period</w:t>
      </w:r>
      <w:r>
        <w:tab/>
      </w:r>
      <w:r>
        <w:fldChar w:fldCharType="begin"/>
      </w:r>
      <w:r>
        <w:instrText xml:space="preserve"> PAGEREF _Toc482626071 \h </w:instrText>
      </w:r>
      <w:r>
        <w:fldChar w:fldCharType="separate"/>
      </w:r>
      <w:r w:rsidR="006D055F">
        <w:t>31</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6.3</w:t>
      </w:r>
      <w:r>
        <w:rPr>
          <w:rFonts w:asciiTheme="minorHAnsi" w:eastAsiaTheme="minorEastAsia" w:hAnsiTheme="minorHAnsi" w:cstheme="minorBidi"/>
          <w:color w:val="auto"/>
          <w:sz w:val="22"/>
          <w:szCs w:val="22"/>
          <w:lang w:eastAsia="en-AU"/>
        </w:rPr>
        <w:tab/>
      </w:r>
      <w:r>
        <w:t>Tax Asset Base</w:t>
      </w:r>
      <w:r>
        <w:tab/>
      </w:r>
      <w:r>
        <w:fldChar w:fldCharType="begin"/>
      </w:r>
      <w:r>
        <w:instrText xml:space="preserve"> PAGEREF _Toc482626072 \h </w:instrText>
      </w:r>
      <w:r>
        <w:fldChar w:fldCharType="separate"/>
      </w:r>
      <w:r w:rsidR="006D055F">
        <w:t>32</w:t>
      </w:r>
      <w:r>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7</w:t>
      </w:r>
      <w:r>
        <w:rPr>
          <w:rFonts w:asciiTheme="minorHAnsi" w:eastAsiaTheme="minorEastAsia" w:hAnsiTheme="minorHAnsi" w:cstheme="minorBidi"/>
          <w:b w:val="0"/>
          <w:color w:val="auto"/>
          <w:sz w:val="22"/>
          <w:szCs w:val="22"/>
          <w:lang w:eastAsia="en-AU"/>
        </w:rPr>
        <w:tab/>
      </w:r>
      <w:r>
        <w:t>Rate of Return and value of imputation credits</w:t>
      </w:r>
      <w:r>
        <w:tab/>
      </w:r>
      <w:r>
        <w:fldChar w:fldCharType="begin"/>
      </w:r>
      <w:r>
        <w:instrText xml:space="preserve"> PAGEREF _Toc482626073 \h </w:instrText>
      </w:r>
      <w:r>
        <w:fldChar w:fldCharType="separate"/>
      </w:r>
      <w:r w:rsidR="006D055F">
        <w:t>34</w:t>
      </w:r>
      <w:r>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8</w:t>
      </w:r>
      <w:r>
        <w:rPr>
          <w:rFonts w:asciiTheme="minorHAnsi" w:eastAsiaTheme="minorEastAsia" w:hAnsiTheme="minorHAnsi" w:cstheme="minorBidi"/>
          <w:b w:val="0"/>
          <w:color w:val="auto"/>
          <w:sz w:val="22"/>
          <w:szCs w:val="22"/>
          <w:lang w:eastAsia="en-AU"/>
        </w:rPr>
        <w:tab/>
      </w:r>
      <w:r>
        <w:t>Operating expenditure</w:t>
      </w:r>
      <w:r>
        <w:tab/>
      </w:r>
      <w:r>
        <w:fldChar w:fldCharType="begin"/>
      </w:r>
      <w:r>
        <w:instrText xml:space="preserve"> PAGEREF _Toc482626074 \h </w:instrText>
      </w:r>
      <w:r>
        <w:fldChar w:fldCharType="separate"/>
      </w:r>
      <w:r w:rsidR="006D055F">
        <w:t>35</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8.1</w:t>
      </w:r>
      <w:r>
        <w:rPr>
          <w:rFonts w:asciiTheme="minorHAnsi" w:eastAsiaTheme="minorEastAsia" w:hAnsiTheme="minorHAnsi" w:cstheme="minorBidi"/>
          <w:color w:val="auto"/>
          <w:sz w:val="22"/>
          <w:szCs w:val="22"/>
          <w:lang w:eastAsia="en-AU"/>
        </w:rPr>
        <w:tab/>
      </w:r>
      <w:r>
        <w:t>Step and scope changes</w:t>
      </w:r>
      <w:r>
        <w:tab/>
      </w:r>
      <w:r>
        <w:fldChar w:fldCharType="begin"/>
      </w:r>
      <w:r>
        <w:instrText xml:space="preserve"> PAGEREF _Toc482626075 \h </w:instrText>
      </w:r>
      <w:r>
        <w:fldChar w:fldCharType="separate"/>
      </w:r>
      <w:r w:rsidR="006D055F">
        <w:t>35</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8.2</w:t>
      </w:r>
      <w:r>
        <w:rPr>
          <w:rFonts w:asciiTheme="minorHAnsi" w:eastAsiaTheme="minorEastAsia" w:hAnsiTheme="minorHAnsi" w:cstheme="minorBidi"/>
          <w:color w:val="auto"/>
          <w:sz w:val="22"/>
          <w:szCs w:val="22"/>
          <w:lang w:eastAsia="en-AU"/>
        </w:rPr>
        <w:tab/>
      </w:r>
      <w:r>
        <w:t>Total controllable operating expenditure</w:t>
      </w:r>
      <w:r>
        <w:tab/>
      </w:r>
      <w:r>
        <w:fldChar w:fldCharType="begin"/>
      </w:r>
      <w:r>
        <w:instrText xml:space="preserve"> PAGEREF _Toc482626076 \h </w:instrText>
      </w:r>
      <w:r>
        <w:fldChar w:fldCharType="separate"/>
      </w:r>
      <w:r w:rsidR="006D055F">
        <w:t>37</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lastRenderedPageBreak/>
        <w:t>8.3</w:t>
      </w:r>
      <w:r>
        <w:rPr>
          <w:rFonts w:asciiTheme="minorHAnsi" w:eastAsiaTheme="minorEastAsia" w:hAnsiTheme="minorHAnsi" w:cstheme="minorBidi"/>
          <w:color w:val="auto"/>
          <w:sz w:val="22"/>
          <w:szCs w:val="22"/>
          <w:lang w:eastAsia="en-AU"/>
        </w:rPr>
        <w:tab/>
      </w:r>
      <w:r>
        <w:t>Calculation of allowances for passive linepack and spares</w:t>
      </w:r>
      <w:r>
        <w:tab/>
      </w:r>
      <w:r>
        <w:fldChar w:fldCharType="begin"/>
      </w:r>
      <w:r>
        <w:instrText xml:space="preserve"> PAGEREF _Toc482626077 \h </w:instrText>
      </w:r>
      <w:r>
        <w:fldChar w:fldCharType="separate"/>
      </w:r>
      <w:r w:rsidR="006D055F">
        <w:t>38</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8.4</w:t>
      </w:r>
      <w:r>
        <w:rPr>
          <w:rFonts w:asciiTheme="minorHAnsi" w:eastAsiaTheme="minorEastAsia" w:hAnsiTheme="minorHAnsi" w:cstheme="minorBidi"/>
          <w:color w:val="auto"/>
          <w:sz w:val="22"/>
          <w:szCs w:val="22"/>
          <w:lang w:eastAsia="en-AU"/>
        </w:rPr>
        <w:tab/>
      </w:r>
      <w:r>
        <w:t>Total operating expenditure including allowances</w:t>
      </w:r>
      <w:r>
        <w:tab/>
      </w:r>
      <w:r>
        <w:fldChar w:fldCharType="begin"/>
      </w:r>
      <w:r>
        <w:instrText xml:space="preserve"> PAGEREF _Toc482626078 \h </w:instrText>
      </w:r>
      <w:r>
        <w:fldChar w:fldCharType="separate"/>
      </w:r>
      <w:r w:rsidR="006D055F">
        <w:t>38</w:t>
      </w:r>
      <w:r>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9</w:t>
      </w:r>
      <w:r>
        <w:rPr>
          <w:rFonts w:asciiTheme="minorHAnsi" w:eastAsiaTheme="minorEastAsia" w:hAnsiTheme="minorHAnsi" w:cstheme="minorBidi"/>
          <w:b w:val="0"/>
          <w:color w:val="auto"/>
          <w:sz w:val="22"/>
          <w:szCs w:val="22"/>
          <w:lang w:eastAsia="en-AU"/>
        </w:rPr>
        <w:tab/>
      </w:r>
      <w:r>
        <w:t>Total revenue</w:t>
      </w:r>
      <w:r>
        <w:tab/>
      </w:r>
      <w:r>
        <w:fldChar w:fldCharType="begin"/>
      </w:r>
      <w:r>
        <w:instrText xml:space="preserve"> PAGEREF _Toc482626079 \h </w:instrText>
      </w:r>
      <w:r>
        <w:fldChar w:fldCharType="separate"/>
      </w:r>
      <w:r w:rsidR="006D055F">
        <w:t>39</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9.1</w:t>
      </w:r>
      <w:r>
        <w:rPr>
          <w:rFonts w:asciiTheme="minorHAnsi" w:eastAsiaTheme="minorEastAsia" w:hAnsiTheme="minorHAnsi" w:cstheme="minorBidi"/>
          <w:color w:val="auto"/>
          <w:sz w:val="22"/>
          <w:szCs w:val="22"/>
          <w:lang w:eastAsia="en-AU"/>
        </w:rPr>
        <w:tab/>
      </w:r>
      <w:r>
        <w:t>Return on capital</w:t>
      </w:r>
      <w:r>
        <w:tab/>
      </w:r>
      <w:r>
        <w:fldChar w:fldCharType="begin"/>
      </w:r>
      <w:r>
        <w:instrText xml:space="preserve"> PAGEREF _Toc482626080 \h </w:instrText>
      </w:r>
      <w:r>
        <w:fldChar w:fldCharType="separate"/>
      </w:r>
      <w:r w:rsidR="006D055F">
        <w:t>39</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9.2</w:t>
      </w:r>
      <w:r>
        <w:rPr>
          <w:rFonts w:asciiTheme="minorHAnsi" w:eastAsiaTheme="minorEastAsia" w:hAnsiTheme="minorHAnsi" w:cstheme="minorBidi"/>
          <w:color w:val="auto"/>
          <w:sz w:val="22"/>
          <w:szCs w:val="22"/>
          <w:lang w:eastAsia="en-AU"/>
        </w:rPr>
        <w:tab/>
      </w:r>
      <w:r>
        <w:t>Return of capital</w:t>
      </w:r>
      <w:r>
        <w:tab/>
      </w:r>
      <w:r>
        <w:fldChar w:fldCharType="begin"/>
      </w:r>
      <w:r>
        <w:instrText xml:space="preserve"> PAGEREF _Toc482626081 \h </w:instrText>
      </w:r>
      <w:r>
        <w:fldChar w:fldCharType="separate"/>
      </w:r>
      <w:r w:rsidR="006D055F">
        <w:t>39</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9.3</w:t>
      </w:r>
      <w:r>
        <w:rPr>
          <w:rFonts w:asciiTheme="minorHAnsi" w:eastAsiaTheme="minorEastAsia" w:hAnsiTheme="minorHAnsi" w:cstheme="minorBidi"/>
          <w:color w:val="auto"/>
          <w:sz w:val="22"/>
          <w:szCs w:val="22"/>
          <w:lang w:eastAsia="en-AU"/>
        </w:rPr>
        <w:tab/>
      </w:r>
      <w:r>
        <w:t>Corporate income tax</w:t>
      </w:r>
      <w:r>
        <w:tab/>
      </w:r>
      <w:r>
        <w:fldChar w:fldCharType="begin"/>
      </w:r>
      <w:r>
        <w:instrText xml:space="preserve"> PAGEREF _Toc482626082 \h </w:instrText>
      </w:r>
      <w:r>
        <w:fldChar w:fldCharType="separate"/>
      </w:r>
      <w:r w:rsidR="006D055F">
        <w:t>40</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9.4</w:t>
      </w:r>
      <w:r>
        <w:rPr>
          <w:rFonts w:asciiTheme="minorHAnsi" w:eastAsiaTheme="minorEastAsia" w:hAnsiTheme="minorHAnsi" w:cstheme="minorBidi"/>
          <w:color w:val="auto"/>
          <w:sz w:val="22"/>
          <w:szCs w:val="22"/>
          <w:lang w:eastAsia="en-AU"/>
        </w:rPr>
        <w:tab/>
      </w:r>
      <w:r>
        <w:t>Operating expenditure</w:t>
      </w:r>
      <w:r>
        <w:tab/>
      </w:r>
      <w:r>
        <w:fldChar w:fldCharType="begin"/>
      </w:r>
      <w:r>
        <w:instrText xml:space="preserve"> PAGEREF _Toc482626083 \h </w:instrText>
      </w:r>
      <w:r>
        <w:fldChar w:fldCharType="separate"/>
      </w:r>
      <w:r w:rsidR="006D055F">
        <w:t>40</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9.5</w:t>
      </w:r>
      <w:r>
        <w:rPr>
          <w:rFonts w:asciiTheme="minorHAnsi" w:eastAsiaTheme="minorEastAsia" w:hAnsiTheme="minorHAnsi" w:cstheme="minorBidi"/>
          <w:color w:val="auto"/>
          <w:sz w:val="22"/>
          <w:szCs w:val="22"/>
          <w:lang w:eastAsia="en-AU"/>
        </w:rPr>
        <w:tab/>
      </w:r>
      <w:r>
        <w:t>Total revenue requirement</w:t>
      </w:r>
      <w:r>
        <w:tab/>
      </w:r>
      <w:r>
        <w:fldChar w:fldCharType="begin"/>
      </w:r>
      <w:r>
        <w:instrText xml:space="preserve"> PAGEREF _Toc482626084 \h </w:instrText>
      </w:r>
      <w:r>
        <w:fldChar w:fldCharType="separate"/>
      </w:r>
      <w:r w:rsidR="006D055F">
        <w:t>40</w:t>
      </w:r>
      <w:r>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10</w:t>
      </w:r>
      <w:r>
        <w:rPr>
          <w:rFonts w:asciiTheme="minorHAnsi" w:eastAsiaTheme="minorEastAsia" w:hAnsiTheme="minorHAnsi" w:cstheme="minorBidi"/>
          <w:b w:val="0"/>
          <w:color w:val="auto"/>
          <w:sz w:val="22"/>
          <w:szCs w:val="22"/>
          <w:lang w:eastAsia="en-AU"/>
        </w:rPr>
        <w:tab/>
      </w:r>
      <w:r>
        <w:t>Revenue allocation and tariffs</w:t>
      </w:r>
      <w:r>
        <w:tab/>
      </w:r>
      <w:r>
        <w:fldChar w:fldCharType="begin"/>
      </w:r>
      <w:r>
        <w:instrText xml:space="preserve"> PAGEREF _Toc482626085 \h </w:instrText>
      </w:r>
      <w:r>
        <w:fldChar w:fldCharType="separate"/>
      </w:r>
      <w:r w:rsidR="006D055F">
        <w:t>42</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10.1</w:t>
      </w:r>
      <w:r>
        <w:rPr>
          <w:rFonts w:asciiTheme="minorHAnsi" w:eastAsiaTheme="minorEastAsia" w:hAnsiTheme="minorHAnsi" w:cstheme="minorBidi"/>
          <w:color w:val="auto"/>
          <w:sz w:val="22"/>
          <w:szCs w:val="22"/>
          <w:lang w:eastAsia="en-AU"/>
        </w:rPr>
        <w:tab/>
      </w:r>
      <w:r>
        <w:t>Cost allocation methodology</w:t>
      </w:r>
      <w:r>
        <w:tab/>
      </w:r>
      <w:r>
        <w:fldChar w:fldCharType="begin"/>
      </w:r>
      <w:r>
        <w:instrText xml:space="preserve"> PAGEREF _Toc482626086 \h </w:instrText>
      </w:r>
      <w:r>
        <w:fldChar w:fldCharType="separate"/>
      </w:r>
      <w:r w:rsidR="006D055F">
        <w:t>42</w:t>
      </w:r>
      <w:r>
        <w:fldChar w:fldCharType="end"/>
      </w:r>
    </w:p>
    <w:p w:rsidR="00CB054D" w:rsidRDefault="00CB054D">
      <w:pPr>
        <w:pStyle w:val="TOC2"/>
        <w:rPr>
          <w:rFonts w:asciiTheme="minorHAnsi" w:eastAsiaTheme="minorEastAsia" w:hAnsiTheme="minorHAnsi" w:cstheme="minorBidi"/>
          <w:color w:val="auto"/>
          <w:sz w:val="22"/>
          <w:szCs w:val="22"/>
          <w:lang w:eastAsia="en-AU"/>
        </w:rPr>
      </w:pPr>
      <w:r w:rsidRPr="00430B6D">
        <w:rPr>
          <w14:scene3d>
            <w14:camera w14:prst="orthographicFront"/>
            <w14:lightRig w14:rig="threePt" w14:dir="t">
              <w14:rot w14:lat="0" w14:lon="0" w14:rev="0"/>
            </w14:lightRig>
          </w14:scene3d>
        </w:rPr>
        <w:t>10.2</w:t>
      </w:r>
      <w:r>
        <w:rPr>
          <w:rFonts w:asciiTheme="minorHAnsi" w:eastAsiaTheme="minorEastAsia" w:hAnsiTheme="minorHAnsi" w:cstheme="minorBidi"/>
          <w:color w:val="auto"/>
          <w:sz w:val="22"/>
          <w:szCs w:val="22"/>
          <w:lang w:eastAsia="en-AU"/>
        </w:rPr>
        <w:tab/>
      </w:r>
      <w:r>
        <w:t>Revised tariffs</w:t>
      </w:r>
      <w:r>
        <w:tab/>
      </w:r>
      <w:r>
        <w:fldChar w:fldCharType="begin"/>
      </w:r>
      <w:r>
        <w:instrText xml:space="preserve"> PAGEREF _Toc482626087 \h </w:instrText>
      </w:r>
      <w:r>
        <w:fldChar w:fldCharType="separate"/>
      </w:r>
      <w:r w:rsidR="006D055F">
        <w:t>42</w:t>
      </w:r>
      <w:r>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A</w:t>
      </w:r>
      <w:r>
        <w:rPr>
          <w:rFonts w:asciiTheme="minorHAnsi" w:eastAsiaTheme="minorEastAsia" w:hAnsiTheme="minorHAnsi" w:cstheme="minorBidi"/>
          <w:b w:val="0"/>
          <w:color w:val="auto"/>
          <w:sz w:val="22"/>
          <w:szCs w:val="22"/>
          <w:lang w:eastAsia="en-AU"/>
        </w:rPr>
        <w:tab/>
      </w:r>
      <w:r>
        <w:t>AER Requests for information</w:t>
      </w:r>
      <w:r>
        <w:tab/>
      </w:r>
      <w:r>
        <w:fldChar w:fldCharType="begin"/>
      </w:r>
      <w:r>
        <w:instrText xml:space="preserve"> PAGEREF _Toc482626088 \h </w:instrText>
      </w:r>
      <w:r>
        <w:fldChar w:fldCharType="separate"/>
      </w:r>
      <w:r w:rsidR="006D055F">
        <w:t>48</w:t>
      </w:r>
      <w:r>
        <w:fldChar w:fldCharType="end"/>
      </w:r>
    </w:p>
    <w:p w:rsidR="00CB054D" w:rsidRDefault="00CB054D">
      <w:pPr>
        <w:pStyle w:val="TOC2"/>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AER Information request 9</w:t>
      </w:r>
      <w:r>
        <w:tab/>
      </w:r>
      <w:r>
        <w:fldChar w:fldCharType="begin"/>
      </w:r>
      <w:r>
        <w:instrText xml:space="preserve"> PAGEREF _Toc482626089 \h </w:instrText>
      </w:r>
      <w:r>
        <w:fldChar w:fldCharType="separate"/>
      </w:r>
      <w:r w:rsidR="006D055F">
        <w:t>48</w:t>
      </w:r>
      <w:r>
        <w:fldChar w:fldCharType="end"/>
      </w:r>
    </w:p>
    <w:p w:rsidR="00CB054D" w:rsidRDefault="00CB054D">
      <w:pPr>
        <w:pStyle w:val="TOC2"/>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AER Information request 10</w:t>
      </w:r>
      <w:r>
        <w:tab/>
      </w:r>
      <w:r>
        <w:fldChar w:fldCharType="begin"/>
      </w:r>
      <w:r>
        <w:instrText xml:space="preserve"> PAGEREF _Toc482626090 \h </w:instrText>
      </w:r>
      <w:r>
        <w:fldChar w:fldCharType="separate"/>
      </w:r>
      <w:r w:rsidR="006D055F">
        <w:t>50</w:t>
      </w:r>
      <w:r>
        <w:fldChar w:fldCharType="end"/>
      </w:r>
    </w:p>
    <w:p w:rsidR="00CB054D" w:rsidRDefault="00CB054D">
      <w:pPr>
        <w:pStyle w:val="TOC1"/>
        <w:rPr>
          <w:rFonts w:asciiTheme="minorHAnsi" w:eastAsiaTheme="minorEastAsia" w:hAnsiTheme="minorHAnsi" w:cstheme="minorBidi"/>
          <w:b w:val="0"/>
          <w:color w:val="auto"/>
          <w:sz w:val="22"/>
          <w:szCs w:val="22"/>
          <w:lang w:eastAsia="en-AU"/>
        </w:rPr>
      </w:pPr>
      <w:r>
        <w:t>B</w:t>
      </w:r>
      <w:r>
        <w:rPr>
          <w:rFonts w:asciiTheme="minorHAnsi" w:eastAsiaTheme="minorEastAsia" w:hAnsiTheme="minorHAnsi" w:cstheme="minorBidi"/>
          <w:b w:val="0"/>
          <w:color w:val="auto"/>
          <w:sz w:val="22"/>
          <w:szCs w:val="22"/>
          <w:lang w:eastAsia="en-AU"/>
        </w:rPr>
        <w:tab/>
      </w:r>
      <w:r>
        <w:t>Supporting financial models</w:t>
      </w:r>
      <w:r>
        <w:tab/>
      </w:r>
      <w:r>
        <w:fldChar w:fldCharType="begin"/>
      </w:r>
      <w:r>
        <w:instrText xml:space="preserve"> PAGEREF _Toc482626091 \h </w:instrText>
      </w:r>
      <w:r>
        <w:fldChar w:fldCharType="separate"/>
      </w:r>
      <w:r w:rsidR="006D055F">
        <w:t>51</w:t>
      </w:r>
      <w:r>
        <w:fldChar w:fldCharType="end"/>
      </w:r>
    </w:p>
    <w:p w:rsidR="00CB054D" w:rsidRDefault="00CB054D">
      <w:pPr>
        <w:pStyle w:val="TOC2"/>
        <w:rPr>
          <w:rFonts w:asciiTheme="minorHAnsi" w:eastAsiaTheme="minorEastAsia" w:hAnsiTheme="minorHAnsi" w:cstheme="minorBidi"/>
          <w:color w:val="auto"/>
          <w:sz w:val="22"/>
          <w:szCs w:val="22"/>
          <w:lang w:eastAsia="en-AU"/>
        </w:rPr>
      </w:pPr>
      <w:r>
        <w:t>B.1</w:t>
      </w:r>
      <w:r>
        <w:rPr>
          <w:rFonts w:asciiTheme="minorHAnsi" w:eastAsiaTheme="minorEastAsia" w:hAnsiTheme="minorHAnsi" w:cstheme="minorBidi"/>
          <w:color w:val="auto"/>
          <w:sz w:val="22"/>
          <w:szCs w:val="22"/>
          <w:lang w:eastAsia="en-AU"/>
        </w:rPr>
        <w:tab/>
      </w:r>
      <w:r>
        <w:t>Capital expenditure model – Public</w:t>
      </w:r>
      <w:r>
        <w:tab/>
      </w:r>
      <w:r>
        <w:fldChar w:fldCharType="begin"/>
      </w:r>
      <w:r>
        <w:instrText xml:space="preserve"> PAGEREF _Toc482626092 \h </w:instrText>
      </w:r>
      <w:r>
        <w:fldChar w:fldCharType="separate"/>
      </w:r>
      <w:r w:rsidR="006D055F">
        <w:t>51</w:t>
      </w:r>
      <w:r>
        <w:fldChar w:fldCharType="end"/>
      </w:r>
    </w:p>
    <w:p w:rsidR="00CB054D" w:rsidRDefault="00CB054D">
      <w:pPr>
        <w:pStyle w:val="TOC2"/>
        <w:rPr>
          <w:rFonts w:asciiTheme="minorHAnsi" w:eastAsiaTheme="minorEastAsia" w:hAnsiTheme="minorHAnsi" w:cstheme="minorBidi"/>
          <w:color w:val="auto"/>
          <w:sz w:val="22"/>
          <w:szCs w:val="22"/>
          <w:lang w:eastAsia="en-AU"/>
        </w:rPr>
      </w:pPr>
      <w:r>
        <w:t>B.2</w:t>
      </w:r>
      <w:r>
        <w:rPr>
          <w:rFonts w:asciiTheme="minorHAnsi" w:eastAsiaTheme="minorEastAsia" w:hAnsiTheme="minorHAnsi" w:cstheme="minorBidi"/>
          <w:color w:val="auto"/>
          <w:sz w:val="22"/>
          <w:szCs w:val="22"/>
          <w:lang w:eastAsia="en-AU"/>
        </w:rPr>
        <w:tab/>
      </w:r>
      <w:r>
        <w:t>Operating expenditure model – Public</w:t>
      </w:r>
      <w:r>
        <w:tab/>
      </w:r>
      <w:r>
        <w:fldChar w:fldCharType="begin"/>
      </w:r>
      <w:r>
        <w:instrText xml:space="preserve"> PAGEREF _Toc482626093 \h </w:instrText>
      </w:r>
      <w:r>
        <w:fldChar w:fldCharType="separate"/>
      </w:r>
      <w:r w:rsidR="006D055F">
        <w:t>51</w:t>
      </w:r>
      <w:r>
        <w:fldChar w:fldCharType="end"/>
      </w:r>
    </w:p>
    <w:p w:rsidR="00CB054D" w:rsidRDefault="00CB054D">
      <w:pPr>
        <w:pStyle w:val="TOC2"/>
        <w:rPr>
          <w:rFonts w:asciiTheme="minorHAnsi" w:eastAsiaTheme="minorEastAsia" w:hAnsiTheme="minorHAnsi" w:cstheme="minorBidi"/>
          <w:color w:val="auto"/>
          <w:sz w:val="22"/>
          <w:szCs w:val="22"/>
          <w:lang w:eastAsia="en-AU"/>
        </w:rPr>
      </w:pPr>
      <w:r>
        <w:t>B.3</w:t>
      </w:r>
      <w:r>
        <w:rPr>
          <w:rFonts w:asciiTheme="minorHAnsi" w:eastAsiaTheme="minorEastAsia" w:hAnsiTheme="minorHAnsi" w:cstheme="minorBidi"/>
          <w:color w:val="auto"/>
          <w:sz w:val="22"/>
          <w:szCs w:val="22"/>
          <w:lang w:eastAsia="en-AU"/>
        </w:rPr>
        <w:tab/>
      </w:r>
      <w:r>
        <w:t>Roll Forward Model – Public</w:t>
      </w:r>
      <w:r>
        <w:tab/>
      </w:r>
      <w:r>
        <w:fldChar w:fldCharType="begin"/>
      </w:r>
      <w:r>
        <w:instrText xml:space="preserve"> PAGEREF _Toc482626094 \h </w:instrText>
      </w:r>
      <w:r>
        <w:fldChar w:fldCharType="separate"/>
      </w:r>
      <w:r w:rsidR="006D055F">
        <w:t>51</w:t>
      </w:r>
      <w:r>
        <w:fldChar w:fldCharType="end"/>
      </w:r>
    </w:p>
    <w:p w:rsidR="00CB054D" w:rsidRDefault="00CB054D">
      <w:pPr>
        <w:pStyle w:val="TOC2"/>
        <w:rPr>
          <w:rFonts w:asciiTheme="minorHAnsi" w:eastAsiaTheme="minorEastAsia" w:hAnsiTheme="minorHAnsi" w:cstheme="minorBidi"/>
          <w:color w:val="auto"/>
          <w:sz w:val="22"/>
          <w:szCs w:val="22"/>
          <w:lang w:eastAsia="en-AU"/>
        </w:rPr>
      </w:pPr>
      <w:r>
        <w:t>B.4</w:t>
      </w:r>
      <w:r>
        <w:rPr>
          <w:rFonts w:asciiTheme="minorHAnsi" w:eastAsiaTheme="minorEastAsia" w:hAnsiTheme="minorHAnsi" w:cstheme="minorBidi"/>
          <w:color w:val="auto"/>
          <w:sz w:val="22"/>
          <w:szCs w:val="22"/>
          <w:lang w:eastAsia="en-AU"/>
        </w:rPr>
        <w:tab/>
      </w:r>
      <w:r>
        <w:t>Post Tax Revenue Model – Public</w:t>
      </w:r>
      <w:r>
        <w:tab/>
      </w:r>
      <w:r>
        <w:fldChar w:fldCharType="begin"/>
      </w:r>
      <w:r>
        <w:instrText xml:space="preserve"> PAGEREF _Toc482626095 \h </w:instrText>
      </w:r>
      <w:r>
        <w:fldChar w:fldCharType="separate"/>
      </w:r>
      <w:r w:rsidR="006D055F">
        <w:t>51</w:t>
      </w:r>
      <w:r>
        <w:fldChar w:fldCharType="end"/>
      </w:r>
    </w:p>
    <w:p w:rsidR="00CB054D" w:rsidRDefault="00CB054D">
      <w:pPr>
        <w:pStyle w:val="TOC2"/>
        <w:rPr>
          <w:rFonts w:asciiTheme="minorHAnsi" w:eastAsiaTheme="minorEastAsia" w:hAnsiTheme="minorHAnsi" w:cstheme="minorBidi"/>
          <w:color w:val="auto"/>
          <w:sz w:val="22"/>
          <w:szCs w:val="22"/>
          <w:lang w:eastAsia="en-AU"/>
        </w:rPr>
      </w:pPr>
      <w:r>
        <w:t>B.5</w:t>
      </w:r>
      <w:r>
        <w:rPr>
          <w:rFonts w:asciiTheme="minorHAnsi" w:eastAsiaTheme="minorEastAsia" w:hAnsiTheme="minorHAnsi" w:cstheme="minorBidi"/>
          <w:color w:val="auto"/>
          <w:sz w:val="22"/>
          <w:szCs w:val="22"/>
          <w:lang w:eastAsia="en-AU"/>
        </w:rPr>
        <w:tab/>
      </w:r>
      <w:r>
        <w:t>Tariff model – Confidential</w:t>
      </w:r>
      <w:r>
        <w:tab/>
      </w:r>
      <w:r>
        <w:fldChar w:fldCharType="begin"/>
      </w:r>
      <w:r>
        <w:instrText xml:space="preserve"> PAGEREF _Toc482626096 \h </w:instrText>
      </w:r>
      <w:r>
        <w:fldChar w:fldCharType="separate"/>
      </w:r>
      <w:r w:rsidR="006D055F">
        <w:t>51</w:t>
      </w:r>
      <w:r>
        <w:fldChar w:fldCharType="end"/>
      </w:r>
    </w:p>
    <w:p w:rsidR="00CB054D" w:rsidRDefault="00CB054D">
      <w:pPr>
        <w:pStyle w:val="TOC2"/>
        <w:rPr>
          <w:rFonts w:asciiTheme="minorHAnsi" w:eastAsiaTheme="minorEastAsia" w:hAnsiTheme="minorHAnsi" w:cstheme="minorBidi"/>
          <w:color w:val="auto"/>
          <w:sz w:val="22"/>
          <w:szCs w:val="22"/>
          <w:lang w:eastAsia="en-AU"/>
        </w:rPr>
      </w:pPr>
      <w:r>
        <w:t>B.6</w:t>
      </w:r>
      <w:r>
        <w:rPr>
          <w:rFonts w:asciiTheme="minorHAnsi" w:eastAsiaTheme="minorEastAsia" w:hAnsiTheme="minorHAnsi" w:cstheme="minorBidi"/>
          <w:color w:val="auto"/>
          <w:sz w:val="22"/>
          <w:szCs w:val="22"/>
          <w:lang w:eastAsia="en-AU"/>
        </w:rPr>
        <w:tab/>
      </w:r>
      <w:r>
        <w:t>Price Control Model – Confidential</w:t>
      </w:r>
      <w:r>
        <w:tab/>
      </w:r>
      <w:r>
        <w:fldChar w:fldCharType="begin"/>
      </w:r>
      <w:r>
        <w:instrText xml:space="preserve"> PAGEREF _Toc482626097 \h </w:instrText>
      </w:r>
      <w:r>
        <w:fldChar w:fldCharType="separate"/>
      </w:r>
      <w:r w:rsidR="006D055F">
        <w:t>51</w:t>
      </w:r>
      <w:r>
        <w:fldChar w:fldCharType="end"/>
      </w:r>
    </w:p>
    <w:p w:rsidR="00C44B50" w:rsidRDefault="00AC2681">
      <w:r>
        <w:rPr>
          <w:noProof/>
          <w:sz w:val="28"/>
        </w:rPr>
        <w:fldChar w:fldCharType="end"/>
      </w:r>
    </w:p>
    <w:p w:rsidR="00C44B50" w:rsidRDefault="006D5386" w:rsidP="00AC2681">
      <w:pPr>
        <w:pStyle w:val="Featuretext"/>
        <w:keepNext/>
      </w:pPr>
      <w:r>
        <w:t>Figures and T</w:t>
      </w:r>
      <w:r w:rsidR="00C44B50">
        <w:t>ables</w:t>
      </w:r>
    </w:p>
    <w:p w:rsidR="00CB054D" w:rsidRDefault="00217924">
      <w:pPr>
        <w:pStyle w:val="TableofFigures"/>
        <w:tabs>
          <w:tab w:val="right" w:leader="dot" w:pos="8211"/>
        </w:tabs>
        <w:rPr>
          <w:rFonts w:asciiTheme="minorHAnsi" w:eastAsiaTheme="minorEastAsia" w:hAnsiTheme="minorHAnsi" w:cstheme="minorBidi"/>
          <w:noProof/>
          <w:color w:val="auto"/>
          <w:szCs w:val="22"/>
          <w:lang w:eastAsia="en-AU"/>
        </w:rPr>
      </w:pPr>
      <w:r>
        <w:fldChar w:fldCharType="begin"/>
      </w:r>
      <w:r>
        <w:instrText xml:space="preserve"> TOC \h \z \t "Caption" \c </w:instrText>
      </w:r>
      <w:r>
        <w:fldChar w:fldCharType="separate"/>
      </w:r>
      <w:hyperlink w:anchor="_Toc482626100" w:history="1">
        <w:r w:rsidR="00CB054D" w:rsidRPr="007D1442">
          <w:rPr>
            <w:rStyle w:val="Hyperlink"/>
            <w:noProof/>
          </w:rPr>
          <w:t>Forecast capital and operating expenditure for the VTS (real 2017 $m)</w:t>
        </w:r>
        <w:r w:rsidR="00CB054D">
          <w:rPr>
            <w:noProof/>
            <w:webHidden/>
          </w:rPr>
          <w:tab/>
        </w:r>
        <w:r w:rsidR="00CB054D">
          <w:rPr>
            <w:noProof/>
            <w:webHidden/>
          </w:rPr>
          <w:fldChar w:fldCharType="begin"/>
        </w:r>
        <w:r w:rsidR="00CB054D">
          <w:rPr>
            <w:noProof/>
            <w:webHidden/>
          </w:rPr>
          <w:instrText xml:space="preserve"> PAGEREF _Toc482626100 \h </w:instrText>
        </w:r>
        <w:r w:rsidR="00CB054D">
          <w:rPr>
            <w:noProof/>
            <w:webHidden/>
          </w:rPr>
        </w:r>
        <w:r w:rsidR="00CB054D">
          <w:rPr>
            <w:noProof/>
            <w:webHidden/>
          </w:rPr>
          <w:fldChar w:fldCharType="separate"/>
        </w:r>
        <w:r w:rsidR="006D055F">
          <w:rPr>
            <w:noProof/>
            <w:webHidden/>
          </w:rPr>
          <w:t>2</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01" w:history="1">
        <w:r w:rsidR="00CB054D" w:rsidRPr="007D1442">
          <w:rPr>
            <w:rStyle w:val="Hyperlink"/>
            <w:noProof/>
          </w:rPr>
          <w:t>Figure 3</w:t>
        </w:r>
        <w:r w:rsidR="00CB054D" w:rsidRPr="007D1442">
          <w:rPr>
            <w:rStyle w:val="Hyperlink"/>
            <w:noProof/>
          </w:rPr>
          <w:noBreakHyphen/>
          <w:t>1 – Iona Underground Gas Storage net South West Pipeline withdrawal quantity, 2012-16</w:t>
        </w:r>
        <w:r w:rsidR="00CB054D">
          <w:rPr>
            <w:noProof/>
            <w:webHidden/>
          </w:rPr>
          <w:tab/>
        </w:r>
        <w:r w:rsidR="00CB054D">
          <w:rPr>
            <w:noProof/>
            <w:webHidden/>
          </w:rPr>
          <w:fldChar w:fldCharType="begin"/>
        </w:r>
        <w:r w:rsidR="00CB054D">
          <w:rPr>
            <w:noProof/>
            <w:webHidden/>
          </w:rPr>
          <w:instrText xml:space="preserve"> PAGEREF _Toc482626101 \h </w:instrText>
        </w:r>
        <w:r w:rsidR="00CB054D">
          <w:rPr>
            <w:noProof/>
            <w:webHidden/>
          </w:rPr>
        </w:r>
        <w:r w:rsidR="00CB054D">
          <w:rPr>
            <w:noProof/>
            <w:webHidden/>
          </w:rPr>
          <w:fldChar w:fldCharType="separate"/>
        </w:r>
        <w:r>
          <w:rPr>
            <w:noProof/>
            <w:webHidden/>
          </w:rPr>
          <w:t>9</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02" w:history="1">
        <w:r w:rsidR="00CB054D" w:rsidRPr="007D1442">
          <w:rPr>
            <w:rStyle w:val="Hyperlink"/>
            <w:noProof/>
          </w:rPr>
          <w:t>Table 3</w:t>
        </w:r>
        <w:r w:rsidR="00CB054D" w:rsidRPr="007D1442">
          <w:rPr>
            <w:rStyle w:val="Hyperlink"/>
            <w:noProof/>
          </w:rPr>
          <w:noBreakHyphen/>
          <w:t>1 – South West Pipeline capacity before and after augmentation (TJ/day)</w:t>
        </w:r>
        <w:r w:rsidR="00CB054D">
          <w:rPr>
            <w:noProof/>
            <w:webHidden/>
          </w:rPr>
          <w:tab/>
        </w:r>
        <w:r w:rsidR="00CB054D">
          <w:rPr>
            <w:noProof/>
            <w:webHidden/>
          </w:rPr>
          <w:fldChar w:fldCharType="begin"/>
        </w:r>
        <w:r w:rsidR="00CB054D">
          <w:rPr>
            <w:noProof/>
            <w:webHidden/>
          </w:rPr>
          <w:instrText xml:space="preserve"> PAGEREF _Toc482626102 \h </w:instrText>
        </w:r>
        <w:r w:rsidR="00CB054D">
          <w:rPr>
            <w:noProof/>
            <w:webHidden/>
          </w:rPr>
        </w:r>
        <w:r w:rsidR="00CB054D">
          <w:rPr>
            <w:noProof/>
            <w:webHidden/>
          </w:rPr>
          <w:fldChar w:fldCharType="separate"/>
        </w:r>
        <w:r>
          <w:rPr>
            <w:noProof/>
            <w:webHidden/>
          </w:rPr>
          <w:t>13</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03" w:history="1">
        <w:r w:rsidR="00CB054D" w:rsidRPr="007D1442">
          <w:rPr>
            <w:rStyle w:val="Hyperlink"/>
            <w:noProof/>
          </w:rPr>
          <w:t>Figure 5</w:t>
        </w:r>
        <w:r w:rsidR="00CB054D" w:rsidRPr="007D1442">
          <w:rPr>
            <w:rStyle w:val="Hyperlink"/>
            <w:noProof/>
          </w:rPr>
          <w:noBreakHyphen/>
          <w:t>1 – Diagram of VTS showing proposed Western Outer Ring Main</w:t>
        </w:r>
        <w:r w:rsidR="00CB054D">
          <w:rPr>
            <w:noProof/>
            <w:webHidden/>
          </w:rPr>
          <w:tab/>
        </w:r>
        <w:r w:rsidR="00CB054D">
          <w:rPr>
            <w:noProof/>
            <w:webHidden/>
          </w:rPr>
          <w:fldChar w:fldCharType="begin"/>
        </w:r>
        <w:r w:rsidR="00CB054D">
          <w:rPr>
            <w:noProof/>
            <w:webHidden/>
          </w:rPr>
          <w:instrText xml:space="preserve"> PAGEREF _Toc482626103 \h </w:instrText>
        </w:r>
        <w:r w:rsidR="00CB054D">
          <w:rPr>
            <w:noProof/>
            <w:webHidden/>
          </w:rPr>
        </w:r>
        <w:r w:rsidR="00CB054D">
          <w:rPr>
            <w:noProof/>
            <w:webHidden/>
          </w:rPr>
          <w:fldChar w:fldCharType="separate"/>
        </w:r>
        <w:r>
          <w:rPr>
            <w:noProof/>
            <w:webHidden/>
          </w:rPr>
          <w:t>19</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04" w:history="1">
        <w:r w:rsidR="00CB054D" w:rsidRPr="007D1442">
          <w:rPr>
            <w:rStyle w:val="Hyperlink"/>
            <w:noProof/>
          </w:rPr>
          <w:t>Table 5</w:t>
        </w:r>
        <w:r w:rsidR="00CB054D" w:rsidRPr="007D1442">
          <w:rPr>
            <w:rStyle w:val="Hyperlink"/>
            <w:noProof/>
          </w:rPr>
          <w:noBreakHyphen/>
          <w:t>1 – South West Pipeline capacity following expansion (TJ/day)</w:t>
        </w:r>
        <w:r w:rsidR="00CB054D">
          <w:rPr>
            <w:noProof/>
            <w:webHidden/>
          </w:rPr>
          <w:tab/>
        </w:r>
        <w:r w:rsidR="00CB054D">
          <w:rPr>
            <w:noProof/>
            <w:webHidden/>
          </w:rPr>
          <w:fldChar w:fldCharType="begin"/>
        </w:r>
        <w:r w:rsidR="00CB054D">
          <w:rPr>
            <w:noProof/>
            <w:webHidden/>
          </w:rPr>
          <w:instrText xml:space="preserve"> PAGEREF _Toc482626104 \h </w:instrText>
        </w:r>
        <w:r w:rsidR="00CB054D">
          <w:rPr>
            <w:noProof/>
            <w:webHidden/>
          </w:rPr>
        </w:r>
        <w:r w:rsidR="00CB054D">
          <w:rPr>
            <w:noProof/>
            <w:webHidden/>
          </w:rPr>
          <w:fldChar w:fldCharType="separate"/>
        </w:r>
        <w:r>
          <w:rPr>
            <w:noProof/>
            <w:webHidden/>
          </w:rPr>
          <w:t>20</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05" w:history="1">
        <w:r w:rsidR="00CB054D" w:rsidRPr="007D1442">
          <w:rPr>
            <w:rStyle w:val="Hyperlink"/>
            <w:noProof/>
          </w:rPr>
          <w:t>Table 5</w:t>
        </w:r>
        <w:r w:rsidR="00CB054D" w:rsidRPr="007D1442">
          <w:rPr>
            <w:rStyle w:val="Hyperlink"/>
            <w:noProof/>
          </w:rPr>
          <w:noBreakHyphen/>
          <w:t>2 – Western Outer Ring Main project (real 2017 $m)</w:t>
        </w:r>
        <w:r w:rsidR="00CB054D">
          <w:rPr>
            <w:noProof/>
            <w:webHidden/>
          </w:rPr>
          <w:tab/>
        </w:r>
        <w:r w:rsidR="00CB054D">
          <w:rPr>
            <w:noProof/>
            <w:webHidden/>
          </w:rPr>
          <w:fldChar w:fldCharType="begin"/>
        </w:r>
        <w:r w:rsidR="00CB054D">
          <w:rPr>
            <w:noProof/>
            <w:webHidden/>
          </w:rPr>
          <w:instrText xml:space="preserve"> PAGEREF _Toc482626105 \h </w:instrText>
        </w:r>
        <w:r w:rsidR="00CB054D">
          <w:rPr>
            <w:noProof/>
            <w:webHidden/>
          </w:rPr>
        </w:r>
        <w:r w:rsidR="00CB054D">
          <w:rPr>
            <w:noProof/>
            <w:webHidden/>
          </w:rPr>
          <w:fldChar w:fldCharType="separate"/>
        </w:r>
        <w:r>
          <w:rPr>
            <w:noProof/>
            <w:webHidden/>
          </w:rPr>
          <w:t>20</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06" w:history="1">
        <w:r w:rsidR="00CB054D" w:rsidRPr="007D1442">
          <w:rPr>
            <w:rStyle w:val="Hyperlink"/>
            <w:noProof/>
          </w:rPr>
          <w:t>Table 5</w:t>
        </w:r>
        <w:r w:rsidR="00CB054D" w:rsidRPr="007D1442">
          <w:rPr>
            <w:rStyle w:val="Hyperlink"/>
            <w:noProof/>
          </w:rPr>
          <w:noBreakHyphen/>
          <w:t>3 – Forecast Capital Expenditure by driver (real 2017 $m)</w:t>
        </w:r>
        <w:r w:rsidR="00CB054D">
          <w:rPr>
            <w:noProof/>
            <w:webHidden/>
          </w:rPr>
          <w:tab/>
        </w:r>
        <w:r w:rsidR="00CB054D">
          <w:rPr>
            <w:noProof/>
            <w:webHidden/>
          </w:rPr>
          <w:fldChar w:fldCharType="begin"/>
        </w:r>
        <w:r w:rsidR="00CB054D">
          <w:rPr>
            <w:noProof/>
            <w:webHidden/>
          </w:rPr>
          <w:instrText xml:space="preserve"> PAGEREF _Toc482626106 \h </w:instrText>
        </w:r>
        <w:r w:rsidR="00CB054D">
          <w:rPr>
            <w:noProof/>
            <w:webHidden/>
          </w:rPr>
        </w:r>
        <w:r w:rsidR="00CB054D">
          <w:rPr>
            <w:noProof/>
            <w:webHidden/>
          </w:rPr>
          <w:fldChar w:fldCharType="separate"/>
        </w:r>
        <w:r>
          <w:rPr>
            <w:noProof/>
            <w:webHidden/>
          </w:rPr>
          <w:t>29</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07" w:history="1">
        <w:r w:rsidR="00CB054D" w:rsidRPr="007D1442">
          <w:rPr>
            <w:rStyle w:val="Hyperlink"/>
            <w:noProof/>
          </w:rPr>
          <w:t>Table 6</w:t>
        </w:r>
        <w:r w:rsidR="00CB054D" w:rsidRPr="007D1442">
          <w:rPr>
            <w:rStyle w:val="Hyperlink"/>
            <w:noProof/>
          </w:rPr>
          <w:noBreakHyphen/>
          <w:t>1 – Capital base roll forward 2013-2017 ($m nominal)</w:t>
        </w:r>
        <w:r w:rsidR="00CB054D">
          <w:rPr>
            <w:noProof/>
            <w:webHidden/>
          </w:rPr>
          <w:tab/>
        </w:r>
        <w:r w:rsidR="00CB054D">
          <w:rPr>
            <w:noProof/>
            <w:webHidden/>
          </w:rPr>
          <w:fldChar w:fldCharType="begin"/>
        </w:r>
        <w:r w:rsidR="00CB054D">
          <w:rPr>
            <w:noProof/>
            <w:webHidden/>
          </w:rPr>
          <w:instrText xml:space="preserve"> PAGEREF _Toc482626107 \h </w:instrText>
        </w:r>
        <w:r w:rsidR="00CB054D">
          <w:rPr>
            <w:noProof/>
            <w:webHidden/>
          </w:rPr>
        </w:r>
        <w:r w:rsidR="00CB054D">
          <w:rPr>
            <w:noProof/>
            <w:webHidden/>
          </w:rPr>
          <w:fldChar w:fldCharType="separate"/>
        </w:r>
        <w:r>
          <w:rPr>
            <w:noProof/>
            <w:webHidden/>
          </w:rPr>
          <w:t>30</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08" w:history="1">
        <w:r w:rsidR="00CB054D" w:rsidRPr="007D1442">
          <w:rPr>
            <w:rStyle w:val="Hyperlink"/>
            <w:noProof/>
          </w:rPr>
          <w:t>Table 6</w:t>
        </w:r>
        <w:r w:rsidR="00CB054D" w:rsidRPr="007D1442">
          <w:rPr>
            <w:rStyle w:val="Hyperlink"/>
            <w:noProof/>
          </w:rPr>
          <w:noBreakHyphen/>
          <w:t>2 – Forecast capital expenditure ($m 2017)</w:t>
        </w:r>
        <w:r w:rsidR="00CB054D">
          <w:rPr>
            <w:noProof/>
            <w:webHidden/>
          </w:rPr>
          <w:tab/>
        </w:r>
        <w:r w:rsidR="00CB054D">
          <w:rPr>
            <w:noProof/>
            <w:webHidden/>
          </w:rPr>
          <w:fldChar w:fldCharType="begin"/>
        </w:r>
        <w:r w:rsidR="00CB054D">
          <w:rPr>
            <w:noProof/>
            <w:webHidden/>
          </w:rPr>
          <w:instrText xml:space="preserve"> PAGEREF _Toc482626108 \h </w:instrText>
        </w:r>
        <w:r w:rsidR="00CB054D">
          <w:rPr>
            <w:noProof/>
            <w:webHidden/>
          </w:rPr>
        </w:r>
        <w:r w:rsidR="00CB054D">
          <w:rPr>
            <w:noProof/>
            <w:webHidden/>
          </w:rPr>
          <w:fldChar w:fldCharType="separate"/>
        </w:r>
        <w:r>
          <w:rPr>
            <w:noProof/>
            <w:webHidden/>
          </w:rPr>
          <w:t>31</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09" w:history="1">
        <w:r w:rsidR="00CB054D" w:rsidRPr="007D1442">
          <w:rPr>
            <w:rStyle w:val="Hyperlink"/>
            <w:noProof/>
          </w:rPr>
          <w:t>Table 6</w:t>
        </w:r>
        <w:r w:rsidR="00CB054D" w:rsidRPr="007D1442">
          <w:rPr>
            <w:rStyle w:val="Hyperlink"/>
            <w:noProof/>
          </w:rPr>
          <w:noBreakHyphen/>
          <w:t>3 – Capital base roll forward 2018-2022 ($m nominal)</w:t>
        </w:r>
        <w:r w:rsidR="00CB054D">
          <w:rPr>
            <w:noProof/>
            <w:webHidden/>
          </w:rPr>
          <w:tab/>
        </w:r>
        <w:r w:rsidR="00CB054D">
          <w:rPr>
            <w:noProof/>
            <w:webHidden/>
          </w:rPr>
          <w:fldChar w:fldCharType="begin"/>
        </w:r>
        <w:r w:rsidR="00CB054D">
          <w:rPr>
            <w:noProof/>
            <w:webHidden/>
          </w:rPr>
          <w:instrText xml:space="preserve"> PAGEREF _Toc482626109 \h </w:instrText>
        </w:r>
        <w:r w:rsidR="00CB054D">
          <w:rPr>
            <w:noProof/>
            <w:webHidden/>
          </w:rPr>
        </w:r>
        <w:r w:rsidR="00CB054D">
          <w:rPr>
            <w:noProof/>
            <w:webHidden/>
          </w:rPr>
          <w:fldChar w:fldCharType="separate"/>
        </w:r>
        <w:r>
          <w:rPr>
            <w:noProof/>
            <w:webHidden/>
          </w:rPr>
          <w:t>32</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10" w:history="1">
        <w:r w:rsidR="00CB054D" w:rsidRPr="007D1442">
          <w:rPr>
            <w:rStyle w:val="Hyperlink"/>
            <w:noProof/>
          </w:rPr>
          <w:t>Table 6</w:t>
        </w:r>
        <w:r w:rsidR="00CB054D" w:rsidRPr="007D1442">
          <w:rPr>
            <w:rStyle w:val="Hyperlink"/>
            <w:noProof/>
          </w:rPr>
          <w:noBreakHyphen/>
          <w:t>4 – Tax Asset Base roll forward 2013-2017 ($m nominal)</w:t>
        </w:r>
        <w:r w:rsidR="00CB054D">
          <w:rPr>
            <w:noProof/>
            <w:webHidden/>
          </w:rPr>
          <w:tab/>
        </w:r>
        <w:r w:rsidR="00CB054D">
          <w:rPr>
            <w:noProof/>
            <w:webHidden/>
          </w:rPr>
          <w:fldChar w:fldCharType="begin"/>
        </w:r>
        <w:r w:rsidR="00CB054D">
          <w:rPr>
            <w:noProof/>
            <w:webHidden/>
          </w:rPr>
          <w:instrText xml:space="preserve"> PAGEREF _Toc482626110 \h </w:instrText>
        </w:r>
        <w:r w:rsidR="00CB054D">
          <w:rPr>
            <w:noProof/>
            <w:webHidden/>
          </w:rPr>
        </w:r>
        <w:r w:rsidR="00CB054D">
          <w:rPr>
            <w:noProof/>
            <w:webHidden/>
          </w:rPr>
          <w:fldChar w:fldCharType="separate"/>
        </w:r>
        <w:r>
          <w:rPr>
            <w:noProof/>
            <w:webHidden/>
          </w:rPr>
          <w:t>32</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11" w:history="1">
        <w:r w:rsidR="00CB054D" w:rsidRPr="007D1442">
          <w:rPr>
            <w:rStyle w:val="Hyperlink"/>
            <w:noProof/>
          </w:rPr>
          <w:t>Table 6</w:t>
        </w:r>
        <w:r w:rsidR="00CB054D" w:rsidRPr="007D1442">
          <w:rPr>
            <w:rStyle w:val="Hyperlink"/>
            <w:noProof/>
          </w:rPr>
          <w:noBreakHyphen/>
          <w:t>5 – Forecast Tax Asset Base ($m nominal)</w:t>
        </w:r>
        <w:r w:rsidR="00CB054D">
          <w:rPr>
            <w:noProof/>
            <w:webHidden/>
          </w:rPr>
          <w:tab/>
        </w:r>
        <w:r w:rsidR="00CB054D">
          <w:rPr>
            <w:noProof/>
            <w:webHidden/>
          </w:rPr>
          <w:fldChar w:fldCharType="begin"/>
        </w:r>
        <w:r w:rsidR="00CB054D">
          <w:rPr>
            <w:noProof/>
            <w:webHidden/>
          </w:rPr>
          <w:instrText xml:space="preserve"> PAGEREF _Toc482626111 \h </w:instrText>
        </w:r>
        <w:r w:rsidR="00CB054D">
          <w:rPr>
            <w:noProof/>
            <w:webHidden/>
          </w:rPr>
        </w:r>
        <w:r w:rsidR="00CB054D">
          <w:rPr>
            <w:noProof/>
            <w:webHidden/>
          </w:rPr>
          <w:fldChar w:fldCharType="separate"/>
        </w:r>
        <w:r>
          <w:rPr>
            <w:noProof/>
            <w:webHidden/>
          </w:rPr>
          <w:t>33</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12" w:history="1">
        <w:r w:rsidR="00CB054D" w:rsidRPr="007D1442">
          <w:rPr>
            <w:rStyle w:val="Hyperlink"/>
            <w:noProof/>
          </w:rPr>
          <w:t>Table 8</w:t>
        </w:r>
        <w:r w:rsidR="00CB054D" w:rsidRPr="007D1442">
          <w:rPr>
            <w:rStyle w:val="Hyperlink"/>
            <w:noProof/>
          </w:rPr>
          <w:noBreakHyphen/>
          <w:t>1 – Operating expenditure associated with forecast capital expenditure (real 2017 $000)</w:t>
        </w:r>
        <w:r w:rsidR="00CB054D">
          <w:rPr>
            <w:noProof/>
            <w:webHidden/>
          </w:rPr>
          <w:tab/>
        </w:r>
        <w:r w:rsidR="00CB054D">
          <w:rPr>
            <w:noProof/>
            <w:webHidden/>
          </w:rPr>
          <w:fldChar w:fldCharType="begin"/>
        </w:r>
        <w:r w:rsidR="00CB054D">
          <w:rPr>
            <w:noProof/>
            <w:webHidden/>
          </w:rPr>
          <w:instrText xml:space="preserve"> PAGEREF _Toc482626112 \h </w:instrText>
        </w:r>
        <w:r w:rsidR="00CB054D">
          <w:rPr>
            <w:noProof/>
            <w:webHidden/>
          </w:rPr>
        </w:r>
        <w:r w:rsidR="00CB054D">
          <w:rPr>
            <w:noProof/>
            <w:webHidden/>
          </w:rPr>
          <w:fldChar w:fldCharType="separate"/>
        </w:r>
        <w:r>
          <w:rPr>
            <w:noProof/>
            <w:webHidden/>
          </w:rPr>
          <w:t>35</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13" w:history="1">
        <w:r w:rsidR="00CB054D" w:rsidRPr="007D1442">
          <w:rPr>
            <w:rStyle w:val="Hyperlink"/>
            <w:noProof/>
          </w:rPr>
          <w:t>Table 8</w:t>
        </w:r>
        <w:r w:rsidR="00CB054D" w:rsidRPr="007D1442">
          <w:rPr>
            <w:rStyle w:val="Hyperlink"/>
            <w:noProof/>
          </w:rPr>
          <w:noBreakHyphen/>
          <w:t>2 – Total controllable operating expenditure forecast (excluding debt raising costs and other allowances) (real 2017 $m)</w:t>
        </w:r>
        <w:r w:rsidR="00CB054D">
          <w:rPr>
            <w:noProof/>
            <w:webHidden/>
          </w:rPr>
          <w:tab/>
        </w:r>
        <w:r w:rsidR="00CB054D">
          <w:rPr>
            <w:noProof/>
            <w:webHidden/>
          </w:rPr>
          <w:fldChar w:fldCharType="begin"/>
        </w:r>
        <w:r w:rsidR="00CB054D">
          <w:rPr>
            <w:noProof/>
            <w:webHidden/>
          </w:rPr>
          <w:instrText xml:space="preserve"> PAGEREF _Toc482626113 \h </w:instrText>
        </w:r>
        <w:r w:rsidR="00CB054D">
          <w:rPr>
            <w:noProof/>
            <w:webHidden/>
          </w:rPr>
        </w:r>
        <w:r w:rsidR="00CB054D">
          <w:rPr>
            <w:noProof/>
            <w:webHidden/>
          </w:rPr>
          <w:fldChar w:fldCharType="separate"/>
        </w:r>
        <w:r>
          <w:rPr>
            <w:noProof/>
            <w:webHidden/>
          </w:rPr>
          <w:t>38</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14" w:history="1">
        <w:r w:rsidR="00CB054D" w:rsidRPr="007D1442">
          <w:rPr>
            <w:rStyle w:val="Hyperlink"/>
            <w:noProof/>
          </w:rPr>
          <w:t>Table 8</w:t>
        </w:r>
        <w:r w:rsidR="00CB054D" w:rsidRPr="007D1442">
          <w:rPr>
            <w:rStyle w:val="Hyperlink"/>
            <w:noProof/>
          </w:rPr>
          <w:noBreakHyphen/>
          <w:t>3 – Total operating expenditure including allowances (real 2017 $m)</w:t>
        </w:r>
        <w:r w:rsidR="00CB054D">
          <w:rPr>
            <w:noProof/>
            <w:webHidden/>
          </w:rPr>
          <w:tab/>
        </w:r>
        <w:r w:rsidR="00CB054D">
          <w:rPr>
            <w:noProof/>
            <w:webHidden/>
          </w:rPr>
          <w:fldChar w:fldCharType="begin"/>
        </w:r>
        <w:r w:rsidR="00CB054D">
          <w:rPr>
            <w:noProof/>
            <w:webHidden/>
          </w:rPr>
          <w:instrText xml:space="preserve"> PAGEREF _Toc482626114 \h </w:instrText>
        </w:r>
        <w:r w:rsidR="00CB054D">
          <w:rPr>
            <w:noProof/>
            <w:webHidden/>
          </w:rPr>
        </w:r>
        <w:r w:rsidR="00CB054D">
          <w:rPr>
            <w:noProof/>
            <w:webHidden/>
          </w:rPr>
          <w:fldChar w:fldCharType="separate"/>
        </w:r>
        <w:r>
          <w:rPr>
            <w:noProof/>
            <w:webHidden/>
          </w:rPr>
          <w:t>38</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15" w:history="1">
        <w:r w:rsidR="00CB054D" w:rsidRPr="007D1442">
          <w:rPr>
            <w:rStyle w:val="Hyperlink"/>
            <w:noProof/>
          </w:rPr>
          <w:t>Table 9</w:t>
        </w:r>
        <w:r w:rsidR="00CB054D" w:rsidRPr="007D1442">
          <w:rPr>
            <w:rStyle w:val="Hyperlink"/>
            <w:noProof/>
          </w:rPr>
          <w:noBreakHyphen/>
          <w:t>1 – Return on capital (nominal $m)</w:t>
        </w:r>
        <w:r w:rsidR="00CB054D">
          <w:rPr>
            <w:noProof/>
            <w:webHidden/>
          </w:rPr>
          <w:tab/>
        </w:r>
        <w:r w:rsidR="00CB054D">
          <w:rPr>
            <w:noProof/>
            <w:webHidden/>
          </w:rPr>
          <w:fldChar w:fldCharType="begin"/>
        </w:r>
        <w:r w:rsidR="00CB054D">
          <w:rPr>
            <w:noProof/>
            <w:webHidden/>
          </w:rPr>
          <w:instrText xml:space="preserve"> PAGEREF _Toc482626115 \h </w:instrText>
        </w:r>
        <w:r w:rsidR="00CB054D">
          <w:rPr>
            <w:noProof/>
            <w:webHidden/>
          </w:rPr>
        </w:r>
        <w:r w:rsidR="00CB054D">
          <w:rPr>
            <w:noProof/>
            <w:webHidden/>
          </w:rPr>
          <w:fldChar w:fldCharType="separate"/>
        </w:r>
        <w:r>
          <w:rPr>
            <w:noProof/>
            <w:webHidden/>
          </w:rPr>
          <w:t>39</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16" w:history="1">
        <w:r w:rsidR="00CB054D" w:rsidRPr="007D1442">
          <w:rPr>
            <w:rStyle w:val="Hyperlink"/>
            <w:noProof/>
          </w:rPr>
          <w:t>Table 9</w:t>
        </w:r>
        <w:r w:rsidR="00CB054D" w:rsidRPr="007D1442">
          <w:rPr>
            <w:rStyle w:val="Hyperlink"/>
            <w:noProof/>
          </w:rPr>
          <w:noBreakHyphen/>
          <w:t>2 – Forecast depreciation over the access arrangement period (nominal $m)</w:t>
        </w:r>
        <w:r w:rsidR="00CB054D">
          <w:rPr>
            <w:noProof/>
            <w:webHidden/>
          </w:rPr>
          <w:tab/>
        </w:r>
        <w:r w:rsidR="00CB054D">
          <w:rPr>
            <w:noProof/>
            <w:webHidden/>
          </w:rPr>
          <w:fldChar w:fldCharType="begin"/>
        </w:r>
        <w:r w:rsidR="00CB054D">
          <w:rPr>
            <w:noProof/>
            <w:webHidden/>
          </w:rPr>
          <w:instrText xml:space="preserve"> PAGEREF _Toc482626116 \h </w:instrText>
        </w:r>
        <w:r w:rsidR="00CB054D">
          <w:rPr>
            <w:noProof/>
            <w:webHidden/>
          </w:rPr>
        </w:r>
        <w:r w:rsidR="00CB054D">
          <w:rPr>
            <w:noProof/>
            <w:webHidden/>
          </w:rPr>
          <w:fldChar w:fldCharType="separate"/>
        </w:r>
        <w:r>
          <w:rPr>
            <w:noProof/>
            <w:webHidden/>
          </w:rPr>
          <w:t>40</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17" w:history="1">
        <w:r w:rsidR="00CB054D" w:rsidRPr="007D1442">
          <w:rPr>
            <w:rStyle w:val="Hyperlink"/>
            <w:noProof/>
          </w:rPr>
          <w:t>Table 9</w:t>
        </w:r>
        <w:r w:rsidR="00CB054D" w:rsidRPr="007D1442">
          <w:rPr>
            <w:rStyle w:val="Hyperlink"/>
            <w:noProof/>
          </w:rPr>
          <w:noBreakHyphen/>
          <w:t>3 – Forecast corporate tax allowance (nominal $m)</w:t>
        </w:r>
        <w:r w:rsidR="00CB054D">
          <w:rPr>
            <w:noProof/>
            <w:webHidden/>
          </w:rPr>
          <w:tab/>
        </w:r>
        <w:r w:rsidR="00CB054D">
          <w:rPr>
            <w:noProof/>
            <w:webHidden/>
          </w:rPr>
          <w:fldChar w:fldCharType="begin"/>
        </w:r>
        <w:r w:rsidR="00CB054D">
          <w:rPr>
            <w:noProof/>
            <w:webHidden/>
          </w:rPr>
          <w:instrText xml:space="preserve"> PAGEREF _Toc482626117 \h </w:instrText>
        </w:r>
        <w:r w:rsidR="00CB054D">
          <w:rPr>
            <w:noProof/>
            <w:webHidden/>
          </w:rPr>
        </w:r>
        <w:r w:rsidR="00CB054D">
          <w:rPr>
            <w:noProof/>
            <w:webHidden/>
          </w:rPr>
          <w:fldChar w:fldCharType="separate"/>
        </w:r>
        <w:r>
          <w:rPr>
            <w:noProof/>
            <w:webHidden/>
          </w:rPr>
          <w:t>40</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18" w:history="1">
        <w:r w:rsidR="00CB054D" w:rsidRPr="007D1442">
          <w:rPr>
            <w:rStyle w:val="Hyperlink"/>
            <w:noProof/>
          </w:rPr>
          <w:t>Table 9</w:t>
        </w:r>
        <w:r w:rsidR="00CB054D" w:rsidRPr="007D1442">
          <w:rPr>
            <w:rStyle w:val="Hyperlink"/>
            <w:noProof/>
          </w:rPr>
          <w:noBreakHyphen/>
          <w:t>4 – Operating expenditure (nominal $m)</w:t>
        </w:r>
        <w:r w:rsidR="00CB054D">
          <w:rPr>
            <w:noProof/>
            <w:webHidden/>
          </w:rPr>
          <w:tab/>
        </w:r>
        <w:r w:rsidR="00CB054D">
          <w:rPr>
            <w:noProof/>
            <w:webHidden/>
          </w:rPr>
          <w:fldChar w:fldCharType="begin"/>
        </w:r>
        <w:r w:rsidR="00CB054D">
          <w:rPr>
            <w:noProof/>
            <w:webHidden/>
          </w:rPr>
          <w:instrText xml:space="preserve"> PAGEREF _Toc482626118 \h </w:instrText>
        </w:r>
        <w:r w:rsidR="00CB054D">
          <w:rPr>
            <w:noProof/>
            <w:webHidden/>
          </w:rPr>
        </w:r>
        <w:r w:rsidR="00CB054D">
          <w:rPr>
            <w:noProof/>
            <w:webHidden/>
          </w:rPr>
          <w:fldChar w:fldCharType="separate"/>
        </w:r>
        <w:r>
          <w:rPr>
            <w:noProof/>
            <w:webHidden/>
          </w:rPr>
          <w:t>40</w:t>
        </w:r>
        <w:r w:rsidR="00CB054D">
          <w:rPr>
            <w:noProof/>
            <w:webHidden/>
          </w:rPr>
          <w:fldChar w:fldCharType="end"/>
        </w:r>
      </w:hyperlink>
    </w:p>
    <w:p w:rsidR="00CB054D" w:rsidRDefault="006D055F">
      <w:pPr>
        <w:pStyle w:val="TableofFigures"/>
        <w:tabs>
          <w:tab w:val="right" w:leader="dot" w:pos="8211"/>
        </w:tabs>
        <w:rPr>
          <w:rFonts w:asciiTheme="minorHAnsi" w:eastAsiaTheme="minorEastAsia" w:hAnsiTheme="minorHAnsi" w:cstheme="minorBidi"/>
          <w:noProof/>
          <w:color w:val="auto"/>
          <w:szCs w:val="22"/>
          <w:lang w:eastAsia="en-AU"/>
        </w:rPr>
      </w:pPr>
      <w:hyperlink w:anchor="_Toc482626119" w:history="1">
        <w:r w:rsidR="00CB054D" w:rsidRPr="007D1442">
          <w:rPr>
            <w:rStyle w:val="Hyperlink"/>
            <w:noProof/>
          </w:rPr>
          <w:t>Table 9</w:t>
        </w:r>
        <w:r w:rsidR="00CB054D" w:rsidRPr="007D1442">
          <w:rPr>
            <w:rStyle w:val="Hyperlink"/>
            <w:noProof/>
          </w:rPr>
          <w:noBreakHyphen/>
          <w:t>5 – Total revenue requirement (nominal $m)</w:t>
        </w:r>
        <w:r w:rsidR="00CB054D">
          <w:rPr>
            <w:noProof/>
            <w:webHidden/>
          </w:rPr>
          <w:tab/>
        </w:r>
        <w:r w:rsidR="00CB054D">
          <w:rPr>
            <w:noProof/>
            <w:webHidden/>
          </w:rPr>
          <w:fldChar w:fldCharType="begin"/>
        </w:r>
        <w:r w:rsidR="00CB054D">
          <w:rPr>
            <w:noProof/>
            <w:webHidden/>
          </w:rPr>
          <w:instrText xml:space="preserve"> PAGEREF _Toc482626119 \h </w:instrText>
        </w:r>
        <w:r w:rsidR="00CB054D">
          <w:rPr>
            <w:noProof/>
            <w:webHidden/>
          </w:rPr>
        </w:r>
        <w:r w:rsidR="00CB054D">
          <w:rPr>
            <w:noProof/>
            <w:webHidden/>
          </w:rPr>
          <w:fldChar w:fldCharType="separate"/>
        </w:r>
        <w:r>
          <w:rPr>
            <w:noProof/>
            <w:webHidden/>
          </w:rPr>
          <w:t>41</w:t>
        </w:r>
        <w:r w:rsidR="00CB054D">
          <w:rPr>
            <w:noProof/>
            <w:webHidden/>
          </w:rPr>
          <w:fldChar w:fldCharType="end"/>
        </w:r>
      </w:hyperlink>
    </w:p>
    <w:p w:rsidR="003807AA" w:rsidRDefault="00217924" w:rsidP="003807AA">
      <w:pPr>
        <w:pStyle w:val="BodyText"/>
      </w:pPr>
      <w:r>
        <w:fldChar w:fldCharType="end"/>
      </w:r>
    </w:p>
    <w:p w:rsidR="00D742FA" w:rsidRPr="00217924" w:rsidRDefault="00D742FA" w:rsidP="003807AA">
      <w:pPr>
        <w:pStyle w:val="BodyText"/>
      </w:pPr>
    </w:p>
    <w:p w:rsidR="007F7DE7" w:rsidRDefault="007F7DE7">
      <w:pPr>
        <w:spacing w:before="0" w:line="240" w:lineRule="auto"/>
        <w:rPr>
          <w:b/>
          <w:i/>
          <w:color w:val="C8102E"/>
          <w:sz w:val="28"/>
          <w:szCs w:val="28"/>
        </w:rPr>
      </w:pPr>
      <w:r>
        <w:br w:type="page"/>
      </w:r>
    </w:p>
    <w:p w:rsidR="003807AA" w:rsidRDefault="006D5386" w:rsidP="00D12A29">
      <w:pPr>
        <w:pStyle w:val="Featuretext"/>
        <w:keepNext/>
        <w:spacing w:after="160"/>
      </w:pPr>
      <w:r>
        <w:lastRenderedPageBreak/>
        <w:t>A</w:t>
      </w:r>
      <w:r w:rsidR="003807AA">
        <w:t>bbreviations</w:t>
      </w:r>
    </w:p>
    <w:tbl>
      <w:tblPr>
        <w:tblStyle w:val="TableGrid"/>
        <w:tblpPr w:leftFromText="180" w:rightFromText="180"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6344"/>
      </w:tblGrid>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AEMO</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Australian Energy Market Operator</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AER</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Australian Energy Regulator</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APA VTS</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APA VTS Australia</w:t>
            </w:r>
            <w:r w:rsidR="00337EE3" w:rsidRPr="00D640EE">
              <w:rPr>
                <w:rFonts w:cs="Arial"/>
                <w:color w:val="auto"/>
                <w:sz w:val="20"/>
              </w:rPr>
              <w:t xml:space="preserve"> </w:t>
            </w:r>
            <w:r w:rsidRPr="00D640EE">
              <w:rPr>
                <w:rFonts w:cs="Arial"/>
                <w:color w:val="auto"/>
                <w:sz w:val="20"/>
              </w:rPr>
              <w:t>(Operations) Pty Ltd &amp; APA VTS Australia (NSW) Pty Ltd</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d</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Day</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EBSS</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 xml:space="preserve">Efficiency Benefit Sharing Scheme </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GJ</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Gigajoule</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GPG</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Gas Powered Generation</w:t>
            </w:r>
          </w:p>
        </w:tc>
      </w:tr>
      <w:tr w:rsidR="005C5E4E" w:rsidRPr="00FC49E2" w:rsidTr="00BC595D">
        <w:trPr>
          <w:trHeight w:val="397"/>
        </w:trPr>
        <w:tc>
          <w:tcPr>
            <w:tcW w:w="2093" w:type="dxa"/>
            <w:vAlign w:val="center"/>
          </w:tcPr>
          <w:p w:rsidR="005C5E4E" w:rsidRPr="00D640EE" w:rsidRDefault="005C5E4E" w:rsidP="00BC595D">
            <w:pPr>
              <w:spacing w:before="0"/>
              <w:rPr>
                <w:rFonts w:cs="Arial"/>
                <w:color w:val="auto"/>
                <w:sz w:val="20"/>
              </w:rPr>
            </w:pPr>
            <w:r w:rsidRPr="00D640EE">
              <w:rPr>
                <w:rFonts w:cs="Arial"/>
                <w:color w:val="auto"/>
                <w:sz w:val="20"/>
              </w:rPr>
              <w:t>GSOO</w:t>
            </w:r>
          </w:p>
        </w:tc>
        <w:tc>
          <w:tcPr>
            <w:tcW w:w="6344" w:type="dxa"/>
            <w:vAlign w:val="center"/>
          </w:tcPr>
          <w:p w:rsidR="005C5E4E" w:rsidRPr="00D640EE" w:rsidRDefault="005C5E4E" w:rsidP="00BC595D">
            <w:pPr>
              <w:spacing w:before="0"/>
              <w:rPr>
                <w:rFonts w:cs="Arial"/>
                <w:color w:val="auto"/>
                <w:sz w:val="20"/>
              </w:rPr>
            </w:pPr>
            <w:r w:rsidRPr="00D640EE">
              <w:rPr>
                <w:rFonts w:cs="Arial"/>
                <w:color w:val="auto"/>
                <w:sz w:val="20"/>
              </w:rPr>
              <w:t>Gas Statement of Opportunity</w:t>
            </w:r>
          </w:p>
        </w:tc>
      </w:tr>
      <w:tr w:rsidR="008C7B75" w:rsidRPr="00FC49E2" w:rsidTr="00BC595D">
        <w:trPr>
          <w:trHeight w:val="397"/>
        </w:trPr>
        <w:tc>
          <w:tcPr>
            <w:tcW w:w="2093" w:type="dxa"/>
            <w:vAlign w:val="center"/>
          </w:tcPr>
          <w:p w:rsidR="008C7B75" w:rsidRPr="00D640EE" w:rsidRDefault="008C7B75" w:rsidP="00BC595D">
            <w:pPr>
              <w:spacing w:before="0"/>
              <w:rPr>
                <w:rFonts w:cs="Arial"/>
                <w:color w:val="auto"/>
                <w:sz w:val="20"/>
              </w:rPr>
            </w:pPr>
            <w:r w:rsidRPr="00D640EE">
              <w:rPr>
                <w:rFonts w:cs="Arial"/>
                <w:color w:val="auto"/>
                <w:sz w:val="20"/>
              </w:rPr>
              <w:t>NGFR</w:t>
            </w:r>
          </w:p>
        </w:tc>
        <w:tc>
          <w:tcPr>
            <w:tcW w:w="6344" w:type="dxa"/>
            <w:vAlign w:val="center"/>
          </w:tcPr>
          <w:p w:rsidR="008C7B75" w:rsidRPr="00D640EE" w:rsidRDefault="008C7B75" w:rsidP="00BC595D">
            <w:pPr>
              <w:spacing w:before="0"/>
              <w:rPr>
                <w:rFonts w:cs="Arial"/>
                <w:color w:val="auto"/>
                <w:sz w:val="20"/>
              </w:rPr>
            </w:pPr>
            <w:r w:rsidRPr="00D640EE">
              <w:rPr>
                <w:rFonts w:cs="Arial"/>
                <w:color w:val="auto"/>
                <w:sz w:val="20"/>
              </w:rPr>
              <w:t>(AEMO) National Gas Forecasting Report</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NGR</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National Gas Rules</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PJ</w:t>
            </w:r>
          </w:p>
        </w:tc>
        <w:tc>
          <w:tcPr>
            <w:tcW w:w="6344" w:type="dxa"/>
            <w:vAlign w:val="center"/>
          </w:tcPr>
          <w:p w:rsidR="00D12A29" w:rsidRPr="00D640EE" w:rsidRDefault="00D12A29" w:rsidP="00BC595D">
            <w:pPr>
              <w:spacing w:before="0"/>
              <w:rPr>
                <w:rFonts w:cs="Arial"/>
                <w:color w:val="auto"/>
                <w:sz w:val="20"/>
              </w:rPr>
            </w:pPr>
            <w:proofErr w:type="spellStart"/>
            <w:r w:rsidRPr="00D640EE">
              <w:rPr>
                <w:rFonts w:cs="Arial"/>
                <w:color w:val="auto"/>
                <w:sz w:val="20"/>
              </w:rPr>
              <w:t>Petajoule</w:t>
            </w:r>
            <w:proofErr w:type="spellEnd"/>
            <w:r w:rsidRPr="00D640EE">
              <w:rPr>
                <w:rFonts w:cs="Arial"/>
                <w:color w:val="auto"/>
                <w:sz w:val="20"/>
              </w:rPr>
              <w:t xml:space="preserve"> (1PJ=1,000,000GJ)</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PRS</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 xml:space="preserve">Pressure Reduction Station </w:t>
            </w:r>
          </w:p>
        </w:tc>
      </w:tr>
      <w:tr w:rsidR="008E0180" w:rsidRPr="00FC49E2" w:rsidTr="00BC595D">
        <w:trPr>
          <w:trHeight w:val="397"/>
        </w:trPr>
        <w:tc>
          <w:tcPr>
            <w:tcW w:w="2093" w:type="dxa"/>
            <w:vAlign w:val="center"/>
          </w:tcPr>
          <w:p w:rsidR="008E0180" w:rsidRPr="00D640EE" w:rsidRDefault="008E0180" w:rsidP="00BC595D">
            <w:pPr>
              <w:spacing w:before="0"/>
              <w:rPr>
                <w:rFonts w:cs="Arial"/>
                <w:color w:val="auto"/>
                <w:sz w:val="20"/>
              </w:rPr>
            </w:pPr>
            <w:r w:rsidRPr="00D640EE">
              <w:rPr>
                <w:rFonts w:cs="Arial"/>
                <w:color w:val="auto"/>
                <w:sz w:val="20"/>
              </w:rPr>
              <w:t>PS</w:t>
            </w:r>
          </w:p>
        </w:tc>
        <w:tc>
          <w:tcPr>
            <w:tcW w:w="6344" w:type="dxa"/>
            <w:vAlign w:val="center"/>
          </w:tcPr>
          <w:p w:rsidR="008E0180" w:rsidRPr="00D640EE" w:rsidRDefault="008E0180" w:rsidP="00BC595D">
            <w:pPr>
              <w:spacing w:before="0"/>
              <w:rPr>
                <w:rFonts w:cs="Arial"/>
                <w:color w:val="auto"/>
                <w:sz w:val="20"/>
              </w:rPr>
            </w:pPr>
            <w:r w:rsidRPr="00D640EE">
              <w:rPr>
                <w:rFonts w:cs="Arial"/>
                <w:color w:val="auto"/>
                <w:sz w:val="20"/>
              </w:rPr>
              <w:t>Power Station</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PTRM</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Post-Tax Revenue Model</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SWP</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South West Pipeline</w:t>
            </w:r>
          </w:p>
        </w:tc>
      </w:tr>
      <w:tr w:rsidR="00601DD2" w:rsidRPr="00FC49E2" w:rsidTr="00BC595D">
        <w:trPr>
          <w:trHeight w:val="397"/>
        </w:trPr>
        <w:tc>
          <w:tcPr>
            <w:tcW w:w="2093" w:type="dxa"/>
            <w:vAlign w:val="center"/>
          </w:tcPr>
          <w:p w:rsidR="00601DD2" w:rsidRPr="00D640EE" w:rsidRDefault="00601DD2" w:rsidP="00BC595D">
            <w:pPr>
              <w:spacing w:before="0"/>
              <w:rPr>
                <w:rFonts w:cs="Arial"/>
                <w:color w:val="auto"/>
                <w:sz w:val="20"/>
              </w:rPr>
            </w:pPr>
            <w:r w:rsidRPr="00D640EE">
              <w:rPr>
                <w:rFonts w:cs="Arial"/>
                <w:color w:val="auto"/>
                <w:sz w:val="20"/>
              </w:rPr>
              <w:t>TAB</w:t>
            </w:r>
          </w:p>
        </w:tc>
        <w:tc>
          <w:tcPr>
            <w:tcW w:w="6344" w:type="dxa"/>
            <w:vAlign w:val="center"/>
          </w:tcPr>
          <w:p w:rsidR="00601DD2" w:rsidRPr="00D640EE" w:rsidRDefault="00601DD2" w:rsidP="00BC595D">
            <w:pPr>
              <w:spacing w:before="0"/>
              <w:rPr>
                <w:rFonts w:cs="Arial"/>
                <w:color w:val="auto"/>
                <w:sz w:val="20"/>
              </w:rPr>
            </w:pPr>
            <w:r w:rsidRPr="00D640EE">
              <w:rPr>
                <w:rFonts w:cs="Arial"/>
                <w:color w:val="auto"/>
                <w:sz w:val="20"/>
              </w:rPr>
              <w:t>Tax Asset Base</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TJ</w:t>
            </w:r>
          </w:p>
        </w:tc>
        <w:tc>
          <w:tcPr>
            <w:tcW w:w="6344" w:type="dxa"/>
            <w:vAlign w:val="center"/>
          </w:tcPr>
          <w:p w:rsidR="00D12A29" w:rsidRPr="00D640EE" w:rsidRDefault="00D12A29" w:rsidP="00BC595D">
            <w:pPr>
              <w:spacing w:before="0"/>
              <w:rPr>
                <w:rFonts w:cs="Arial"/>
                <w:color w:val="auto"/>
                <w:sz w:val="20"/>
              </w:rPr>
            </w:pPr>
            <w:proofErr w:type="spellStart"/>
            <w:r w:rsidRPr="00D640EE">
              <w:rPr>
                <w:rFonts w:cs="Arial"/>
                <w:color w:val="auto"/>
                <w:sz w:val="20"/>
              </w:rPr>
              <w:t>Terajoule</w:t>
            </w:r>
            <w:proofErr w:type="spellEnd"/>
            <w:r w:rsidRPr="00D640EE">
              <w:rPr>
                <w:rFonts w:cs="Arial"/>
                <w:color w:val="auto"/>
                <w:sz w:val="20"/>
              </w:rPr>
              <w:t xml:space="preserve"> (1TJ=1,000GJ)</w:t>
            </w:r>
          </w:p>
        </w:tc>
      </w:tr>
      <w:tr w:rsidR="005C5E4E" w:rsidRPr="00FC49E2" w:rsidTr="00BC595D">
        <w:trPr>
          <w:trHeight w:val="397"/>
        </w:trPr>
        <w:tc>
          <w:tcPr>
            <w:tcW w:w="2093" w:type="dxa"/>
            <w:vAlign w:val="center"/>
          </w:tcPr>
          <w:p w:rsidR="005C5E4E" w:rsidRPr="00D640EE" w:rsidRDefault="005C5E4E" w:rsidP="00BC595D">
            <w:pPr>
              <w:spacing w:before="0"/>
              <w:rPr>
                <w:rFonts w:cs="Arial"/>
                <w:color w:val="auto"/>
                <w:sz w:val="20"/>
              </w:rPr>
            </w:pPr>
            <w:r w:rsidRPr="00D640EE">
              <w:rPr>
                <w:rFonts w:cs="Arial"/>
                <w:color w:val="auto"/>
                <w:sz w:val="20"/>
              </w:rPr>
              <w:t>UGS</w:t>
            </w:r>
          </w:p>
        </w:tc>
        <w:tc>
          <w:tcPr>
            <w:tcW w:w="6344" w:type="dxa"/>
            <w:vAlign w:val="center"/>
          </w:tcPr>
          <w:p w:rsidR="005C5E4E" w:rsidRPr="00D640EE" w:rsidRDefault="005C5E4E" w:rsidP="00BC595D">
            <w:pPr>
              <w:spacing w:before="0"/>
              <w:rPr>
                <w:rFonts w:cs="Arial"/>
                <w:color w:val="auto"/>
                <w:sz w:val="20"/>
              </w:rPr>
            </w:pPr>
            <w:r w:rsidRPr="00D640EE">
              <w:rPr>
                <w:rFonts w:cs="Arial"/>
                <w:color w:val="auto"/>
                <w:sz w:val="20"/>
              </w:rPr>
              <w:t>Underground Gas Storage</w:t>
            </w:r>
          </w:p>
        </w:tc>
      </w:tr>
      <w:tr w:rsidR="005C5E4E" w:rsidRPr="00FC49E2" w:rsidTr="00BC595D">
        <w:trPr>
          <w:trHeight w:val="397"/>
        </w:trPr>
        <w:tc>
          <w:tcPr>
            <w:tcW w:w="2093" w:type="dxa"/>
            <w:vAlign w:val="center"/>
          </w:tcPr>
          <w:p w:rsidR="005C5E4E" w:rsidRPr="00D640EE" w:rsidRDefault="005C5E4E" w:rsidP="00BC595D">
            <w:pPr>
              <w:spacing w:before="0"/>
              <w:rPr>
                <w:rFonts w:cs="Arial"/>
                <w:color w:val="auto"/>
                <w:sz w:val="20"/>
              </w:rPr>
            </w:pPr>
            <w:r w:rsidRPr="00D640EE">
              <w:rPr>
                <w:rFonts w:cs="Arial"/>
                <w:color w:val="auto"/>
                <w:sz w:val="20"/>
              </w:rPr>
              <w:t>VGPR</w:t>
            </w:r>
          </w:p>
        </w:tc>
        <w:tc>
          <w:tcPr>
            <w:tcW w:w="6344" w:type="dxa"/>
            <w:vAlign w:val="center"/>
          </w:tcPr>
          <w:p w:rsidR="005C5E4E" w:rsidRPr="00D640EE" w:rsidRDefault="005C5E4E" w:rsidP="00BC595D">
            <w:pPr>
              <w:spacing w:before="0"/>
              <w:rPr>
                <w:rFonts w:cs="Arial"/>
                <w:color w:val="auto"/>
                <w:sz w:val="20"/>
              </w:rPr>
            </w:pPr>
            <w:r w:rsidRPr="00D640EE">
              <w:rPr>
                <w:rFonts w:cs="Arial"/>
                <w:color w:val="auto"/>
                <w:sz w:val="20"/>
              </w:rPr>
              <w:t>Victorian Gas Planning Report</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VNI</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Victorian Northern Interconnect</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VNIE</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Victorian Northern Interconnect Expansion</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VTS</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Victorian Transmission System</w:t>
            </w:r>
          </w:p>
        </w:tc>
      </w:tr>
      <w:tr w:rsidR="008E0180" w:rsidRPr="00FC49E2" w:rsidTr="00BC595D">
        <w:trPr>
          <w:trHeight w:val="397"/>
        </w:trPr>
        <w:tc>
          <w:tcPr>
            <w:tcW w:w="2093" w:type="dxa"/>
            <w:vAlign w:val="center"/>
          </w:tcPr>
          <w:p w:rsidR="008E0180" w:rsidRPr="00D640EE" w:rsidRDefault="008E0180" w:rsidP="00BC595D">
            <w:pPr>
              <w:spacing w:before="0"/>
              <w:rPr>
                <w:rFonts w:cs="Arial"/>
                <w:color w:val="auto"/>
                <w:sz w:val="20"/>
              </w:rPr>
            </w:pPr>
            <w:r w:rsidRPr="00D640EE">
              <w:rPr>
                <w:rFonts w:cs="Arial"/>
                <w:color w:val="auto"/>
                <w:sz w:val="20"/>
              </w:rPr>
              <w:t>WORM</w:t>
            </w:r>
          </w:p>
        </w:tc>
        <w:tc>
          <w:tcPr>
            <w:tcW w:w="6344" w:type="dxa"/>
            <w:vAlign w:val="center"/>
          </w:tcPr>
          <w:p w:rsidR="008E0180" w:rsidRPr="00D640EE" w:rsidRDefault="008E0180" w:rsidP="00BC595D">
            <w:pPr>
              <w:spacing w:before="0"/>
              <w:rPr>
                <w:rFonts w:cs="Arial"/>
                <w:color w:val="auto"/>
                <w:sz w:val="20"/>
              </w:rPr>
            </w:pPr>
            <w:r w:rsidRPr="00D640EE">
              <w:rPr>
                <w:rFonts w:cs="Arial"/>
                <w:color w:val="auto"/>
                <w:sz w:val="20"/>
              </w:rPr>
              <w:t>Western Outer Ring Main</w:t>
            </w:r>
          </w:p>
        </w:tc>
      </w:tr>
      <w:tr w:rsidR="00D12A29" w:rsidRPr="00FC49E2" w:rsidTr="00BC595D">
        <w:trPr>
          <w:trHeight w:val="397"/>
        </w:trPr>
        <w:tc>
          <w:tcPr>
            <w:tcW w:w="2093" w:type="dxa"/>
            <w:vAlign w:val="center"/>
          </w:tcPr>
          <w:p w:rsidR="00D12A29" w:rsidRPr="00D640EE" w:rsidRDefault="00D12A29" w:rsidP="00BC595D">
            <w:pPr>
              <w:spacing w:before="0"/>
              <w:rPr>
                <w:rFonts w:cs="Arial"/>
                <w:color w:val="auto"/>
                <w:sz w:val="20"/>
              </w:rPr>
            </w:pPr>
            <w:r w:rsidRPr="00D640EE">
              <w:rPr>
                <w:rFonts w:cs="Arial"/>
                <w:color w:val="auto"/>
                <w:sz w:val="20"/>
              </w:rPr>
              <w:t>WTS</w:t>
            </w:r>
          </w:p>
        </w:tc>
        <w:tc>
          <w:tcPr>
            <w:tcW w:w="6344" w:type="dxa"/>
            <w:vAlign w:val="center"/>
          </w:tcPr>
          <w:p w:rsidR="00D12A29" w:rsidRPr="00D640EE" w:rsidRDefault="00D12A29" w:rsidP="00BC595D">
            <w:pPr>
              <w:spacing w:before="0"/>
              <w:rPr>
                <w:rFonts w:cs="Arial"/>
                <w:color w:val="auto"/>
                <w:sz w:val="20"/>
              </w:rPr>
            </w:pPr>
            <w:r w:rsidRPr="00D640EE">
              <w:rPr>
                <w:rFonts w:cs="Arial"/>
                <w:color w:val="auto"/>
                <w:sz w:val="20"/>
              </w:rPr>
              <w:t>Western Transmission System</w:t>
            </w:r>
          </w:p>
        </w:tc>
      </w:tr>
    </w:tbl>
    <w:p w:rsidR="00C44B50" w:rsidRDefault="00C44B50" w:rsidP="004367E9">
      <w:pPr>
        <w:pStyle w:val="BodyText"/>
      </w:pPr>
    </w:p>
    <w:p w:rsidR="00C44B50" w:rsidRDefault="00C44B50" w:rsidP="004367E9">
      <w:pPr>
        <w:pStyle w:val="BodyText"/>
      </w:pPr>
    </w:p>
    <w:p w:rsidR="00C44B50" w:rsidRPr="008A4AF0" w:rsidRDefault="00C44B50" w:rsidP="004367E9">
      <w:pPr>
        <w:pStyle w:val="BodyText"/>
        <w:sectPr w:rsidR="00C44B50" w:rsidRPr="008A4AF0" w:rsidSect="001F426A">
          <w:headerReference w:type="default" r:id="rId14"/>
          <w:footerReference w:type="default" r:id="rId15"/>
          <w:pgSz w:w="11907" w:h="16840" w:code="9"/>
          <w:pgMar w:top="2835" w:right="1616" w:bottom="1418" w:left="1616" w:header="737" w:footer="737" w:gutter="454"/>
          <w:pgNumType w:fmt="lowerRoman" w:start="1"/>
          <w:cols w:space="737"/>
        </w:sectPr>
      </w:pPr>
    </w:p>
    <w:p w:rsidR="0023115E" w:rsidRDefault="00E8412A" w:rsidP="0055275F">
      <w:pPr>
        <w:pStyle w:val="Heading1"/>
        <w:numPr>
          <w:ilvl w:val="0"/>
          <w:numId w:val="0"/>
        </w:numPr>
        <w:ind w:left="-1134"/>
      </w:pPr>
      <w:bookmarkStart w:id="2" w:name="Text"/>
      <w:bookmarkStart w:id="3" w:name="_Toc482626052"/>
      <w:bookmarkStart w:id="4" w:name="_Toc452994545"/>
      <w:bookmarkEnd w:id="2"/>
      <w:r>
        <w:lastRenderedPageBreak/>
        <w:t>Summary</w:t>
      </w:r>
      <w:bookmarkEnd w:id="3"/>
      <w:r>
        <w:t xml:space="preserve"> </w:t>
      </w:r>
    </w:p>
    <w:p w:rsidR="00D2739D" w:rsidRDefault="00D2739D" w:rsidP="00D2739D">
      <w:pPr>
        <w:pStyle w:val="BodyText"/>
      </w:pPr>
      <w:r>
        <w:t xml:space="preserve">This is a supplementary submission to the access arrangement revision proposal for the Victorian Transmission System (VTS) lodged with the </w:t>
      </w:r>
      <w:r w:rsidR="00B16B62">
        <w:t>Australian Energy Regulator (</w:t>
      </w:r>
      <w:r>
        <w:t>AER</w:t>
      </w:r>
      <w:r w:rsidR="00B16B62">
        <w:t>)</w:t>
      </w:r>
      <w:r>
        <w:t xml:space="preserve"> on 3 January 2017 (January AA proposal).</w:t>
      </w:r>
    </w:p>
    <w:p w:rsidR="00D2739D" w:rsidRDefault="00D2739D" w:rsidP="00D2739D">
      <w:pPr>
        <w:pStyle w:val="BodyText"/>
      </w:pPr>
      <w:r>
        <w:t xml:space="preserve">This submission sets out revisions to the January AA proposal necessary to include a new capital expenditure project, the Western Outer Ring Main (WORM), into the access arrangement. This necessarily involves changes to the capital and operating expenditure forecasts, with flow on implications for revenues and tariffs. </w:t>
      </w:r>
    </w:p>
    <w:p w:rsidR="00D2739D" w:rsidRDefault="00D2739D" w:rsidP="00D8189B">
      <w:pPr>
        <w:pStyle w:val="BodyText"/>
        <w:rPr>
          <w:highlight w:val="yellow"/>
        </w:rPr>
      </w:pPr>
      <w:r>
        <w:t xml:space="preserve">Since submission the January AA proposal, APA VTS and the AER have also identified a number of errors in that proposal. </w:t>
      </w:r>
      <w:r w:rsidR="002A18B7">
        <w:t>At</w:t>
      </w:r>
      <w:r>
        <w:t xml:space="preserve"> the AER’s request, these are corrected in th</w:t>
      </w:r>
      <w:r w:rsidR="005F5A9B">
        <w:t>e values presented in th</w:t>
      </w:r>
      <w:r>
        <w:t>is submission and accompanying models.</w:t>
      </w:r>
    </w:p>
    <w:p w:rsidR="0023115E" w:rsidRPr="005B2BF9" w:rsidRDefault="00D8189B" w:rsidP="00E245B4">
      <w:pPr>
        <w:pStyle w:val="Featuretext"/>
        <w:ind w:left="-709"/>
        <w:rPr>
          <w:i w:val="0"/>
          <w:sz w:val="24"/>
        </w:rPr>
      </w:pPr>
      <w:r w:rsidRPr="005B2BF9">
        <w:rPr>
          <w:i w:val="0"/>
          <w:sz w:val="24"/>
        </w:rPr>
        <w:t xml:space="preserve">Capital </w:t>
      </w:r>
      <w:r w:rsidR="00636D5B">
        <w:rPr>
          <w:i w:val="0"/>
          <w:sz w:val="24"/>
        </w:rPr>
        <w:t xml:space="preserve">and operating </w:t>
      </w:r>
      <w:r w:rsidRPr="005B2BF9">
        <w:rPr>
          <w:i w:val="0"/>
          <w:sz w:val="24"/>
        </w:rPr>
        <w:t xml:space="preserve">expenditure </w:t>
      </w:r>
    </w:p>
    <w:p w:rsidR="00074638" w:rsidRDefault="00074638" w:rsidP="00763FA3">
      <w:pPr>
        <w:pStyle w:val="BodyText"/>
      </w:pPr>
      <w:r>
        <w:t xml:space="preserve">The WORM project is proposed to address a forecast </w:t>
      </w:r>
      <w:r w:rsidR="00763FA3">
        <w:t xml:space="preserve">tightening of </w:t>
      </w:r>
      <w:r w:rsidR="005F5A9B">
        <w:t xml:space="preserve">the </w:t>
      </w:r>
      <w:r w:rsidR="00763FA3">
        <w:t>gas supply demand balance in Victoria, South Australia and NSW, leading to an increasing risk of supply shortfalls in th</w:t>
      </w:r>
      <w:r>
        <w:t xml:space="preserve">e gas and electricity markets. Capacity limitations within the system, brought about by changes to gas supply arrangements, as well as the expected operation of peak gas powered generation, are likely to lead to inadequate refilling of the Iona </w:t>
      </w:r>
      <w:r w:rsidR="00B16B62">
        <w:t>Underground Storage (UGS) facility</w:t>
      </w:r>
      <w:r>
        <w:t xml:space="preserve"> outside winter due to capacity limitat</w:t>
      </w:r>
      <w:r w:rsidR="00B16B62">
        <w:t>ions on the South West Pipeline (SWP).</w:t>
      </w:r>
    </w:p>
    <w:p w:rsidR="00763FA3" w:rsidRDefault="00763FA3" w:rsidP="00763FA3">
      <w:pPr>
        <w:pStyle w:val="BodyText"/>
      </w:pPr>
      <w:r>
        <w:t>The proposed WORM project, in conjunction with proposed reconfiguration works at Brooklyn Comp</w:t>
      </w:r>
      <w:r w:rsidR="00074638">
        <w:t>ressor Station and Winchelsea C</w:t>
      </w:r>
      <w:r>
        <w:t>ompressor, will increase capacity for refill of Iona UGS. The WORM project also provides some additional eastbound capacity for injections into the VTS, as well a</w:t>
      </w:r>
      <w:r w:rsidR="005F5A9B">
        <w:t>s</w:t>
      </w:r>
      <w:r>
        <w:t xml:space="preserve"> providing the following system wide benefits:</w:t>
      </w:r>
    </w:p>
    <w:p w:rsidR="00074638" w:rsidRDefault="00763FA3" w:rsidP="00763FA3">
      <w:pPr>
        <w:pStyle w:val="ListBullet"/>
      </w:pPr>
      <w:r>
        <w:t xml:space="preserve">Security of supply, </w:t>
      </w:r>
      <w:r w:rsidR="00074638">
        <w:t xml:space="preserve">increasing gas flows across the system in the event of </w:t>
      </w:r>
      <w:r>
        <w:t xml:space="preserve">loss of supply from any of the </w:t>
      </w:r>
      <w:r w:rsidR="002A18B7">
        <w:t>m</w:t>
      </w:r>
      <w:r>
        <w:t>arket scheduled gas trains at Longford, Port Campbell (UGS, Otway or Minerva) or Pakenham (Lang Lang)</w:t>
      </w:r>
      <w:r w:rsidR="002A18B7">
        <w:t>;</w:t>
      </w:r>
    </w:p>
    <w:p w:rsidR="00763FA3" w:rsidRPr="00763FA3" w:rsidRDefault="00763FA3" w:rsidP="00763FA3">
      <w:pPr>
        <w:pStyle w:val="ListBullet"/>
      </w:pPr>
      <w:r>
        <w:t>Operational benefits, where gas is able to flow interchangeably between the ea</w:t>
      </w:r>
      <w:r w:rsidR="00074638">
        <w:t>s</w:t>
      </w:r>
      <w:r>
        <w:t xml:space="preserve">t and the west of the system, providing for better linepack </w:t>
      </w:r>
      <w:r w:rsidRPr="00763FA3">
        <w:lastRenderedPageBreak/>
        <w:t>balancing, support for sudden operation of gas powered generation, and improved condit</w:t>
      </w:r>
      <w:r w:rsidR="008C0EA8">
        <w:t>ions for gas on gas competition;</w:t>
      </w:r>
    </w:p>
    <w:p w:rsidR="00763FA3" w:rsidRPr="00763FA3" w:rsidRDefault="00763FA3" w:rsidP="00763FA3">
      <w:pPr>
        <w:pStyle w:val="ListBullet"/>
      </w:pPr>
      <w:r w:rsidRPr="00763FA3">
        <w:t>Reduced reliance on the Brooklyn Compressor station, which is an aged, congested site that has limited opportunities for expansion</w:t>
      </w:r>
      <w:r w:rsidR="008C0EA8">
        <w:t>; and</w:t>
      </w:r>
    </w:p>
    <w:p w:rsidR="00D2739D" w:rsidRPr="00763FA3" w:rsidRDefault="00763FA3" w:rsidP="00763FA3">
      <w:pPr>
        <w:pStyle w:val="ListBullet"/>
      </w:pPr>
      <w:r w:rsidRPr="00763FA3">
        <w:t>Provision of future growth of the system</w:t>
      </w:r>
      <w:r w:rsidR="008C0EA8">
        <w:t>.</w:t>
      </w:r>
    </w:p>
    <w:p w:rsidR="006E1541" w:rsidRDefault="00763FA3" w:rsidP="0023115E">
      <w:pPr>
        <w:pStyle w:val="BodyText"/>
      </w:pPr>
      <w:r>
        <w:t xml:space="preserve">The total forecast expenditure on the WORM </w:t>
      </w:r>
      <w:r w:rsidRPr="00D640EE">
        <w:t>project is $</w:t>
      </w:r>
      <w:r w:rsidR="00D640EE" w:rsidRPr="00D640EE">
        <w:t>126.7m</w:t>
      </w:r>
      <w:r>
        <w:t xml:space="preserve"> ($real 2017). This includes $26.7m of expenditure proposed in the January AA proposal to pre-purchase the easement for the WORM in the forecast period.</w:t>
      </w:r>
    </w:p>
    <w:p w:rsidR="00763FA3" w:rsidRDefault="00763FA3" w:rsidP="0023115E">
      <w:pPr>
        <w:pStyle w:val="BodyText"/>
      </w:pPr>
      <w:r>
        <w:t xml:space="preserve">Construction of the WORM in the forecast period means that some projects previously forecast to be completed within the 2018-22 period will not </w:t>
      </w:r>
      <w:r w:rsidR="005F5A9B">
        <w:t>be required</w:t>
      </w:r>
      <w:r>
        <w:t xml:space="preserve">. These amount to a total </w:t>
      </w:r>
      <w:r w:rsidRPr="002A18B7">
        <w:t xml:space="preserve">of </w:t>
      </w:r>
      <w:r w:rsidR="002A18B7" w:rsidRPr="002A18B7">
        <w:t>$2.5</w:t>
      </w:r>
      <w:r w:rsidRPr="002A18B7">
        <w:t xml:space="preserve">m </w:t>
      </w:r>
      <w:r w:rsidR="002A18B7">
        <w:t>($real 2017</w:t>
      </w:r>
      <w:proofErr w:type="gramStart"/>
      <w:r w:rsidR="002A18B7">
        <w:t>)</w:t>
      </w:r>
      <w:r w:rsidRPr="002A18B7">
        <w:t>over</w:t>
      </w:r>
      <w:proofErr w:type="gramEnd"/>
      <w:r>
        <w:t xml:space="preserve"> the period.</w:t>
      </w:r>
    </w:p>
    <w:p w:rsidR="00636D5B" w:rsidRDefault="00636D5B" w:rsidP="00636D5B">
      <w:pPr>
        <w:pStyle w:val="BodyText"/>
      </w:pPr>
      <w:r>
        <w:t xml:space="preserve">Following commissioning </w:t>
      </w:r>
      <w:r w:rsidRPr="002A18B7">
        <w:t>of the WORM in late 2020, APA VTS expects to incur additional operating expenditure of $</w:t>
      </w:r>
      <w:r w:rsidR="002A18B7" w:rsidRPr="002A18B7">
        <w:t>200</w:t>
      </w:r>
      <w:r w:rsidRPr="002A18B7">
        <w:t xml:space="preserve"> thousand per annum</w:t>
      </w:r>
      <w:r w:rsidR="002A18B7" w:rsidRPr="002A18B7">
        <w:t xml:space="preserve"> ($real 2017)</w:t>
      </w:r>
      <w:r w:rsidRPr="002A18B7">
        <w:t>. This includes easement management and compressor maintenance associated with the new facilities installed as part</w:t>
      </w:r>
      <w:r>
        <w:t xml:space="preserve"> of the WORM.</w:t>
      </w:r>
    </w:p>
    <w:p w:rsidR="00636D5B" w:rsidRDefault="00636D5B" w:rsidP="00636D5B">
      <w:pPr>
        <w:pStyle w:val="BodyText"/>
      </w:pPr>
      <w:r>
        <w:t xml:space="preserve">APA VTS has also </w:t>
      </w:r>
      <w:r w:rsidR="005F5A9B">
        <w:t>revised</w:t>
      </w:r>
      <w:r>
        <w:t xml:space="preserve"> forecast capital and operating expenditure to correct errors in line with its responses to AER Information Request</w:t>
      </w:r>
      <w:r w:rsidR="002A18B7">
        <w:t>s</w:t>
      </w:r>
      <w:r>
        <w:t xml:space="preserve"> 2 and 6. </w:t>
      </w:r>
    </w:p>
    <w:p w:rsidR="00636D5B" w:rsidRDefault="00636D5B" w:rsidP="00636D5B">
      <w:pPr>
        <w:pStyle w:val="BodyText"/>
      </w:pPr>
      <w:r>
        <w:t>These revisions to the January AA proposal lead to total capital and operating expenditure for the period as set out in the following table.</w:t>
      </w:r>
    </w:p>
    <w:p w:rsidR="00763FA3" w:rsidRDefault="00636D5B" w:rsidP="00763FA3">
      <w:pPr>
        <w:pStyle w:val="Caption"/>
      </w:pPr>
      <w:bookmarkStart w:id="5" w:name="_Toc482626100"/>
      <w:r>
        <w:t>Forecast c</w:t>
      </w:r>
      <w:r w:rsidR="00763FA3">
        <w:t xml:space="preserve">apital </w:t>
      </w:r>
      <w:r>
        <w:t>and operating e</w:t>
      </w:r>
      <w:r w:rsidR="00763FA3">
        <w:t>xpenditure for the VTS (real 2017 $m)</w:t>
      </w:r>
      <w:bookmarkEnd w:id="5"/>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943"/>
        <w:gridCol w:w="915"/>
        <w:gridCol w:w="916"/>
        <w:gridCol w:w="916"/>
        <w:gridCol w:w="915"/>
        <w:gridCol w:w="916"/>
        <w:gridCol w:w="916"/>
      </w:tblGrid>
      <w:tr w:rsidR="00763FA3" w:rsidRPr="008A4AF0" w:rsidTr="009E17D5">
        <w:tc>
          <w:tcPr>
            <w:tcW w:w="2943" w:type="dxa"/>
            <w:shd w:val="clear" w:color="auto" w:fill="333333"/>
          </w:tcPr>
          <w:p w:rsidR="00763FA3" w:rsidRPr="00AF4988" w:rsidRDefault="00763FA3" w:rsidP="009E17D5">
            <w:pPr>
              <w:pStyle w:val="TableColumnHeadings"/>
              <w:keepNext/>
              <w:jc w:val="left"/>
              <w:rPr>
                <w:rFonts w:ascii="Century Gothic" w:hAnsi="Century Gothic"/>
              </w:rPr>
            </w:pPr>
            <w:r>
              <w:rPr>
                <w:rFonts w:ascii="Century Gothic" w:hAnsi="Century Gothic"/>
              </w:rPr>
              <w:t>$m real 2017</w:t>
            </w:r>
          </w:p>
        </w:tc>
        <w:tc>
          <w:tcPr>
            <w:tcW w:w="915" w:type="dxa"/>
            <w:shd w:val="clear" w:color="auto" w:fill="333333"/>
          </w:tcPr>
          <w:p w:rsidR="00763FA3" w:rsidRPr="00AF4988" w:rsidRDefault="00763FA3" w:rsidP="009E17D5">
            <w:pPr>
              <w:pStyle w:val="TableColumnHeadings"/>
              <w:rPr>
                <w:rFonts w:ascii="Century Gothic" w:hAnsi="Century Gothic"/>
              </w:rPr>
            </w:pPr>
            <w:r>
              <w:rPr>
                <w:rFonts w:ascii="Century Gothic" w:hAnsi="Century Gothic"/>
              </w:rPr>
              <w:t>2018</w:t>
            </w:r>
          </w:p>
        </w:tc>
        <w:tc>
          <w:tcPr>
            <w:tcW w:w="916" w:type="dxa"/>
            <w:shd w:val="clear" w:color="auto" w:fill="333333"/>
          </w:tcPr>
          <w:p w:rsidR="00763FA3" w:rsidRPr="00AF4988" w:rsidRDefault="00763FA3" w:rsidP="009E17D5">
            <w:pPr>
              <w:pStyle w:val="TableColumnHeadings"/>
              <w:rPr>
                <w:rFonts w:ascii="Century Gothic" w:hAnsi="Century Gothic"/>
              </w:rPr>
            </w:pPr>
            <w:r>
              <w:rPr>
                <w:rFonts w:ascii="Century Gothic" w:hAnsi="Century Gothic"/>
              </w:rPr>
              <w:t>2019</w:t>
            </w:r>
          </w:p>
        </w:tc>
        <w:tc>
          <w:tcPr>
            <w:tcW w:w="916" w:type="dxa"/>
            <w:shd w:val="clear" w:color="auto" w:fill="333333"/>
          </w:tcPr>
          <w:p w:rsidR="00763FA3" w:rsidRPr="00AF4988" w:rsidRDefault="00763FA3" w:rsidP="009E17D5">
            <w:pPr>
              <w:pStyle w:val="TableColumnHeadings"/>
              <w:rPr>
                <w:rFonts w:ascii="Century Gothic" w:hAnsi="Century Gothic"/>
              </w:rPr>
            </w:pPr>
            <w:r>
              <w:rPr>
                <w:rFonts w:ascii="Century Gothic" w:hAnsi="Century Gothic"/>
              </w:rPr>
              <w:t>2020</w:t>
            </w:r>
          </w:p>
        </w:tc>
        <w:tc>
          <w:tcPr>
            <w:tcW w:w="915" w:type="dxa"/>
            <w:shd w:val="clear" w:color="auto" w:fill="333333"/>
          </w:tcPr>
          <w:p w:rsidR="00763FA3" w:rsidRPr="00AF4988" w:rsidRDefault="00763FA3" w:rsidP="009E17D5">
            <w:pPr>
              <w:pStyle w:val="TableColumnHeadings"/>
              <w:rPr>
                <w:rFonts w:ascii="Century Gothic" w:hAnsi="Century Gothic"/>
              </w:rPr>
            </w:pPr>
            <w:r>
              <w:rPr>
                <w:rFonts w:ascii="Century Gothic" w:hAnsi="Century Gothic"/>
              </w:rPr>
              <w:t>2021</w:t>
            </w:r>
          </w:p>
        </w:tc>
        <w:tc>
          <w:tcPr>
            <w:tcW w:w="916" w:type="dxa"/>
            <w:shd w:val="clear" w:color="auto" w:fill="333333"/>
          </w:tcPr>
          <w:p w:rsidR="00763FA3" w:rsidRPr="00AF4988" w:rsidRDefault="00763FA3" w:rsidP="009E17D5">
            <w:pPr>
              <w:pStyle w:val="TableColumnHeadings"/>
              <w:rPr>
                <w:rFonts w:ascii="Century Gothic" w:hAnsi="Century Gothic"/>
              </w:rPr>
            </w:pPr>
            <w:r>
              <w:rPr>
                <w:rFonts w:ascii="Century Gothic" w:hAnsi="Century Gothic"/>
              </w:rPr>
              <w:t>2022</w:t>
            </w:r>
          </w:p>
        </w:tc>
        <w:tc>
          <w:tcPr>
            <w:tcW w:w="916" w:type="dxa"/>
            <w:shd w:val="clear" w:color="auto" w:fill="333333"/>
          </w:tcPr>
          <w:p w:rsidR="00763FA3" w:rsidRPr="00AF4988" w:rsidRDefault="00763FA3" w:rsidP="009E17D5">
            <w:pPr>
              <w:pStyle w:val="TableColumnHeadings"/>
              <w:rPr>
                <w:rFonts w:ascii="Century Gothic" w:hAnsi="Century Gothic"/>
              </w:rPr>
            </w:pPr>
            <w:r w:rsidRPr="00AF4988">
              <w:rPr>
                <w:rFonts w:ascii="Century Gothic" w:hAnsi="Century Gothic"/>
              </w:rPr>
              <w:t>Total</w:t>
            </w:r>
          </w:p>
        </w:tc>
      </w:tr>
      <w:tr w:rsidR="00883817" w:rsidRPr="008A4AF0" w:rsidTr="00370B6E">
        <w:tc>
          <w:tcPr>
            <w:tcW w:w="2943" w:type="dxa"/>
            <w:shd w:val="clear" w:color="auto" w:fill="auto"/>
          </w:tcPr>
          <w:p w:rsidR="00883817" w:rsidRPr="008A4AF0" w:rsidRDefault="00883817" w:rsidP="009E17D5">
            <w:pPr>
              <w:pStyle w:val="TableBodyCells"/>
              <w:keepNext/>
              <w:jc w:val="left"/>
            </w:pPr>
            <w:r>
              <w:t>Capital expenditure</w:t>
            </w:r>
          </w:p>
        </w:tc>
        <w:tc>
          <w:tcPr>
            <w:tcW w:w="915" w:type="dxa"/>
            <w:shd w:val="clear" w:color="auto" w:fill="auto"/>
            <w:vAlign w:val="bottom"/>
          </w:tcPr>
          <w:p w:rsidR="00883817" w:rsidRPr="008A4AF0" w:rsidRDefault="00883817" w:rsidP="00370B6E">
            <w:pPr>
              <w:pStyle w:val="TableBodyCells"/>
            </w:pPr>
            <w:r w:rsidRPr="00F83C01">
              <w:rPr>
                <w:rFonts w:cs="Arial"/>
              </w:rPr>
              <w:t>77.71</w:t>
            </w:r>
          </w:p>
        </w:tc>
        <w:tc>
          <w:tcPr>
            <w:tcW w:w="916" w:type="dxa"/>
            <w:shd w:val="clear" w:color="auto" w:fill="auto"/>
            <w:vAlign w:val="bottom"/>
          </w:tcPr>
          <w:p w:rsidR="00883817" w:rsidRPr="00AF4988" w:rsidRDefault="00883817" w:rsidP="00370B6E">
            <w:pPr>
              <w:pStyle w:val="TableBodyCells"/>
              <w:rPr>
                <w:highlight w:val="yellow"/>
              </w:rPr>
            </w:pPr>
            <w:r w:rsidRPr="00F83C01">
              <w:rPr>
                <w:rFonts w:cs="Arial"/>
              </w:rPr>
              <w:t>71.92</w:t>
            </w:r>
          </w:p>
        </w:tc>
        <w:tc>
          <w:tcPr>
            <w:tcW w:w="916" w:type="dxa"/>
            <w:shd w:val="clear" w:color="auto" w:fill="auto"/>
            <w:vAlign w:val="bottom"/>
          </w:tcPr>
          <w:p w:rsidR="00883817" w:rsidRPr="00AF4988" w:rsidRDefault="00883817" w:rsidP="00370B6E">
            <w:pPr>
              <w:pStyle w:val="TableBodyCells"/>
              <w:rPr>
                <w:highlight w:val="yellow"/>
              </w:rPr>
            </w:pPr>
            <w:r w:rsidRPr="00F83C01">
              <w:rPr>
                <w:rFonts w:cs="Arial"/>
              </w:rPr>
              <w:t>73.73</w:t>
            </w:r>
          </w:p>
        </w:tc>
        <w:tc>
          <w:tcPr>
            <w:tcW w:w="915" w:type="dxa"/>
            <w:vAlign w:val="bottom"/>
          </w:tcPr>
          <w:p w:rsidR="00883817" w:rsidRPr="00AF4988" w:rsidRDefault="00883817" w:rsidP="00370B6E">
            <w:pPr>
              <w:pStyle w:val="TableBodyCells"/>
              <w:rPr>
                <w:highlight w:val="yellow"/>
              </w:rPr>
            </w:pPr>
            <w:r w:rsidRPr="00F83C01">
              <w:rPr>
                <w:rFonts w:cs="Arial"/>
              </w:rPr>
              <w:t>17.79</w:t>
            </w:r>
          </w:p>
        </w:tc>
        <w:tc>
          <w:tcPr>
            <w:tcW w:w="916" w:type="dxa"/>
            <w:vAlign w:val="bottom"/>
          </w:tcPr>
          <w:p w:rsidR="00883817" w:rsidRPr="008A4AF0" w:rsidRDefault="00883817" w:rsidP="00370B6E">
            <w:pPr>
              <w:pStyle w:val="TableBodyCells"/>
            </w:pPr>
            <w:r w:rsidRPr="00F83C01">
              <w:rPr>
                <w:rFonts w:cs="Arial"/>
              </w:rPr>
              <w:t>14.92</w:t>
            </w:r>
          </w:p>
        </w:tc>
        <w:tc>
          <w:tcPr>
            <w:tcW w:w="916" w:type="dxa"/>
            <w:shd w:val="clear" w:color="auto" w:fill="auto"/>
            <w:vAlign w:val="bottom"/>
          </w:tcPr>
          <w:p w:rsidR="00883817" w:rsidRPr="00883817" w:rsidRDefault="00883817" w:rsidP="00370B6E">
            <w:pPr>
              <w:pStyle w:val="TableBodyCells"/>
              <w:rPr>
                <w:b/>
              </w:rPr>
            </w:pPr>
            <w:r w:rsidRPr="00883817">
              <w:rPr>
                <w:rFonts w:cs="Arial"/>
                <w:b/>
              </w:rPr>
              <w:t>256.07</w:t>
            </w:r>
          </w:p>
        </w:tc>
      </w:tr>
      <w:tr w:rsidR="00883817" w:rsidRPr="008A4AF0" w:rsidTr="00370B6E">
        <w:tc>
          <w:tcPr>
            <w:tcW w:w="2943" w:type="dxa"/>
            <w:shd w:val="clear" w:color="auto" w:fill="auto"/>
          </w:tcPr>
          <w:p w:rsidR="00883817" w:rsidRDefault="00883817" w:rsidP="009E17D5">
            <w:pPr>
              <w:pStyle w:val="TableBodyCells"/>
              <w:keepNext/>
              <w:jc w:val="left"/>
            </w:pPr>
            <w:r>
              <w:t>Operating expenditure</w:t>
            </w:r>
          </w:p>
        </w:tc>
        <w:tc>
          <w:tcPr>
            <w:tcW w:w="915" w:type="dxa"/>
            <w:shd w:val="clear" w:color="auto" w:fill="auto"/>
            <w:vAlign w:val="bottom"/>
          </w:tcPr>
          <w:p w:rsidR="00883817" w:rsidRPr="00956E80" w:rsidRDefault="00883817" w:rsidP="00370B6E">
            <w:pPr>
              <w:pStyle w:val="TableBodyCells"/>
            </w:pPr>
            <w:r w:rsidRPr="002C4333">
              <w:t>34.29</w:t>
            </w:r>
          </w:p>
        </w:tc>
        <w:tc>
          <w:tcPr>
            <w:tcW w:w="916" w:type="dxa"/>
            <w:shd w:val="clear" w:color="auto" w:fill="auto"/>
            <w:vAlign w:val="bottom"/>
          </w:tcPr>
          <w:p w:rsidR="00883817" w:rsidRPr="00956E80" w:rsidRDefault="00883817" w:rsidP="00370B6E">
            <w:pPr>
              <w:pStyle w:val="TableBodyCells"/>
              <w:rPr>
                <w:highlight w:val="yellow"/>
              </w:rPr>
            </w:pPr>
            <w:r w:rsidRPr="002C4333">
              <w:t>30.23</w:t>
            </w:r>
          </w:p>
        </w:tc>
        <w:tc>
          <w:tcPr>
            <w:tcW w:w="916" w:type="dxa"/>
            <w:shd w:val="clear" w:color="auto" w:fill="auto"/>
            <w:vAlign w:val="bottom"/>
          </w:tcPr>
          <w:p w:rsidR="00883817" w:rsidRPr="00956E80" w:rsidRDefault="00883817" w:rsidP="00370B6E">
            <w:pPr>
              <w:pStyle w:val="TableBodyCells"/>
              <w:rPr>
                <w:highlight w:val="yellow"/>
              </w:rPr>
            </w:pPr>
            <w:r w:rsidRPr="002C4333">
              <w:t>29.17</w:t>
            </w:r>
          </w:p>
        </w:tc>
        <w:tc>
          <w:tcPr>
            <w:tcW w:w="915" w:type="dxa"/>
            <w:vAlign w:val="bottom"/>
          </w:tcPr>
          <w:p w:rsidR="00883817" w:rsidRPr="00956E80" w:rsidRDefault="00883817" w:rsidP="00370B6E">
            <w:pPr>
              <w:pStyle w:val="TableBodyCells"/>
              <w:rPr>
                <w:highlight w:val="yellow"/>
              </w:rPr>
            </w:pPr>
            <w:r w:rsidRPr="002C4333">
              <w:t>29.12</w:t>
            </w:r>
          </w:p>
        </w:tc>
        <w:tc>
          <w:tcPr>
            <w:tcW w:w="916" w:type="dxa"/>
            <w:vAlign w:val="bottom"/>
          </w:tcPr>
          <w:p w:rsidR="00883817" w:rsidRPr="00956E80" w:rsidRDefault="00883817" w:rsidP="00370B6E">
            <w:pPr>
              <w:pStyle w:val="TableBodyCells"/>
            </w:pPr>
            <w:r w:rsidRPr="002C4333">
              <w:t>27.25</w:t>
            </w:r>
          </w:p>
        </w:tc>
        <w:tc>
          <w:tcPr>
            <w:tcW w:w="916" w:type="dxa"/>
            <w:shd w:val="clear" w:color="auto" w:fill="auto"/>
            <w:vAlign w:val="bottom"/>
          </w:tcPr>
          <w:p w:rsidR="00883817" w:rsidRPr="00883817" w:rsidRDefault="00883817" w:rsidP="00370B6E">
            <w:pPr>
              <w:pStyle w:val="TableBodyCells"/>
              <w:rPr>
                <w:b/>
              </w:rPr>
            </w:pPr>
            <w:r w:rsidRPr="00883817">
              <w:rPr>
                <w:b/>
              </w:rPr>
              <w:t>150.06</w:t>
            </w:r>
          </w:p>
        </w:tc>
      </w:tr>
    </w:tbl>
    <w:p w:rsidR="00763FA3" w:rsidRDefault="00763FA3" w:rsidP="00763FA3">
      <w:pPr>
        <w:pStyle w:val="BodyText"/>
      </w:pPr>
    </w:p>
    <w:p w:rsidR="007F5571" w:rsidRPr="00D2739D" w:rsidRDefault="007F5571" w:rsidP="00E245B4">
      <w:pPr>
        <w:pStyle w:val="Featuretext"/>
        <w:ind w:left="-709"/>
        <w:rPr>
          <w:i w:val="0"/>
          <w:sz w:val="24"/>
        </w:rPr>
      </w:pPr>
      <w:r w:rsidRPr="00D2739D">
        <w:rPr>
          <w:i w:val="0"/>
          <w:sz w:val="24"/>
        </w:rPr>
        <w:t>Rate of return</w:t>
      </w:r>
    </w:p>
    <w:p w:rsidR="007F5571" w:rsidRDefault="007F5571" w:rsidP="007F5571">
      <w:pPr>
        <w:pStyle w:val="BodyText"/>
      </w:pPr>
      <w:r w:rsidRPr="00D2739D">
        <w:t>The proposed revised access arrangement includes a post-tax cost of equity of 8.5 per cent, a pre-tax cost of debt of 7.47 per cent, for a post-tax vanilla WACC of 7.88 per cent.</w:t>
      </w:r>
      <w:r w:rsidR="00D2739D">
        <w:t xml:space="preserve"> This is unchanged from the January AA proposal.</w:t>
      </w:r>
    </w:p>
    <w:p w:rsidR="00074638" w:rsidRPr="00D2739D" w:rsidRDefault="00074638" w:rsidP="007F5571">
      <w:pPr>
        <w:pStyle w:val="BodyText"/>
      </w:pPr>
    </w:p>
    <w:p w:rsidR="007F5571" w:rsidRPr="00883817" w:rsidRDefault="00F9656A" w:rsidP="00E245B4">
      <w:pPr>
        <w:pStyle w:val="Featuretext"/>
        <w:ind w:left="-709"/>
        <w:rPr>
          <w:i w:val="0"/>
          <w:sz w:val="24"/>
        </w:rPr>
      </w:pPr>
      <w:r w:rsidRPr="00883817">
        <w:rPr>
          <w:i w:val="0"/>
          <w:sz w:val="24"/>
        </w:rPr>
        <w:lastRenderedPageBreak/>
        <w:t>Demand forecast</w:t>
      </w:r>
    </w:p>
    <w:p w:rsidR="00883817" w:rsidRDefault="00883817" w:rsidP="00883817">
      <w:pPr>
        <w:pStyle w:val="BodyText"/>
      </w:pPr>
      <w:r>
        <w:t>APA VTS does not propose any changes to forecast GPG volumes</w:t>
      </w:r>
      <w:r w:rsidR="00D41CDA">
        <w:t xml:space="preserve"> under</w:t>
      </w:r>
      <w:r>
        <w:t xml:space="preserve"> 1-in-2 or 1-in-20 peak demand </w:t>
      </w:r>
      <w:r w:rsidR="00D41CDA">
        <w:t xml:space="preserve">conditions </w:t>
      </w:r>
      <w:r>
        <w:t xml:space="preserve">at this stage. Importantly, the construction of the WORM, while it increases capacity of the VTS, does not drive additional volumes in relation to refill or GPG. The WORM instead ensures the availability of capacity for Iona UGS refill </w:t>
      </w:r>
      <w:r w:rsidR="00D41CDA">
        <w:t xml:space="preserve">to ensure security of supply in winter </w:t>
      </w:r>
      <w:r>
        <w:t>in the face of potential increased GPG operation that may interrupt refill capacity across the summer</w:t>
      </w:r>
      <w:r w:rsidR="00D41CDA">
        <w:t>.</w:t>
      </w:r>
      <w:r>
        <w:t xml:space="preserve"> </w:t>
      </w:r>
    </w:p>
    <w:p w:rsidR="0023115E" w:rsidRPr="00B71FA1" w:rsidRDefault="00F9656A" w:rsidP="00E245B4">
      <w:pPr>
        <w:pStyle w:val="Featuretext"/>
        <w:ind w:left="-709"/>
        <w:rPr>
          <w:i w:val="0"/>
          <w:sz w:val="24"/>
        </w:rPr>
      </w:pPr>
      <w:r w:rsidRPr="00B71FA1">
        <w:rPr>
          <w:i w:val="0"/>
          <w:sz w:val="24"/>
        </w:rPr>
        <w:t>Forecast r</w:t>
      </w:r>
      <w:r w:rsidR="0023115E" w:rsidRPr="00B71FA1">
        <w:rPr>
          <w:i w:val="0"/>
          <w:sz w:val="24"/>
        </w:rPr>
        <w:t>evenue requirement</w:t>
      </w:r>
    </w:p>
    <w:p w:rsidR="00276815" w:rsidRDefault="00276815" w:rsidP="00276815">
      <w:pPr>
        <w:pStyle w:val="BodyText"/>
      </w:pPr>
      <w:r w:rsidRPr="00B71FA1">
        <w:t xml:space="preserve">The </w:t>
      </w:r>
      <w:r w:rsidR="00B71FA1">
        <w:t xml:space="preserve">revised </w:t>
      </w:r>
      <w:r w:rsidRPr="00B71FA1">
        <w:t>forecast revenue for each year of the access arrangement period, including all the elements of the proposal, is set out in the following table.</w:t>
      </w:r>
    </w:p>
    <w:p w:rsidR="008C0EA8" w:rsidRPr="00B71FA1" w:rsidRDefault="008C0EA8" w:rsidP="00276815">
      <w:pPr>
        <w:pStyle w:val="BodyText"/>
      </w:pP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369"/>
        <w:gridCol w:w="992"/>
        <w:gridCol w:w="992"/>
        <w:gridCol w:w="992"/>
        <w:gridCol w:w="992"/>
        <w:gridCol w:w="993"/>
      </w:tblGrid>
      <w:tr w:rsidR="00276815" w:rsidRPr="00B71FA1" w:rsidTr="002A18B7">
        <w:tc>
          <w:tcPr>
            <w:tcW w:w="3369" w:type="dxa"/>
            <w:shd w:val="clear" w:color="auto" w:fill="333333"/>
          </w:tcPr>
          <w:p w:rsidR="00276815" w:rsidRPr="00B71FA1" w:rsidRDefault="001F426A" w:rsidP="00D175B0">
            <w:pPr>
              <w:pStyle w:val="TableColumnHeadings"/>
              <w:keepNext/>
              <w:spacing w:beforeLines="20" w:before="48" w:afterLines="20" w:after="48"/>
              <w:jc w:val="left"/>
              <w:rPr>
                <w:rFonts w:ascii="Century Gothic" w:hAnsi="Century Gothic"/>
              </w:rPr>
            </w:pPr>
            <w:r w:rsidRPr="00B71FA1">
              <w:rPr>
                <w:rFonts w:ascii="Century Gothic" w:hAnsi="Century Gothic"/>
              </w:rPr>
              <w:t xml:space="preserve">$m </w:t>
            </w:r>
            <w:r w:rsidR="00276815" w:rsidRPr="00B71FA1">
              <w:rPr>
                <w:rFonts w:ascii="Century Gothic" w:hAnsi="Century Gothic"/>
              </w:rPr>
              <w:t>nominal</w:t>
            </w:r>
          </w:p>
        </w:tc>
        <w:tc>
          <w:tcPr>
            <w:tcW w:w="992" w:type="dxa"/>
            <w:shd w:val="clear" w:color="auto" w:fill="333333"/>
            <w:vAlign w:val="center"/>
          </w:tcPr>
          <w:p w:rsidR="00276815" w:rsidRPr="00B71FA1" w:rsidRDefault="00276815" w:rsidP="002A18B7">
            <w:pPr>
              <w:pStyle w:val="TableColumnHeadings"/>
              <w:spacing w:beforeLines="20" w:before="48" w:afterLines="20" w:after="48"/>
              <w:rPr>
                <w:rFonts w:ascii="Century Gothic" w:hAnsi="Century Gothic"/>
              </w:rPr>
            </w:pPr>
            <w:r w:rsidRPr="00B71FA1">
              <w:rPr>
                <w:rFonts w:ascii="Century Gothic" w:hAnsi="Century Gothic"/>
              </w:rPr>
              <w:t>2018</w:t>
            </w:r>
          </w:p>
        </w:tc>
        <w:tc>
          <w:tcPr>
            <w:tcW w:w="992" w:type="dxa"/>
            <w:shd w:val="clear" w:color="auto" w:fill="333333"/>
            <w:vAlign w:val="center"/>
          </w:tcPr>
          <w:p w:rsidR="00276815" w:rsidRPr="00B71FA1" w:rsidRDefault="00276815" w:rsidP="002A18B7">
            <w:pPr>
              <w:pStyle w:val="TableColumnHeadings"/>
              <w:spacing w:beforeLines="20" w:before="48" w:afterLines="20" w:after="48"/>
              <w:rPr>
                <w:rFonts w:ascii="Century Gothic" w:hAnsi="Century Gothic"/>
              </w:rPr>
            </w:pPr>
            <w:r w:rsidRPr="00B71FA1">
              <w:rPr>
                <w:rFonts w:ascii="Century Gothic" w:hAnsi="Century Gothic"/>
              </w:rPr>
              <w:t>2019</w:t>
            </w:r>
          </w:p>
        </w:tc>
        <w:tc>
          <w:tcPr>
            <w:tcW w:w="992" w:type="dxa"/>
            <w:shd w:val="clear" w:color="auto" w:fill="333333"/>
            <w:vAlign w:val="center"/>
          </w:tcPr>
          <w:p w:rsidR="00276815" w:rsidRPr="00B71FA1" w:rsidRDefault="00276815" w:rsidP="002A18B7">
            <w:pPr>
              <w:pStyle w:val="TableColumnHeadings"/>
              <w:spacing w:beforeLines="20" w:before="48" w:afterLines="20" w:after="48"/>
              <w:rPr>
                <w:rFonts w:ascii="Century Gothic" w:hAnsi="Century Gothic"/>
              </w:rPr>
            </w:pPr>
            <w:r w:rsidRPr="00B71FA1">
              <w:rPr>
                <w:rFonts w:ascii="Century Gothic" w:hAnsi="Century Gothic"/>
              </w:rPr>
              <w:t>2020</w:t>
            </w:r>
          </w:p>
        </w:tc>
        <w:tc>
          <w:tcPr>
            <w:tcW w:w="992" w:type="dxa"/>
            <w:shd w:val="clear" w:color="auto" w:fill="333333"/>
            <w:vAlign w:val="center"/>
          </w:tcPr>
          <w:p w:rsidR="00276815" w:rsidRPr="00B71FA1" w:rsidRDefault="00276815" w:rsidP="002A18B7">
            <w:pPr>
              <w:pStyle w:val="TableColumnHeadings"/>
              <w:spacing w:beforeLines="20" w:before="48" w:afterLines="20" w:after="48"/>
              <w:rPr>
                <w:rFonts w:ascii="Century Gothic" w:hAnsi="Century Gothic"/>
              </w:rPr>
            </w:pPr>
            <w:r w:rsidRPr="00B71FA1">
              <w:rPr>
                <w:rFonts w:ascii="Century Gothic" w:hAnsi="Century Gothic"/>
              </w:rPr>
              <w:t>2021</w:t>
            </w:r>
          </w:p>
        </w:tc>
        <w:tc>
          <w:tcPr>
            <w:tcW w:w="993" w:type="dxa"/>
            <w:shd w:val="clear" w:color="auto" w:fill="333333"/>
            <w:vAlign w:val="center"/>
          </w:tcPr>
          <w:p w:rsidR="00276815" w:rsidRPr="00B71FA1" w:rsidRDefault="00276815" w:rsidP="002A18B7">
            <w:pPr>
              <w:pStyle w:val="TableColumnHeadings"/>
              <w:spacing w:beforeLines="20" w:before="48" w:afterLines="20" w:after="48"/>
              <w:rPr>
                <w:rFonts w:ascii="Century Gothic" w:hAnsi="Century Gothic"/>
              </w:rPr>
            </w:pPr>
            <w:r w:rsidRPr="00B71FA1">
              <w:rPr>
                <w:rFonts w:ascii="Century Gothic" w:hAnsi="Century Gothic"/>
              </w:rPr>
              <w:t>2022</w:t>
            </w:r>
          </w:p>
        </w:tc>
      </w:tr>
      <w:tr w:rsidR="00883817" w:rsidRPr="00B71FA1" w:rsidTr="002A18B7">
        <w:tc>
          <w:tcPr>
            <w:tcW w:w="3369" w:type="dxa"/>
            <w:shd w:val="clear" w:color="auto" w:fill="auto"/>
          </w:tcPr>
          <w:p w:rsidR="00883817" w:rsidRPr="00B71FA1" w:rsidRDefault="00883817" w:rsidP="00D175B0">
            <w:pPr>
              <w:pStyle w:val="AAtablecolumn1"/>
              <w:spacing w:beforeLines="20" w:before="48" w:afterLines="20" w:after="48"/>
              <w:rPr>
                <w:rFonts w:ascii="Century Gothic" w:hAnsi="Century Gothic" w:cs="Arial"/>
              </w:rPr>
            </w:pPr>
            <w:r w:rsidRPr="00B71FA1">
              <w:rPr>
                <w:rFonts w:ascii="Century Gothic" w:hAnsi="Century Gothic" w:cs="Arial"/>
              </w:rPr>
              <w:t>Return on capital</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79.49</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84.58</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89.11</w:t>
            </w:r>
          </w:p>
        </w:tc>
        <w:tc>
          <w:tcPr>
            <w:tcW w:w="992" w:type="dxa"/>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93.74</w:t>
            </w:r>
          </w:p>
        </w:tc>
        <w:tc>
          <w:tcPr>
            <w:tcW w:w="993" w:type="dxa"/>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93.29</w:t>
            </w:r>
          </w:p>
        </w:tc>
      </w:tr>
      <w:tr w:rsidR="00883817" w:rsidRPr="00B71FA1" w:rsidTr="002A18B7">
        <w:tc>
          <w:tcPr>
            <w:tcW w:w="3369" w:type="dxa"/>
            <w:shd w:val="clear" w:color="auto" w:fill="auto"/>
          </w:tcPr>
          <w:p w:rsidR="00883817" w:rsidRPr="00B71FA1" w:rsidRDefault="00883817" w:rsidP="00D175B0">
            <w:pPr>
              <w:pStyle w:val="AAtablecolumn1"/>
              <w:spacing w:beforeLines="20" w:before="48" w:afterLines="20" w:after="48"/>
              <w:rPr>
                <w:rFonts w:ascii="Century Gothic" w:hAnsi="Century Gothic" w:cs="Arial"/>
              </w:rPr>
            </w:pPr>
            <w:r w:rsidRPr="00B71FA1">
              <w:rPr>
                <w:rFonts w:ascii="Century Gothic" w:hAnsi="Century Gothic" w:cs="Arial"/>
              </w:rPr>
              <w:t>Regulatory depreciation</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16.90</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19.55</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21.65</w:t>
            </w:r>
          </w:p>
        </w:tc>
        <w:tc>
          <w:tcPr>
            <w:tcW w:w="992" w:type="dxa"/>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25.60</w:t>
            </w:r>
          </w:p>
        </w:tc>
        <w:tc>
          <w:tcPr>
            <w:tcW w:w="993" w:type="dxa"/>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23.65</w:t>
            </w:r>
          </w:p>
        </w:tc>
      </w:tr>
      <w:tr w:rsidR="00883817" w:rsidRPr="00B71FA1" w:rsidTr="002A18B7">
        <w:tc>
          <w:tcPr>
            <w:tcW w:w="3369" w:type="dxa"/>
            <w:shd w:val="clear" w:color="auto" w:fill="auto"/>
          </w:tcPr>
          <w:p w:rsidR="00883817" w:rsidRPr="00B71FA1" w:rsidRDefault="00883817" w:rsidP="00D175B0">
            <w:pPr>
              <w:pStyle w:val="AAtablecolumn1"/>
              <w:spacing w:beforeLines="20" w:before="48" w:afterLines="20" w:after="48"/>
              <w:rPr>
                <w:rFonts w:ascii="Century Gothic" w:hAnsi="Century Gothic" w:cs="Arial"/>
              </w:rPr>
            </w:pPr>
            <w:r w:rsidRPr="00B71FA1">
              <w:rPr>
                <w:rFonts w:ascii="Century Gothic" w:hAnsi="Century Gothic" w:cs="Arial"/>
              </w:rPr>
              <w:t>Corporate tax allowance</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34.97</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31.46</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30.96</w:t>
            </w:r>
          </w:p>
        </w:tc>
        <w:tc>
          <w:tcPr>
            <w:tcW w:w="992" w:type="dxa"/>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31.52</w:t>
            </w:r>
          </w:p>
        </w:tc>
        <w:tc>
          <w:tcPr>
            <w:tcW w:w="993" w:type="dxa"/>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30.10</w:t>
            </w:r>
          </w:p>
        </w:tc>
      </w:tr>
      <w:tr w:rsidR="00883817" w:rsidRPr="00B71FA1" w:rsidTr="002A18B7">
        <w:tc>
          <w:tcPr>
            <w:tcW w:w="3369" w:type="dxa"/>
            <w:shd w:val="clear" w:color="auto" w:fill="auto"/>
          </w:tcPr>
          <w:p w:rsidR="00883817" w:rsidRPr="00B71FA1" w:rsidRDefault="00883817" w:rsidP="00D175B0">
            <w:pPr>
              <w:pStyle w:val="AAtablecolumn1"/>
              <w:spacing w:beforeLines="20" w:before="48" w:afterLines="20" w:after="48"/>
              <w:rPr>
                <w:rFonts w:ascii="Century Gothic" w:hAnsi="Century Gothic" w:cs="Arial"/>
              </w:rPr>
            </w:pPr>
            <w:r w:rsidRPr="00B71FA1">
              <w:rPr>
                <w:rFonts w:ascii="Century Gothic" w:hAnsi="Century Gothic" w:cs="Arial"/>
              </w:rPr>
              <w:t>Incentive mechanisms</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0.00</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0.00</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0.00</w:t>
            </w:r>
          </w:p>
        </w:tc>
        <w:tc>
          <w:tcPr>
            <w:tcW w:w="992" w:type="dxa"/>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0.00</w:t>
            </w:r>
          </w:p>
        </w:tc>
        <w:tc>
          <w:tcPr>
            <w:tcW w:w="993" w:type="dxa"/>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0.00</w:t>
            </w:r>
          </w:p>
        </w:tc>
      </w:tr>
      <w:tr w:rsidR="00883817" w:rsidRPr="00B71FA1" w:rsidTr="002A18B7">
        <w:tc>
          <w:tcPr>
            <w:tcW w:w="3369" w:type="dxa"/>
            <w:shd w:val="clear" w:color="auto" w:fill="auto"/>
          </w:tcPr>
          <w:p w:rsidR="00883817" w:rsidRPr="00B71FA1" w:rsidRDefault="00883817" w:rsidP="00D175B0">
            <w:pPr>
              <w:pStyle w:val="AAtablecolumn1"/>
              <w:spacing w:beforeLines="20" w:before="48" w:afterLines="20" w:after="48"/>
              <w:rPr>
                <w:rFonts w:ascii="Century Gothic" w:hAnsi="Century Gothic" w:cs="Arial"/>
              </w:rPr>
            </w:pPr>
            <w:r w:rsidRPr="00B71FA1">
              <w:rPr>
                <w:rFonts w:ascii="Century Gothic" w:hAnsi="Century Gothic" w:cs="Arial"/>
              </w:rPr>
              <w:t>Operating costs</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4.47</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4.86</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5.27</w:t>
            </w:r>
          </w:p>
        </w:tc>
        <w:tc>
          <w:tcPr>
            <w:tcW w:w="992" w:type="dxa"/>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4.67</w:t>
            </w:r>
          </w:p>
        </w:tc>
        <w:tc>
          <w:tcPr>
            <w:tcW w:w="993" w:type="dxa"/>
            <w:vAlign w:val="center"/>
          </w:tcPr>
          <w:p w:rsidR="00883817" w:rsidRPr="00883817" w:rsidRDefault="00883817" w:rsidP="002A18B7">
            <w:pPr>
              <w:pStyle w:val="AAtablecolumn1"/>
              <w:spacing w:beforeLines="20" w:before="48" w:afterLines="20" w:after="48"/>
              <w:jc w:val="center"/>
              <w:rPr>
                <w:rFonts w:ascii="Century Gothic" w:hAnsi="Century Gothic" w:cs="Arial"/>
              </w:rPr>
            </w:pPr>
            <w:r w:rsidRPr="00883817">
              <w:rPr>
                <w:rFonts w:ascii="Century Gothic" w:hAnsi="Century Gothic" w:cs="Arial"/>
              </w:rPr>
              <w:t>3.60</w:t>
            </w:r>
          </w:p>
        </w:tc>
      </w:tr>
      <w:tr w:rsidR="00883817" w:rsidRPr="00B71FA1" w:rsidTr="002A18B7">
        <w:tc>
          <w:tcPr>
            <w:tcW w:w="3369" w:type="dxa"/>
            <w:shd w:val="clear" w:color="auto" w:fill="auto"/>
            <w:vAlign w:val="center"/>
          </w:tcPr>
          <w:p w:rsidR="00883817" w:rsidRPr="00883817" w:rsidRDefault="00883817" w:rsidP="00D175B0">
            <w:pPr>
              <w:pStyle w:val="AAtablecolumn1"/>
              <w:spacing w:beforeLines="20" w:before="48" w:afterLines="20" w:after="48"/>
              <w:jc w:val="left"/>
              <w:rPr>
                <w:rFonts w:ascii="Century Gothic" w:hAnsi="Century Gothic" w:cs="Arial"/>
                <w:b/>
              </w:rPr>
            </w:pPr>
            <w:r w:rsidRPr="00883817">
              <w:rPr>
                <w:rFonts w:ascii="Century Gothic" w:hAnsi="Century Gothic" w:cs="Arial"/>
                <w:b/>
              </w:rPr>
              <w:t xml:space="preserve">Total </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135.84</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140.45</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146.98</w:t>
            </w:r>
          </w:p>
        </w:tc>
        <w:tc>
          <w:tcPr>
            <w:tcW w:w="992" w:type="dxa"/>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155.54</w:t>
            </w:r>
          </w:p>
        </w:tc>
        <w:tc>
          <w:tcPr>
            <w:tcW w:w="993" w:type="dxa"/>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150.64</w:t>
            </w:r>
          </w:p>
        </w:tc>
      </w:tr>
      <w:tr w:rsidR="00883817" w:rsidRPr="00B71FA1" w:rsidTr="002A18B7">
        <w:tc>
          <w:tcPr>
            <w:tcW w:w="3369" w:type="dxa"/>
            <w:shd w:val="clear" w:color="auto" w:fill="auto"/>
            <w:vAlign w:val="center"/>
          </w:tcPr>
          <w:p w:rsidR="00883817" w:rsidRPr="00B71FA1" w:rsidRDefault="00883817" w:rsidP="00D175B0">
            <w:pPr>
              <w:pStyle w:val="AAtablecolumn1"/>
              <w:spacing w:beforeLines="20" w:before="48" w:afterLines="20" w:after="48"/>
              <w:jc w:val="left"/>
              <w:rPr>
                <w:rFonts w:ascii="Century Gothic" w:hAnsi="Century Gothic" w:cs="Arial"/>
                <w:b/>
              </w:rPr>
            </w:pPr>
            <w:r w:rsidRPr="00B71FA1">
              <w:rPr>
                <w:rFonts w:ascii="Century Gothic" w:hAnsi="Century Gothic" w:cs="Arial"/>
                <w:b/>
              </w:rPr>
              <w:t>Smoothed revenue requirement</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130.89</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137.42</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145.62</w:t>
            </w:r>
          </w:p>
        </w:tc>
        <w:tc>
          <w:tcPr>
            <w:tcW w:w="992" w:type="dxa"/>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154.41</w:t>
            </w:r>
          </w:p>
        </w:tc>
        <w:tc>
          <w:tcPr>
            <w:tcW w:w="993" w:type="dxa"/>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163.95</w:t>
            </w:r>
          </w:p>
        </w:tc>
      </w:tr>
      <w:tr w:rsidR="00883817" w:rsidRPr="00BE2CDF" w:rsidTr="002A18B7">
        <w:tc>
          <w:tcPr>
            <w:tcW w:w="3369" w:type="dxa"/>
            <w:shd w:val="clear" w:color="auto" w:fill="auto"/>
            <w:vAlign w:val="center"/>
          </w:tcPr>
          <w:p w:rsidR="00883817" w:rsidRPr="00B71FA1" w:rsidRDefault="00883817" w:rsidP="00D175B0">
            <w:pPr>
              <w:pStyle w:val="AAtablecolumn1"/>
              <w:spacing w:beforeLines="20" w:before="48" w:afterLines="20" w:after="48"/>
              <w:jc w:val="left"/>
              <w:rPr>
                <w:rFonts w:ascii="Century Gothic" w:hAnsi="Century Gothic" w:cs="Arial"/>
                <w:b/>
              </w:rPr>
            </w:pPr>
            <w:r w:rsidRPr="00B71FA1">
              <w:rPr>
                <w:rFonts w:ascii="Century Gothic" w:hAnsi="Century Gothic" w:cs="Arial"/>
                <w:b/>
              </w:rPr>
              <w:t>X factors tariff revenue (%)</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79.49</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84.58</w:t>
            </w:r>
          </w:p>
        </w:tc>
        <w:tc>
          <w:tcPr>
            <w:tcW w:w="992" w:type="dxa"/>
            <w:shd w:val="clear" w:color="auto" w:fill="auto"/>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89.11</w:t>
            </w:r>
          </w:p>
        </w:tc>
        <w:tc>
          <w:tcPr>
            <w:tcW w:w="992" w:type="dxa"/>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93.74</w:t>
            </w:r>
          </w:p>
        </w:tc>
        <w:tc>
          <w:tcPr>
            <w:tcW w:w="993" w:type="dxa"/>
            <w:vAlign w:val="center"/>
          </w:tcPr>
          <w:p w:rsidR="00883817" w:rsidRPr="00883817" w:rsidRDefault="00883817" w:rsidP="002A18B7">
            <w:pPr>
              <w:pStyle w:val="AAtablecolumn1"/>
              <w:spacing w:beforeLines="20" w:before="48" w:afterLines="20" w:after="48"/>
              <w:jc w:val="center"/>
              <w:rPr>
                <w:rFonts w:ascii="Century Gothic" w:hAnsi="Century Gothic" w:cs="Arial"/>
                <w:b/>
              </w:rPr>
            </w:pPr>
            <w:r w:rsidRPr="00883817">
              <w:rPr>
                <w:rFonts w:ascii="Century Gothic" w:hAnsi="Century Gothic" w:cs="Arial"/>
                <w:b/>
              </w:rPr>
              <w:t>93.29</w:t>
            </w:r>
          </w:p>
        </w:tc>
      </w:tr>
    </w:tbl>
    <w:p w:rsidR="008C0EA8" w:rsidRDefault="008C0EA8" w:rsidP="004F0E96">
      <w:pPr>
        <w:pStyle w:val="Featuretext"/>
        <w:keepNext/>
        <w:ind w:left="-709"/>
        <w:rPr>
          <w:i w:val="0"/>
          <w:sz w:val="24"/>
        </w:rPr>
      </w:pPr>
    </w:p>
    <w:p w:rsidR="00276815" w:rsidRPr="00B71FA1" w:rsidRDefault="00276815" w:rsidP="004F0E96">
      <w:pPr>
        <w:pStyle w:val="Featuretext"/>
        <w:keepNext/>
        <w:ind w:left="-709"/>
        <w:rPr>
          <w:i w:val="0"/>
          <w:sz w:val="24"/>
        </w:rPr>
      </w:pPr>
      <w:r w:rsidRPr="00B71FA1">
        <w:rPr>
          <w:i w:val="0"/>
          <w:sz w:val="24"/>
        </w:rPr>
        <w:t>Tariff outcome</w:t>
      </w:r>
      <w:r w:rsidR="00E8412A" w:rsidRPr="00B71FA1">
        <w:rPr>
          <w:i w:val="0"/>
          <w:sz w:val="24"/>
        </w:rPr>
        <w:t>s</w:t>
      </w:r>
    </w:p>
    <w:p w:rsidR="00B71FA1" w:rsidRDefault="00B71FA1" w:rsidP="002E5D18">
      <w:r>
        <w:t>Completion</w:t>
      </w:r>
      <w:r w:rsidRPr="00B71FA1">
        <w:t xml:space="preserve"> of the WORM project</w:t>
      </w:r>
      <w:r>
        <w:t xml:space="preserve"> within </w:t>
      </w:r>
      <w:r w:rsidR="002A18B7">
        <w:t xml:space="preserve">the </w:t>
      </w:r>
      <w:r>
        <w:t xml:space="preserve">forecast period has an impact on tariffs for the period. </w:t>
      </w:r>
    </w:p>
    <w:p w:rsidR="00883817" w:rsidRDefault="00883817" w:rsidP="00883817">
      <w:pPr>
        <w:pStyle w:val="BodyText"/>
      </w:pPr>
      <w:r>
        <w:t xml:space="preserve">As the WORM represents a new pipeline, APA VTS established a new asset zone for the WORM in the tariff model for the proposed easement purchase. </w:t>
      </w:r>
      <w:proofErr w:type="gramStart"/>
      <w:r>
        <w:t>Once completed, the WORM becomes part of the broader system of pipelines and facilities for gas supply from Iona/Port Campbell to the Hub, and beyond to Northern Victoria.</w:t>
      </w:r>
      <w:proofErr w:type="gramEnd"/>
      <w:r>
        <w:t xml:space="preserve"> In line with the cost allocation methodology described in the January AA proposal, the WORM expenditure </w:t>
      </w:r>
      <w:r>
        <w:lastRenderedPageBreak/>
        <w:t xml:space="preserve">is therefore allocated to all withdrawal zones that use the flow path incorporating the WORM, in proportion to volume. This includes the cross system tariff, as well as withdrawals at Port Campbell (but not, for example, flows to the Western Transmission System that </w:t>
      </w:r>
      <w:proofErr w:type="gramStart"/>
      <w:r>
        <w:t>are</w:t>
      </w:r>
      <w:proofErr w:type="gramEnd"/>
      <w:r>
        <w:t xml:space="preserve"> matched to Port Campbell injections).</w:t>
      </w:r>
    </w:p>
    <w:p w:rsidR="00883817" w:rsidRPr="00B71FA1" w:rsidRDefault="00883817" w:rsidP="00883817">
      <w:pPr>
        <w:pStyle w:val="BodyText"/>
      </w:pPr>
      <w:r w:rsidRPr="00B71FA1">
        <w:t xml:space="preserve">On average the transport charges for a volume class customer (consuming 60 GJ per annum) in the Metropolitan area will increase by </w:t>
      </w:r>
      <w:r>
        <w:t>less than 3c/GJ</w:t>
      </w:r>
      <w:r w:rsidRPr="00B71FA1">
        <w:t xml:space="preserve"> </w:t>
      </w:r>
      <w:r>
        <w:t xml:space="preserve">in 2018 compared to APA VTS’s January AA proposal. </w:t>
      </w:r>
      <w:r w:rsidRPr="00B71FA1">
        <w:t xml:space="preserve">This equates to </w:t>
      </w:r>
      <w:r>
        <w:t xml:space="preserve">less than </w:t>
      </w:r>
      <w:r w:rsidRPr="00B71FA1">
        <w:t xml:space="preserve">a </w:t>
      </w:r>
      <w:r>
        <w:t>$2.00</w:t>
      </w:r>
      <w:r w:rsidRPr="00B71FA1">
        <w:t xml:space="preserve"> increase in the annual bill.</w:t>
      </w:r>
    </w:p>
    <w:p w:rsidR="001F7259" w:rsidRDefault="001F7259" w:rsidP="009D131C">
      <w:pPr>
        <w:pStyle w:val="BodyText"/>
      </w:pPr>
    </w:p>
    <w:p w:rsidR="001F7259" w:rsidRDefault="001F7259" w:rsidP="0023115E">
      <w:pPr>
        <w:pStyle w:val="BodyText"/>
        <w:sectPr w:rsidR="001F7259" w:rsidSect="00886B34">
          <w:footerReference w:type="default" r:id="rId16"/>
          <w:pgSz w:w="11907" w:h="16840" w:code="9"/>
          <w:pgMar w:top="2835" w:right="1616" w:bottom="1985" w:left="1616" w:header="737" w:footer="737" w:gutter="454"/>
          <w:pgNumType w:start="1"/>
          <w:cols w:space="737"/>
        </w:sectPr>
      </w:pPr>
    </w:p>
    <w:p w:rsidR="009B02E7" w:rsidRPr="00A75B61" w:rsidRDefault="00B5215A" w:rsidP="0055275F">
      <w:pPr>
        <w:pStyle w:val="Heading1"/>
      </w:pPr>
      <w:bookmarkStart w:id="6" w:name="_Toc482626053"/>
      <w:r w:rsidRPr="00A75B61">
        <w:lastRenderedPageBreak/>
        <w:t>Introduction</w:t>
      </w:r>
      <w:bookmarkEnd w:id="6"/>
    </w:p>
    <w:p w:rsidR="00BE2CDF" w:rsidRDefault="00BE2CDF" w:rsidP="003807AA">
      <w:pPr>
        <w:pStyle w:val="BodyText"/>
      </w:pPr>
      <w:r>
        <w:t xml:space="preserve">This is a supplementary submission to the access arrangement revision proposal for the Victorian Transmission System (VTS) lodged with the </w:t>
      </w:r>
      <w:r w:rsidR="00B16B62">
        <w:t>Australian Energy Regulator (</w:t>
      </w:r>
      <w:r>
        <w:t>AER</w:t>
      </w:r>
      <w:r w:rsidR="00B16B62">
        <w:t>)</w:t>
      </w:r>
      <w:r>
        <w:t xml:space="preserve"> on 3 January 2017 (January AA proposal).</w:t>
      </w:r>
    </w:p>
    <w:p w:rsidR="00D56A32" w:rsidRDefault="00D56A32" w:rsidP="00D56A32">
      <w:pPr>
        <w:pStyle w:val="Heading2"/>
      </w:pPr>
      <w:bookmarkStart w:id="7" w:name="_Toc482626054"/>
      <w:r>
        <w:t>Revisions to access arrangement to accommodate the Western Outer Ring Main project</w:t>
      </w:r>
      <w:bookmarkEnd w:id="7"/>
    </w:p>
    <w:p w:rsidR="00BE2CDF" w:rsidRDefault="00BE2CDF" w:rsidP="003807AA">
      <w:pPr>
        <w:pStyle w:val="BodyText"/>
      </w:pPr>
      <w:r>
        <w:t xml:space="preserve">This submission sets out revisions to the January AA proposal necessary to include a new capital expenditure project, the Western Outer Ring Main (WORM), into the access arrangement. This necessarily involves changes to the capital and operating expenditure forecasts, with flow on implications for revenues and tariffs. </w:t>
      </w:r>
    </w:p>
    <w:p w:rsidR="00D56A32" w:rsidRDefault="002A18B7" w:rsidP="003807AA">
      <w:pPr>
        <w:pStyle w:val="BodyText"/>
      </w:pPr>
      <w:r>
        <w:t>Through Information R</w:t>
      </w:r>
      <w:r w:rsidR="00D56A32">
        <w:t xml:space="preserve">equests 9 and 10, the AER have </w:t>
      </w:r>
      <w:r w:rsidR="00D56A32" w:rsidRPr="00D2739D">
        <w:t xml:space="preserve">asked APA VTS to provide it with this update to the January AA proposal. These information requests are provided with this supplementary submission at Attachment </w:t>
      </w:r>
      <w:r w:rsidR="00D2739D" w:rsidRPr="00D2739D">
        <w:fldChar w:fldCharType="begin"/>
      </w:r>
      <w:r w:rsidR="00D2739D" w:rsidRPr="00D2739D">
        <w:instrText xml:space="preserve"> REF _Ref482027383 \r \h </w:instrText>
      </w:r>
      <w:r w:rsidR="00D2739D">
        <w:instrText xml:space="preserve"> \* MERGEFORMAT </w:instrText>
      </w:r>
      <w:r w:rsidR="00D2739D" w:rsidRPr="00D2739D">
        <w:fldChar w:fldCharType="separate"/>
      </w:r>
      <w:r w:rsidR="006D055F">
        <w:t>A</w:t>
      </w:r>
      <w:r w:rsidR="00D2739D" w:rsidRPr="00D2739D">
        <w:fldChar w:fldCharType="end"/>
      </w:r>
      <w:r w:rsidR="00D56A32" w:rsidRPr="00D2739D">
        <w:t>, with cross references to where specific questions in those</w:t>
      </w:r>
      <w:r w:rsidR="00D56A32">
        <w:t xml:space="preserve"> requests are addressed in this submission.</w:t>
      </w:r>
    </w:p>
    <w:p w:rsidR="00D56A32" w:rsidRDefault="00D56A32" w:rsidP="00D56A32">
      <w:pPr>
        <w:pStyle w:val="Heading2"/>
      </w:pPr>
      <w:bookmarkStart w:id="8" w:name="_Toc482626055"/>
      <w:r>
        <w:t>Additional revisions</w:t>
      </w:r>
      <w:bookmarkEnd w:id="8"/>
    </w:p>
    <w:p w:rsidR="0005590E" w:rsidRDefault="0005590E" w:rsidP="003807AA">
      <w:pPr>
        <w:pStyle w:val="BodyText"/>
      </w:pPr>
      <w:r>
        <w:t>Since submission the January AA proposal, APA VTS and the AER have also identified a number of errors in that proposal. That the AER’s request, these are corrected in this submission and accompanying model</w:t>
      </w:r>
      <w:r w:rsidR="00D2739D">
        <w:t>s</w:t>
      </w:r>
      <w:r>
        <w:t>. These corrections relate to:</w:t>
      </w:r>
    </w:p>
    <w:p w:rsidR="00074638" w:rsidRDefault="00074638" w:rsidP="0005590E">
      <w:pPr>
        <w:pStyle w:val="ListBullet"/>
      </w:pPr>
      <w:r>
        <w:t>Corrected values for some forecast capital expenditure projects;</w:t>
      </w:r>
    </w:p>
    <w:p w:rsidR="0005590E" w:rsidRDefault="0005590E" w:rsidP="0005590E">
      <w:pPr>
        <w:pStyle w:val="ListBullet"/>
      </w:pPr>
      <w:r>
        <w:t>The treatment of inflation in the roll forward model</w:t>
      </w:r>
      <w:r w:rsidR="00074638">
        <w:t xml:space="preserve"> and the P</w:t>
      </w:r>
      <w:r w:rsidR="00B16B62">
        <w:t>ost Tax Revenue Model</w:t>
      </w:r>
      <w:r w:rsidR="00074638">
        <w:t>; and</w:t>
      </w:r>
    </w:p>
    <w:p w:rsidR="0005590E" w:rsidRDefault="0005590E" w:rsidP="0005590E">
      <w:pPr>
        <w:pStyle w:val="ListBullet"/>
      </w:pPr>
      <w:r>
        <w:t>The calculation of operating expenditure allowances for passive linepack and spares.</w:t>
      </w:r>
    </w:p>
    <w:p w:rsidR="0005590E" w:rsidRDefault="0005590E" w:rsidP="003807AA">
      <w:pPr>
        <w:pStyle w:val="BodyText"/>
      </w:pPr>
      <w:r>
        <w:t>Where relevant, these are identified in this submission.</w:t>
      </w:r>
    </w:p>
    <w:p w:rsidR="00D56A32" w:rsidRDefault="00D56A32" w:rsidP="00D56A32">
      <w:pPr>
        <w:pStyle w:val="Heading2"/>
      </w:pPr>
      <w:bookmarkStart w:id="9" w:name="_Toc482626056"/>
      <w:r>
        <w:t>Elements of supplementary submission</w:t>
      </w:r>
      <w:bookmarkEnd w:id="9"/>
    </w:p>
    <w:p w:rsidR="0005590E" w:rsidRDefault="0005590E" w:rsidP="003807AA">
      <w:pPr>
        <w:pStyle w:val="BodyText"/>
      </w:pPr>
      <w:r>
        <w:t xml:space="preserve">Along with this submission, </w:t>
      </w:r>
      <w:r w:rsidR="005F5A9B">
        <w:t>and in line with the AER’s Information Request, APA VTS</w:t>
      </w:r>
      <w:r>
        <w:t xml:space="preserve"> is also submitting revised models for:</w:t>
      </w:r>
    </w:p>
    <w:p w:rsidR="0005590E" w:rsidRDefault="0005590E" w:rsidP="0005590E">
      <w:pPr>
        <w:pStyle w:val="ListBullet"/>
      </w:pPr>
      <w:r>
        <w:lastRenderedPageBreak/>
        <w:t xml:space="preserve">Capital expenditure </w:t>
      </w:r>
    </w:p>
    <w:p w:rsidR="0005590E" w:rsidRDefault="0005590E" w:rsidP="0005590E">
      <w:pPr>
        <w:pStyle w:val="ListBullet"/>
      </w:pPr>
      <w:r>
        <w:t>Operating expenditure</w:t>
      </w:r>
    </w:p>
    <w:p w:rsidR="0005590E" w:rsidRDefault="0005590E" w:rsidP="0005590E">
      <w:pPr>
        <w:pStyle w:val="ListBullet"/>
      </w:pPr>
      <w:r>
        <w:t>Roll Forward Model</w:t>
      </w:r>
    </w:p>
    <w:p w:rsidR="0005590E" w:rsidRDefault="0005590E" w:rsidP="0005590E">
      <w:pPr>
        <w:pStyle w:val="ListBullet"/>
      </w:pPr>
      <w:r>
        <w:t>Post Tax Revenue Model</w:t>
      </w:r>
    </w:p>
    <w:p w:rsidR="0005590E" w:rsidRDefault="0005590E" w:rsidP="0005590E">
      <w:pPr>
        <w:pStyle w:val="ListBullet"/>
      </w:pPr>
      <w:r>
        <w:t>Tariff Model</w:t>
      </w:r>
    </w:p>
    <w:p w:rsidR="002A18B7" w:rsidRDefault="002A18B7" w:rsidP="0005590E">
      <w:pPr>
        <w:pStyle w:val="ListBullet"/>
      </w:pPr>
      <w:r>
        <w:t>Price Control Model</w:t>
      </w:r>
    </w:p>
    <w:p w:rsidR="00BE2CDF" w:rsidRDefault="0005590E" w:rsidP="003807AA">
      <w:pPr>
        <w:pStyle w:val="BodyText"/>
      </w:pPr>
      <w:r>
        <w:t>As a package this supplementary submission updates elements included in the January AA proposal as requested by the AER.</w:t>
      </w:r>
    </w:p>
    <w:p w:rsidR="00F65C81" w:rsidRDefault="00F65C81" w:rsidP="00322560">
      <w:pPr>
        <w:pStyle w:val="BodyText"/>
      </w:pPr>
    </w:p>
    <w:p w:rsidR="00F65C81" w:rsidRPr="00A75B61" w:rsidRDefault="00F65C81" w:rsidP="0055275F">
      <w:pPr>
        <w:pStyle w:val="Heading1"/>
      </w:pPr>
      <w:bookmarkStart w:id="10" w:name="_Toc482626057"/>
      <w:r w:rsidRPr="00A75B61">
        <w:lastRenderedPageBreak/>
        <w:t>Services</w:t>
      </w:r>
      <w:bookmarkEnd w:id="10"/>
    </w:p>
    <w:p w:rsidR="001D0902" w:rsidRDefault="001D0902" w:rsidP="001D0902">
      <w:pPr>
        <w:pStyle w:val="BodyText"/>
      </w:pPr>
      <w:r>
        <w:t>APA VTS submits no further changes to services offered under the access arrangement.</w:t>
      </w:r>
    </w:p>
    <w:p w:rsidR="001D0902" w:rsidRPr="001D0902" w:rsidRDefault="001D0902" w:rsidP="001D0902">
      <w:pPr>
        <w:pStyle w:val="BodyText"/>
      </w:pPr>
    </w:p>
    <w:bookmarkEnd w:id="4"/>
    <w:p w:rsidR="00B93F88" w:rsidRDefault="00B93F88" w:rsidP="00B93F88">
      <w:pPr>
        <w:pStyle w:val="BodyText"/>
        <w:tabs>
          <w:tab w:val="left" w:pos="6096"/>
        </w:tabs>
      </w:pPr>
    </w:p>
    <w:p w:rsidR="00CB0576" w:rsidRDefault="00CB0576" w:rsidP="0055275F">
      <w:pPr>
        <w:pStyle w:val="Heading1"/>
      </w:pPr>
      <w:bookmarkStart w:id="11" w:name="_Toc469641480"/>
      <w:bookmarkStart w:id="12" w:name="_Ref482107708"/>
      <w:bookmarkStart w:id="13" w:name="_Toc482626058"/>
      <w:r>
        <w:lastRenderedPageBreak/>
        <w:t>Pipeline demand and utilisation</w:t>
      </w:r>
      <w:bookmarkEnd w:id="11"/>
      <w:bookmarkEnd w:id="12"/>
      <w:bookmarkEnd w:id="13"/>
    </w:p>
    <w:p w:rsidR="00A84087" w:rsidRDefault="00CB0576" w:rsidP="00CB0576">
      <w:pPr>
        <w:pStyle w:val="BodyText"/>
      </w:pPr>
      <w:r>
        <w:t xml:space="preserve">This chapter of the submission discusses pipeline demand and utilisation </w:t>
      </w:r>
      <w:r w:rsidR="00A84087">
        <w:t>in relation to the business case for the WORM.</w:t>
      </w:r>
    </w:p>
    <w:p w:rsidR="00A84087" w:rsidRDefault="00A84087" w:rsidP="00A84087">
      <w:pPr>
        <w:pStyle w:val="Heading2"/>
      </w:pPr>
      <w:bookmarkStart w:id="14" w:name="_Ref482343678"/>
      <w:bookmarkStart w:id="15" w:name="_Toc482626059"/>
      <w:r>
        <w:t>Iona Underground Storage Facility</w:t>
      </w:r>
      <w:bookmarkEnd w:id="14"/>
      <w:bookmarkEnd w:id="15"/>
    </w:p>
    <w:p w:rsidR="00E948A0" w:rsidRDefault="00F8596D" w:rsidP="00F8596D">
      <w:pPr>
        <w:pStyle w:val="Heading3"/>
      </w:pPr>
      <w:r>
        <w:t xml:space="preserve">Current Iona capacity </w:t>
      </w:r>
      <w:r w:rsidR="00E948A0">
        <w:t>and VTS constraints</w:t>
      </w:r>
    </w:p>
    <w:p w:rsidR="00F8596D" w:rsidRDefault="00E948A0" w:rsidP="00E948A0">
      <w:pPr>
        <w:pStyle w:val="Heading5"/>
      </w:pPr>
      <w:r>
        <w:t>Current Iona U</w:t>
      </w:r>
      <w:r w:rsidR="00E766E3">
        <w:t xml:space="preserve">nderground Gas Storage facility </w:t>
      </w:r>
      <w:r>
        <w:t>capacity and usage</w:t>
      </w:r>
    </w:p>
    <w:p w:rsidR="00B16B62" w:rsidRDefault="00B16B62" w:rsidP="00F8596D">
      <w:pPr>
        <w:pStyle w:val="BodyText"/>
      </w:pPr>
      <w:r>
        <w:t>The Iona U</w:t>
      </w:r>
      <w:r w:rsidR="00E766E3">
        <w:t>nderground Gas Storage (UGS) f</w:t>
      </w:r>
      <w:r>
        <w:t xml:space="preserve">acility </w:t>
      </w:r>
      <w:r w:rsidR="00F8596D">
        <w:t>has a storage reservoir capacity of 26PJ. The current facility capacity for injection into the VTS is 435 TJ/day, including Casino production. The injection capacity into the storage reservoirs is 153 TJ/day.</w:t>
      </w:r>
    </w:p>
    <w:p w:rsidR="000B609F" w:rsidRDefault="00F8596D" w:rsidP="00F8596D">
      <w:pPr>
        <w:pStyle w:val="BodyText"/>
      </w:pPr>
      <w:r>
        <w:t>The Iona UGS is generally refilled over summer. In previous years, this process has been relatively orderly, with refill vo</w:t>
      </w:r>
      <w:r w:rsidR="002A18B7">
        <w:t>lumes coming from Port Campbell, with the</w:t>
      </w:r>
      <w:r>
        <w:t xml:space="preserve"> remainder sourced from the VTS</w:t>
      </w:r>
      <w:r w:rsidR="000B609F">
        <w:t xml:space="preserve"> on a steady basis over the summer</w:t>
      </w:r>
      <w:r>
        <w:t xml:space="preserve">. </w:t>
      </w:r>
    </w:p>
    <w:p w:rsidR="00F8596D" w:rsidRDefault="00BB7A43" w:rsidP="00E766E3">
      <w:pPr>
        <w:pStyle w:val="BodyText"/>
        <w:spacing w:before="240"/>
      </w:pPr>
      <w:r>
        <w:t>In more recent years, declines in Port Campbell production has meant that additional gas volumes have been sourced from the VTS (largely from Longford), putting increasing pressure on capacity in the S</w:t>
      </w:r>
      <w:r w:rsidR="00E766E3">
        <w:t>outh West Pipeline (S</w:t>
      </w:r>
      <w:r>
        <w:t>WP</w:t>
      </w:r>
      <w:r w:rsidR="00E766E3">
        <w:t>)</w:t>
      </w:r>
      <w:r>
        <w:t xml:space="preserve"> to </w:t>
      </w:r>
      <w:r w:rsidR="002A18B7">
        <w:t>deliver</w:t>
      </w:r>
      <w:r>
        <w:t xml:space="preserve"> those volumes. </w:t>
      </w:r>
      <w:r w:rsidR="00F8596D">
        <w:t xml:space="preserve">This </w:t>
      </w:r>
      <w:r>
        <w:t xml:space="preserve">trend </w:t>
      </w:r>
      <w:r w:rsidR="00F8596D">
        <w:t>is shown the graph</w:t>
      </w:r>
      <w:r>
        <w:t>i</w:t>
      </w:r>
      <w:r w:rsidR="00F8596D">
        <w:t>c from A</w:t>
      </w:r>
      <w:r w:rsidR="00E766E3">
        <w:t>ustralian Energy Market Operator’s (A</w:t>
      </w:r>
      <w:r w:rsidR="00F8596D">
        <w:t>EMO’s</w:t>
      </w:r>
      <w:r w:rsidR="00E766E3">
        <w:t>)</w:t>
      </w:r>
      <w:r w:rsidR="00F8596D">
        <w:t xml:space="preserve"> 2016 </w:t>
      </w:r>
      <w:r w:rsidR="00E766E3">
        <w:t>Victorian Gas Planning Report (</w:t>
      </w:r>
      <w:r w:rsidR="00F8596D">
        <w:t>VGPR</w:t>
      </w:r>
      <w:r w:rsidR="00E766E3">
        <w:t>)</w:t>
      </w:r>
      <w:r>
        <w:t xml:space="preserve"> Update</w:t>
      </w:r>
      <w:r w:rsidR="00F8596D">
        <w:t xml:space="preserve">, reproduced at </w:t>
      </w:r>
      <w:r>
        <w:fldChar w:fldCharType="begin"/>
      </w:r>
      <w:r>
        <w:instrText xml:space="preserve"> REF _Ref482083751 \h </w:instrText>
      </w:r>
      <w:r>
        <w:fldChar w:fldCharType="separate"/>
      </w:r>
      <w:r w:rsidR="006D055F">
        <w:t xml:space="preserve">Figure </w:t>
      </w:r>
      <w:r w:rsidR="006D055F">
        <w:rPr>
          <w:noProof/>
        </w:rPr>
        <w:t>3</w:t>
      </w:r>
      <w:r w:rsidR="006D055F">
        <w:noBreakHyphen/>
      </w:r>
      <w:r w:rsidR="006D055F">
        <w:rPr>
          <w:noProof/>
        </w:rPr>
        <w:t>1</w:t>
      </w:r>
      <w:r>
        <w:fldChar w:fldCharType="end"/>
      </w:r>
      <w:r>
        <w:t xml:space="preserve"> below. </w:t>
      </w:r>
    </w:p>
    <w:p w:rsidR="00261E37" w:rsidRDefault="00261E37" w:rsidP="00261E37">
      <w:pPr>
        <w:pStyle w:val="BodyText"/>
      </w:pPr>
      <w:r>
        <w:t>APA VTS also understands that shippers are increasingly facing difficulties in gaining gas supply at acceptable prices, and there is limited availability of swing services from producers.</w:t>
      </w:r>
      <w:r>
        <w:rPr>
          <w:rStyle w:val="FootnoteReference"/>
        </w:rPr>
        <w:footnoteReference w:id="1"/>
      </w:r>
      <w:r>
        <w:t xml:space="preserve"> This means that shippers are seeking opportunities within the VTS to source lower cost gas when it comes available, increasing the need for peak storage injection capacity to be able to park that gas within storage when the opportunity arises. </w:t>
      </w:r>
    </w:p>
    <w:p w:rsidR="00F8596D" w:rsidRDefault="00F8596D" w:rsidP="00F8596D">
      <w:pPr>
        <w:pStyle w:val="Caption"/>
      </w:pPr>
      <w:bookmarkStart w:id="16" w:name="_Ref482083751"/>
      <w:bookmarkStart w:id="17" w:name="_Toc482626101"/>
      <w:r>
        <w:lastRenderedPageBreak/>
        <w:t xml:space="preserve">Figure </w:t>
      </w:r>
      <w:r w:rsidR="006D055F">
        <w:fldChar w:fldCharType="begin"/>
      </w:r>
      <w:r w:rsidR="006D055F">
        <w:instrText xml:space="preserve"> STYLEREF 1 </w:instrText>
      </w:r>
      <w:r w:rsidR="006D055F">
        <w:instrText xml:space="preserve">\s </w:instrText>
      </w:r>
      <w:r w:rsidR="006D055F">
        <w:fldChar w:fldCharType="separate"/>
      </w:r>
      <w:r w:rsidR="006D055F">
        <w:rPr>
          <w:noProof/>
        </w:rPr>
        <w:t>3</w:t>
      </w:r>
      <w:r w:rsidR="006D055F">
        <w:rPr>
          <w:noProof/>
        </w:rPr>
        <w:fldChar w:fldCharType="end"/>
      </w:r>
      <w:r>
        <w:noBreakHyphen/>
      </w:r>
      <w:r w:rsidR="006D055F">
        <w:fldChar w:fldCharType="begin"/>
      </w:r>
      <w:r w:rsidR="006D055F">
        <w:instrText xml:space="preserve"> SEQ Figure \* ARABIC \s 1 </w:instrText>
      </w:r>
      <w:r w:rsidR="006D055F">
        <w:fldChar w:fldCharType="separate"/>
      </w:r>
      <w:r w:rsidR="006D055F">
        <w:rPr>
          <w:noProof/>
        </w:rPr>
        <w:t>1</w:t>
      </w:r>
      <w:r w:rsidR="006D055F">
        <w:rPr>
          <w:noProof/>
        </w:rPr>
        <w:fldChar w:fldCharType="end"/>
      </w:r>
      <w:bookmarkEnd w:id="16"/>
      <w:r>
        <w:t xml:space="preserve"> – Iona Underground Gas Storage net South West Pipeline withdrawal quantity, 2012-16</w:t>
      </w:r>
      <w:r w:rsidR="00BB7A43">
        <w:rPr>
          <w:rStyle w:val="FootnoteReference"/>
        </w:rPr>
        <w:footnoteReference w:id="2"/>
      </w:r>
      <w:bookmarkEnd w:id="17"/>
    </w:p>
    <w:p w:rsidR="00F8596D" w:rsidRPr="00F8596D" w:rsidRDefault="00F8596D" w:rsidP="00F8596D">
      <w:r>
        <w:rPr>
          <w:noProof/>
          <w:lang w:eastAsia="en-AU"/>
        </w:rPr>
        <w:drawing>
          <wp:inline distT="0" distB="0" distL="0" distR="0" wp14:anchorId="2F676C48" wp14:editId="2DB1DF9F">
            <wp:extent cx="5220335" cy="3475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20335" cy="3475204"/>
                    </a:xfrm>
                    <a:prstGeom prst="rect">
                      <a:avLst/>
                    </a:prstGeom>
                  </pic:spPr>
                </pic:pic>
              </a:graphicData>
            </a:graphic>
          </wp:inline>
        </w:drawing>
      </w:r>
    </w:p>
    <w:p w:rsidR="00F8596D" w:rsidRDefault="00F8596D" w:rsidP="00F8596D">
      <w:pPr>
        <w:pStyle w:val="BodyText"/>
      </w:pPr>
    </w:p>
    <w:p w:rsidR="00E948A0" w:rsidRDefault="00E948A0" w:rsidP="00F8596D">
      <w:pPr>
        <w:pStyle w:val="BodyText"/>
      </w:pPr>
      <w:r>
        <w:t xml:space="preserve">Importantly, this change in shipper </w:t>
      </w:r>
      <w:r w:rsidR="002A18B7">
        <w:t xml:space="preserve">gas contracting </w:t>
      </w:r>
      <w:r>
        <w:t xml:space="preserve">behaviour is a change in the timing of refill, not the overall volumes. The same amount of gas is ultimately transported; however it is transported over a shorter period of time, increasing the peak capacity needs for refill. </w:t>
      </w:r>
    </w:p>
    <w:p w:rsidR="00BB7A43" w:rsidRDefault="00BB7A43" w:rsidP="00F8596D">
      <w:pPr>
        <w:pStyle w:val="BodyText"/>
      </w:pPr>
      <w:r>
        <w:t>These factors combined are putting increased pre</w:t>
      </w:r>
      <w:r w:rsidR="00E948A0">
        <w:t>ssure on refill for the Iona UGS</w:t>
      </w:r>
      <w:r>
        <w:t xml:space="preserve">, shortening the window </w:t>
      </w:r>
      <w:r w:rsidR="00E948A0">
        <w:t>for refill, increasing the need for peak refill capacity.</w:t>
      </w:r>
    </w:p>
    <w:p w:rsidR="00B16B62" w:rsidRDefault="00E948A0" w:rsidP="000B609F">
      <w:pPr>
        <w:pStyle w:val="Heading5"/>
      </w:pPr>
      <w:r>
        <w:t>Current VTS capacity for refill</w:t>
      </w:r>
    </w:p>
    <w:p w:rsidR="00E948A0" w:rsidRDefault="00E948A0" w:rsidP="00E948A0">
      <w:pPr>
        <w:pStyle w:val="BodyText"/>
      </w:pPr>
      <w:r>
        <w:t>The current capacity of the SWP for summer injections into Iona UGS is 104TJ/day. This capacity is contingent on conditions within the VTS, most principally the operation o</w:t>
      </w:r>
      <w:r w:rsidR="00E766E3">
        <w:t>f certain Gas Powered Generation</w:t>
      </w:r>
      <w:r>
        <w:t xml:space="preserve"> (GPG) such as </w:t>
      </w:r>
      <w:r>
        <w:lastRenderedPageBreak/>
        <w:t xml:space="preserve">the Laverton North Power Station (PS) which can impact SWP refill capacity across summer. </w:t>
      </w:r>
    </w:p>
    <w:p w:rsidR="00E948A0" w:rsidRDefault="00E948A0" w:rsidP="00E948A0">
      <w:pPr>
        <w:pStyle w:val="BodyText"/>
      </w:pPr>
      <w:r>
        <w:t>The summer period (being generally a lower demand period in Victoria) is also a period for planned outages for production facilities, the Iona UGS and VTS plant for maintenance. This further shortens the window for refil</w:t>
      </w:r>
      <w:r w:rsidR="000B609F">
        <w:t xml:space="preserve">l, </w:t>
      </w:r>
      <w:r w:rsidR="002A18B7">
        <w:t xml:space="preserve">and at times </w:t>
      </w:r>
      <w:r w:rsidR="000B609F">
        <w:t>constraining SWP westbound capacity to below the headline 104TJ/day of available capacity.</w:t>
      </w:r>
    </w:p>
    <w:p w:rsidR="00D65A88" w:rsidRDefault="00D65A88" w:rsidP="00D65A88">
      <w:pPr>
        <w:pStyle w:val="Heading3"/>
      </w:pPr>
      <w:r>
        <w:t>Proposed expansions to Iona UGS facility</w:t>
      </w:r>
    </w:p>
    <w:p w:rsidR="00D65A88" w:rsidRDefault="00D65A88" w:rsidP="00D65A88">
      <w:pPr>
        <w:pStyle w:val="BodyText"/>
      </w:pPr>
      <w:r>
        <w:t xml:space="preserve">Lochard Energy has informed AEMO of expansion plans for the Iona UGS.  These plans are a committed reservoir withdrawal capacity increase from 390TJ/day to 440TJ/day, and increased injection capacity from 153TJ/day to 173TJ/day during 2017. </w:t>
      </w:r>
    </w:p>
    <w:p w:rsidR="00D65A88" w:rsidRDefault="00A75B61" w:rsidP="00D65A88">
      <w:pPr>
        <w:pStyle w:val="BodyText"/>
      </w:pPr>
      <w:r>
        <w:t xml:space="preserve">Lochard Energy </w:t>
      </w:r>
      <w:r w:rsidR="00710C86">
        <w:t xml:space="preserve">has </w:t>
      </w:r>
      <w:r w:rsidR="00D65A88">
        <w:t xml:space="preserve">also indicated a proposal to further increase </w:t>
      </w:r>
      <w:r w:rsidR="00710C86">
        <w:t xml:space="preserve">Iona UGS </w:t>
      </w:r>
      <w:r w:rsidR="00D65A88">
        <w:t>withdrawal capacity from 440TJ/day to 570TJ/day and refill capacity from 173TJ/day to 250 TJ/day by the end of 2019.</w:t>
      </w:r>
    </w:p>
    <w:p w:rsidR="00D65A88" w:rsidRDefault="00D65A88" w:rsidP="00D65A88">
      <w:pPr>
        <w:pStyle w:val="BodyText"/>
      </w:pPr>
      <w:r>
        <w:t>Note that Lochard does not propose an increase in storage reservoir capacity as part of these expansions – these are increases in the pace of refill and withdrawal, not volume.</w:t>
      </w:r>
      <w:r>
        <w:rPr>
          <w:rStyle w:val="FootnoteReference"/>
        </w:rPr>
        <w:footnoteReference w:id="3"/>
      </w:r>
      <w:r>
        <w:t xml:space="preserve"> </w:t>
      </w:r>
      <w:r w:rsidR="00D148F0">
        <w:t>As a result, APA VTS does not propose any changes to forecast refill volumes arising from these possible expansions to Iona refill and injection capacity, or from expansion of the VTS to support faster refill.</w:t>
      </w:r>
    </w:p>
    <w:p w:rsidR="008D09C7" w:rsidRDefault="008D09C7" w:rsidP="008D09C7">
      <w:pPr>
        <w:pStyle w:val="Heading2"/>
      </w:pPr>
      <w:bookmarkStart w:id="18" w:name="_Toc482626060"/>
      <w:r>
        <w:t>Proposed augmentation of the VTS</w:t>
      </w:r>
      <w:bookmarkEnd w:id="18"/>
    </w:p>
    <w:p w:rsidR="008D09C7" w:rsidRDefault="008D09C7" w:rsidP="008D09C7">
      <w:pPr>
        <w:pStyle w:val="Heading3"/>
      </w:pPr>
      <w:r>
        <w:t>R</w:t>
      </w:r>
      <w:r w:rsidRPr="008D09C7">
        <w:t>econfiguration of the Brooklyn Compressor Station and Winchelsea bidirectionality</w:t>
      </w:r>
      <w:r>
        <w:t xml:space="preserve"> – January AA proposal </w:t>
      </w:r>
    </w:p>
    <w:p w:rsidR="008D09C7" w:rsidRDefault="008D09C7" w:rsidP="008D09C7">
      <w:pPr>
        <w:pStyle w:val="BodyText"/>
      </w:pPr>
      <w:r>
        <w:t>APA VTS proposed an augmentation of the SWP in its January AA proposal involving reconfiguration of the Brooklyn Compressor Station and Winchelsea bidirectionality to increase the westbound capacity of the SWP to 147TJ/day.</w:t>
      </w:r>
      <w:r>
        <w:rPr>
          <w:rStyle w:val="FootnoteReference"/>
        </w:rPr>
        <w:footnoteReference w:id="4"/>
      </w:r>
    </w:p>
    <w:p w:rsidR="008D09C7" w:rsidRDefault="008D09C7" w:rsidP="008D09C7">
      <w:pPr>
        <w:pStyle w:val="BodyText"/>
      </w:pPr>
      <w:r>
        <w:lastRenderedPageBreak/>
        <w:t>This amount was considered adequate at the time as it closely matched the capacity Iona UGS’s injection capacity into the storage of 153 TJ/day, and forecast shortfalls in refill (from the 2016 VGPR Update) were of very limited duration and, following the augmentation, appeared to be able to be addressed by minor changes in the pattern of refill towards more refill during the shoulder period.</w:t>
      </w:r>
    </w:p>
    <w:p w:rsidR="00342C04" w:rsidRDefault="00342C04" w:rsidP="00E948A0">
      <w:pPr>
        <w:pStyle w:val="BodyText"/>
      </w:pPr>
      <w:r>
        <w:t xml:space="preserve">No eastbound SWP capacity expansion was proposed in the January AA proposal. APA VTS was unable to identify a conforming capital expenditure project for eastbound capacity expansion on the basis of available information. </w:t>
      </w:r>
    </w:p>
    <w:p w:rsidR="008D09C7" w:rsidRDefault="008D09C7" w:rsidP="00342C04">
      <w:pPr>
        <w:pStyle w:val="Heading3"/>
      </w:pPr>
      <w:bookmarkStart w:id="19" w:name="_Toc469641481"/>
      <w:bookmarkStart w:id="20" w:name="_Ref470189375"/>
      <w:r>
        <w:t>Western Outer Ring Main project</w:t>
      </w:r>
      <w:bookmarkEnd w:id="19"/>
      <w:bookmarkEnd w:id="20"/>
      <w:r w:rsidR="00342C04">
        <w:t xml:space="preserve"> – supplementary submission</w:t>
      </w:r>
    </w:p>
    <w:p w:rsidR="00FB6E32" w:rsidRDefault="00FB6E32" w:rsidP="00FB6E32">
      <w:pPr>
        <w:pStyle w:val="Heading5"/>
      </w:pPr>
      <w:r>
        <w:t>Changing market/policy conditions</w:t>
      </w:r>
    </w:p>
    <w:p w:rsidR="008D09C7" w:rsidRDefault="008D09C7" w:rsidP="008D09C7">
      <w:pPr>
        <w:pStyle w:val="BodyText"/>
      </w:pPr>
      <w:r>
        <w:t xml:space="preserve">AEMO released the Gas Statement of Opportunity (GSOO) document in March 2017 which identified a tightening of </w:t>
      </w:r>
      <w:r w:rsidR="00E766E3">
        <w:t xml:space="preserve">the </w:t>
      </w:r>
      <w:r>
        <w:t xml:space="preserve">gas </w:t>
      </w:r>
      <w:r w:rsidR="001034D7">
        <w:t>supply/</w:t>
      </w:r>
      <w:r>
        <w:t xml:space="preserve">demand balance in Victoria, South Australia and NSW, leading to an increasing risk of supply shortfalls in the gas and electricity markets.  AEMO’s </w:t>
      </w:r>
      <w:r w:rsidR="00E766E3">
        <w:t>2017 VGPR</w:t>
      </w:r>
      <w:r>
        <w:t xml:space="preserve"> stated that inadequate refilling of the Iona </w:t>
      </w:r>
      <w:r w:rsidR="00E766E3">
        <w:t>UGS</w:t>
      </w:r>
      <w:r>
        <w:t xml:space="preserve"> facility outside winter due to capacity limitations on the </w:t>
      </w:r>
      <w:r w:rsidR="00E766E3">
        <w:t>SWP</w:t>
      </w:r>
      <w:r>
        <w:t xml:space="preserve"> will increase the risk of shortfall in meeting gas supply in the VTS from winter 2018.</w:t>
      </w:r>
    </w:p>
    <w:p w:rsidR="00342C04" w:rsidRDefault="00342C04" w:rsidP="008D09C7">
      <w:pPr>
        <w:pStyle w:val="BodyText"/>
      </w:pPr>
      <w:r>
        <w:t xml:space="preserve">Critically, between the submission of the January AA proposal and March 2017 when AEMO’s GSOO and VGPR were released, a number of market changes occurred that </w:t>
      </w:r>
      <w:r w:rsidR="00E766E3">
        <w:t xml:space="preserve">increased uncertainty in relation to forecast </w:t>
      </w:r>
      <w:r>
        <w:t>gas demand across south eastern Australia, mostly impacting expectations for GPG, including:</w:t>
      </w:r>
    </w:p>
    <w:p w:rsidR="00342C04" w:rsidRDefault="00342C04" w:rsidP="00342C04">
      <w:pPr>
        <w:pStyle w:val="ListBullet"/>
      </w:pPr>
      <w:r>
        <w:t>South Australian electricity and gas supply issues, and resulting SA Government intervention in the market;</w:t>
      </w:r>
      <w:r w:rsidR="002A18B7">
        <w:t xml:space="preserve"> and</w:t>
      </w:r>
    </w:p>
    <w:p w:rsidR="00342C04" w:rsidRDefault="00342C04" w:rsidP="00342C04">
      <w:pPr>
        <w:pStyle w:val="ListBullet"/>
      </w:pPr>
      <w:r>
        <w:t>Federal Government intervention in the gas market through a producer gas supply guarantee, and more recently the imposition of export constraints on gas if certain conditions are met.</w:t>
      </w:r>
    </w:p>
    <w:p w:rsidR="00342C04" w:rsidRDefault="00342C04" w:rsidP="008D09C7">
      <w:pPr>
        <w:pStyle w:val="BodyText"/>
      </w:pPr>
      <w:r>
        <w:lastRenderedPageBreak/>
        <w:t>In this time the market has also experienced the shutdown of the Hazelwood generator.</w:t>
      </w:r>
      <w:r>
        <w:rPr>
          <w:rStyle w:val="FootnoteReference"/>
        </w:rPr>
        <w:footnoteReference w:id="5"/>
      </w:r>
      <w:r>
        <w:t xml:space="preserve"> </w:t>
      </w:r>
      <w:r w:rsidR="0056151F">
        <w:t xml:space="preserve">The </w:t>
      </w:r>
      <w:r>
        <w:t>Portland Aluminium smelter, a major user of electricity, also announced that it had secured arrangements to allow its continued operation, where</w:t>
      </w:r>
      <w:r w:rsidR="00D40AD0">
        <w:t xml:space="preserve"> under some forecasts</w:t>
      </w:r>
      <w:r>
        <w:t xml:space="preserve"> it had previously been assumed to close. </w:t>
      </w:r>
    </w:p>
    <w:p w:rsidR="00342C04" w:rsidRDefault="00FB6E32" w:rsidP="00FB6E32">
      <w:pPr>
        <w:pStyle w:val="Heading5"/>
      </w:pPr>
      <w:r>
        <w:t>Proposed augmentation</w:t>
      </w:r>
    </w:p>
    <w:p w:rsidR="00E71A25" w:rsidRDefault="008D09C7" w:rsidP="008D09C7">
      <w:pPr>
        <w:pStyle w:val="BodyText"/>
      </w:pPr>
      <w:r>
        <w:t xml:space="preserve">The proposed WORM project, in conjunction with proposed reconfiguration works at Brooklyn Compressor Station and Winchelsea compressor, will increase capacity for refill of Iona UGS. </w:t>
      </w:r>
    </w:p>
    <w:p w:rsidR="00E71A25" w:rsidRDefault="00E71A25" w:rsidP="00E71A25">
      <w:pPr>
        <w:pStyle w:val="BodyText"/>
      </w:pPr>
      <w:r>
        <w:t>The proposed WORM project, in conjunction with the Brooklyn Compressor Station reconfiguration and Winchelsea bidirectionality work, will increase the capacity of the SWP towards Iona UGS by 116TJ/day in the following tranches:</w:t>
      </w:r>
    </w:p>
    <w:p w:rsidR="00E71A25" w:rsidRDefault="00E71A25" w:rsidP="00E71A25">
      <w:pPr>
        <w:pStyle w:val="ListBullet"/>
      </w:pPr>
      <w:r>
        <w:t>Brooklyn Compressor Station reconfiguration and Winchelsea bidirectionality work: from 104TJ/day</w:t>
      </w:r>
      <w:r>
        <w:rPr>
          <w:rStyle w:val="FootnoteReference"/>
        </w:rPr>
        <w:footnoteReference w:id="6"/>
      </w:r>
      <w:r>
        <w:t xml:space="preserve"> to 147TJ/day in early 2018; and</w:t>
      </w:r>
    </w:p>
    <w:p w:rsidR="00E71A25" w:rsidRDefault="00E71A25" w:rsidP="00E71A25">
      <w:pPr>
        <w:pStyle w:val="ListBullet"/>
      </w:pPr>
      <w:r>
        <w:t>WORM project from 147TJ/day to 220TJ/day by end 2020.</w:t>
      </w:r>
    </w:p>
    <w:p w:rsidR="00E71A25" w:rsidRDefault="008D09C7" w:rsidP="00E71A25">
      <w:pPr>
        <w:pStyle w:val="BodyText"/>
      </w:pPr>
      <w:r>
        <w:t>The WORM project also provides some additional eastbound capacity for injections into the VTS</w:t>
      </w:r>
      <w:r w:rsidR="00FB6E32">
        <w:t xml:space="preserve">. </w:t>
      </w:r>
      <w:r w:rsidR="00E71A25">
        <w:t>The WORM project will increase the capacity of</w:t>
      </w:r>
      <w:r w:rsidR="002A18B7">
        <w:t xml:space="preserve"> the SWP towards Melbourne by 22</w:t>
      </w:r>
      <w:r w:rsidR="00E71A25">
        <w:t>TJ/day, to 435TJ/day</w:t>
      </w:r>
      <w:r w:rsidR="00E71A25">
        <w:rPr>
          <w:rStyle w:val="FootnoteReference"/>
        </w:rPr>
        <w:footnoteReference w:id="7"/>
      </w:r>
      <w:r w:rsidR="00E71A25">
        <w:t xml:space="preserve">. </w:t>
      </w:r>
    </w:p>
    <w:p w:rsidR="008D09C7" w:rsidRDefault="00FB6E32" w:rsidP="008D09C7">
      <w:pPr>
        <w:pStyle w:val="BodyText"/>
      </w:pPr>
      <w:r>
        <w:t xml:space="preserve">These capacity increases are set out in </w:t>
      </w:r>
      <w:r w:rsidR="00D40AD0">
        <w:fldChar w:fldCharType="begin"/>
      </w:r>
      <w:r w:rsidR="00D40AD0">
        <w:instrText xml:space="preserve"> REF _Ref482342762 \h </w:instrText>
      </w:r>
      <w:r w:rsidR="00D40AD0">
        <w:fldChar w:fldCharType="separate"/>
      </w:r>
      <w:r w:rsidR="006D055F">
        <w:t xml:space="preserve">Table </w:t>
      </w:r>
      <w:r w:rsidR="006D055F">
        <w:rPr>
          <w:noProof/>
        </w:rPr>
        <w:t>3</w:t>
      </w:r>
      <w:r w:rsidR="006D055F">
        <w:noBreakHyphen/>
      </w:r>
      <w:r w:rsidR="006D055F">
        <w:rPr>
          <w:noProof/>
        </w:rPr>
        <w:t>1</w:t>
      </w:r>
      <w:r w:rsidR="00D40AD0">
        <w:fldChar w:fldCharType="end"/>
      </w:r>
      <w:r w:rsidR="00E71A25">
        <w:t xml:space="preserve"> </w:t>
      </w:r>
      <w:r>
        <w:t>below.</w:t>
      </w:r>
    </w:p>
    <w:p w:rsidR="00E71A25" w:rsidRDefault="00E71A25" w:rsidP="00E71A25">
      <w:pPr>
        <w:pStyle w:val="Caption"/>
      </w:pPr>
      <w:bookmarkStart w:id="21" w:name="_Ref482342762"/>
      <w:bookmarkStart w:id="22" w:name="_Toc482626102"/>
      <w:r>
        <w:lastRenderedPageBreak/>
        <w:t xml:space="preserve">Table </w:t>
      </w:r>
      <w:r w:rsidR="006D055F">
        <w:fldChar w:fldCharType="begin"/>
      </w:r>
      <w:r w:rsidR="006D055F">
        <w:instrText xml:space="preserve"> STYLEREF 1 \s </w:instrText>
      </w:r>
      <w:r w:rsidR="006D055F">
        <w:fldChar w:fldCharType="separate"/>
      </w:r>
      <w:r w:rsidR="006D055F">
        <w:rPr>
          <w:noProof/>
        </w:rPr>
        <w:t>3</w:t>
      </w:r>
      <w:r w:rsidR="006D055F">
        <w:rPr>
          <w:noProof/>
        </w:rPr>
        <w:fldChar w:fldCharType="end"/>
      </w:r>
      <w:r>
        <w:noBreakHyphen/>
      </w:r>
      <w:r w:rsidR="006D055F">
        <w:fldChar w:fldCharType="begin"/>
      </w:r>
      <w:r w:rsidR="006D055F">
        <w:instrText xml:space="preserve"> SEQ Table \* AR</w:instrText>
      </w:r>
      <w:r w:rsidR="006D055F">
        <w:instrText xml:space="preserve">ABIC \s 1 </w:instrText>
      </w:r>
      <w:r w:rsidR="006D055F">
        <w:fldChar w:fldCharType="separate"/>
      </w:r>
      <w:r w:rsidR="006D055F">
        <w:rPr>
          <w:noProof/>
        </w:rPr>
        <w:t>1</w:t>
      </w:r>
      <w:r w:rsidR="006D055F">
        <w:rPr>
          <w:noProof/>
        </w:rPr>
        <w:fldChar w:fldCharType="end"/>
      </w:r>
      <w:bookmarkEnd w:id="21"/>
      <w:r>
        <w:t xml:space="preserve"> – South West Pipeline capacity </w:t>
      </w:r>
      <w:r w:rsidR="002A18B7">
        <w:t xml:space="preserve">before and after augmentation </w:t>
      </w:r>
      <w:r>
        <w:t>(TJ/day)</w:t>
      </w:r>
      <w:bookmarkEnd w:id="22"/>
    </w:p>
    <w:tbl>
      <w:tblPr>
        <w:tblStyle w:val="TableGrid"/>
        <w:tblW w:w="0" w:type="auto"/>
        <w:tblLook w:val="04A0" w:firstRow="1" w:lastRow="0" w:firstColumn="1" w:lastColumn="0" w:noHBand="0" w:noVBand="1"/>
      </w:tblPr>
      <w:tblGrid>
        <w:gridCol w:w="2812"/>
        <w:gridCol w:w="2812"/>
        <w:gridCol w:w="2813"/>
      </w:tblGrid>
      <w:tr w:rsidR="00E71A25" w:rsidTr="009E17D5">
        <w:tc>
          <w:tcPr>
            <w:tcW w:w="2812" w:type="dxa"/>
            <w:tcBorders>
              <w:bottom w:val="single" w:sz="4" w:space="0" w:color="auto"/>
              <w:right w:val="nil"/>
            </w:tcBorders>
            <w:shd w:val="clear" w:color="auto" w:fill="25282A" w:themeFill="text1"/>
          </w:tcPr>
          <w:p w:rsidR="00E71A25" w:rsidRPr="00B95D69" w:rsidRDefault="00E71A25" w:rsidP="009E17D5">
            <w:pPr>
              <w:pStyle w:val="TableColumnHeadings"/>
              <w:keepNext/>
              <w:keepLines/>
              <w:jc w:val="left"/>
              <w:rPr>
                <w:rFonts w:ascii="Century Gothic" w:hAnsi="Century Gothic"/>
              </w:rPr>
            </w:pPr>
            <w:r>
              <w:rPr>
                <w:rFonts w:ascii="Century Gothic" w:hAnsi="Century Gothic"/>
              </w:rPr>
              <w:t>Pipeline TJ/day</w:t>
            </w:r>
          </w:p>
        </w:tc>
        <w:tc>
          <w:tcPr>
            <w:tcW w:w="2812" w:type="dxa"/>
            <w:tcBorders>
              <w:left w:val="nil"/>
              <w:bottom w:val="single" w:sz="4" w:space="0" w:color="auto"/>
              <w:right w:val="nil"/>
            </w:tcBorders>
            <w:shd w:val="clear" w:color="auto" w:fill="25282A" w:themeFill="text1"/>
          </w:tcPr>
          <w:p w:rsidR="00E71A25" w:rsidRPr="00B95D69" w:rsidRDefault="002A18B7" w:rsidP="009E17D5">
            <w:pPr>
              <w:pStyle w:val="TableColumnHeadings"/>
              <w:keepNext/>
              <w:keepLines/>
              <w:tabs>
                <w:tab w:val="center" w:pos="1298"/>
              </w:tabs>
              <w:rPr>
                <w:rFonts w:ascii="Century Gothic" w:hAnsi="Century Gothic"/>
              </w:rPr>
            </w:pPr>
            <w:r>
              <w:rPr>
                <w:rFonts w:ascii="Century Gothic" w:hAnsi="Century Gothic"/>
              </w:rPr>
              <w:t>Current capacity</w:t>
            </w:r>
          </w:p>
        </w:tc>
        <w:tc>
          <w:tcPr>
            <w:tcW w:w="2813" w:type="dxa"/>
            <w:tcBorders>
              <w:left w:val="nil"/>
              <w:bottom w:val="single" w:sz="4" w:space="0" w:color="auto"/>
            </w:tcBorders>
            <w:shd w:val="clear" w:color="auto" w:fill="25282A" w:themeFill="text1"/>
          </w:tcPr>
          <w:p w:rsidR="00E71A25" w:rsidRPr="00B95D69" w:rsidRDefault="002A18B7" w:rsidP="009E17D5">
            <w:pPr>
              <w:pStyle w:val="TableColumnHeadings"/>
              <w:keepNext/>
              <w:keepLines/>
              <w:rPr>
                <w:rFonts w:ascii="Century Gothic" w:hAnsi="Century Gothic"/>
              </w:rPr>
            </w:pPr>
            <w:r>
              <w:rPr>
                <w:rFonts w:ascii="Century Gothic" w:hAnsi="Century Gothic"/>
              </w:rPr>
              <w:t>Augmented capacity</w:t>
            </w:r>
          </w:p>
        </w:tc>
      </w:tr>
      <w:tr w:rsidR="00E71A25" w:rsidTr="00E71A25">
        <w:tc>
          <w:tcPr>
            <w:tcW w:w="2812" w:type="dxa"/>
            <w:tcBorders>
              <w:top w:val="single" w:sz="4" w:space="0" w:color="auto"/>
              <w:left w:val="nil"/>
              <w:bottom w:val="single" w:sz="4" w:space="0" w:color="auto"/>
              <w:right w:val="nil"/>
            </w:tcBorders>
          </w:tcPr>
          <w:p w:rsidR="00E71A25" w:rsidRDefault="00E71A25" w:rsidP="009E17D5">
            <w:pPr>
              <w:pStyle w:val="TableBodyCells"/>
              <w:keepNext/>
              <w:keepLines/>
              <w:jc w:val="left"/>
            </w:pPr>
            <w:r>
              <w:t>South West Pipeline – flows towards Melbourne</w:t>
            </w:r>
          </w:p>
        </w:tc>
        <w:tc>
          <w:tcPr>
            <w:tcW w:w="2812" w:type="dxa"/>
            <w:tcBorders>
              <w:top w:val="single" w:sz="4" w:space="0" w:color="auto"/>
              <w:left w:val="nil"/>
              <w:bottom w:val="single" w:sz="4" w:space="0" w:color="auto"/>
              <w:right w:val="nil"/>
            </w:tcBorders>
            <w:shd w:val="clear" w:color="auto" w:fill="auto"/>
            <w:vAlign w:val="center"/>
          </w:tcPr>
          <w:p w:rsidR="00E71A25" w:rsidRDefault="002A18B7" w:rsidP="00E71A25">
            <w:pPr>
              <w:pStyle w:val="TableBodyCells"/>
              <w:keepNext/>
              <w:keepLines/>
            </w:pPr>
            <w:r>
              <w:t>413</w:t>
            </w:r>
          </w:p>
        </w:tc>
        <w:tc>
          <w:tcPr>
            <w:tcW w:w="2813" w:type="dxa"/>
            <w:tcBorders>
              <w:top w:val="single" w:sz="4" w:space="0" w:color="auto"/>
              <w:left w:val="nil"/>
              <w:bottom w:val="single" w:sz="4" w:space="0" w:color="auto"/>
              <w:right w:val="nil"/>
            </w:tcBorders>
            <w:shd w:val="clear" w:color="auto" w:fill="auto"/>
            <w:vAlign w:val="center"/>
          </w:tcPr>
          <w:p w:rsidR="00E71A25" w:rsidRDefault="00E71A25" w:rsidP="00E71A25">
            <w:pPr>
              <w:pStyle w:val="TableBodyCells"/>
              <w:keepNext/>
              <w:keepLines/>
            </w:pPr>
            <w:r>
              <w:t>435</w:t>
            </w:r>
          </w:p>
        </w:tc>
      </w:tr>
      <w:tr w:rsidR="00E71A25" w:rsidTr="009E17D5">
        <w:tc>
          <w:tcPr>
            <w:tcW w:w="2812" w:type="dxa"/>
            <w:tcBorders>
              <w:top w:val="single" w:sz="4" w:space="0" w:color="auto"/>
              <w:left w:val="nil"/>
              <w:bottom w:val="single" w:sz="4" w:space="0" w:color="auto"/>
              <w:right w:val="nil"/>
            </w:tcBorders>
          </w:tcPr>
          <w:p w:rsidR="00E71A25" w:rsidRDefault="00E71A25" w:rsidP="00E71A25">
            <w:pPr>
              <w:pStyle w:val="TableBodyCells"/>
              <w:keepNext/>
              <w:keepLines/>
              <w:jc w:val="left"/>
            </w:pPr>
            <w:r>
              <w:t>South West Pipeline – flows away from Melbourne</w:t>
            </w:r>
          </w:p>
        </w:tc>
        <w:tc>
          <w:tcPr>
            <w:tcW w:w="2812" w:type="dxa"/>
            <w:tcBorders>
              <w:top w:val="single" w:sz="4" w:space="0" w:color="auto"/>
              <w:left w:val="nil"/>
              <w:bottom w:val="single" w:sz="4" w:space="0" w:color="auto"/>
              <w:right w:val="nil"/>
            </w:tcBorders>
            <w:vAlign w:val="center"/>
          </w:tcPr>
          <w:p w:rsidR="00E71A25" w:rsidRDefault="00E71A25" w:rsidP="009E17D5">
            <w:pPr>
              <w:pStyle w:val="TableBodyCells"/>
              <w:keepNext/>
              <w:keepLines/>
            </w:pPr>
            <w:r>
              <w:t>104</w:t>
            </w:r>
          </w:p>
        </w:tc>
        <w:tc>
          <w:tcPr>
            <w:tcW w:w="2813" w:type="dxa"/>
            <w:tcBorders>
              <w:top w:val="single" w:sz="4" w:space="0" w:color="auto"/>
              <w:left w:val="nil"/>
              <w:bottom w:val="single" w:sz="4" w:space="0" w:color="auto"/>
              <w:right w:val="nil"/>
            </w:tcBorders>
            <w:vAlign w:val="center"/>
          </w:tcPr>
          <w:p w:rsidR="00E71A25" w:rsidRDefault="00E71A25" w:rsidP="009E17D5">
            <w:pPr>
              <w:pStyle w:val="TableBodyCells"/>
              <w:keepNext/>
              <w:keepLines/>
            </w:pPr>
            <w:r>
              <w:t>220</w:t>
            </w:r>
          </w:p>
        </w:tc>
      </w:tr>
    </w:tbl>
    <w:p w:rsidR="00E71A25" w:rsidRDefault="00E71A25" w:rsidP="00E71A25">
      <w:pPr>
        <w:pStyle w:val="BodyText"/>
      </w:pPr>
    </w:p>
    <w:p w:rsidR="009E17D5" w:rsidRDefault="009E17D5" w:rsidP="003F2E4D">
      <w:pPr>
        <w:pStyle w:val="Heading2"/>
      </w:pPr>
      <w:bookmarkStart w:id="23" w:name="_Toc482626061"/>
      <w:r>
        <w:t xml:space="preserve">Implications for APA VTS’s January AA </w:t>
      </w:r>
      <w:r w:rsidR="003F2E4D">
        <w:t xml:space="preserve">demand </w:t>
      </w:r>
      <w:r>
        <w:t>proposal</w:t>
      </w:r>
      <w:bookmarkEnd w:id="23"/>
    </w:p>
    <w:p w:rsidR="00CB0576" w:rsidRPr="0030333C" w:rsidRDefault="00CB0576" w:rsidP="00CB0576">
      <w:pPr>
        <w:pStyle w:val="Heading5"/>
      </w:pPr>
      <w:r w:rsidRPr="0030333C">
        <w:t>Residential and commercial demand</w:t>
      </w:r>
    </w:p>
    <w:p w:rsidR="008E0180" w:rsidRDefault="00DD1554" w:rsidP="00CB0576">
      <w:pPr>
        <w:pStyle w:val="BodyText"/>
      </w:pPr>
      <w:r>
        <w:t>APA VTS does not propose any changes to the demand forecast for residential or commercial demand (volumes or peak) resulting from the revisions to the access arrangement to incorporate the WORM project.</w:t>
      </w:r>
    </w:p>
    <w:p w:rsidR="00A020F2" w:rsidRDefault="00A020F2" w:rsidP="00CB0576">
      <w:pPr>
        <w:pStyle w:val="BodyText"/>
      </w:pPr>
      <w:r>
        <w:t xml:space="preserve">The provision of new capacity via the WORM will not impact residential or commercial </w:t>
      </w:r>
      <w:r w:rsidR="0069729C">
        <w:t>load (volumes, average or peak flows).</w:t>
      </w:r>
      <w:r>
        <w:t xml:space="preserve"> </w:t>
      </w:r>
    </w:p>
    <w:p w:rsidR="00CB0576" w:rsidRDefault="00CB0576" w:rsidP="00CB0576">
      <w:pPr>
        <w:pStyle w:val="Heading5"/>
      </w:pPr>
      <w:r w:rsidRPr="0030333C">
        <w:t>Industrial demand</w:t>
      </w:r>
    </w:p>
    <w:p w:rsidR="00A020F2" w:rsidRDefault="00A020F2" w:rsidP="00A020F2">
      <w:pPr>
        <w:pStyle w:val="BodyText"/>
      </w:pPr>
      <w:r>
        <w:t>The provision of new capacity via the WORM will not impact Industrial demand in the VTS</w:t>
      </w:r>
      <w:r w:rsidR="0069729C">
        <w:t xml:space="preserve"> (volumes, average or peak flows)</w:t>
      </w:r>
      <w:r>
        <w:t xml:space="preserve">. </w:t>
      </w:r>
    </w:p>
    <w:p w:rsidR="00DD1554" w:rsidRDefault="00DD1554" w:rsidP="00DD1554">
      <w:pPr>
        <w:pStyle w:val="BodyText"/>
      </w:pPr>
      <w:r>
        <w:t>In its January AA proposal, APA VTS adopted the AEMO forecast of industrial (Tariff-D) demand from its 2016 National Gas Forecasting Report (NGFR). As noted in that proposal, considering the gas price forecasts included in the NGFR and AEMO’s stated supply concerns (which will not be investigated until the development of the 2017 GSOO</w:t>
      </w:r>
      <w:r>
        <w:rPr>
          <w:rStyle w:val="FootnoteReference"/>
        </w:rPr>
        <w:footnoteReference w:id="8"/>
      </w:r>
      <w:r>
        <w:t>), APA VTS adopted the AEMO “Weak” forecast for industrial demand for the purposes of this access arrangement revision.</w:t>
      </w:r>
      <w:r>
        <w:rPr>
          <w:rStyle w:val="FootnoteReference"/>
        </w:rPr>
        <w:footnoteReference w:id="9"/>
      </w:r>
    </w:p>
    <w:p w:rsidR="00DD1554" w:rsidRDefault="00DD1554" w:rsidP="00CB0576">
      <w:pPr>
        <w:pStyle w:val="BodyText"/>
      </w:pPr>
      <w:r w:rsidRPr="00A75B61">
        <w:t xml:space="preserve">APA VTS has reviewed </w:t>
      </w:r>
      <w:r w:rsidR="00FC35EF" w:rsidRPr="00A75B61">
        <w:t>its industrial demand forecast against the forecasts released by AEMO in March 2017.</w:t>
      </w:r>
    </w:p>
    <w:p w:rsidR="00FC35EF" w:rsidRDefault="00FC35EF" w:rsidP="00CB0576">
      <w:pPr>
        <w:pStyle w:val="BodyText"/>
      </w:pPr>
      <w:r>
        <w:lastRenderedPageBreak/>
        <w:t>These revised AEMO forecasts appear to validate APA V</w:t>
      </w:r>
      <w:r w:rsidR="00D40AD0">
        <w:t>TS’s decision to adopt AEMO’s “W</w:t>
      </w:r>
      <w:r>
        <w:t>eak</w:t>
      </w:r>
      <w:r w:rsidR="00D40AD0">
        <w:t>”</w:t>
      </w:r>
      <w:r>
        <w:t xml:space="preserve"> industrial demand forecast as set out in the 2016 NGFR. Indeed, it would appear that any further revision to this forecast by AEMO to include the continued operation of Portland Aluminium (a scenario not anticipated in the currently available AEMO forecasts due to timing) would see further depression of these industrial demand numbers due to the expected price impacts for energy</w:t>
      </w:r>
      <w:r w:rsidR="008879C9">
        <w:rPr>
          <w:rStyle w:val="FootnoteReference"/>
        </w:rPr>
        <w:footnoteReference w:id="10"/>
      </w:r>
      <w:r>
        <w:t xml:space="preserve"> arising from this load in the current very tight supply/demand conditions. </w:t>
      </w:r>
    </w:p>
    <w:p w:rsidR="00FC35EF" w:rsidRDefault="00FC35EF" w:rsidP="00FC35EF">
      <w:pPr>
        <w:pStyle w:val="BodyText"/>
      </w:pPr>
      <w:r>
        <w:t>APA VTS does not propose</w:t>
      </w:r>
      <w:r w:rsidRPr="00FC35EF">
        <w:t xml:space="preserve"> </w:t>
      </w:r>
      <w:r>
        <w:t>any changes to the demand forecast for industrial demand (volumes or peak) resulting from the revisions to the access arrangement to incorporate the WORM project (the subject of this proposal).</w:t>
      </w:r>
    </w:p>
    <w:p w:rsidR="00DD1554" w:rsidRDefault="00FC35EF" w:rsidP="00CB0576">
      <w:pPr>
        <w:pStyle w:val="BodyText"/>
      </w:pPr>
      <w:r>
        <w:t xml:space="preserve">APA VTS does note, however, that it stated </w:t>
      </w:r>
      <w:r w:rsidR="00DD1554">
        <w:t xml:space="preserve">that </w:t>
      </w:r>
      <w:r>
        <w:t xml:space="preserve">its industrial demand forecast </w:t>
      </w:r>
      <w:r w:rsidR="00DD1554">
        <w:t xml:space="preserve">may be reviewed following the AER’s draft decision to update for any industrial closures since this lodgement of </w:t>
      </w:r>
      <w:r>
        <w:t>the</w:t>
      </w:r>
      <w:r w:rsidR="00DD1554">
        <w:t xml:space="preserve"> proposal.</w:t>
      </w:r>
      <w:r w:rsidR="00DD1554">
        <w:rPr>
          <w:rStyle w:val="FootnoteReference"/>
        </w:rPr>
        <w:footnoteReference w:id="11"/>
      </w:r>
      <w:r>
        <w:t xml:space="preserve"> </w:t>
      </w:r>
    </w:p>
    <w:p w:rsidR="00CB0576" w:rsidRPr="0030333C" w:rsidRDefault="00CB0576" w:rsidP="00CB0576">
      <w:pPr>
        <w:pStyle w:val="Heading5"/>
      </w:pPr>
      <w:r w:rsidRPr="0030333C">
        <w:t>Gas-fired Power Generation</w:t>
      </w:r>
    </w:p>
    <w:p w:rsidR="00EF77EE" w:rsidRDefault="00EF77EE" w:rsidP="00CB0576">
      <w:pPr>
        <w:pStyle w:val="BodyText"/>
      </w:pPr>
      <w:r>
        <w:t>The GPG forecast impacts the VTS access arrangement in two separate areas:</w:t>
      </w:r>
    </w:p>
    <w:p w:rsidR="00EF77EE" w:rsidRDefault="00EF77EE" w:rsidP="00EF77EE">
      <w:pPr>
        <w:pStyle w:val="ListBullet"/>
      </w:pPr>
      <w:r>
        <w:t>Total volume and 1-in-2 peak demand – relevant to tariff setting; and</w:t>
      </w:r>
    </w:p>
    <w:p w:rsidR="00EF77EE" w:rsidRDefault="00EF77EE" w:rsidP="00EF77EE">
      <w:pPr>
        <w:pStyle w:val="ListBullet"/>
      </w:pPr>
      <w:r>
        <w:t>1-in-20 peak demand – relevant to capacity planning and augmentations.</w:t>
      </w:r>
    </w:p>
    <w:p w:rsidR="00A07F0F" w:rsidRDefault="00A07F0F" w:rsidP="00CB0576">
      <w:pPr>
        <w:pStyle w:val="BodyText"/>
      </w:pPr>
      <w:r>
        <w:t>The WORM project is driven by changing gas demand patterns</w:t>
      </w:r>
      <w:r w:rsidR="002A18B7">
        <w:t xml:space="preserve"> and flow paths</w:t>
      </w:r>
      <w:r>
        <w:t xml:space="preserve">. Factors contributing to this are declining production at Port Campbell, meaning more gas is sourced from </w:t>
      </w:r>
      <w:r w:rsidR="00B177F7">
        <w:t>Longford for</w:t>
      </w:r>
      <w:r>
        <w:t xml:space="preserve"> Iona UGS refill. Another factor is an expectation of increased GPG demand across the south eastern states due to tightness on the electricity market brought on, amongst other things, by the closure of the Hazelwood power station.</w:t>
      </w:r>
    </w:p>
    <w:p w:rsidR="00A07F0F" w:rsidRDefault="00A07F0F" w:rsidP="00CB0576">
      <w:pPr>
        <w:pStyle w:val="BodyText"/>
      </w:pPr>
      <w:r>
        <w:lastRenderedPageBreak/>
        <w:t>While there is a view suggesting increased GPG generation in the short term at least, the location of that generation is highly sensitive to modelling. Very small changes in input costs (gas prices) and electricity demand can influence to amount of GPG dispatched, and its location. The feedback loop between gas prices, electricity prices and short and long term demand is highly complex and recent changes to the policy environment (for example the SA and Federal government interventions</w:t>
      </w:r>
      <w:r w:rsidR="004E5C2A">
        <w:t>)</w:t>
      </w:r>
      <w:r>
        <w:t xml:space="preserve"> have not been integrated into demand models by AEMO or APA VTS due to their very recent timing</w:t>
      </w:r>
      <w:r w:rsidR="002A18B7">
        <w:t xml:space="preserve"> and resulting lack of policy detail in implementation</w:t>
      </w:r>
      <w:r>
        <w:t>.</w:t>
      </w:r>
    </w:p>
    <w:p w:rsidR="00B177F7" w:rsidRDefault="00B177F7" w:rsidP="00CB0576">
      <w:pPr>
        <w:pStyle w:val="BodyText"/>
      </w:pPr>
      <w:r>
        <w:t xml:space="preserve">The expectation for increased GPG utilisation in the energy mix is likely to involve </w:t>
      </w:r>
      <w:r w:rsidR="00AE0FF3">
        <w:t xml:space="preserve">‘ultra-peak’ </w:t>
      </w:r>
      <w:r>
        <w:t xml:space="preserve">operation. This type of operation, in particular in the VTS where generators do not contract for capacity, is very difficult to predict, and in any case does not drive significant gas volumes. </w:t>
      </w:r>
    </w:p>
    <w:p w:rsidR="00AE0FF3" w:rsidRDefault="00B177F7" w:rsidP="00CB0576">
      <w:pPr>
        <w:pStyle w:val="BodyText"/>
      </w:pPr>
      <w:r>
        <w:t xml:space="preserve">This type of </w:t>
      </w:r>
      <w:r w:rsidR="00AE0FF3">
        <w:t xml:space="preserve">peak </w:t>
      </w:r>
      <w:r>
        <w:t>operation is critical, however, in considering capacity needed to support GPG</w:t>
      </w:r>
      <w:r w:rsidR="00D40AD0">
        <w:t>,</w:t>
      </w:r>
      <w:r>
        <w:t xml:space="preserve"> as well as to ensure adequate capacity for Iona UGS refill across the summer.</w:t>
      </w:r>
      <w:r w:rsidR="00D40AD0">
        <w:t xml:space="preserve"> A key driver for the conclusion that the WORM was needed </w:t>
      </w:r>
      <w:r w:rsidR="00AE0FF3">
        <w:t xml:space="preserve">in the forecast period was specifically to ensure an adequate window for refill in light of uncertainty in relation to the timing and direction of GPG operation. </w:t>
      </w:r>
      <w:r w:rsidR="002A18B7">
        <w:t xml:space="preserve">Further, the WORM significantly increases system readiness for unanticipated GPG operation within a day. </w:t>
      </w:r>
      <w:r w:rsidR="00AE0FF3">
        <w:t xml:space="preserve">This is an appropriate approach to adopt for planning purposes, which considers possible demand configurations and considers the implications of this. </w:t>
      </w:r>
    </w:p>
    <w:p w:rsidR="00D40AD0" w:rsidRDefault="00AE0FF3" w:rsidP="00CB0576">
      <w:pPr>
        <w:pStyle w:val="BodyText"/>
      </w:pPr>
      <w:r>
        <w:t xml:space="preserve">The potential for a credible demand configuration, involving frequent operation of the Laverton North PS that diverts gas from Iona UGS refill in an ever shortening refill </w:t>
      </w:r>
      <w:r w:rsidR="00D40AD0">
        <w:t>window, is a credible outcome that</w:t>
      </w:r>
      <w:r>
        <w:t xml:space="preserve"> drive</w:t>
      </w:r>
      <w:r w:rsidR="00D40AD0">
        <w:t xml:space="preserve">s the need for </w:t>
      </w:r>
      <w:r>
        <w:t>expansion</w:t>
      </w:r>
      <w:r w:rsidR="00D40AD0">
        <w:t>. Planning for this newly identified possibility, however, does not mean that APA VTS’s volume forecasts require revision.  The location of GPG load, and its duration, is highly uncertain, and GPG volumes could arise from GPG within</w:t>
      </w:r>
      <w:r w:rsidR="00A75B61">
        <w:t xml:space="preserve"> or outside of</w:t>
      </w:r>
      <w:r w:rsidR="00D40AD0">
        <w:t xml:space="preserve"> the VTS. </w:t>
      </w:r>
    </w:p>
    <w:p w:rsidR="00D40AD0" w:rsidRDefault="00D40AD0" w:rsidP="00CB0576">
      <w:pPr>
        <w:pStyle w:val="BodyText"/>
      </w:pPr>
      <w:r>
        <w:t xml:space="preserve">APA VTS maintains that its GPG forecast included in the January AA proposal that was provided for the purpose of tariff </w:t>
      </w:r>
      <w:proofErr w:type="gramStart"/>
      <w:r>
        <w:t>setting,</w:t>
      </w:r>
      <w:proofErr w:type="gramEnd"/>
      <w:r>
        <w:t xml:space="preserve"> remains the best GPG forecast available at this time.</w:t>
      </w:r>
      <w:r w:rsidR="004E5C2A">
        <w:rPr>
          <w:rStyle w:val="FootnoteReference"/>
        </w:rPr>
        <w:footnoteReference w:id="12"/>
      </w:r>
      <w:r>
        <w:t xml:space="preserve"> This supplementary proposal to construct the </w:t>
      </w:r>
      <w:r>
        <w:lastRenderedPageBreak/>
        <w:t xml:space="preserve">WORM is instead driven by the difference between the planning forecast that must consider credible contingencies to ensure security of supply, and volume forecasts for tariff purposes that consider likely average outcomes. </w:t>
      </w:r>
    </w:p>
    <w:p w:rsidR="00AE0FF3" w:rsidRDefault="00AE0FF3" w:rsidP="00CB0576">
      <w:pPr>
        <w:pStyle w:val="BodyText"/>
      </w:pPr>
      <w:r>
        <w:t xml:space="preserve">In summary, APA VTS does not propose any changes to forecast GPG volumes </w:t>
      </w:r>
      <w:r w:rsidR="00A75B61">
        <w:t>1-in-2</w:t>
      </w:r>
      <w:r w:rsidR="009E3734">
        <w:t xml:space="preserve"> or 1-in-20 </w:t>
      </w:r>
      <w:r>
        <w:t xml:space="preserve">peak demand at this stage. Importantly, the construction of the WORM, while it increases capacity of the VTS, does not drive additional volumes in relation to refill or GPG. The WORM instead ensures the availability </w:t>
      </w:r>
      <w:r w:rsidR="002A18B7">
        <w:t xml:space="preserve">of capacity for Iona UGS refill </w:t>
      </w:r>
      <w:r>
        <w:t xml:space="preserve">in the face of potential increased GPG operation that may interrupt refill capacity across the summer leading to ensure security of supply for winter demand. </w:t>
      </w:r>
      <w:r w:rsidR="00D148F0">
        <w:t>It also supports unanticipated GPG operation within a day.</w:t>
      </w:r>
    </w:p>
    <w:p w:rsidR="003F2E4D" w:rsidRDefault="003F2E4D" w:rsidP="00CB0576">
      <w:pPr>
        <w:pStyle w:val="BodyText"/>
      </w:pPr>
    </w:p>
    <w:p w:rsidR="00541D84" w:rsidRPr="00A75B61" w:rsidRDefault="00541D84" w:rsidP="0055275F">
      <w:pPr>
        <w:pStyle w:val="Heading1"/>
      </w:pPr>
      <w:bookmarkStart w:id="24" w:name="_Ref470078344"/>
      <w:bookmarkStart w:id="25" w:name="_Toc482626062"/>
      <w:bookmarkStart w:id="26" w:name="_Ref467752768"/>
      <w:bookmarkStart w:id="27" w:name="_Ref467763957"/>
      <w:bookmarkStart w:id="28" w:name="_Ref467763963"/>
      <w:r w:rsidRPr="00A75B61">
        <w:lastRenderedPageBreak/>
        <w:t>Pipeline asset management planning</w:t>
      </w:r>
      <w:bookmarkEnd w:id="24"/>
      <w:bookmarkEnd w:id="25"/>
      <w:r w:rsidRPr="00A75B61">
        <w:t xml:space="preserve"> </w:t>
      </w:r>
    </w:p>
    <w:p w:rsidR="00331E13" w:rsidRDefault="00331E13" w:rsidP="00541D84">
      <w:pPr>
        <w:pStyle w:val="BodyText"/>
      </w:pPr>
      <w:r>
        <w:t>APA VTS provides no update to this chapter arising from the revisions to the access arrangement to incorporate the WORM project.</w:t>
      </w:r>
    </w:p>
    <w:p w:rsidR="00331E13" w:rsidRDefault="00331E13" w:rsidP="00541D84">
      <w:pPr>
        <w:pStyle w:val="BodyText"/>
      </w:pPr>
    </w:p>
    <w:p w:rsidR="00306774" w:rsidRDefault="00D731E6" w:rsidP="0055275F">
      <w:pPr>
        <w:pStyle w:val="Heading1"/>
      </w:pPr>
      <w:bookmarkStart w:id="29" w:name="_Ref469575342"/>
      <w:bookmarkStart w:id="30" w:name="_Ref469576747"/>
      <w:bookmarkStart w:id="31" w:name="_Toc482626063"/>
      <w:r>
        <w:lastRenderedPageBreak/>
        <w:t>C</w:t>
      </w:r>
      <w:r w:rsidR="00306774">
        <w:t>apital expenditure</w:t>
      </w:r>
      <w:bookmarkEnd w:id="26"/>
      <w:bookmarkEnd w:id="27"/>
      <w:bookmarkEnd w:id="28"/>
      <w:bookmarkEnd w:id="29"/>
      <w:bookmarkEnd w:id="30"/>
      <w:bookmarkEnd w:id="31"/>
    </w:p>
    <w:p w:rsidR="00151C3A" w:rsidRDefault="00151C3A" w:rsidP="00F55674">
      <w:pPr>
        <w:pStyle w:val="BodyText"/>
      </w:pPr>
      <w:r>
        <w:t xml:space="preserve">This chapter sets out the rationale for completing the WORM project within the proposed access arrangement period, as well as any consequential changes to the capital expenditure forecasts arising from the inclusion of the WORM project. </w:t>
      </w:r>
    </w:p>
    <w:p w:rsidR="00F30708" w:rsidRDefault="00D40AD0" w:rsidP="00F55674">
      <w:pPr>
        <w:pStyle w:val="BodyText"/>
      </w:pPr>
      <w:r>
        <w:t>Values set out in t</w:t>
      </w:r>
      <w:r w:rsidR="00F30708">
        <w:t>his supple</w:t>
      </w:r>
      <w:r>
        <w:t>mentary submission also reflect</w:t>
      </w:r>
      <w:r w:rsidR="00F30708">
        <w:t xml:space="preserve"> corrections to a </w:t>
      </w:r>
      <w:r w:rsidR="00D148F0">
        <w:t>number of projects identified with</w:t>
      </w:r>
      <w:r w:rsidR="00F30708">
        <w:t xml:space="preserve"> the AER in response to AER Information Request 2.</w:t>
      </w:r>
    </w:p>
    <w:p w:rsidR="00151C3A" w:rsidRDefault="00151C3A" w:rsidP="00151C3A">
      <w:pPr>
        <w:pStyle w:val="Heading2"/>
      </w:pPr>
      <w:bookmarkStart w:id="32" w:name="_Toc482626064"/>
      <w:r>
        <w:t>Western Outer Ring Main</w:t>
      </w:r>
      <w:bookmarkEnd w:id="32"/>
    </w:p>
    <w:p w:rsidR="00844B3C" w:rsidRDefault="00844B3C" w:rsidP="00844B3C">
      <w:pPr>
        <w:pStyle w:val="Heading3"/>
      </w:pPr>
      <w:r>
        <w:t>Overview of proposed project</w:t>
      </w:r>
    </w:p>
    <w:p w:rsidR="0065457E" w:rsidRDefault="0065457E" w:rsidP="0065457E">
      <w:pPr>
        <w:pStyle w:val="BodyText"/>
      </w:pPr>
      <w:r>
        <w:t>The Victorian Transmission system has three main branches. They are:</w:t>
      </w:r>
    </w:p>
    <w:p w:rsidR="0065457E" w:rsidRDefault="0065457E" w:rsidP="0065457E">
      <w:pPr>
        <w:pStyle w:val="ListBullet"/>
      </w:pPr>
      <w:r>
        <w:t>The Longford Melbourne Pipeline (LMP) which lies between Melbourne and South Eastern Victoria;</w:t>
      </w:r>
    </w:p>
    <w:p w:rsidR="0065457E" w:rsidRDefault="0065457E" w:rsidP="0065457E">
      <w:pPr>
        <w:pStyle w:val="ListBullet"/>
      </w:pPr>
      <w:r>
        <w:t>The Victorian Northern Interconnect (VNI) which lies between Wollert just north of Melbourne and the NSW border; and</w:t>
      </w:r>
    </w:p>
    <w:p w:rsidR="0065457E" w:rsidRDefault="0065457E" w:rsidP="0065457E">
      <w:pPr>
        <w:pStyle w:val="ListBullet"/>
      </w:pPr>
      <w:r>
        <w:t>The SWP which lies between Melbourne and South Western Victoria.</w:t>
      </w:r>
    </w:p>
    <w:p w:rsidR="0065457E" w:rsidRDefault="0065457E" w:rsidP="0065457E">
      <w:pPr>
        <w:pStyle w:val="BodyText"/>
      </w:pPr>
      <w:r>
        <w:t xml:space="preserve">The LMP and the VNI are linked by the high pressure Outer Ring Main.  The Outer Ring Main is a 93.1 km long 750mm pipeline with a MAOP of 6890 </w:t>
      </w:r>
      <w:proofErr w:type="spellStart"/>
      <w:r>
        <w:t>kPag</w:t>
      </w:r>
      <w:proofErr w:type="spellEnd"/>
      <w:r>
        <w:t xml:space="preserve">.  This provides the ability to send gas under high pressure between these pipelines.  </w:t>
      </w:r>
    </w:p>
    <w:p w:rsidR="00844B3C" w:rsidRDefault="0065457E" w:rsidP="0065457E">
      <w:pPr>
        <w:pStyle w:val="BodyText"/>
      </w:pPr>
      <w:r>
        <w:t xml:space="preserve">There is no equivalent link between either the VNI and the SWP or the LMP and the SWP.  Sending gas between these non-linked pipelines involves using the lower pressure Melbourne network, and this limits the amount of gas that can be moved across Victoria in these directions.  This is shown in the map excerpt of the VTS in </w:t>
      </w:r>
      <w:r>
        <w:fldChar w:fldCharType="begin"/>
      </w:r>
      <w:r>
        <w:instrText xml:space="preserve"> REF _Ref482012422 \h </w:instrText>
      </w:r>
      <w:r>
        <w:fldChar w:fldCharType="separate"/>
      </w:r>
      <w:r w:rsidR="006D055F">
        <w:t xml:space="preserve">Figure </w:t>
      </w:r>
      <w:r w:rsidR="006D055F">
        <w:rPr>
          <w:noProof/>
        </w:rPr>
        <w:t>5</w:t>
      </w:r>
      <w:r w:rsidR="006D055F">
        <w:noBreakHyphen/>
      </w:r>
      <w:r w:rsidR="006D055F">
        <w:rPr>
          <w:noProof/>
        </w:rPr>
        <w:t>1</w:t>
      </w:r>
      <w:r>
        <w:fldChar w:fldCharType="end"/>
      </w:r>
      <w:r>
        <w:t xml:space="preserve"> below.</w:t>
      </w:r>
    </w:p>
    <w:p w:rsidR="0065457E" w:rsidRDefault="0065457E" w:rsidP="0065457E">
      <w:pPr>
        <w:pStyle w:val="Caption"/>
      </w:pPr>
      <w:bookmarkStart w:id="33" w:name="_Ref482012422"/>
      <w:bookmarkStart w:id="34" w:name="_Toc482626103"/>
      <w:r>
        <w:lastRenderedPageBreak/>
        <w:t xml:space="preserve">Figure </w:t>
      </w:r>
      <w:r w:rsidR="006D055F">
        <w:fldChar w:fldCharType="begin"/>
      </w:r>
      <w:r w:rsidR="006D055F">
        <w:instrText xml:space="preserve"> STYLEREF 1 \s </w:instrText>
      </w:r>
      <w:r w:rsidR="006D055F">
        <w:fldChar w:fldCharType="separate"/>
      </w:r>
      <w:r w:rsidR="006D055F">
        <w:rPr>
          <w:noProof/>
        </w:rPr>
        <w:t>5</w:t>
      </w:r>
      <w:r w:rsidR="006D055F">
        <w:rPr>
          <w:noProof/>
        </w:rPr>
        <w:fldChar w:fldCharType="end"/>
      </w:r>
      <w:r w:rsidR="00F8596D">
        <w:noBreakHyphen/>
      </w:r>
      <w:r w:rsidR="006D055F">
        <w:fldChar w:fldCharType="begin"/>
      </w:r>
      <w:r w:rsidR="006D055F">
        <w:instrText xml:space="preserve"> SEQ Figure \* ARABIC \s 1 </w:instrText>
      </w:r>
      <w:r w:rsidR="006D055F">
        <w:fldChar w:fldCharType="separate"/>
      </w:r>
      <w:r w:rsidR="006D055F">
        <w:rPr>
          <w:noProof/>
        </w:rPr>
        <w:t>1</w:t>
      </w:r>
      <w:r w:rsidR="006D055F">
        <w:rPr>
          <w:noProof/>
        </w:rPr>
        <w:fldChar w:fldCharType="end"/>
      </w:r>
      <w:bookmarkEnd w:id="33"/>
      <w:r>
        <w:t xml:space="preserve"> – Diagram of VTS showing proposed Western Outer Ring Main</w:t>
      </w:r>
      <w:bookmarkEnd w:id="34"/>
    </w:p>
    <w:p w:rsidR="0065457E" w:rsidRDefault="0065457E" w:rsidP="00F55674">
      <w:pPr>
        <w:pStyle w:val="BodyText"/>
      </w:pPr>
      <w:r>
        <w:rPr>
          <w:noProof/>
          <w:lang w:eastAsia="en-AU"/>
        </w:rPr>
        <w:drawing>
          <wp:inline distT="0" distB="0" distL="0" distR="0" wp14:anchorId="1BDCABF5" wp14:editId="7BBD9DA2">
            <wp:extent cx="4683318" cy="2741496"/>
            <wp:effectExtent l="0" t="0" r="317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4537" cy="2742210"/>
                    </a:xfrm>
                    <a:prstGeom prst="rect">
                      <a:avLst/>
                    </a:prstGeom>
                    <a:noFill/>
                  </pic:spPr>
                </pic:pic>
              </a:graphicData>
            </a:graphic>
          </wp:inline>
        </w:drawing>
      </w:r>
    </w:p>
    <w:p w:rsidR="00844B3C" w:rsidRDefault="00844B3C" w:rsidP="00844B3C">
      <w:pPr>
        <w:pStyle w:val="BodyText"/>
      </w:pPr>
    </w:p>
    <w:p w:rsidR="00BE4026" w:rsidRDefault="00BE4026" w:rsidP="00BE4026">
      <w:pPr>
        <w:pStyle w:val="BodyText"/>
      </w:pPr>
      <w:r>
        <w:t>The WORM project involves two stages:</w:t>
      </w:r>
    </w:p>
    <w:p w:rsidR="00BE4026" w:rsidRDefault="00BE4026" w:rsidP="00BE4026">
      <w:pPr>
        <w:pStyle w:val="ListBullet"/>
      </w:pPr>
      <w:r>
        <w:t xml:space="preserve">Stage </w:t>
      </w:r>
      <w:r w:rsidR="00645567">
        <w:t>1 – Pipeline:</w:t>
      </w:r>
      <w:r>
        <w:t xml:space="preserve"> 8.3km x 500mm Rockbank to Plumpton; and</w:t>
      </w:r>
    </w:p>
    <w:p w:rsidR="00645567" w:rsidRDefault="00BE4026" w:rsidP="00BE4026">
      <w:pPr>
        <w:pStyle w:val="ListBullet"/>
      </w:pPr>
      <w:r>
        <w:t xml:space="preserve">Stage </w:t>
      </w:r>
      <w:r w:rsidR="00645567">
        <w:t xml:space="preserve">2 – </w:t>
      </w:r>
    </w:p>
    <w:p w:rsidR="00645567" w:rsidRDefault="00645567" w:rsidP="00645567">
      <w:pPr>
        <w:pStyle w:val="ListBullet2"/>
      </w:pPr>
      <w:r>
        <w:t xml:space="preserve">Pipeline: </w:t>
      </w:r>
      <w:r w:rsidR="00BE4026">
        <w:t>49.3km (approx.) x 500mm Wollert to Plumpton</w:t>
      </w:r>
    </w:p>
    <w:p w:rsidR="00645567" w:rsidRPr="00645567" w:rsidRDefault="00645567" w:rsidP="00645567">
      <w:pPr>
        <w:pStyle w:val="ListBullet2"/>
      </w:pPr>
      <w:r>
        <w:t xml:space="preserve">Compression: Additional Centaur 50 at Wollert Compressor Station B allocating compression from </w:t>
      </w:r>
      <w:r w:rsidRPr="00645567">
        <w:t>Pakenham to Wollert pipeline (existing connection) t</w:t>
      </w:r>
      <w:r w:rsidR="00D148F0">
        <w:t>o the new WORM (new connection)</w:t>
      </w:r>
    </w:p>
    <w:p w:rsidR="00BE4026" w:rsidRDefault="00645567" w:rsidP="00645567">
      <w:pPr>
        <w:pStyle w:val="ListBullet2"/>
      </w:pPr>
      <w:r>
        <w:t xml:space="preserve">Regulator: </w:t>
      </w:r>
      <w:r w:rsidRPr="00645567">
        <w:t>A new interconnecting Pressure Reduction Station at Wollert connecting the Brooklyn Lara Pipeline (BLP) to the Pakenham-Wollert Pipeline</w:t>
      </w:r>
    </w:p>
    <w:p w:rsidR="00BE4026" w:rsidRDefault="00BE4026" w:rsidP="00BE4026">
      <w:pPr>
        <w:pStyle w:val="BodyText"/>
      </w:pPr>
      <w:r>
        <w:t>Stage 1 was completed in 2012 (AA3). The comp</w:t>
      </w:r>
      <w:r w:rsidR="00645567">
        <w:t>letion</w:t>
      </w:r>
      <w:r>
        <w:t xml:space="preserve"> of stage 1 </w:t>
      </w:r>
      <w:r w:rsidR="00D40AD0">
        <w:t xml:space="preserve">in 2012 was needed to </w:t>
      </w:r>
      <w:r>
        <w:t>support winter pressures in the Sunbury and Ballarat regions. The Sunbury loop was sized to enable it to become the first leg of the future WORM at a minor additional incremental cost. This decision was endorsed by the AER in its draft decision (and confirmed in the final) with the following discussion:</w:t>
      </w:r>
    </w:p>
    <w:p w:rsidR="00BE4026" w:rsidRPr="00BE4026" w:rsidRDefault="00BE4026" w:rsidP="00BE4026">
      <w:pPr>
        <w:pStyle w:val="Quote"/>
        <w:rPr>
          <w:sz w:val="20"/>
        </w:rPr>
      </w:pPr>
      <w:r w:rsidRPr="00BE4026">
        <w:rPr>
          <w:sz w:val="20"/>
        </w:rPr>
        <w:lastRenderedPageBreak/>
        <w:t xml:space="preserve">A consequence </w:t>
      </w:r>
      <w:r w:rsidR="00D148F0">
        <w:rPr>
          <w:sz w:val="20"/>
        </w:rPr>
        <w:t xml:space="preserve">[…] </w:t>
      </w:r>
      <w:r w:rsidRPr="00BE4026">
        <w:rPr>
          <w:sz w:val="20"/>
        </w:rPr>
        <w:t xml:space="preserve">was a decision to address the constraints in the Sunbury and Ballarat areas through the construction of the Sunbury Loop at a cost of $13.5 million ($2012) as a first stage in completing the proposed WORM project. This expenditure replaced the proposed works on compressors 11, 13 and 14 at the Brooklyn Compressor Station.  The AER considers APA </w:t>
      </w:r>
      <w:proofErr w:type="spellStart"/>
      <w:r w:rsidRPr="00BE4026">
        <w:rPr>
          <w:sz w:val="20"/>
        </w:rPr>
        <w:t>GasNet's</w:t>
      </w:r>
      <w:proofErr w:type="spellEnd"/>
      <w:r w:rsidRPr="00BE4026">
        <w:rPr>
          <w:sz w:val="20"/>
        </w:rPr>
        <w:t xml:space="preserve"> decision to alleviate the constraints in the Sunbury and Ballarat areas by developing the Sunbury Loop to be prudent.</w:t>
      </w:r>
      <w:r>
        <w:rPr>
          <w:rStyle w:val="FootnoteReference"/>
          <w:sz w:val="20"/>
        </w:rPr>
        <w:footnoteReference w:id="13"/>
      </w:r>
    </w:p>
    <w:p w:rsidR="00BE4026" w:rsidRDefault="00BE4026" w:rsidP="00BE4026">
      <w:pPr>
        <w:pStyle w:val="BodyText"/>
      </w:pPr>
      <w:r>
        <w:t xml:space="preserve">APA VTS proposes to complete Stage 2 of the WORM project in </w:t>
      </w:r>
      <w:r w:rsidR="00645567">
        <w:t>the forecast period.</w:t>
      </w:r>
    </w:p>
    <w:p w:rsidR="00645567" w:rsidRDefault="00645567" w:rsidP="00844B3C">
      <w:pPr>
        <w:pStyle w:val="BodyText"/>
      </w:pPr>
      <w:r>
        <w:t xml:space="preserve">The WORM project, completed in conjunction with the reconfiguration of Brooklyn and Winchelsea Compressor Station proposed in the January AA proposal, will deliver additional capacity in line with </w:t>
      </w:r>
      <w:r w:rsidR="004B454F">
        <w:fldChar w:fldCharType="begin"/>
      </w:r>
      <w:r w:rsidR="004B454F">
        <w:instrText xml:space="preserve"> REF _Ref482014536 \h </w:instrText>
      </w:r>
      <w:r w:rsidR="004B454F">
        <w:fldChar w:fldCharType="separate"/>
      </w:r>
      <w:r w:rsidR="006D055F">
        <w:t xml:space="preserve">Table </w:t>
      </w:r>
      <w:r w:rsidR="006D055F">
        <w:rPr>
          <w:noProof/>
        </w:rPr>
        <w:t>5</w:t>
      </w:r>
      <w:r w:rsidR="006D055F">
        <w:noBreakHyphen/>
      </w:r>
      <w:r w:rsidR="006D055F">
        <w:rPr>
          <w:noProof/>
        </w:rPr>
        <w:t>1</w:t>
      </w:r>
      <w:r w:rsidR="004B454F">
        <w:fldChar w:fldCharType="end"/>
      </w:r>
      <w:r w:rsidR="004B454F">
        <w:t xml:space="preserve"> below.</w:t>
      </w:r>
    </w:p>
    <w:p w:rsidR="00645567" w:rsidRDefault="00645567" w:rsidP="00645567">
      <w:pPr>
        <w:pStyle w:val="Caption"/>
      </w:pPr>
      <w:bookmarkStart w:id="35" w:name="_Ref482014536"/>
      <w:bookmarkStart w:id="36" w:name="_Ref482014531"/>
      <w:bookmarkStart w:id="37" w:name="_Toc482626104"/>
      <w:r>
        <w:t xml:space="preserve">Table </w:t>
      </w:r>
      <w:r w:rsidR="006D055F">
        <w:fldChar w:fldCharType="begin"/>
      </w:r>
      <w:r w:rsidR="006D055F">
        <w:instrText xml:space="preserve"> STYLEREF 1 \s </w:instrText>
      </w:r>
      <w:r w:rsidR="006D055F">
        <w:fldChar w:fldCharType="separate"/>
      </w:r>
      <w:r w:rsidR="006D055F">
        <w:rPr>
          <w:noProof/>
        </w:rPr>
        <w:t>5</w:t>
      </w:r>
      <w:r w:rsidR="006D055F">
        <w:rPr>
          <w:noProof/>
        </w:rPr>
        <w:fldChar w:fldCharType="end"/>
      </w:r>
      <w:r>
        <w:noBreakHyphen/>
      </w:r>
      <w:r w:rsidR="006D055F">
        <w:fldChar w:fldCharType="begin"/>
      </w:r>
      <w:r w:rsidR="006D055F">
        <w:instrText xml:space="preserve"> SEQ Table \* ARABIC \s 1 </w:instrText>
      </w:r>
      <w:r w:rsidR="006D055F">
        <w:fldChar w:fldCharType="separate"/>
      </w:r>
      <w:r w:rsidR="006D055F">
        <w:rPr>
          <w:noProof/>
        </w:rPr>
        <w:t>1</w:t>
      </w:r>
      <w:r w:rsidR="006D055F">
        <w:rPr>
          <w:noProof/>
        </w:rPr>
        <w:fldChar w:fldCharType="end"/>
      </w:r>
      <w:bookmarkEnd w:id="35"/>
      <w:r>
        <w:t xml:space="preserve"> – South West Pipeline capacity following expansion (TJ/day)</w:t>
      </w:r>
      <w:bookmarkEnd w:id="36"/>
      <w:bookmarkEnd w:id="37"/>
    </w:p>
    <w:tbl>
      <w:tblPr>
        <w:tblStyle w:val="TableGrid"/>
        <w:tblW w:w="0" w:type="auto"/>
        <w:tblLook w:val="04A0" w:firstRow="1" w:lastRow="0" w:firstColumn="1" w:lastColumn="0" w:noHBand="0" w:noVBand="1"/>
      </w:tblPr>
      <w:tblGrid>
        <w:gridCol w:w="3794"/>
        <w:gridCol w:w="2321"/>
        <w:gridCol w:w="2322"/>
      </w:tblGrid>
      <w:tr w:rsidR="00645567" w:rsidTr="00645567">
        <w:tc>
          <w:tcPr>
            <w:tcW w:w="3794" w:type="dxa"/>
            <w:tcBorders>
              <w:bottom w:val="single" w:sz="4" w:space="0" w:color="auto"/>
              <w:right w:val="nil"/>
            </w:tcBorders>
            <w:shd w:val="clear" w:color="auto" w:fill="25282A" w:themeFill="text1"/>
          </w:tcPr>
          <w:p w:rsidR="00645567" w:rsidRPr="00B95D69" w:rsidRDefault="00645567" w:rsidP="00286C92">
            <w:pPr>
              <w:pStyle w:val="TableColumnHeadings"/>
              <w:keepNext/>
              <w:keepLines/>
              <w:jc w:val="left"/>
              <w:rPr>
                <w:rFonts w:ascii="Century Gothic" w:hAnsi="Century Gothic"/>
              </w:rPr>
            </w:pPr>
            <w:r>
              <w:rPr>
                <w:rFonts w:ascii="Century Gothic" w:hAnsi="Century Gothic"/>
              </w:rPr>
              <w:t>Capacity TJ/day</w:t>
            </w:r>
          </w:p>
        </w:tc>
        <w:tc>
          <w:tcPr>
            <w:tcW w:w="2321" w:type="dxa"/>
            <w:tcBorders>
              <w:left w:val="nil"/>
              <w:bottom w:val="single" w:sz="4" w:space="0" w:color="auto"/>
              <w:right w:val="nil"/>
            </w:tcBorders>
            <w:shd w:val="clear" w:color="auto" w:fill="25282A" w:themeFill="text1"/>
          </w:tcPr>
          <w:p w:rsidR="00645567" w:rsidRPr="00B95D69" w:rsidRDefault="00645567" w:rsidP="00286C92">
            <w:pPr>
              <w:pStyle w:val="TableColumnHeadings"/>
              <w:keepNext/>
              <w:keepLines/>
              <w:tabs>
                <w:tab w:val="center" w:pos="1298"/>
              </w:tabs>
              <w:rPr>
                <w:rFonts w:ascii="Century Gothic" w:hAnsi="Century Gothic"/>
              </w:rPr>
            </w:pPr>
            <w:r>
              <w:rPr>
                <w:rFonts w:ascii="Century Gothic" w:hAnsi="Century Gothic"/>
              </w:rPr>
              <w:t>East</w:t>
            </w:r>
          </w:p>
        </w:tc>
        <w:tc>
          <w:tcPr>
            <w:tcW w:w="2322" w:type="dxa"/>
            <w:tcBorders>
              <w:left w:val="nil"/>
              <w:bottom w:val="single" w:sz="4" w:space="0" w:color="auto"/>
            </w:tcBorders>
            <w:shd w:val="clear" w:color="auto" w:fill="25282A" w:themeFill="text1"/>
          </w:tcPr>
          <w:p w:rsidR="00645567" w:rsidRPr="00B95D69" w:rsidRDefault="00645567" w:rsidP="00286C92">
            <w:pPr>
              <w:pStyle w:val="TableColumnHeadings"/>
              <w:keepNext/>
              <w:keepLines/>
              <w:rPr>
                <w:rFonts w:ascii="Century Gothic" w:hAnsi="Century Gothic"/>
              </w:rPr>
            </w:pPr>
            <w:r>
              <w:rPr>
                <w:rFonts w:ascii="Century Gothic" w:hAnsi="Century Gothic"/>
              </w:rPr>
              <w:t>West</w:t>
            </w:r>
          </w:p>
        </w:tc>
      </w:tr>
      <w:tr w:rsidR="00645567" w:rsidTr="00645567">
        <w:tc>
          <w:tcPr>
            <w:tcW w:w="3794" w:type="dxa"/>
            <w:tcBorders>
              <w:left w:val="nil"/>
              <w:bottom w:val="single" w:sz="4" w:space="0" w:color="auto"/>
              <w:right w:val="nil"/>
            </w:tcBorders>
          </w:tcPr>
          <w:p w:rsidR="00645567" w:rsidRDefault="00645567" w:rsidP="00286C92">
            <w:pPr>
              <w:pStyle w:val="TableBodyCells"/>
              <w:keepNext/>
              <w:keepLines/>
              <w:jc w:val="left"/>
            </w:pPr>
            <w:r>
              <w:t>Current capacity</w:t>
            </w:r>
          </w:p>
        </w:tc>
        <w:tc>
          <w:tcPr>
            <w:tcW w:w="2321" w:type="dxa"/>
            <w:tcBorders>
              <w:left w:val="nil"/>
              <w:bottom w:val="single" w:sz="4" w:space="0" w:color="auto"/>
              <w:right w:val="nil"/>
            </w:tcBorders>
          </w:tcPr>
          <w:p w:rsidR="00645567" w:rsidRDefault="004B454F" w:rsidP="00286C92">
            <w:pPr>
              <w:pStyle w:val="TableBodyCells"/>
              <w:keepNext/>
              <w:keepLines/>
            </w:pPr>
            <w:r>
              <w:t>41</w:t>
            </w:r>
            <w:r w:rsidR="00D148F0">
              <w:t>3</w:t>
            </w:r>
          </w:p>
        </w:tc>
        <w:tc>
          <w:tcPr>
            <w:tcW w:w="2322" w:type="dxa"/>
            <w:tcBorders>
              <w:left w:val="nil"/>
              <w:bottom w:val="single" w:sz="4" w:space="0" w:color="auto"/>
              <w:right w:val="nil"/>
            </w:tcBorders>
          </w:tcPr>
          <w:p w:rsidR="00645567" w:rsidRDefault="004B454F" w:rsidP="00286C92">
            <w:pPr>
              <w:pStyle w:val="TableBodyCells"/>
              <w:keepNext/>
              <w:keepLines/>
            </w:pPr>
            <w:r>
              <w:t>104</w:t>
            </w:r>
          </w:p>
        </w:tc>
      </w:tr>
      <w:tr w:rsidR="00645567" w:rsidTr="00D40AD0">
        <w:tc>
          <w:tcPr>
            <w:tcW w:w="3794" w:type="dxa"/>
            <w:tcBorders>
              <w:top w:val="single" w:sz="4" w:space="0" w:color="auto"/>
              <w:left w:val="nil"/>
              <w:bottom w:val="single" w:sz="4" w:space="0" w:color="auto"/>
              <w:right w:val="nil"/>
            </w:tcBorders>
            <w:vAlign w:val="center"/>
          </w:tcPr>
          <w:p w:rsidR="00645567" w:rsidRDefault="00645567" w:rsidP="00D40AD0">
            <w:pPr>
              <w:pStyle w:val="TableBodyCells"/>
              <w:keepNext/>
              <w:keepLines/>
            </w:pPr>
            <w:r>
              <w:t xml:space="preserve">After </w:t>
            </w:r>
            <w:r w:rsidRPr="00645567">
              <w:t>Brooklyn and Winchelsea Compressor Station</w:t>
            </w:r>
            <w:r>
              <w:t xml:space="preserve"> reconfiguration</w:t>
            </w:r>
          </w:p>
        </w:tc>
        <w:tc>
          <w:tcPr>
            <w:tcW w:w="2321" w:type="dxa"/>
            <w:tcBorders>
              <w:top w:val="single" w:sz="4" w:space="0" w:color="auto"/>
              <w:left w:val="nil"/>
              <w:bottom w:val="single" w:sz="4" w:space="0" w:color="auto"/>
              <w:right w:val="nil"/>
            </w:tcBorders>
            <w:shd w:val="clear" w:color="auto" w:fill="auto"/>
            <w:vAlign w:val="center"/>
          </w:tcPr>
          <w:p w:rsidR="00645567" w:rsidRDefault="004B454F" w:rsidP="00D40AD0">
            <w:pPr>
              <w:pStyle w:val="TableBodyCells"/>
              <w:keepNext/>
              <w:keepLines/>
            </w:pPr>
            <w:r>
              <w:t>41</w:t>
            </w:r>
            <w:r w:rsidR="00D148F0">
              <w:t>3</w:t>
            </w:r>
          </w:p>
        </w:tc>
        <w:tc>
          <w:tcPr>
            <w:tcW w:w="2322" w:type="dxa"/>
            <w:tcBorders>
              <w:top w:val="single" w:sz="4" w:space="0" w:color="auto"/>
              <w:left w:val="nil"/>
              <w:bottom w:val="single" w:sz="4" w:space="0" w:color="auto"/>
              <w:right w:val="nil"/>
            </w:tcBorders>
            <w:shd w:val="clear" w:color="auto" w:fill="auto"/>
            <w:vAlign w:val="center"/>
          </w:tcPr>
          <w:p w:rsidR="00645567" w:rsidRDefault="004B454F" w:rsidP="00D40AD0">
            <w:pPr>
              <w:pStyle w:val="TableBodyCells"/>
              <w:keepNext/>
              <w:keepLines/>
            </w:pPr>
            <w:r>
              <w:t>147</w:t>
            </w:r>
          </w:p>
        </w:tc>
      </w:tr>
      <w:tr w:rsidR="00645567" w:rsidTr="00645567">
        <w:tc>
          <w:tcPr>
            <w:tcW w:w="3794" w:type="dxa"/>
            <w:tcBorders>
              <w:top w:val="single" w:sz="4" w:space="0" w:color="auto"/>
              <w:left w:val="nil"/>
              <w:bottom w:val="single" w:sz="4" w:space="0" w:color="auto"/>
              <w:right w:val="nil"/>
            </w:tcBorders>
          </w:tcPr>
          <w:p w:rsidR="00645567" w:rsidRDefault="00645567" w:rsidP="00286C92">
            <w:pPr>
              <w:pStyle w:val="TableBodyCells"/>
              <w:keepNext/>
              <w:keepLines/>
              <w:jc w:val="left"/>
            </w:pPr>
            <w:r>
              <w:t>After WORM</w:t>
            </w:r>
          </w:p>
        </w:tc>
        <w:tc>
          <w:tcPr>
            <w:tcW w:w="2321" w:type="dxa"/>
            <w:tcBorders>
              <w:top w:val="single" w:sz="4" w:space="0" w:color="auto"/>
              <w:left w:val="nil"/>
              <w:bottom w:val="single" w:sz="4" w:space="0" w:color="auto"/>
              <w:right w:val="nil"/>
            </w:tcBorders>
          </w:tcPr>
          <w:p w:rsidR="00645567" w:rsidRDefault="004B454F" w:rsidP="00286C92">
            <w:pPr>
              <w:pStyle w:val="TableBodyCells"/>
              <w:keepNext/>
              <w:keepLines/>
            </w:pPr>
            <w:r>
              <w:t>435</w:t>
            </w:r>
          </w:p>
        </w:tc>
        <w:tc>
          <w:tcPr>
            <w:tcW w:w="2322" w:type="dxa"/>
            <w:tcBorders>
              <w:top w:val="single" w:sz="4" w:space="0" w:color="auto"/>
              <w:left w:val="nil"/>
              <w:bottom w:val="single" w:sz="4" w:space="0" w:color="auto"/>
              <w:right w:val="nil"/>
            </w:tcBorders>
          </w:tcPr>
          <w:p w:rsidR="00645567" w:rsidRDefault="004B454F" w:rsidP="00286C92">
            <w:pPr>
              <w:pStyle w:val="TableBodyCells"/>
              <w:keepNext/>
              <w:keepLines/>
            </w:pPr>
            <w:r>
              <w:t>220</w:t>
            </w:r>
          </w:p>
        </w:tc>
      </w:tr>
    </w:tbl>
    <w:p w:rsidR="00645567" w:rsidRDefault="00645567" w:rsidP="00645567">
      <w:pPr>
        <w:pStyle w:val="BodyText"/>
      </w:pPr>
    </w:p>
    <w:p w:rsidR="004B454F" w:rsidRDefault="004B454F" w:rsidP="004B454F">
      <w:pPr>
        <w:pStyle w:val="BodyText"/>
      </w:pPr>
      <w:r>
        <w:t xml:space="preserve">Total forecast expenditure on the WORM project is set out </w:t>
      </w:r>
      <w:r w:rsidRPr="002F14F5">
        <w:t xml:space="preserve">in </w:t>
      </w:r>
      <w:r w:rsidRPr="002F14F5">
        <w:fldChar w:fldCharType="begin"/>
      </w:r>
      <w:r w:rsidRPr="002F14F5">
        <w:instrText xml:space="preserve"> REF _Ref482014706 \h </w:instrText>
      </w:r>
      <w:r w:rsidR="002F14F5">
        <w:instrText xml:space="preserve"> \* MERGEFORMAT </w:instrText>
      </w:r>
      <w:r w:rsidRPr="002F14F5">
        <w:fldChar w:fldCharType="separate"/>
      </w:r>
      <w:r w:rsidR="006D055F" w:rsidRPr="002F14F5">
        <w:t xml:space="preserve">Table </w:t>
      </w:r>
      <w:r w:rsidR="006D055F">
        <w:rPr>
          <w:noProof/>
        </w:rPr>
        <w:t>5</w:t>
      </w:r>
      <w:r w:rsidR="006D055F" w:rsidRPr="002F14F5">
        <w:rPr>
          <w:noProof/>
        </w:rPr>
        <w:noBreakHyphen/>
      </w:r>
      <w:r w:rsidR="006D055F">
        <w:rPr>
          <w:noProof/>
        </w:rPr>
        <w:t>2</w:t>
      </w:r>
      <w:r w:rsidRPr="002F14F5">
        <w:fldChar w:fldCharType="end"/>
      </w:r>
      <w:r w:rsidRPr="002F14F5">
        <w:t xml:space="preserve"> below.</w:t>
      </w:r>
    </w:p>
    <w:p w:rsidR="004B454F" w:rsidRPr="008A4AF0" w:rsidRDefault="004B454F" w:rsidP="004B454F">
      <w:pPr>
        <w:pStyle w:val="Caption"/>
      </w:pPr>
      <w:bookmarkStart w:id="38" w:name="_Ref482014706"/>
      <w:bookmarkStart w:id="39" w:name="_Toc482626105"/>
      <w:r w:rsidRPr="002F14F5">
        <w:t xml:space="preserve">Table </w:t>
      </w:r>
      <w:r w:rsidR="006D055F">
        <w:fldChar w:fldCharType="begin"/>
      </w:r>
      <w:r w:rsidR="006D055F">
        <w:instrText xml:space="preserve"> STYLEREF 1 \s </w:instrText>
      </w:r>
      <w:r w:rsidR="006D055F">
        <w:fldChar w:fldCharType="separate"/>
      </w:r>
      <w:r w:rsidR="006D055F">
        <w:rPr>
          <w:noProof/>
        </w:rPr>
        <w:t>5</w:t>
      </w:r>
      <w:r w:rsidR="006D055F">
        <w:rPr>
          <w:noProof/>
        </w:rPr>
        <w:fldChar w:fldCharType="end"/>
      </w:r>
      <w:r w:rsidRPr="002F14F5">
        <w:noBreakHyphen/>
      </w:r>
      <w:r w:rsidR="006D055F">
        <w:fldChar w:fldCharType="begin"/>
      </w:r>
      <w:r w:rsidR="006D055F">
        <w:instrText xml:space="preserve"> SEQ Table \* ARABIC \s 1 </w:instrText>
      </w:r>
      <w:r w:rsidR="006D055F">
        <w:fldChar w:fldCharType="separate"/>
      </w:r>
      <w:r w:rsidR="006D055F">
        <w:rPr>
          <w:noProof/>
        </w:rPr>
        <w:t>2</w:t>
      </w:r>
      <w:r w:rsidR="006D055F">
        <w:rPr>
          <w:noProof/>
        </w:rPr>
        <w:fldChar w:fldCharType="end"/>
      </w:r>
      <w:bookmarkEnd w:id="38"/>
      <w:r w:rsidRPr="002F14F5">
        <w:t xml:space="preserve"> – Western Outer Ring Main project (real 2017 $m)</w:t>
      </w:r>
      <w:bookmarkEnd w:id="39"/>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1683"/>
        <w:gridCol w:w="1125"/>
        <w:gridCol w:w="1126"/>
        <w:gridCol w:w="1126"/>
        <w:gridCol w:w="1125"/>
        <w:gridCol w:w="1126"/>
        <w:gridCol w:w="1126"/>
      </w:tblGrid>
      <w:tr w:rsidR="004B454F" w:rsidRPr="008A4AF0" w:rsidTr="00286C92">
        <w:tc>
          <w:tcPr>
            <w:tcW w:w="1683" w:type="dxa"/>
            <w:shd w:val="clear" w:color="auto" w:fill="333333"/>
          </w:tcPr>
          <w:p w:rsidR="004B454F" w:rsidRPr="00AF4988" w:rsidRDefault="004B454F" w:rsidP="00286C92">
            <w:pPr>
              <w:pStyle w:val="TableColumnHeadings"/>
              <w:keepNext/>
              <w:jc w:val="left"/>
              <w:rPr>
                <w:rFonts w:ascii="Century Gothic" w:hAnsi="Century Gothic"/>
              </w:rPr>
            </w:pPr>
            <w:r>
              <w:rPr>
                <w:rFonts w:ascii="Century Gothic" w:hAnsi="Century Gothic"/>
              </w:rPr>
              <w:t>$m real 2017</w:t>
            </w:r>
          </w:p>
        </w:tc>
        <w:tc>
          <w:tcPr>
            <w:tcW w:w="1125" w:type="dxa"/>
            <w:shd w:val="clear" w:color="auto" w:fill="333333"/>
          </w:tcPr>
          <w:p w:rsidR="004B454F" w:rsidRPr="00AF4988" w:rsidRDefault="004B454F" w:rsidP="00286C92">
            <w:pPr>
              <w:pStyle w:val="TableColumnHeadings"/>
              <w:rPr>
                <w:rFonts w:ascii="Century Gothic" w:hAnsi="Century Gothic"/>
              </w:rPr>
            </w:pPr>
            <w:r w:rsidRPr="00AF4988">
              <w:rPr>
                <w:rFonts w:ascii="Century Gothic" w:hAnsi="Century Gothic"/>
              </w:rPr>
              <w:t>2018</w:t>
            </w:r>
          </w:p>
        </w:tc>
        <w:tc>
          <w:tcPr>
            <w:tcW w:w="1126" w:type="dxa"/>
            <w:shd w:val="clear" w:color="auto" w:fill="333333"/>
          </w:tcPr>
          <w:p w:rsidR="004B454F" w:rsidRPr="00AF4988" w:rsidRDefault="004B454F" w:rsidP="00286C92">
            <w:pPr>
              <w:pStyle w:val="TableColumnHeadings"/>
              <w:rPr>
                <w:rFonts w:ascii="Century Gothic" w:hAnsi="Century Gothic"/>
              </w:rPr>
            </w:pPr>
            <w:r w:rsidRPr="00AF4988">
              <w:rPr>
                <w:rFonts w:ascii="Century Gothic" w:hAnsi="Century Gothic"/>
              </w:rPr>
              <w:t>2019</w:t>
            </w:r>
          </w:p>
        </w:tc>
        <w:tc>
          <w:tcPr>
            <w:tcW w:w="1126" w:type="dxa"/>
            <w:shd w:val="clear" w:color="auto" w:fill="333333"/>
          </w:tcPr>
          <w:p w:rsidR="004B454F" w:rsidRPr="00AF4988" w:rsidRDefault="004B454F" w:rsidP="00286C92">
            <w:pPr>
              <w:pStyle w:val="TableColumnHeadings"/>
              <w:rPr>
                <w:rFonts w:ascii="Century Gothic" w:hAnsi="Century Gothic"/>
              </w:rPr>
            </w:pPr>
            <w:r w:rsidRPr="00AF4988">
              <w:rPr>
                <w:rFonts w:ascii="Century Gothic" w:hAnsi="Century Gothic"/>
              </w:rPr>
              <w:t>2020</w:t>
            </w:r>
          </w:p>
        </w:tc>
        <w:tc>
          <w:tcPr>
            <w:tcW w:w="1125" w:type="dxa"/>
            <w:shd w:val="clear" w:color="auto" w:fill="333333"/>
          </w:tcPr>
          <w:p w:rsidR="004B454F" w:rsidRPr="00AF4988" w:rsidRDefault="004B454F" w:rsidP="00286C92">
            <w:pPr>
              <w:pStyle w:val="TableColumnHeadings"/>
              <w:rPr>
                <w:rFonts w:ascii="Century Gothic" w:hAnsi="Century Gothic"/>
              </w:rPr>
            </w:pPr>
            <w:r w:rsidRPr="00AF4988">
              <w:rPr>
                <w:rFonts w:ascii="Century Gothic" w:hAnsi="Century Gothic"/>
              </w:rPr>
              <w:t>2021</w:t>
            </w:r>
          </w:p>
        </w:tc>
        <w:tc>
          <w:tcPr>
            <w:tcW w:w="1126" w:type="dxa"/>
            <w:shd w:val="clear" w:color="auto" w:fill="333333"/>
          </w:tcPr>
          <w:p w:rsidR="004B454F" w:rsidRPr="00AF4988" w:rsidRDefault="004B454F" w:rsidP="00286C92">
            <w:pPr>
              <w:pStyle w:val="TableColumnHeadings"/>
              <w:rPr>
                <w:rFonts w:ascii="Century Gothic" w:hAnsi="Century Gothic"/>
              </w:rPr>
            </w:pPr>
            <w:r w:rsidRPr="00AF4988">
              <w:rPr>
                <w:rFonts w:ascii="Century Gothic" w:hAnsi="Century Gothic"/>
              </w:rPr>
              <w:t>2022</w:t>
            </w:r>
          </w:p>
        </w:tc>
        <w:tc>
          <w:tcPr>
            <w:tcW w:w="1126" w:type="dxa"/>
            <w:shd w:val="clear" w:color="auto" w:fill="333333"/>
          </w:tcPr>
          <w:p w:rsidR="004B454F" w:rsidRPr="00AF4988" w:rsidRDefault="004B454F" w:rsidP="00286C92">
            <w:pPr>
              <w:pStyle w:val="TableColumnHeadings"/>
              <w:rPr>
                <w:rFonts w:ascii="Century Gothic" w:hAnsi="Century Gothic"/>
              </w:rPr>
            </w:pPr>
            <w:r w:rsidRPr="00AF4988">
              <w:rPr>
                <w:rFonts w:ascii="Century Gothic" w:hAnsi="Century Gothic"/>
              </w:rPr>
              <w:t>Total</w:t>
            </w:r>
          </w:p>
        </w:tc>
      </w:tr>
      <w:tr w:rsidR="002F14F5" w:rsidRPr="008A4AF0" w:rsidTr="00225B6F">
        <w:tc>
          <w:tcPr>
            <w:tcW w:w="1683" w:type="dxa"/>
            <w:shd w:val="clear" w:color="auto" w:fill="auto"/>
            <w:vAlign w:val="center"/>
          </w:tcPr>
          <w:p w:rsidR="002F14F5" w:rsidRPr="008A4AF0" w:rsidRDefault="002F14F5" w:rsidP="00286C92">
            <w:pPr>
              <w:pStyle w:val="TableBodyCells"/>
              <w:keepNext/>
              <w:jc w:val="left"/>
            </w:pPr>
            <w:r>
              <w:t>Capex</w:t>
            </w:r>
          </w:p>
        </w:tc>
        <w:tc>
          <w:tcPr>
            <w:tcW w:w="1125" w:type="dxa"/>
            <w:shd w:val="clear" w:color="auto" w:fill="auto"/>
          </w:tcPr>
          <w:p w:rsidR="002F14F5" w:rsidRPr="002F14F5" w:rsidRDefault="002F14F5" w:rsidP="002F14F5">
            <w:pPr>
              <w:pStyle w:val="TableBodyCells"/>
              <w:rPr>
                <w:color w:val="000000"/>
              </w:rPr>
            </w:pPr>
            <w:r w:rsidRPr="002F14F5">
              <w:rPr>
                <w:color w:val="000000"/>
              </w:rPr>
              <w:t xml:space="preserve"> 23.7 </w:t>
            </w:r>
          </w:p>
        </w:tc>
        <w:tc>
          <w:tcPr>
            <w:tcW w:w="1126" w:type="dxa"/>
            <w:shd w:val="clear" w:color="auto" w:fill="auto"/>
          </w:tcPr>
          <w:p w:rsidR="002F14F5" w:rsidRPr="002F14F5" w:rsidRDefault="002F14F5" w:rsidP="002F14F5">
            <w:pPr>
              <w:pStyle w:val="TableBodyCells"/>
              <w:rPr>
                <w:color w:val="000000"/>
              </w:rPr>
            </w:pPr>
            <w:r w:rsidRPr="002F14F5">
              <w:rPr>
                <w:color w:val="000000"/>
              </w:rPr>
              <w:t xml:space="preserve"> 44.2 </w:t>
            </w:r>
          </w:p>
        </w:tc>
        <w:tc>
          <w:tcPr>
            <w:tcW w:w="1126" w:type="dxa"/>
            <w:shd w:val="clear" w:color="auto" w:fill="auto"/>
          </w:tcPr>
          <w:p w:rsidR="002F14F5" w:rsidRPr="002F14F5" w:rsidRDefault="002F14F5" w:rsidP="002F14F5">
            <w:pPr>
              <w:pStyle w:val="TableBodyCells"/>
              <w:rPr>
                <w:color w:val="000000"/>
              </w:rPr>
            </w:pPr>
            <w:r w:rsidRPr="002F14F5">
              <w:rPr>
                <w:color w:val="000000"/>
              </w:rPr>
              <w:t xml:space="preserve"> 58.8 </w:t>
            </w:r>
          </w:p>
        </w:tc>
        <w:tc>
          <w:tcPr>
            <w:tcW w:w="1125" w:type="dxa"/>
          </w:tcPr>
          <w:p w:rsidR="002F14F5" w:rsidRPr="002F14F5" w:rsidRDefault="002F14F5" w:rsidP="002F14F5">
            <w:pPr>
              <w:pStyle w:val="TableBodyCells"/>
              <w:rPr>
                <w:color w:val="000000"/>
              </w:rPr>
            </w:pPr>
            <w:r w:rsidRPr="002F14F5">
              <w:rPr>
                <w:color w:val="000000"/>
              </w:rPr>
              <w:t xml:space="preserve"> -  </w:t>
            </w:r>
          </w:p>
        </w:tc>
        <w:tc>
          <w:tcPr>
            <w:tcW w:w="1126" w:type="dxa"/>
          </w:tcPr>
          <w:p w:rsidR="002F14F5" w:rsidRPr="002F14F5" w:rsidRDefault="002F14F5" w:rsidP="002F14F5">
            <w:pPr>
              <w:pStyle w:val="TableBodyCells"/>
              <w:rPr>
                <w:color w:val="000000"/>
              </w:rPr>
            </w:pPr>
            <w:r w:rsidRPr="002F14F5">
              <w:rPr>
                <w:color w:val="000000"/>
              </w:rPr>
              <w:t xml:space="preserve"> -  </w:t>
            </w:r>
          </w:p>
        </w:tc>
        <w:tc>
          <w:tcPr>
            <w:tcW w:w="1126" w:type="dxa"/>
            <w:shd w:val="clear" w:color="auto" w:fill="auto"/>
          </w:tcPr>
          <w:p w:rsidR="002F14F5" w:rsidRPr="002F14F5" w:rsidRDefault="002F14F5" w:rsidP="002F14F5">
            <w:pPr>
              <w:pStyle w:val="TableBodyCells"/>
              <w:rPr>
                <w:color w:val="000000"/>
              </w:rPr>
            </w:pPr>
            <w:r w:rsidRPr="002F14F5">
              <w:rPr>
                <w:color w:val="000000"/>
              </w:rPr>
              <w:t xml:space="preserve"> 126.7 </w:t>
            </w:r>
          </w:p>
        </w:tc>
      </w:tr>
    </w:tbl>
    <w:p w:rsidR="00645567" w:rsidRDefault="00645567" w:rsidP="00844B3C">
      <w:pPr>
        <w:pStyle w:val="BodyText"/>
      </w:pPr>
    </w:p>
    <w:p w:rsidR="00844B3C" w:rsidRDefault="00844B3C" w:rsidP="00844B3C">
      <w:pPr>
        <w:pStyle w:val="Heading3"/>
      </w:pPr>
      <w:r>
        <w:lastRenderedPageBreak/>
        <w:t>Prior consideration of the WORM project</w:t>
      </w:r>
    </w:p>
    <w:p w:rsidR="00844B3C" w:rsidRDefault="00844B3C" w:rsidP="00844B3C">
      <w:pPr>
        <w:pStyle w:val="BodyText"/>
      </w:pPr>
      <w:r>
        <w:t xml:space="preserve">The WORM project was </w:t>
      </w:r>
      <w:r w:rsidR="00D148F0">
        <w:t>first conceived</w:t>
      </w:r>
      <w:r>
        <w:t xml:space="preserve"> over 10 years ago by APA VTS. The project at that stage was known as the Brooklyn to Wollert Loop project which had a slightly increased scope to the current WORM project as it is known today. </w:t>
      </w:r>
    </w:p>
    <w:p w:rsidR="00BD5CD0" w:rsidRDefault="00844B3C" w:rsidP="00844B3C">
      <w:pPr>
        <w:pStyle w:val="BodyText"/>
      </w:pPr>
      <w:r>
        <w:t xml:space="preserve">APA VTS submitted a proposal for the full WORM project including option analysis for the 2013-2017 access arrangement </w:t>
      </w:r>
      <w:proofErr w:type="gramStart"/>
      <w:r>
        <w:t>period</w:t>
      </w:r>
      <w:proofErr w:type="gramEnd"/>
      <w:r>
        <w:t>. While not approving the WORM at that time, the AER stated in their Final Decision that the completion of the outer ring main around Melbourne “to have merit from a technical perspective and in the future, prove to be a prudent response to the augmentation needs of the VTS in the longer term”.</w:t>
      </w:r>
      <w:r w:rsidR="000B69BB">
        <w:rPr>
          <w:rStyle w:val="FootnoteReference"/>
        </w:rPr>
        <w:footnoteReference w:id="14"/>
      </w:r>
      <w:r w:rsidR="00DC79FD">
        <w:t xml:space="preserve"> </w:t>
      </w:r>
    </w:p>
    <w:p w:rsidR="00844B3C" w:rsidRDefault="00DC79FD" w:rsidP="00844B3C">
      <w:pPr>
        <w:pStyle w:val="BodyText"/>
      </w:pPr>
      <w:r>
        <w:t>It is worth noting that, at th</w:t>
      </w:r>
      <w:r w:rsidRPr="00D40AD0">
        <w:t xml:space="preserve">e time of </w:t>
      </w:r>
      <w:r w:rsidR="00BD5CD0" w:rsidRPr="00D40AD0">
        <w:t xml:space="preserve">the AER’s draft and final decisions on the WORM for the previous period, there were no identified concerns with summer refill capacity of the Iona UGS. Constraints on summer refill, such that there are concerns whether Iona UGS can be refilled at its current capacity over a summer, is a very new phenomenon, and is driven </w:t>
      </w:r>
      <w:r w:rsidR="00C224EF">
        <w:t>by</w:t>
      </w:r>
      <w:r w:rsidR="00C224EF" w:rsidRPr="00D40AD0">
        <w:t xml:space="preserve"> </w:t>
      </w:r>
      <w:r w:rsidR="00BD5CD0" w:rsidRPr="00D40AD0">
        <w:t xml:space="preserve">changing gas supply and shipper refill patterns, as discussed in more detail in section </w:t>
      </w:r>
      <w:r w:rsidR="00D40AD0" w:rsidRPr="00D40AD0">
        <w:fldChar w:fldCharType="begin"/>
      </w:r>
      <w:r w:rsidR="00D40AD0" w:rsidRPr="00D40AD0">
        <w:instrText xml:space="preserve"> REF _Ref482343678 \r \h </w:instrText>
      </w:r>
      <w:r w:rsidR="00D40AD0">
        <w:instrText xml:space="preserve"> \* MERGEFORMAT </w:instrText>
      </w:r>
      <w:r w:rsidR="00D40AD0" w:rsidRPr="00D40AD0">
        <w:fldChar w:fldCharType="separate"/>
      </w:r>
      <w:r w:rsidR="006D055F">
        <w:t>3.1</w:t>
      </w:r>
      <w:r w:rsidR="00D40AD0" w:rsidRPr="00D40AD0">
        <w:fldChar w:fldCharType="end"/>
      </w:r>
      <w:r w:rsidR="00BD5CD0" w:rsidRPr="00D40AD0">
        <w:t xml:space="preserve"> above.</w:t>
      </w:r>
    </w:p>
    <w:p w:rsidR="00844B3C" w:rsidRDefault="00844B3C" w:rsidP="00844B3C">
      <w:pPr>
        <w:pStyle w:val="BodyText"/>
      </w:pPr>
      <w:r>
        <w:t>Based on information available at the time, in January 2017, APA submitted a proposal for the easement acquisition for the WORM for the VTS Access Arrangement 2018-2022 period (refer to Business Case 504 – Western Outer Ring Main easement). The easement acquisition was proposed taking into account the fact that access</w:t>
      </w:r>
      <w:r w:rsidR="00D40AD0">
        <w:t>ing</w:t>
      </w:r>
      <w:r>
        <w:t xml:space="preserve"> and securing easements will become increasingly difficult and more expensive over time with urban growth along the route.</w:t>
      </w:r>
    </w:p>
    <w:p w:rsidR="00844B3C" w:rsidRDefault="000B69BB" w:rsidP="000B69BB">
      <w:pPr>
        <w:pStyle w:val="Heading3"/>
      </w:pPr>
      <w:r>
        <w:t xml:space="preserve">Rationale for proposing WORM project within the </w:t>
      </w:r>
      <w:r w:rsidR="00BD5CD0">
        <w:t xml:space="preserve">forecast </w:t>
      </w:r>
      <w:r>
        <w:t>period</w:t>
      </w:r>
    </w:p>
    <w:p w:rsidR="00151C3A" w:rsidRDefault="00151C3A" w:rsidP="000B69BB">
      <w:pPr>
        <w:pStyle w:val="Heading5"/>
      </w:pPr>
      <w:r>
        <w:t>Ensuring adequate capacity for refill of Iona UGS</w:t>
      </w:r>
    </w:p>
    <w:p w:rsidR="00151C3A" w:rsidRDefault="00151C3A" w:rsidP="00151C3A">
      <w:pPr>
        <w:pStyle w:val="BodyText"/>
      </w:pPr>
      <w:r>
        <w:t xml:space="preserve">AEMO released the GSOO document in March 2017 which identified a tightening of gas supply demand balance in Victoria, South Australia and NSW, leading to an increasing risk of supply shortfalls in the gas and electricity markets.  AEMO’s </w:t>
      </w:r>
      <w:r w:rsidR="00D40AD0">
        <w:t>2017 VGPR</w:t>
      </w:r>
      <w:r>
        <w:t xml:space="preserve"> stated that inadequate refilling of </w:t>
      </w:r>
      <w:r>
        <w:lastRenderedPageBreak/>
        <w:t xml:space="preserve">the Iona UGS system outside winter due to capacity limitations on the </w:t>
      </w:r>
      <w:r w:rsidR="00D40AD0">
        <w:t xml:space="preserve">SWP </w:t>
      </w:r>
      <w:r>
        <w:t>will increase the risk of shortfall in meeting gas supply in the VTS from winter 2018.</w:t>
      </w:r>
    </w:p>
    <w:p w:rsidR="00151C3A" w:rsidRDefault="00151C3A" w:rsidP="00151C3A">
      <w:pPr>
        <w:pStyle w:val="BodyText"/>
      </w:pPr>
      <w:r>
        <w:t xml:space="preserve">With the closure of Hazelwood Power Station, AEMO forecast that Laverton </w:t>
      </w:r>
      <w:r w:rsidR="00D40AD0">
        <w:t>GPG</w:t>
      </w:r>
      <w:r>
        <w:t xml:space="preserve"> may run more often</w:t>
      </w:r>
      <w:r>
        <w:rPr>
          <w:rStyle w:val="FootnoteReference"/>
        </w:rPr>
        <w:footnoteReference w:id="15"/>
      </w:r>
      <w:r>
        <w:t xml:space="preserve">. The gas consumption of Laverton </w:t>
      </w:r>
      <w:r w:rsidR="00D40AD0">
        <w:t>North PS</w:t>
      </w:r>
      <w:r>
        <w:t xml:space="preserve"> has a direct impact on the ability to use the SWP to refill UGS. If UGS is not refilled adequately, it would result in increasing risk of shortfalls in gas supply in Victoria as soon as winter 2018. AEMO has identified this as a threat to system security in the VTS. </w:t>
      </w:r>
    </w:p>
    <w:p w:rsidR="00151C3A" w:rsidRDefault="00151C3A" w:rsidP="00151C3A">
      <w:pPr>
        <w:pStyle w:val="BodyText"/>
      </w:pPr>
      <w:r>
        <w:t xml:space="preserve">The proposed WORM project, in conjunction with proposed reconfiguration works at Brooklyn Compressor Station and Winchelsea compressor, will increase capacity for refill of Iona UGS. A key aspect of the WORM that supports refill is that it provides for bypass of the Laverton North </w:t>
      </w:r>
      <w:r w:rsidR="005A19C5">
        <w:t>PS</w:t>
      </w:r>
      <w:r>
        <w:t xml:space="preserve">. </w:t>
      </w:r>
    </w:p>
    <w:p w:rsidR="00151C3A" w:rsidRDefault="00151C3A" w:rsidP="00151C3A">
      <w:pPr>
        <w:pStyle w:val="BodyText"/>
      </w:pPr>
      <w:r>
        <w:t xml:space="preserve">The Laverton North PS is situated at an offtake on the </w:t>
      </w:r>
      <w:r w:rsidR="00D148F0">
        <w:t>Brooklyn Corio Pipeline</w:t>
      </w:r>
      <w:r>
        <w:t xml:space="preserve">. When Laverton North PS runs, it diverts gas from Iona UGS refill on a one-to-one basis. As the window for refill tightens due to the limited availability of gas, this diversion of capacity increasingly puts adequate refill of Iona UGS at risk. In an environment where there is potential for Laverton North PS to operate more frequently across the summer, adequate summer refill can become more uncertain. One possibility is the curtailment of Laverton North PS to support refill, however this could have significant implications for electricity supply.  </w:t>
      </w:r>
    </w:p>
    <w:p w:rsidR="00151C3A" w:rsidRPr="000B69BB" w:rsidRDefault="00151C3A" w:rsidP="000B69BB">
      <w:pPr>
        <w:pStyle w:val="Heading5"/>
      </w:pPr>
      <w:r w:rsidRPr="000B69BB">
        <w:t xml:space="preserve">Some increased capacity for SWP injections into VTS </w:t>
      </w:r>
    </w:p>
    <w:p w:rsidR="000B69BB" w:rsidRDefault="000B69BB" w:rsidP="00151C3A">
      <w:pPr>
        <w:pStyle w:val="BodyText"/>
      </w:pPr>
      <w:r>
        <w:t>The WORM project provides some additional capacity for injections into the VTS from Port Campbell. While not the primary driver for the WORM, additional capacity does restore eastbound capacity recently eroded by changes in AEMO’s p</w:t>
      </w:r>
      <w:r w:rsidR="00A04A1D">
        <w:t>eak</w:t>
      </w:r>
      <w:r>
        <w:t xml:space="preserve"> capacity forecast.</w:t>
      </w:r>
      <w:r>
        <w:rPr>
          <w:rStyle w:val="FootnoteReference"/>
        </w:rPr>
        <w:footnoteReference w:id="16"/>
      </w:r>
      <w:r>
        <w:t xml:space="preserve"> </w:t>
      </w:r>
    </w:p>
    <w:p w:rsidR="00151C3A" w:rsidRDefault="00151C3A" w:rsidP="000B69BB">
      <w:pPr>
        <w:pStyle w:val="Heading5"/>
      </w:pPr>
      <w:r>
        <w:t>Security of supply</w:t>
      </w:r>
    </w:p>
    <w:p w:rsidR="00151C3A" w:rsidRDefault="00151C3A" w:rsidP="00151C3A">
      <w:pPr>
        <w:pStyle w:val="BodyText"/>
      </w:pPr>
      <w:r>
        <w:t xml:space="preserve">In the event of </w:t>
      </w:r>
      <w:r w:rsidR="005A19C5">
        <w:t>loss of supply from any of the m</w:t>
      </w:r>
      <w:r>
        <w:t xml:space="preserve">arket scheduled gas trains at Longford, Port Campbell (UGS, Otway or Minerva) or Pakenham (Lang </w:t>
      </w:r>
      <w:r>
        <w:lastRenderedPageBreak/>
        <w:t xml:space="preserve">Lang), it would be possible for alternate supplies to be scheduled.  Flow constraints on either South West Pipeline/Brooklyn Lara Pipeline or Eastern systems are removed with the WORM. For example, gas from the </w:t>
      </w:r>
      <w:r w:rsidR="00D148F0">
        <w:t xml:space="preserve">Iona </w:t>
      </w:r>
      <w:r>
        <w:t>UGS or from the north from Culcairn would be able to respond with additional shortfall volumes should a supply issue occur at Longford, and vice-versa.</w:t>
      </w:r>
    </w:p>
    <w:p w:rsidR="00151C3A" w:rsidRDefault="00151C3A" w:rsidP="00151C3A">
      <w:pPr>
        <w:pStyle w:val="BodyText"/>
      </w:pPr>
      <w:r>
        <w:t>In October 2016, a 6 hour unplanned outage of the Longford Gas Plant caused AEMO to issue a notice of a threat to system security. If the outage had persisted, curtailments in northern and eastern Victoria would have been required. There was sufficient gas at Port Campbell but due to the current system configuration, that gas could not be transferred from Port Campbell. With the WORM, gas can be transported to and from Port Campbell, hence reducing the risk to system security during Longford plant outages.</w:t>
      </w:r>
    </w:p>
    <w:p w:rsidR="00151C3A" w:rsidRDefault="00151C3A" w:rsidP="000B69BB">
      <w:pPr>
        <w:pStyle w:val="Heading5"/>
      </w:pPr>
      <w:r>
        <w:t xml:space="preserve">Operational benefits </w:t>
      </w:r>
    </w:p>
    <w:p w:rsidR="00A04A1D" w:rsidRDefault="00A04A1D" w:rsidP="00A04A1D">
      <w:pPr>
        <w:pStyle w:val="BodyText"/>
      </w:pPr>
      <w:r>
        <w:t>A direct connection between the WORM and the Pakenham to Wollert pipeline would allow gas to flow interchangeably between the east and west systems with fixed operating set points and without direct operator intervention.  The VTS will therefore be able to operate within a tighter band of operation than is currently achieved.  AEMO currently manages linepack with stop/start operation at Brooklyn and Wollert Compressor Stations and Brooklyn City Gate.  Current practices to move gas out of the South West Pipeline/Brooklyn Lara Pipeline is to change the set points at the Brooklyn, Wollert and Dandenong regulator stations.</w:t>
      </w:r>
    </w:p>
    <w:p w:rsidR="00A04A1D" w:rsidRDefault="00A04A1D" w:rsidP="00A04A1D">
      <w:pPr>
        <w:pStyle w:val="BodyText"/>
      </w:pPr>
      <w:r>
        <w:t>Once the WORM project is completed, the operation of major supply Pressure Reduction Stations (PRS) stations at Dandenong, Brooklyn and Wollert would be set at fixed outlet pressure, including Brooklyn and Lara supplying the Geelong pipeline. Wollert becomes a hub managing transfers across the Pakenham-Wollert-Rockbank systems and balances linepack in the VTS.</w:t>
      </w:r>
    </w:p>
    <w:p w:rsidR="00A04A1D" w:rsidRDefault="00A04A1D" w:rsidP="00A04A1D">
      <w:pPr>
        <w:pStyle w:val="BodyText"/>
      </w:pPr>
      <w:r>
        <w:t>With the WORM in place, there will be better management of the VTS. Currently, the VTS operates within a tight band of linepack. The WORM creates additional “storage” or buffer, hence having the following benefits:</w:t>
      </w:r>
    </w:p>
    <w:p w:rsidR="00A04A1D" w:rsidRDefault="00A04A1D" w:rsidP="00A04A1D">
      <w:pPr>
        <w:pStyle w:val="ListBullet"/>
      </w:pPr>
      <w:r>
        <w:t xml:space="preserve">Linepack Balancing: The capability of balancing linepack across the Western/Northern/Eastern systems using the WORM and Wollert compressor hub reduces the risk of Longford or Port Campbell plant trip </w:t>
      </w:r>
      <w:r>
        <w:lastRenderedPageBreak/>
        <w:t>due to a high pressure constraint (e.g. in early morning) in the supplying Longford or Port Campbell pipelines.  High operating pressures presently at both Longford and Port Campbell are required in order to meet peak loads.</w:t>
      </w:r>
    </w:p>
    <w:p w:rsidR="00A04A1D" w:rsidRDefault="00A04A1D" w:rsidP="00A04A1D">
      <w:pPr>
        <w:pStyle w:val="ListBullet"/>
      </w:pPr>
      <w:r>
        <w:t xml:space="preserve">Gas Powered Generation readiness: Management of linepack depletion due to short-term operation of </w:t>
      </w:r>
      <w:r w:rsidR="005A19C5">
        <w:t>GPG</w:t>
      </w:r>
      <w:r>
        <w:t xml:space="preserve"> in the first half of the gas day becomes easier with the facility to transfer gas across the WORM as required, matching the available supply to the demand location. Operation of the Geelong pipeline at 5000 </w:t>
      </w:r>
      <w:proofErr w:type="spellStart"/>
      <w:r>
        <w:t>kPag</w:t>
      </w:r>
      <w:proofErr w:type="spellEnd"/>
      <w:r>
        <w:t xml:space="preserve"> typical pressure (fixed nominal </w:t>
      </w:r>
      <w:proofErr w:type="spellStart"/>
      <w:r>
        <w:t>setpoints</w:t>
      </w:r>
      <w:proofErr w:type="spellEnd"/>
      <w:r>
        <w:t xml:space="preserve"> at Lara and Brooklyn) allows </w:t>
      </w:r>
      <w:r w:rsidR="005A19C5">
        <w:t>GPG</w:t>
      </w:r>
      <w:r>
        <w:t xml:space="preserve"> at North Laverton to be capable of immediate operation (whether gas is sourced from either Longford or Port Campbell), unlike the current operating position where system pressures may need to be adjusted or compressors started to permit the </w:t>
      </w:r>
      <w:r w:rsidR="005A19C5">
        <w:t xml:space="preserve">gas powered generators </w:t>
      </w:r>
      <w:r>
        <w:t xml:space="preserve">to operate.  Similarly, </w:t>
      </w:r>
      <w:r w:rsidR="005A19C5">
        <w:t>GPG</w:t>
      </w:r>
      <w:r>
        <w:t xml:space="preserve"> at Somerton would be capable of immediate operation, unlike current operations when Wollert is periodically shut down to facilitate SWP/BLP flows via Brooklyn.</w:t>
      </w:r>
    </w:p>
    <w:p w:rsidR="00151C3A" w:rsidRDefault="00A04A1D" w:rsidP="00A04A1D">
      <w:pPr>
        <w:pStyle w:val="ListBullet"/>
      </w:pPr>
      <w:r>
        <w:t>Gas-on-gas competition: Ability to maintain gas contracts with the assurance that any surplus gas supply can be physically injected into the VTS, even in periods of low system demand.</w:t>
      </w:r>
    </w:p>
    <w:p w:rsidR="00151C3A" w:rsidRDefault="00A04A1D" w:rsidP="00A04A1D">
      <w:pPr>
        <w:pStyle w:val="Heading5"/>
      </w:pPr>
      <w:r>
        <w:t>Reducing reliance on Brooklyn Compressor station site</w:t>
      </w:r>
    </w:p>
    <w:p w:rsidR="00A04A1D" w:rsidRDefault="00A04A1D" w:rsidP="00A04A1D">
      <w:pPr>
        <w:pStyle w:val="BodyText"/>
      </w:pPr>
      <w:r>
        <w:t xml:space="preserve">The Brooklyn compressors are currently used to refill the </w:t>
      </w:r>
      <w:r w:rsidR="005A19C5">
        <w:t>Iona UGS</w:t>
      </w:r>
      <w:r>
        <w:t xml:space="preserve"> facility and also to maintain capacity on the Brooklyn to Ballarat and Geelong systems. The construction of the WORM reduces the reliance on the Brooklyn compressor site both operationally and for future growth in capacity on the VTS.  Brooklyn is not the optimal location in terms of capacity expansion of the VTS and the site is heavily congested making augmentations technically difficult and therefore expensive.</w:t>
      </w:r>
    </w:p>
    <w:p w:rsidR="00A04A1D" w:rsidRDefault="00A04A1D" w:rsidP="00A04A1D">
      <w:pPr>
        <w:pStyle w:val="BodyText"/>
      </w:pPr>
      <w:r>
        <w:t xml:space="preserve">With the WORM, one compressor unit at Wollert would increase the capacity into the </w:t>
      </w:r>
      <w:r w:rsidR="005A19C5">
        <w:t>Iona UGS facility by</w:t>
      </w:r>
      <w:r>
        <w:t xml:space="preserve"> over 100 TJ/d with 1030 TJ/d injections at Longford (and over 150 TJ/d with 750 TJ/d injections at Longford). The increased capacity to the </w:t>
      </w:r>
      <w:r w:rsidR="00D148F0">
        <w:t>Iona UGS</w:t>
      </w:r>
      <w:r>
        <w:t xml:space="preserve"> facility is achieved with considerably less than half the compression required compared to using two or more compressors at Brooklyn. Greater package efficiency (lower fuel per volume of gas moved) is achievable by compressing at Wollert into the WORM as </w:t>
      </w:r>
      <w:r>
        <w:lastRenderedPageBreak/>
        <w:t>available suction pressure from the Pakenham to Wollert pipeline is significantly higher than the Melbourne pressure.</w:t>
      </w:r>
    </w:p>
    <w:p w:rsidR="00A04A1D" w:rsidRDefault="00A04A1D" w:rsidP="00A04A1D">
      <w:pPr>
        <w:pStyle w:val="BodyText"/>
      </w:pPr>
      <w:r>
        <w:t xml:space="preserve">The WORM also has the impact of reducing fuel gas consumption and compressor maintenance costs </w:t>
      </w:r>
      <w:r w:rsidR="00D41CDA">
        <w:t xml:space="preserve">over the life of the compressor </w:t>
      </w:r>
      <w:r>
        <w:t>to manage flows betw</w:t>
      </w:r>
      <w:r w:rsidR="005A19C5">
        <w:t>een Longford and Port Campbell.</w:t>
      </w:r>
      <w:r w:rsidR="005A19C5">
        <w:rPr>
          <w:rStyle w:val="FootnoteReference"/>
        </w:rPr>
        <w:footnoteReference w:id="17"/>
      </w:r>
      <w:r>
        <w:t xml:space="preserve"> There will be less reliance on Brooklyn compressors to compress gas towards Port Campbell. The VGPR noted that in 2015/16 the Brooklyn compressor station used 331TJ of fuel gas.  With the WORM AEMO is estimating that half that amount will be required.</w:t>
      </w:r>
    </w:p>
    <w:p w:rsidR="00151C3A" w:rsidRDefault="00A04A1D" w:rsidP="00A04A1D">
      <w:pPr>
        <w:pStyle w:val="Heading5"/>
      </w:pPr>
      <w:r>
        <w:t>Future growth</w:t>
      </w:r>
    </w:p>
    <w:p w:rsidR="00A04A1D" w:rsidRDefault="00A04A1D" w:rsidP="00A04A1D">
      <w:pPr>
        <w:pStyle w:val="BodyText"/>
      </w:pPr>
      <w:r>
        <w:t xml:space="preserve">The WORM does provide capacity for the VTS for future growth. APA estimates that the WORM would be required for growth (in addition to the current system security benefits) by 2025. </w:t>
      </w:r>
    </w:p>
    <w:p w:rsidR="00A04A1D" w:rsidRDefault="00A04A1D" w:rsidP="00A04A1D">
      <w:pPr>
        <w:pStyle w:val="BodyText"/>
      </w:pPr>
      <w:r>
        <w:t>The WORM route may provide an offtake point for mains extensions to Kalkallo and also provides future connection provisions for new custody transfer meter (CTM) stations for Network Operators at Tullamarine and Mickleham.</w:t>
      </w:r>
    </w:p>
    <w:p w:rsidR="00151C3A" w:rsidRDefault="00A04A1D" w:rsidP="00A04A1D">
      <w:pPr>
        <w:pStyle w:val="BodyText"/>
      </w:pPr>
      <w:r>
        <w:t xml:space="preserve">In combination with the Winchelsea compressor, the WORM provides the additional capacity to support growth such as new Gas Powered Generation. For example, the WORM could support Wollert CCGT (500MW to 1500MW), Newport CCGT, Truganina OCGT (360MW), </w:t>
      </w:r>
      <w:proofErr w:type="spellStart"/>
      <w:proofErr w:type="gramStart"/>
      <w:r>
        <w:t>LaTrobe</w:t>
      </w:r>
      <w:proofErr w:type="spellEnd"/>
      <w:proofErr w:type="gramEnd"/>
      <w:r>
        <w:t xml:space="preserve"> Valley (2000MW).  The WORM also supports gas exports to Culcairn by removing the constraint o</w:t>
      </w:r>
      <w:r w:rsidR="00D148F0">
        <w:t>n</w:t>
      </w:r>
      <w:r>
        <w:t xml:space="preserve"> western flow.</w:t>
      </w:r>
    </w:p>
    <w:p w:rsidR="00BD5CD0" w:rsidRDefault="006F01BE" w:rsidP="006F01BE">
      <w:pPr>
        <w:pStyle w:val="Heading2"/>
      </w:pPr>
      <w:bookmarkStart w:id="40" w:name="_Ref482107583"/>
      <w:bookmarkStart w:id="41" w:name="_Toc482626065"/>
      <w:r>
        <w:t>Consequential changes to capital expenditure forecast</w:t>
      </w:r>
      <w:bookmarkEnd w:id="40"/>
      <w:bookmarkEnd w:id="41"/>
    </w:p>
    <w:p w:rsidR="00AC6EB7" w:rsidRDefault="00AC6EB7" w:rsidP="00AC6EB7">
      <w:pPr>
        <w:pStyle w:val="BodyText"/>
      </w:pPr>
      <w:r>
        <w:t xml:space="preserve">As a result of the inclusion of the WORM in forecast capital expenditure there has been a reduction in the need to undertake additional work at Brooklyn </w:t>
      </w:r>
      <w:r w:rsidR="00D148F0">
        <w:t>Compressor Station</w:t>
      </w:r>
      <w:r>
        <w:t>.</w:t>
      </w:r>
    </w:p>
    <w:p w:rsidR="00AC6EB7" w:rsidRDefault="00AC6EB7" w:rsidP="00AC6EB7">
      <w:pPr>
        <w:pStyle w:val="BodyText"/>
      </w:pPr>
      <w:r>
        <w:t xml:space="preserve">Once the Brooklyn </w:t>
      </w:r>
      <w:r w:rsidR="00D148F0">
        <w:t xml:space="preserve">Compressor Station </w:t>
      </w:r>
      <w:r>
        <w:t xml:space="preserve">reconfiguration is completed Brooklyn Compressor Station Unit 10 once again becomes a backup unit to the station and in light of the reconfiguration the need to undertake additional capital expenditure of the type identified for the other compressors is not </w:t>
      </w:r>
      <w:r>
        <w:lastRenderedPageBreak/>
        <w:t xml:space="preserve">needed </w:t>
      </w:r>
      <w:r w:rsidRPr="00D148F0">
        <w:t xml:space="preserve">in the forecast access arrangement period.  The avoided capital expenditure </w:t>
      </w:r>
      <w:r w:rsidR="00D148F0" w:rsidRPr="00D148F0">
        <w:t>amounts to $2.5</w:t>
      </w:r>
      <w:r w:rsidRPr="00D148F0">
        <w:t>m ($</w:t>
      </w:r>
      <w:r w:rsidR="00D148F0" w:rsidRPr="00D148F0">
        <w:t>real 2017</w:t>
      </w:r>
      <w:r w:rsidRPr="00D148F0">
        <w:t>).</w:t>
      </w:r>
    </w:p>
    <w:p w:rsidR="00AC6EB7" w:rsidRDefault="00AC6EB7" w:rsidP="00AC6EB7">
      <w:pPr>
        <w:pStyle w:val="BodyText"/>
      </w:pPr>
      <w:r>
        <w:t xml:space="preserve">The Iona compressor station aftercooler upgrade is forecast in the January AA proposal to occur in 2021. </w:t>
      </w:r>
      <w:proofErr w:type="gramStart"/>
      <w:r>
        <w:t>Increased refill flows brings</w:t>
      </w:r>
      <w:proofErr w:type="gramEnd"/>
      <w:r>
        <w:t xml:space="preserve"> forward the need to complete these </w:t>
      </w:r>
      <w:r w:rsidRPr="00261E37">
        <w:t>works to 2018.  The aftercooler, as the name suggests, cools gas after it exits the compressors</w:t>
      </w:r>
      <w:r>
        <w:t>.  Currently the aftercooler is insufficiently sized for</w:t>
      </w:r>
      <w:r w:rsidR="00D148F0">
        <w:t xml:space="preserve"> the output of Iona Compressor S</w:t>
      </w:r>
      <w:r>
        <w:t>tation.  This results in a pressure fall as the gas goes through the aftercooler or the potential injection into the Western Transmission System of gas at temperatures higher than the appropriate standard.</w:t>
      </w:r>
    </w:p>
    <w:p w:rsidR="00AC6EB7" w:rsidRDefault="00AC6EB7" w:rsidP="00AC6EB7">
      <w:pPr>
        <w:pStyle w:val="BodyText"/>
      </w:pPr>
      <w:r>
        <w:t xml:space="preserve">Utilisation of the Iona compressors is a function of the refill of the Iona </w:t>
      </w:r>
      <w:r w:rsidR="00D148F0">
        <w:t>UGS</w:t>
      </w:r>
      <w:r>
        <w:t xml:space="preserve"> facility.  The Iona compressors are required to maintain pressures into the Western Transmission System when Iona storage refill reduces pressures entering that system.  APA VTS was able to delay this project as the required operation of the Iona compressor station was less than forecast at the time of the last access arrangement.</w:t>
      </w:r>
    </w:p>
    <w:p w:rsidR="00AC6EB7" w:rsidRDefault="00AC6EB7" w:rsidP="00AC6EB7">
      <w:pPr>
        <w:pStyle w:val="BodyText"/>
      </w:pPr>
      <w:r>
        <w:t>However, consistent with the new information from AEMO and other sources</w:t>
      </w:r>
      <w:r w:rsidR="00D148F0">
        <w:t>,</w:t>
      </w:r>
      <w:r>
        <w:t xml:space="preserve"> the changes to storage refill will require harder and more frequent running of the Iona Compressor Station.  As a result the limitations of the aftercooler are expected to be encountered more frequently, with greater severity, than has been the case in recent years.  This may affect the ability of APA to maintain pressures into the Western Transmission System.  This project is supported by AEMO.</w:t>
      </w:r>
      <w:r>
        <w:rPr>
          <w:rStyle w:val="FootnoteReference"/>
        </w:rPr>
        <w:footnoteReference w:id="18"/>
      </w:r>
    </w:p>
    <w:p w:rsidR="00AC6EB7" w:rsidRDefault="00AC6EB7" w:rsidP="00AC6EB7">
      <w:pPr>
        <w:pStyle w:val="Heading2"/>
      </w:pPr>
      <w:bookmarkStart w:id="42" w:name="_Ref482622694"/>
      <w:bookmarkStart w:id="43" w:name="_Toc482626066"/>
      <w:r>
        <w:t>Projects identified as being avoided by the WORM in the 2012 proposal</w:t>
      </w:r>
      <w:bookmarkEnd w:id="42"/>
      <w:bookmarkEnd w:id="43"/>
    </w:p>
    <w:p w:rsidR="00AC6EB7" w:rsidRDefault="00AC6EB7" w:rsidP="00AC6EB7">
      <w:pPr>
        <w:pStyle w:val="BodyText"/>
      </w:pPr>
      <w:r>
        <w:t>In 2012</w:t>
      </w:r>
      <w:r w:rsidR="00D148F0">
        <w:t>,</w:t>
      </w:r>
      <w:r>
        <w:t xml:space="preserve"> APA VTS proposed the WORM as part of its access arrangement proposal and identified a number of projects t</w:t>
      </w:r>
      <w:r w:rsidR="00D148F0">
        <w:t xml:space="preserve">hat would need to be undertaken, or that would be more expensive to complete, </w:t>
      </w:r>
      <w:r>
        <w:t>in the absence of the WORM</w:t>
      </w:r>
      <w:r w:rsidR="00D148F0">
        <w:t xml:space="preserve">. These included projects to ensure the </w:t>
      </w:r>
      <w:r>
        <w:t>continue</w:t>
      </w:r>
      <w:r w:rsidR="00D148F0">
        <w:t>d</w:t>
      </w:r>
      <w:r>
        <w:t xml:space="preserve"> safe and reliable operation of the pipeline.  </w:t>
      </w:r>
    </w:p>
    <w:p w:rsidR="00AC6EB7" w:rsidRDefault="00AC6EB7" w:rsidP="00AC6EB7">
      <w:pPr>
        <w:pStyle w:val="BodyText"/>
      </w:pPr>
      <w:r>
        <w:t>APA VTS identified the following projects:</w:t>
      </w:r>
    </w:p>
    <w:p w:rsidR="00AC6EB7" w:rsidRDefault="00AC6EB7" w:rsidP="00AC6EB7">
      <w:pPr>
        <w:pStyle w:val="NumberList1"/>
      </w:pPr>
      <w:r>
        <w:t>Sunbury Loop;</w:t>
      </w:r>
    </w:p>
    <w:p w:rsidR="00AC6EB7" w:rsidRDefault="00AC6EB7" w:rsidP="00AC6EB7">
      <w:pPr>
        <w:pStyle w:val="NumberList1"/>
      </w:pPr>
      <w:r>
        <w:lastRenderedPageBreak/>
        <w:t>BCS Station Isolation and Loading valves;</w:t>
      </w:r>
    </w:p>
    <w:p w:rsidR="00AC6EB7" w:rsidRDefault="00AC6EB7" w:rsidP="00AC6EB7">
      <w:pPr>
        <w:pStyle w:val="NumberList1"/>
      </w:pPr>
      <w:r>
        <w:t>BCS Gas Engine Alternator (generator) upgrade;</w:t>
      </w:r>
    </w:p>
    <w:p w:rsidR="00AC6EB7" w:rsidRDefault="00AC6EB7" w:rsidP="00AC6EB7">
      <w:pPr>
        <w:pStyle w:val="NumberList1"/>
      </w:pPr>
      <w:r>
        <w:t>Wollert CS A instrumentation;</w:t>
      </w:r>
    </w:p>
    <w:p w:rsidR="00AC6EB7" w:rsidRDefault="00AC6EB7" w:rsidP="00AC6EB7">
      <w:pPr>
        <w:pStyle w:val="NumberList1"/>
      </w:pPr>
      <w:r>
        <w:t>Iona CS aftercooler upgrade;</w:t>
      </w:r>
    </w:p>
    <w:p w:rsidR="00AC6EB7" w:rsidRDefault="00AC6EB7" w:rsidP="00AC6EB7">
      <w:pPr>
        <w:pStyle w:val="NumberList1"/>
      </w:pPr>
      <w:r>
        <w:t xml:space="preserve">BCS Ballarat Filter; and </w:t>
      </w:r>
    </w:p>
    <w:p w:rsidR="00AC6EB7" w:rsidRDefault="00AC6EB7" w:rsidP="00AC6EB7">
      <w:pPr>
        <w:pStyle w:val="NumberList1"/>
      </w:pPr>
      <w:r>
        <w:t>Kalkallo Lateral.</w:t>
      </w:r>
    </w:p>
    <w:p w:rsidR="00AC6EB7" w:rsidRDefault="00AC6EB7" w:rsidP="00AC6EB7">
      <w:pPr>
        <w:pStyle w:val="BodyText"/>
      </w:pPr>
      <w:r>
        <w:t xml:space="preserve">These projects were identified as </w:t>
      </w:r>
      <w:r w:rsidR="00D148F0">
        <w:t>being impacted by the WORM on</w:t>
      </w:r>
      <w:r>
        <w:t xml:space="preserve"> the basis of forecast pipeline and system flows at the time. Importantly, the business case for the WORM, and associated avoided projects, did not contemplate constrained westbound capacity on the SWP – it was focused on security of supply for the system on the assumption that significant gas was flowing from Port Campbell. This is relevant as the primary role of the Brooklyn Compressor </w:t>
      </w:r>
      <w:r w:rsidR="00D148F0">
        <w:t xml:space="preserve">Station </w:t>
      </w:r>
      <w:r>
        <w:t xml:space="preserve">is to support gas pressures west of Brooklyn. </w:t>
      </w:r>
    </w:p>
    <w:p w:rsidR="00AC6EB7" w:rsidRDefault="00AC6EB7" w:rsidP="00AC6EB7">
      <w:pPr>
        <w:pStyle w:val="BodyText"/>
      </w:pPr>
      <w:r>
        <w:t>In the last access arrangement revision proposal</w:t>
      </w:r>
      <w:r w:rsidR="00D148F0">
        <w:t>,</w:t>
      </w:r>
      <w:r>
        <w:t xml:space="preserve"> APA </w:t>
      </w:r>
      <w:proofErr w:type="spellStart"/>
      <w:r>
        <w:t>GasNet</w:t>
      </w:r>
      <w:proofErr w:type="spellEnd"/>
      <w:r>
        <w:t xml:space="preserve"> anticipated a significantly reduced role for the Brooklyn Compressor Station, with only unit 12 remaining in service, removing from service units 8, 9, 10 and 11. This drove much of the avoided expenditure.</w:t>
      </w:r>
    </w:p>
    <w:p w:rsidR="00D148F0" w:rsidRDefault="00AC6EB7" w:rsidP="00AC6EB7">
      <w:pPr>
        <w:pStyle w:val="BodyText"/>
      </w:pPr>
      <w:r>
        <w:t xml:space="preserve">In contrast to system conditions in 2012, westbound flows are now a primary concern, meaning that the Brooklyn Compressor Station has an ongoing role in supporting gas pressures west of the station. This means that some projects identified as unnecessary 5 years ago are now still required. </w:t>
      </w:r>
    </w:p>
    <w:p w:rsidR="00AC6EB7" w:rsidRDefault="00D148F0" w:rsidP="00AC6EB7">
      <w:pPr>
        <w:pStyle w:val="BodyText"/>
      </w:pPr>
      <w:r>
        <w:t>In addition</w:t>
      </w:r>
      <w:r w:rsidR="00AC6EB7">
        <w:t xml:space="preserve">, some of the works identified as avoidable were essential safety upgrades that were needed as the AER did not approved the WORM project at the time. </w:t>
      </w:r>
    </w:p>
    <w:p w:rsidR="00AC6EB7" w:rsidRDefault="00AC6EB7" w:rsidP="00AC6EB7">
      <w:pPr>
        <w:pStyle w:val="BodyText"/>
      </w:pPr>
      <w:r>
        <w:t>While the reliance on Brooklyn Compressor Station is reduced in the presence of the WORM, it still retains a role in ensuring adequate supply on the VTS.  The post WORM role of Brooklyn Compressor Station is particularly important to:</w:t>
      </w:r>
    </w:p>
    <w:p w:rsidR="00AC6EB7" w:rsidRPr="001210BA" w:rsidRDefault="00AC6EB7" w:rsidP="00AC6EB7">
      <w:pPr>
        <w:pStyle w:val="ListBullet"/>
      </w:pPr>
      <w:r w:rsidRPr="00A71D4C">
        <w:t>provide a peak (top-up) services to refill Iona</w:t>
      </w:r>
      <w:r>
        <w:t xml:space="preserve">; </w:t>
      </w:r>
      <w:r w:rsidRPr="00A71D4C">
        <w:t xml:space="preserve"> </w:t>
      </w:r>
    </w:p>
    <w:p w:rsidR="00AC6EB7" w:rsidRPr="00A71D4C" w:rsidRDefault="00AC6EB7" w:rsidP="00AC6EB7">
      <w:pPr>
        <w:pStyle w:val="ListBullet"/>
      </w:pPr>
      <w:r w:rsidRPr="008404C1">
        <w:t>support</w:t>
      </w:r>
      <w:r w:rsidR="00D148F0">
        <w:t xml:space="preserve"> localised gas load demand (</w:t>
      </w:r>
      <w:proofErr w:type="spellStart"/>
      <w:r w:rsidR="00D148F0">
        <w:t>eg</w:t>
      </w:r>
      <w:proofErr w:type="spellEnd"/>
      <w:r w:rsidR="00D148F0">
        <w:t xml:space="preserve"> Sunbury Loop</w:t>
      </w:r>
      <w:r w:rsidRPr="008404C1">
        <w:t>) and connected GPG in the area</w:t>
      </w:r>
      <w:r w:rsidR="00D148F0">
        <w:t xml:space="preserve"> (</w:t>
      </w:r>
      <w:proofErr w:type="spellStart"/>
      <w:r w:rsidR="00D148F0">
        <w:t>eg</w:t>
      </w:r>
      <w:proofErr w:type="spellEnd"/>
      <w:r w:rsidR="00D148F0">
        <w:t xml:space="preserve"> Laverton North PS, Newport PS)</w:t>
      </w:r>
      <w:r>
        <w:t xml:space="preserve">; and </w:t>
      </w:r>
    </w:p>
    <w:p w:rsidR="00AC6EB7" w:rsidRPr="00A71D4C" w:rsidRDefault="00AC6EB7" w:rsidP="00AC6EB7">
      <w:pPr>
        <w:pStyle w:val="ListBullet"/>
      </w:pPr>
      <w:proofErr w:type="gramStart"/>
      <w:r w:rsidRPr="001210BA">
        <w:lastRenderedPageBreak/>
        <w:t>a</w:t>
      </w:r>
      <w:proofErr w:type="gramEnd"/>
      <w:r w:rsidRPr="001210BA">
        <w:t xml:space="preserve"> backup service for whenever the WORM and/or Wollert new Unit 6 are out for maintenance or services disrupted</w:t>
      </w:r>
      <w:r>
        <w:t>.</w:t>
      </w:r>
    </w:p>
    <w:p w:rsidR="00AC6EB7" w:rsidRDefault="00AC6EB7" w:rsidP="00AC6EB7">
      <w:pPr>
        <w:pStyle w:val="BodyText"/>
      </w:pPr>
      <w:r>
        <w:t xml:space="preserve">In respect of the 2012 ‘avoided’ project list above, the following explanations are provided. </w:t>
      </w:r>
    </w:p>
    <w:p w:rsidR="00AC6EB7" w:rsidRDefault="00AC6EB7" w:rsidP="00AC6EB7">
      <w:pPr>
        <w:pStyle w:val="BodyText"/>
      </w:pPr>
      <w:r>
        <w:t xml:space="preserve">Projects 1 and 2 have been completed.  </w:t>
      </w:r>
      <w:r w:rsidR="00D148F0">
        <w:t>The Sunbury loop (Phase 1 of the WORM) avoided more expensive additional compress</w:t>
      </w:r>
      <w:r w:rsidR="00E444DE">
        <w:t xml:space="preserve">ion at Brooklyn Compressor Station to support winter gas demand at Sunbury. </w:t>
      </w:r>
      <w:r>
        <w:t xml:space="preserve">After the completion of the WORM the Sunbury Loop will continue to be utilised to provide gas to the Sunbury Region.  As noted in the </w:t>
      </w:r>
      <w:r w:rsidR="00E444DE">
        <w:t xml:space="preserve">January AA proposal, </w:t>
      </w:r>
      <w:r>
        <w:t>the Isolation and Loading Valves were necessary to maintain the safety and reliability of the compressor station. This was made more important by the load imposed on Brooklyn Compressor Station in the absence of the WORM but still remains important in the presence of the WORM.</w:t>
      </w:r>
    </w:p>
    <w:p w:rsidR="00AC6EB7" w:rsidRDefault="00AC6EB7" w:rsidP="00AC6EB7">
      <w:pPr>
        <w:pStyle w:val="BodyText"/>
      </w:pPr>
      <w:r>
        <w:t xml:space="preserve">Projects 3 and 4 are currently under construction.  The upgraded BCS generator will be used to service the Brooklyn Compressor Station, Brooklyn Corio </w:t>
      </w:r>
      <w:r w:rsidR="00E444DE">
        <w:t>Pipeline, Brooklyn Lara P</w:t>
      </w:r>
      <w:r>
        <w:t>i</w:t>
      </w:r>
      <w:r w:rsidR="00E444DE">
        <w:t>peline and the Brooklyn Ballan City G</w:t>
      </w:r>
      <w:r>
        <w:t xml:space="preserve">ate.  Similar to project 2 this refurbishment was made more urgent by the additional requirements on the Brooklyn compressor station in the absence of the WORM but the generator is needed for the reliable ongoing operation of these </w:t>
      </w:r>
      <w:r w:rsidRPr="00AC6EB7">
        <w:t>facilities even in the presence of th</w:t>
      </w:r>
      <w:r w:rsidR="00E444DE">
        <w:t>e WORM. The Wollert Compressor S</w:t>
      </w:r>
      <w:r w:rsidRPr="00AC6EB7">
        <w:t>tation A will be needed to compress into the T74 pipeline at MAOP, once the T74 and Victorian Northern Interconnect Expansion are separated</w:t>
      </w:r>
      <w:r w:rsidR="00E444DE">
        <w:t xml:space="preserve"> in mid-2017</w:t>
      </w:r>
      <w:r w:rsidRPr="00AC6EB7">
        <w:t>.  The instrumentation refurbishment is necessary to ensure</w:t>
      </w:r>
      <w:r>
        <w:t xml:space="preserve"> the ongoing reliable operation of Wollert Compressor Station </w:t>
      </w:r>
      <w:proofErr w:type="spellStart"/>
      <w:r>
        <w:t>A</w:t>
      </w:r>
      <w:proofErr w:type="spellEnd"/>
      <w:r>
        <w:t xml:space="preserve"> even in the presence of the WORM.</w:t>
      </w:r>
    </w:p>
    <w:p w:rsidR="00AC6EB7" w:rsidRDefault="00AC6EB7" w:rsidP="00AC6EB7">
      <w:pPr>
        <w:pStyle w:val="BodyText"/>
      </w:pPr>
      <w:r>
        <w:t>As noted above, the Iona compressor station aftercooler work (Project 5) has been brought forward as a result of increased refill volumes.</w:t>
      </w:r>
    </w:p>
    <w:p w:rsidR="00AC6EB7" w:rsidRDefault="00AC6EB7" w:rsidP="00AC6EB7">
      <w:pPr>
        <w:pStyle w:val="BodyText"/>
      </w:pPr>
      <w:r>
        <w:t>BCS Ballarat Filter (Project 6) related to the oil seals on units 8 and 9. AEMO operates them less, and they are performing better, so this work is not needed</w:t>
      </w:r>
      <w:r w:rsidR="00E444DE">
        <w:t xml:space="preserve">, however this outcome of not directly </w:t>
      </w:r>
      <w:r>
        <w:t>because of the WORM</w:t>
      </w:r>
      <w:r w:rsidR="00E444DE">
        <w:t>.</w:t>
      </w:r>
    </w:p>
    <w:p w:rsidR="00AC6EB7" w:rsidRDefault="00AC6EB7" w:rsidP="00AC6EB7">
      <w:pPr>
        <w:pStyle w:val="BodyText"/>
      </w:pPr>
      <w:r>
        <w:t>Kalkallo Lateral (Project 7) was proposed to address supply issues at Kalkallo. The savings in relation to this project related to a lower-cost pipeline solution available after the construction of the WORM.  The supply issues have been resolved by a solution implemented in the distribution network and therefore is not currently required.</w:t>
      </w:r>
    </w:p>
    <w:p w:rsidR="00151C3A" w:rsidRDefault="006F01BE" w:rsidP="006F01BE">
      <w:pPr>
        <w:pStyle w:val="Heading2"/>
      </w:pPr>
      <w:bookmarkStart w:id="44" w:name="_Toc482626067"/>
      <w:r>
        <w:lastRenderedPageBreak/>
        <w:t>Other changes to capital expenditure</w:t>
      </w:r>
      <w:bookmarkEnd w:id="44"/>
      <w:r>
        <w:t xml:space="preserve"> </w:t>
      </w:r>
    </w:p>
    <w:p w:rsidR="00C224EF" w:rsidRDefault="00C224EF" w:rsidP="00C224EF">
      <w:pPr>
        <w:pStyle w:val="BodyText"/>
      </w:pPr>
      <w:r>
        <w:t xml:space="preserve">In an email to the AER on 22 February 2017 APA VTS identified a number of projects that had been included in the forecast capital in the </w:t>
      </w:r>
      <w:r w:rsidR="00E444DE">
        <w:t>January AA proposal</w:t>
      </w:r>
      <w:r>
        <w:t xml:space="preserve"> despite having been determined by internal review to no longer be neces</w:t>
      </w:r>
      <w:r w:rsidR="00AC6EB7">
        <w:t>sary in the forecast period.</w:t>
      </w:r>
      <w:r>
        <w:t xml:space="preserve"> On 23 February APA VTS supplied the AER with a revised capital expenditure model reflecting the removal of th</w:t>
      </w:r>
      <w:r w:rsidR="00AC6EB7">
        <w:t>ese projects from the forecast.</w:t>
      </w:r>
      <w:r>
        <w:t xml:space="preserve"> This had a net impact of reducing forecast capital expenditure by $10.4m ($2017).</w:t>
      </w:r>
    </w:p>
    <w:p w:rsidR="00C224EF" w:rsidRDefault="00C224EF" w:rsidP="00C224EF">
      <w:pPr>
        <w:pStyle w:val="BodyText"/>
      </w:pPr>
      <w:r>
        <w:t xml:space="preserve">The </w:t>
      </w:r>
      <w:r w:rsidR="00E444DE">
        <w:t>accompanying</w:t>
      </w:r>
      <w:r>
        <w:t xml:space="preserve"> capital expenditure model also excludes these projects from the forecast capital expenditure.</w:t>
      </w:r>
    </w:p>
    <w:p w:rsidR="006F01BE" w:rsidRDefault="006F01BE" w:rsidP="006F01BE">
      <w:pPr>
        <w:pStyle w:val="Heading2"/>
      </w:pPr>
      <w:bookmarkStart w:id="45" w:name="_Toc482626068"/>
      <w:r>
        <w:t>Total forecast capital expenditure</w:t>
      </w:r>
      <w:bookmarkEnd w:id="45"/>
    </w:p>
    <w:p w:rsidR="0019008D" w:rsidRDefault="0019008D" w:rsidP="0019008D">
      <w:pPr>
        <w:pStyle w:val="BodyText"/>
      </w:pPr>
      <w:r>
        <w:fldChar w:fldCharType="begin"/>
      </w:r>
      <w:r>
        <w:instrText xml:space="preserve"> REF _Ref469553733 \h </w:instrText>
      </w:r>
      <w:r>
        <w:fldChar w:fldCharType="separate"/>
      </w:r>
      <w:r w:rsidR="006D055F">
        <w:t xml:space="preserve">Table </w:t>
      </w:r>
      <w:r w:rsidR="006D055F">
        <w:rPr>
          <w:noProof/>
        </w:rPr>
        <w:t>5</w:t>
      </w:r>
      <w:r w:rsidR="006D055F">
        <w:noBreakHyphen/>
      </w:r>
      <w:r w:rsidR="006D055F">
        <w:rPr>
          <w:noProof/>
        </w:rPr>
        <w:t>3</w:t>
      </w:r>
      <w:r>
        <w:fldChar w:fldCharType="end"/>
      </w:r>
      <w:r>
        <w:t xml:space="preserve"> below sets out the </w:t>
      </w:r>
      <w:r w:rsidR="006F01BE">
        <w:t xml:space="preserve">revised </w:t>
      </w:r>
      <w:r>
        <w:t>forecast capital expenditure by driver</w:t>
      </w:r>
      <w:r w:rsidR="006F01BE">
        <w:t xml:space="preserve"> reflecting changes to the forecast described above.</w:t>
      </w:r>
    </w:p>
    <w:p w:rsidR="0019008D" w:rsidRDefault="0019008D" w:rsidP="0019008D">
      <w:pPr>
        <w:pStyle w:val="Caption"/>
      </w:pPr>
      <w:bookmarkStart w:id="46" w:name="_Ref469553733"/>
      <w:bookmarkStart w:id="47" w:name="_Toc482626106"/>
      <w:r>
        <w:t xml:space="preserve">Table </w:t>
      </w:r>
      <w:r w:rsidR="006D055F">
        <w:fldChar w:fldCharType="begin"/>
      </w:r>
      <w:r w:rsidR="006D055F">
        <w:instrText xml:space="preserve"> STYLEREF 1 \s </w:instrText>
      </w:r>
      <w:r w:rsidR="006D055F">
        <w:fldChar w:fldCharType="separate"/>
      </w:r>
      <w:r w:rsidR="006D055F">
        <w:rPr>
          <w:noProof/>
        </w:rPr>
        <w:t>5</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3</w:t>
      </w:r>
      <w:r w:rsidR="006D055F">
        <w:rPr>
          <w:noProof/>
        </w:rPr>
        <w:fldChar w:fldCharType="end"/>
      </w:r>
      <w:bookmarkEnd w:id="46"/>
      <w:r>
        <w:t xml:space="preserve"> – Forecast Capital Expenditure </w:t>
      </w:r>
      <w:r w:rsidR="003D62F7">
        <w:t>by driver</w:t>
      </w:r>
      <w:r>
        <w:t xml:space="preserve"> (real 2017 $m)</w:t>
      </w:r>
      <w:bookmarkEnd w:id="47"/>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943"/>
        <w:gridCol w:w="915"/>
        <w:gridCol w:w="916"/>
        <w:gridCol w:w="916"/>
        <w:gridCol w:w="915"/>
        <w:gridCol w:w="916"/>
        <w:gridCol w:w="916"/>
      </w:tblGrid>
      <w:tr w:rsidR="0019008D" w:rsidRPr="008A4AF0" w:rsidTr="0019008D">
        <w:tc>
          <w:tcPr>
            <w:tcW w:w="2943" w:type="dxa"/>
            <w:shd w:val="clear" w:color="auto" w:fill="333333"/>
          </w:tcPr>
          <w:p w:rsidR="0019008D" w:rsidRPr="00AF4988" w:rsidRDefault="004352A9" w:rsidP="0019008D">
            <w:pPr>
              <w:pStyle w:val="TableColumnHeadings"/>
              <w:keepNext/>
              <w:jc w:val="left"/>
              <w:rPr>
                <w:rFonts w:ascii="Century Gothic" w:hAnsi="Century Gothic"/>
              </w:rPr>
            </w:pPr>
            <w:r>
              <w:rPr>
                <w:rFonts w:ascii="Century Gothic" w:hAnsi="Century Gothic"/>
              </w:rPr>
              <w:t>$m real 2017</w:t>
            </w:r>
          </w:p>
        </w:tc>
        <w:tc>
          <w:tcPr>
            <w:tcW w:w="915" w:type="dxa"/>
            <w:shd w:val="clear" w:color="auto" w:fill="333333"/>
          </w:tcPr>
          <w:p w:rsidR="0019008D" w:rsidRPr="00AF4988" w:rsidRDefault="0019008D" w:rsidP="0019008D">
            <w:pPr>
              <w:pStyle w:val="TableColumnHeadings"/>
              <w:rPr>
                <w:rFonts w:ascii="Century Gothic" w:hAnsi="Century Gothic"/>
              </w:rPr>
            </w:pPr>
            <w:r>
              <w:rPr>
                <w:rFonts w:ascii="Century Gothic" w:hAnsi="Century Gothic"/>
              </w:rPr>
              <w:t>2018</w:t>
            </w:r>
          </w:p>
        </w:tc>
        <w:tc>
          <w:tcPr>
            <w:tcW w:w="916" w:type="dxa"/>
            <w:shd w:val="clear" w:color="auto" w:fill="333333"/>
          </w:tcPr>
          <w:p w:rsidR="0019008D" w:rsidRPr="00AF4988" w:rsidRDefault="0019008D" w:rsidP="0019008D">
            <w:pPr>
              <w:pStyle w:val="TableColumnHeadings"/>
              <w:rPr>
                <w:rFonts w:ascii="Century Gothic" w:hAnsi="Century Gothic"/>
              </w:rPr>
            </w:pPr>
            <w:r>
              <w:rPr>
                <w:rFonts w:ascii="Century Gothic" w:hAnsi="Century Gothic"/>
              </w:rPr>
              <w:t>2019</w:t>
            </w:r>
          </w:p>
        </w:tc>
        <w:tc>
          <w:tcPr>
            <w:tcW w:w="916" w:type="dxa"/>
            <w:shd w:val="clear" w:color="auto" w:fill="333333"/>
          </w:tcPr>
          <w:p w:rsidR="0019008D" w:rsidRPr="00AF4988" w:rsidRDefault="0019008D" w:rsidP="0019008D">
            <w:pPr>
              <w:pStyle w:val="TableColumnHeadings"/>
              <w:rPr>
                <w:rFonts w:ascii="Century Gothic" w:hAnsi="Century Gothic"/>
              </w:rPr>
            </w:pPr>
            <w:r>
              <w:rPr>
                <w:rFonts w:ascii="Century Gothic" w:hAnsi="Century Gothic"/>
              </w:rPr>
              <w:t>2020</w:t>
            </w:r>
          </w:p>
        </w:tc>
        <w:tc>
          <w:tcPr>
            <w:tcW w:w="915" w:type="dxa"/>
            <w:shd w:val="clear" w:color="auto" w:fill="333333"/>
          </w:tcPr>
          <w:p w:rsidR="0019008D" w:rsidRPr="00AF4988" w:rsidRDefault="0019008D" w:rsidP="0019008D">
            <w:pPr>
              <w:pStyle w:val="TableColumnHeadings"/>
              <w:rPr>
                <w:rFonts w:ascii="Century Gothic" w:hAnsi="Century Gothic"/>
              </w:rPr>
            </w:pPr>
            <w:r>
              <w:rPr>
                <w:rFonts w:ascii="Century Gothic" w:hAnsi="Century Gothic"/>
              </w:rPr>
              <w:t>2021</w:t>
            </w:r>
          </w:p>
        </w:tc>
        <w:tc>
          <w:tcPr>
            <w:tcW w:w="916" w:type="dxa"/>
            <w:shd w:val="clear" w:color="auto" w:fill="333333"/>
          </w:tcPr>
          <w:p w:rsidR="0019008D" w:rsidRPr="00AF4988" w:rsidRDefault="0019008D" w:rsidP="0019008D">
            <w:pPr>
              <w:pStyle w:val="TableColumnHeadings"/>
              <w:rPr>
                <w:rFonts w:ascii="Century Gothic" w:hAnsi="Century Gothic"/>
              </w:rPr>
            </w:pPr>
            <w:r>
              <w:rPr>
                <w:rFonts w:ascii="Century Gothic" w:hAnsi="Century Gothic"/>
              </w:rPr>
              <w:t>2022</w:t>
            </w:r>
          </w:p>
        </w:tc>
        <w:tc>
          <w:tcPr>
            <w:tcW w:w="916" w:type="dxa"/>
            <w:shd w:val="clear" w:color="auto" w:fill="333333"/>
          </w:tcPr>
          <w:p w:rsidR="0019008D" w:rsidRPr="00AF4988" w:rsidRDefault="0019008D" w:rsidP="0019008D">
            <w:pPr>
              <w:pStyle w:val="TableColumnHeadings"/>
              <w:rPr>
                <w:rFonts w:ascii="Century Gothic" w:hAnsi="Century Gothic"/>
              </w:rPr>
            </w:pPr>
            <w:r w:rsidRPr="00AF4988">
              <w:rPr>
                <w:rFonts w:ascii="Century Gothic" w:hAnsi="Century Gothic"/>
              </w:rPr>
              <w:t>Total</w:t>
            </w:r>
          </w:p>
        </w:tc>
      </w:tr>
      <w:tr w:rsidR="003D62F7" w:rsidRPr="008A4AF0" w:rsidTr="00AC6EB7">
        <w:tc>
          <w:tcPr>
            <w:tcW w:w="2943" w:type="dxa"/>
            <w:shd w:val="clear" w:color="auto" w:fill="auto"/>
          </w:tcPr>
          <w:p w:rsidR="003D62F7" w:rsidRPr="008A4AF0" w:rsidRDefault="003D62F7" w:rsidP="0019008D">
            <w:pPr>
              <w:pStyle w:val="TableBodyCells"/>
              <w:keepNext/>
              <w:jc w:val="left"/>
            </w:pPr>
            <w:r w:rsidRPr="00C64166">
              <w:t>Augmentation</w:t>
            </w:r>
          </w:p>
        </w:tc>
        <w:tc>
          <w:tcPr>
            <w:tcW w:w="915" w:type="dxa"/>
            <w:shd w:val="clear" w:color="auto" w:fill="auto"/>
            <w:vAlign w:val="bottom"/>
          </w:tcPr>
          <w:p w:rsidR="003D62F7" w:rsidRPr="008A4AF0" w:rsidRDefault="003D62F7" w:rsidP="00BB2F36">
            <w:pPr>
              <w:pStyle w:val="TableBodyCells"/>
            </w:pPr>
            <w:r>
              <w:rPr>
                <w:color w:val="000000"/>
              </w:rPr>
              <w:t>44.4</w:t>
            </w:r>
          </w:p>
        </w:tc>
        <w:tc>
          <w:tcPr>
            <w:tcW w:w="916" w:type="dxa"/>
            <w:shd w:val="clear" w:color="auto" w:fill="auto"/>
            <w:vAlign w:val="bottom"/>
          </w:tcPr>
          <w:p w:rsidR="003D62F7" w:rsidRPr="00AF4988" w:rsidRDefault="003D62F7" w:rsidP="00BB2F36">
            <w:pPr>
              <w:pStyle w:val="TableBodyCells"/>
              <w:rPr>
                <w:highlight w:val="yellow"/>
              </w:rPr>
            </w:pPr>
            <w:r>
              <w:rPr>
                <w:color w:val="000000"/>
              </w:rPr>
              <w:t>49.7</w:t>
            </w:r>
          </w:p>
        </w:tc>
        <w:tc>
          <w:tcPr>
            <w:tcW w:w="916" w:type="dxa"/>
            <w:shd w:val="clear" w:color="auto" w:fill="auto"/>
            <w:vAlign w:val="bottom"/>
          </w:tcPr>
          <w:p w:rsidR="003D62F7" w:rsidRPr="00AF4988" w:rsidRDefault="003D62F7" w:rsidP="00BB2F36">
            <w:pPr>
              <w:pStyle w:val="TableBodyCells"/>
              <w:rPr>
                <w:highlight w:val="yellow"/>
              </w:rPr>
            </w:pPr>
            <w:r>
              <w:rPr>
                <w:color w:val="000000"/>
              </w:rPr>
              <w:t>60.9</w:t>
            </w:r>
          </w:p>
        </w:tc>
        <w:tc>
          <w:tcPr>
            <w:tcW w:w="915" w:type="dxa"/>
            <w:vAlign w:val="bottom"/>
          </w:tcPr>
          <w:p w:rsidR="003D62F7" w:rsidRPr="00AF4988" w:rsidRDefault="003D62F7" w:rsidP="00BB2F36">
            <w:pPr>
              <w:pStyle w:val="TableBodyCells"/>
              <w:rPr>
                <w:highlight w:val="yellow"/>
              </w:rPr>
            </w:pPr>
            <w:r>
              <w:rPr>
                <w:color w:val="000000"/>
              </w:rPr>
              <w:t>-</w:t>
            </w:r>
          </w:p>
        </w:tc>
        <w:tc>
          <w:tcPr>
            <w:tcW w:w="916" w:type="dxa"/>
            <w:vAlign w:val="bottom"/>
          </w:tcPr>
          <w:p w:rsidR="003D62F7" w:rsidRPr="008A4AF0" w:rsidRDefault="003D62F7" w:rsidP="00BB2F36">
            <w:pPr>
              <w:pStyle w:val="TableBodyCells"/>
            </w:pPr>
            <w:r>
              <w:rPr>
                <w:color w:val="000000"/>
              </w:rPr>
              <w:t>-</w:t>
            </w:r>
          </w:p>
        </w:tc>
        <w:tc>
          <w:tcPr>
            <w:tcW w:w="916" w:type="dxa"/>
            <w:shd w:val="clear" w:color="auto" w:fill="auto"/>
            <w:vAlign w:val="bottom"/>
          </w:tcPr>
          <w:p w:rsidR="003D62F7" w:rsidRPr="00087671" w:rsidRDefault="003D62F7" w:rsidP="00BB2F36">
            <w:pPr>
              <w:pStyle w:val="TableBodyCells"/>
              <w:rPr>
                <w:b/>
              </w:rPr>
            </w:pPr>
            <w:r>
              <w:rPr>
                <w:color w:val="000000"/>
              </w:rPr>
              <w:t>155.1</w:t>
            </w:r>
          </w:p>
        </w:tc>
      </w:tr>
      <w:tr w:rsidR="003D62F7" w:rsidRPr="008A4AF0" w:rsidTr="00AC6EB7">
        <w:tc>
          <w:tcPr>
            <w:tcW w:w="2943" w:type="dxa"/>
            <w:shd w:val="clear" w:color="auto" w:fill="auto"/>
          </w:tcPr>
          <w:p w:rsidR="003D62F7" w:rsidRDefault="003D62F7" w:rsidP="0019008D">
            <w:pPr>
              <w:pStyle w:val="TableBodyCells"/>
              <w:keepNext/>
              <w:jc w:val="left"/>
            </w:pPr>
            <w:r w:rsidRPr="00C64166">
              <w:t>Refurbishment and Upgrade</w:t>
            </w:r>
          </w:p>
        </w:tc>
        <w:tc>
          <w:tcPr>
            <w:tcW w:w="915" w:type="dxa"/>
            <w:shd w:val="clear" w:color="auto" w:fill="auto"/>
            <w:vAlign w:val="bottom"/>
          </w:tcPr>
          <w:p w:rsidR="003D62F7" w:rsidRPr="008A4AF0" w:rsidRDefault="003D62F7" w:rsidP="00BB2F36">
            <w:pPr>
              <w:pStyle w:val="TableBodyCells"/>
            </w:pPr>
            <w:r>
              <w:rPr>
                <w:color w:val="000000"/>
              </w:rPr>
              <w:t>29.1</w:t>
            </w:r>
          </w:p>
        </w:tc>
        <w:tc>
          <w:tcPr>
            <w:tcW w:w="916" w:type="dxa"/>
            <w:shd w:val="clear" w:color="auto" w:fill="auto"/>
            <w:vAlign w:val="bottom"/>
          </w:tcPr>
          <w:p w:rsidR="003D62F7" w:rsidRPr="00AF4988" w:rsidRDefault="003D62F7" w:rsidP="00BB2F36">
            <w:pPr>
              <w:pStyle w:val="TableBodyCells"/>
              <w:rPr>
                <w:highlight w:val="yellow"/>
              </w:rPr>
            </w:pPr>
            <w:r>
              <w:rPr>
                <w:color w:val="000000"/>
              </w:rPr>
              <w:t>18.6</w:t>
            </w:r>
          </w:p>
        </w:tc>
        <w:tc>
          <w:tcPr>
            <w:tcW w:w="916" w:type="dxa"/>
            <w:shd w:val="clear" w:color="auto" w:fill="auto"/>
            <w:vAlign w:val="bottom"/>
          </w:tcPr>
          <w:p w:rsidR="003D62F7" w:rsidRPr="00AF4988" w:rsidRDefault="003D62F7" w:rsidP="00225B6F">
            <w:pPr>
              <w:pStyle w:val="TableBodyCells"/>
              <w:rPr>
                <w:highlight w:val="yellow"/>
              </w:rPr>
            </w:pPr>
            <w:r>
              <w:rPr>
                <w:color w:val="000000"/>
              </w:rPr>
              <w:t>9.</w:t>
            </w:r>
            <w:r w:rsidR="00225B6F">
              <w:rPr>
                <w:color w:val="000000"/>
              </w:rPr>
              <w:t>5</w:t>
            </w:r>
          </w:p>
        </w:tc>
        <w:tc>
          <w:tcPr>
            <w:tcW w:w="915" w:type="dxa"/>
            <w:vAlign w:val="bottom"/>
          </w:tcPr>
          <w:p w:rsidR="003D62F7" w:rsidRPr="00AF4988" w:rsidRDefault="003D62F7" w:rsidP="00BB2F36">
            <w:pPr>
              <w:pStyle w:val="TableBodyCells"/>
              <w:rPr>
                <w:highlight w:val="yellow"/>
              </w:rPr>
            </w:pPr>
            <w:r>
              <w:rPr>
                <w:color w:val="000000"/>
              </w:rPr>
              <w:t>14.2</w:t>
            </w:r>
          </w:p>
        </w:tc>
        <w:tc>
          <w:tcPr>
            <w:tcW w:w="916" w:type="dxa"/>
            <w:vAlign w:val="bottom"/>
          </w:tcPr>
          <w:p w:rsidR="003D62F7" w:rsidRPr="008A4AF0" w:rsidRDefault="003D62F7" w:rsidP="00BB2F36">
            <w:pPr>
              <w:pStyle w:val="TableBodyCells"/>
            </w:pPr>
            <w:r>
              <w:rPr>
                <w:color w:val="000000"/>
              </w:rPr>
              <w:t>12.6</w:t>
            </w:r>
          </w:p>
        </w:tc>
        <w:tc>
          <w:tcPr>
            <w:tcW w:w="916" w:type="dxa"/>
            <w:shd w:val="clear" w:color="auto" w:fill="auto"/>
            <w:vAlign w:val="bottom"/>
          </w:tcPr>
          <w:p w:rsidR="003D62F7" w:rsidRPr="00087671" w:rsidRDefault="003D62F7" w:rsidP="00BB2F36">
            <w:pPr>
              <w:pStyle w:val="TableBodyCells"/>
              <w:rPr>
                <w:b/>
              </w:rPr>
            </w:pPr>
            <w:r>
              <w:rPr>
                <w:color w:val="000000"/>
              </w:rPr>
              <w:t>84.</w:t>
            </w:r>
            <w:r w:rsidR="00225B6F">
              <w:rPr>
                <w:color w:val="000000"/>
              </w:rPr>
              <w:t>1</w:t>
            </w:r>
          </w:p>
        </w:tc>
      </w:tr>
      <w:tr w:rsidR="003D62F7" w:rsidRPr="00BC2C74" w:rsidTr="00AC6EB7">
        <w:tc>
          <w:tcPr>
            <w:tcW w:w="2943" w:type="dxa"/>
            <w:shd w:val="clear" w:color="auto" w:fill="auto"/>
          </w:tcPr>
          <w:p w:rsidR="003D62F7" w:rsidRPr="00AA3469" w:rsidRDefault="003D62F7" w:rsidP="0019008D">
            <w:pPr>
              <w:pStyle w:val="TableBodyCells"/>
              <w:keepNext/>
              <w:jc w:val="left"/>
            </w:pPr>
            <w:r w:rsidRPr="00C64166">
              <w:t>Non-System</w:t>
            </w:r>
          </w:p>
        </w:tc>
        <w:tc>
          <w:tcPr>
            <w:tcW w:w="915" w:type="dxa"/>
            <w:shd w:val="clear" w:color="auto" w:fill="auto"/>
            <w:vAlign w:val="bottom"/>
          </w:tcPr>
          <w:p w:rsidR="003D62F7" w:rsidRPr="00FF07DE" w:rsidRDefault="003D62F7" w:rsidP="00BB2F36">
            <w:pPr>
              <w:pStyle w:val="TableBodyCells"/>
              <w:rPr>
                <w:b/>
              </w:rPr>
            </w:pPr>
            <w:r>
              <w:rPr>
                <w:color w:val="000000"/>
              </w:rPr>
              <w:t>4.2</w:t>
            </w:r>
          </w:p>
        </w:tc>
        <w:tc>
          <w:tcPr>
            <w:tcW w:w="916" w:type="dxa"/>
            <w:shd w:val="clear" w:color="auto" w:fill="auto"/>
            <w:vAlign w:val="bottom"/>
          </w:tcPr>
          <w:p w:rsidR="003D62F7" w:rsidRPr="00FF07DE" w:rsidRDefault="003D62F7" w:rsidP="00BB2F36">
            <w:pPr>
              <w:pStyle w:val="TableBodyCells"/>
              <w:rPr>
                <w:b/>
                <w:highlight w:val="yellow"/>
              </w:rPr>
            </w:pPr>
            <w:r>
              <w:rPr>
                <w:color w:val="000000"/>
              </w:rPr>
              <w:t>3.6</w:t>
            </w:r>
          </w:p>
        </w:tc>
        <w:tc>
          <w:tcPr>
            <w:tcW w:w="916" w:type="dxa"/>
            <w:shd w:val="clear" w:color="auto" w:fill="auto"/>
            <w:vAlign w:val="bottom"/>
          </w:tcPr>
          <w:p w:rsidR="003D62F7" w:rsidRPr="00FF07DE" w:rsidRDefault="003D62F7" w:rsidP="00225B6F">
            <w:pPr>
              <w:pStyle w:val="TableBodyCells"/>
              <w:rPr>
                <w:b/>
                <w:highlight w:val="yellow"/>
              </w:rPr>
            </w:pPr>
            <w:r>
              <w:rPr>
                <w:color w:val="000000"/>
              </w:rPr>
              <w:t>3.</w:t>
            </w:r>
            <w:r w:rsidR="00225B6F">
              <w:rPr>
                <w:color w:val="000000"/>
              </w:rPr>
              <w:t>3</w:t>
            </w:r>
          </w:p>
        </w:tc>
        <w:tc>
          <w:tcPr>
            <w:tcW w:w="915" w:type="dxa"/>
            <w:vAlign w:val="bottom"/>
          </w:tcPr>
          <w:p w:rsidR="003D62F7" w:rsidRPr="00FF07DE" w:rsidRDefault="003D62F7" w:rsidP="00BB2F36">
            <w:pPr>
              <w:pStyle w:val="TableBodyCells"/>
              <w:rPr>
                <w:b/>
                <w:highlight w:val="yellow"/>
              </w:rPr>
            </w:pPr>
            <w:r>
              <w:rPr>
                <w:color w:val="000000"/>
              </w:rPr>
              <w:t>3.</w:t>
            </w:r>
            <w:r w:rsidR="00225B6F">
              <w:rPr>
                <w:color w:val="000000"/>
              </w:rPr>
              <w:t>6</w:t>
            </w:r>
          </w:p>
        </w:tc>
        <w:tc>
          <w:tcPr>
            <w:tcW w:w="916" w:type="dxa"/>
            <w:vAlign w:val="bottom"/>
          </w:tcPr>
          <w:p w:rsidR="003D62F7" w:rsidRPr="00FF07DE" w:rsidRDefault="003D62F7" w:rsidP="00BB2F36">
            <w:pPr>
              <w:pStyle w:val="TableBodyCells"/>
              <w:rPr>
                <w:b/>
              </w:rPr>
            </w:pPr>
            <w:r>
              <w:rPr>
                <w:color w:val="000000"/>
              </w:rPr>
              <w:t>2.3</w:t>
            </w:r>
          </w:p>
        </w:tc>
        <w:tc>
          <w:tcPr>
            <w:tcW w:w="916" w:type="dxa"/>
            <w:shd w:val="clear" w:color="auto" w:fill="auto"/>
            <w:vAlign w:val="bottom"/>
          </w:tcPr>
          <w:p w:rsidR="003D62F7" w:rsidRPr="00087671" w:rsidRDefault="003D62F7" w:rsidP="00BB2F36">
            <w:pPr>
              <w:pStyle w:val="TableBodyCells"/>
              <w:rPr>
                <w:b/>
              </w:rPr>
            </w:pPr>
            <w:r>
              <w:rPr>
                <w:color w:val="000000"/>
              </w:rPr>
              <w:t>16.9</w:t>
            </w:r>
          </w:p>
        </w:tc>
      </w:tr>
      <w:tr w:rsidR="003D62F7" w:rsidRPr="00BC2C74" w:rsidTr="00AC6EB7">
        <w:tc>
          <w:tcPr>
            <w:tcW w:w="2943" w:type="dxa"/>
            <w:shd w:val="clear" w:color="auto" w:fill="auto"/>
          </w:tcPr>
          <w:p w:rsidR="003D62F7" w:rsidRPr="006D0E05" w:rsidRDefault="003D62F7" w:rsidP="0019008D">
            <w:pPr>
              <w:pStyle w:val="TableBodyCells"/>
              <w:keepNext/>
              <w:jc w:val="left"/>
              <w:rPr>
                <w:b/>
              </w:rPr>
            </w:pPr>
            <w:r w:rsidRPr="00AA3469">
              <w:rPr>
                <w:b/>
              </w:rPr>
              <w:t>Total</w:t>
            </w:r>
          </w:p>
        </w:tc>
        <w:tc>
          <w:tcPr>
            <w:tcW w:w="915" w:type="dxa"/>
            <w:shd w:val="clear" w:color="auto" w:fill="auto"/>
            <w:vAlign w:val="bottom"/>
          </w:tcPr>
          <w:p w:rsidR="003D62F7" w:rsidRPr="00087671" w:rsidRDefault="003D62F7" w:rsidP="00BB2F36">
            <w:pPr>
              <w:pStyle w:val="TableBodyCells"/>
              <w:rPr>
                <w:b/>
              </w:rPr>
            </w:pPr>
            <w:r>
              <w:rPr>
                <w:b/>
                <w:bCs/>
                <w:color w:val="000000"/>
              </w:rPr>
              <w:t>77.7</w:t>
            </w:r>
          </w:p>
        </w:tc>
        <w:tc>
          <w:tcPr>
            <w:tcW w:w="916" w:type="dxa"/>
            <w:shd w:val="clear" w:color="auto" w:fill="auto"/>
            <w:vAlign w:val="bottom"/>
          </w:tcPr>
          <w:p w:rsidR="003D62F7" w:rsidRPr="00087671" w:rsidRDefault="003D62F7" w:rsidP="00BB2F36">
            <w:pPr>
              <w:pStyle w:val="TableBodyCells"/>
              <w:rPr>
                <w:b/>
              </w:rPr>
            </w:pPr>
            <w:r>
              <w:rPr>
                <w:b/>
                <w:bCs/>
                <w:color w:val="000000"/>
              </w:rPr>
              <w:t>71.9</w:t>
            </w:r>
          </w:p>
        </w:tc>
        <w:tc>
          <w:tcPr>
            <w:tcW w:w="916" w:type="dxa"/>
            <w:shd w:val="clear" w:color="auto" w:fill="auto"/>
            <w:vAlign w:val="bottom"/>
          </w:tcPr>
          <w:p w:rsidR="003D62F7" w:rsidRPr="00087671" w:rsidRDefault="003D62F7" w:rsidP="00BB2F36">
            <w:pPr>
              <w:pStyle w:val="TableBodyCells"/>
              <w:rPr>
                <w:b/>
              </w:rPr>
            </w:pPr>
            <w:r>
              <w:rPr>
                <w:b/>
                <w:bCs/>
                <w:color w:val="000000"/>
              </w:rPr>
              <w:t>73.7</w:t>
            </w:r>
          </w:p>
        </w:tc>
        <w:tc>
          <w:tcPr>
            <w:tcW w:w="915" w:type="dxa"/>
            <w:vAlign w:val="bottom"/>
          </w:tcPr>
          <w:p w:rsidR="003D62F7" w:rsidRPr="00087671" w:rsidRDefault="003D62F7" w:rsidP="00BB2F36">
            <w:pPr>
              <w:pStyle w:val="TableBodyCells"/>
              <w:rPr>
                <w:b/>
              </w:rPr>
            </w:pPr>
            <w:r>
              <w:rPr>
                <w:b/>
                <w:bCs/>
                <w:color w:val="000000"/>
              </w:rPr>
              <w:t>17.8</w:t>
            </w:r>
          </w:p>
        </w:tc>
        <w:tc>
          <w:tcPr>
            <w:tcW w:w="916" w:type="dxa"/>
            <w:vAlign w:val="bottom"/>
          </w:tcPr>
          <w:p w:rsidR="003D62F7" w:rsidRPr="00087671" w:rsidRDefault="003D62F7" w:rsidP="00BB2F36">
            <w:pPr>
              <w:pStyle w:val="TableBodyCells"/>
              <w:rPr>
                <w:b/>
              </w:rPr>
            </w:pPr>
            <w:r>
              <w:rPr>
                <w:b/>
                <w:bCs/>
                <w:color w:val="000000"/>
              </w:rPr>
              <w:t>14.9</w:t>
            </w:r>
          </w:p>
        </w:tc>
        <w:tc>
          <w:tcPr>
            <w:tcW w:w="916" w:type="dxa"/>
            <w:shd w:val="clear" w:color="auto" w:fill="auto"/>
            <w:vAlign w:val="bottom"/>
          </w:tcPr>
          <w:p w:rsidR="003D62F7" w:rsidRPr="00087671" w:rsidRDefault="003D62F7" w:rsidP="00BB2F36">
            <w:pPr>
              <w:pStyle w:val="TableBodyCells"/>
              <w:rPr>
                <w:b/>
              </w:rPr>
            </w:pPr>
            <w:r>
              <w:rPr>
                <w:b/>
                <w:bCs/>
                <w:color w:val="000000"/>
              </w:rPr>
              <w:t>256.1</w:t>
            </w:r>
          </w:p>
        </w:tc>
      </w:tr>
    </w:tbl>
    <w:p w:rsidR="00306774" w:rsidRDefault="00D731E6" w:rsidP="0055275F">
      <w:pPr>
        <w:pStyle w:val="Heading1"/>
      </w:pPr>
      <w:bookmarkStart w:id="48" w:name="_Toc482626069"/>
      <w:r w:rsidRPr="00E01213">
        <w:lastRenderedPageBreak/>
        <w:t>C</w:t>
      </w:r>
      <w:r w:rsidR="00306774" w:rsidRPr="00E01213">
        <w:t>apital base</w:t>
      </w:r>
      <w:bookmarkEnd w:id="48"/>
    </w:p>
    <w:p w:rsidR="00E77DB0" w:rsidRDefault="00E77DB0" w:rsidP="00E77DB0">
      <w:pPr>
        <w:pStyle w:val="BodyText"/>
      </w:pPr>
      <w:r>
        <w:t xml:space="preserve">This chapter of the supplementary submission updates tables relevant to calculating the capital base to take account of the revisions to the January AA proposal. </w:t>
      </w:r>
    </w:p>
    <w:p w:rsidR="00E77DB0" w:rsidRDefault="00E77DB0" w:rsidP="00E77DB0">
      <w:pPr>
        <w:pStyle w:val="BodyText"/>
      </w:pPr>
      <w:r>
        <w:t>While this supplementary submission is limited to changes to the January AA proposal necessary to incorporate the WORM project,</w:t>
      </w:r>
      <w:r w:rsidR="00F30708">
        <w:t xml:space="preserve"> the AER asked</w:t>
      </w:r>
      <w:r>
        <w:t xml:space="preserve"> APA VTS</w:t>
      </w:r>
      <w:r w:rsidR="00F30708">
        <w:t xml:space="preserve"> to </w:t>
      </w:r>
      <w:r>
        <w:t xml:space="preserve">use, as a base, the latest models that it had been provided with. As a result, APA </w:t>
      </w:r>
      <w:r w:rsidR="00E444DE">
        <w:t>VTS has used</w:t>
      </w:r>
      <w:r>
        <w:t xml:space="preserve"> a version of the RFM as a basis including corrections to the </w:t>
      </w:r>
      <w:r w:rsidR="00F30708">
        <w:t>calculation of the RFM as set out in AER Information Request 5.</w:t>
      </w:r>
    </w:p>
    <w:p w:rsidR="00306774" w:rsidRDefault="00306774" w:rsidP="0055275F">
      <w:pPr>
        <w:pStyle w:val="Heading2"/>
      </w:pPr>
      <w:bookmarkStart w:id="49" w:name="_Ref468181497"/>
      <w:bookmarkStart w:id="50" w:name="_Ref468181502"/>
      <w:bookmarkStart w:id="51" w:name="_Toc482626070"/>
      <w:r w:rsidRPr="00306774">
        <w:t>Opening capital base for the access arrangement period</w:t>
      </w:r>
      <w:bookmarkEnd w:id="49"/>
      <w:bookmarkEnd w:id="50"/>
      <w:bookmarkEnd w:id="51"/>
    </w:p>
    <w:p w:rsidR="00B70CAF" w:rsidRDefault="00C241B6" w:rsidP="00F55674">
      <w:pPr>
        <w:pStyle w:val="BodyText"/>
      </w:pPr>
      <w:r>
        <w:t xml:space="preserve">The capital base has been rolled forward in accordance with the provision of Rule 77(2). The opening capital base for the access arrangement period is shown in </w:t>
      </w:r>
      <w:r>
        <w:fldChar w:fldCharType="begin"/>
      </w:r>
      <w:r>
        <w:instrText xml:space="preserve"> REF _Ref467768014 \h </w:instrText>
      </w:r>
      <w:r>
        <w:fldChar w:fldCharType="separate"/>
      </w:r>
      <w:r w:rsidR="006D055F" w:rsidRPr="008A4AF0">
        <w:t xml:space="preserve">Table </w:t>
      </w:r>
      <w:r w:rsidR="006D055F">
        <w:rPr>
          <w:noProof/>
        </w:rPr>
        <w:t>6</w:t>
      </w:r>
      <w:r w:rsidR="006D055F">
        <w:noBreakHyphen/>
      </w:r>
      <w:r w:rsidR="006D055F">
        <w:rPr>
          <w:noProof/>
        </w:rPr>
        <w:t>1</w:t>
      </w:r>
      <w:r>
        <w:fldChar w:fldCharType="end"/>
      </w:r>
      <w:r>
        <w:t xml:space="preserve"> below.</w:t>
      </w:r>
    </w:p>
    <w:p w:rsidR="00C241B6" w:rsidRPr="008A4AF0" w:rsidRDefault="00C241B6" w:rsidP="0032107D">
      <w:pPr>
        <w:pStyle w:val="Caption"/>
      </w:pPr>
      <w:bookmarkStart w:id="52" w:name="_Ref467768014"/>
      <w:bookmarkStart w:id="53" w:name="_Toc482626107"/>
      <w:r w:rsidRPr="008A4AF0">
        <w:t xml:space="preserve">Table </w:t>
      </w:r>
      <w:r w:rsidR="006D055F">
        <w:fldChar w:fldCharType="begin"/>
      </w:r>
      <w:r w:rsidR="006D055F">
        <w:instrText xml:space="preserve"> STYLEREF 1 \s </w:instrText>
      </w:r>
      <w:r w:rsidR="006D055F">
        <w:fldChar w:fldCharType="separate"/>
      </w:r>
      <w:r w:rsidR="006D055F">
        <w:rPr>
          <w:noProof/>
        </w:rPr>
        <w:t>6</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1</w:t>
      </w:r>
      <w:r w:rsidR="006D055F">
        <w:rPr>
          <w:noProof/>
        </w:rPr>
        <w:fldChar w:fldCharType="end"/>
      </w:r>
      <w:bookmarkEnd w:id="52"/>
      <w:r>
        <w:t xml:space="preserve"> –</w:t>
      </w:r>
      <w:r w:rsidRPr="008A4AF0">
        <w:t xml:space="preserve"> </w:t>
      </w:r>
      <w:r>
        <w:t>Capital base roll forward 2013-2017</w:t>
      </w:r>
      <w:r w:rsidR="001F426A">
        <w:t xml:space="preserve"> ($m nominal)</w:t>
      </w:r>
      <w:bookmarkEnd w:id="53"/>
    </w:p>
    <w:tbl>
      <w:tblPr>
        <w:tblW w:w="8322" w:type="dxa"/>
        <w:tblBorders>
          <w:top w:val="single" w:sz="6" w:space="0" w:color="000000"/>
          <w:bottom w:val="single" w:sz="6" w:space="0" w:color="000000"/>
          <w:insideH w:val="single" w:sz="6" w:space="0" w:color="000000"/>
        </w:tblBorders>
        <w:tblLook w:val="01E0" w:firstRow="1" w:lastRow="1" w:firstColumn="1" w:lastColumn="1" w:noHBand="0" w:noVBand="0"/>
      </w:tblPr>
      <w:tblGrid>
        <w:gridCol w:w="2937"/>
        <w:gridCol w:w="1077"/>
        <w:gridCol w:w="1077"/>
        <w:gridCol w:w="1077"/>
        <w:gridCol w:w="1077"/>
        <w:gridCol w:w="1077"/>
      </w:tblGrid>
      <w:tr w:rsidR="00AF3C32" w:rsidRPr="008A4AF0" w:rsidTr="00B56CAC">
        <w:trPr>
          <w:trHeight w:val="454"/>
        </w:trPr>
        <w:tc>
          <w:tcPr>
            <w:tcW w:w="2937" w:type="dxa"/>
            <w:shd w:val="clear" w:color="auto" w:fill="333333"/>
          </w:tcPr>
          <w:p w:rsidR="00C241B6" w:rsidRPr="00AF4988" w:rsidRDefault="001F426A" w:rsidP="00E1002B">
            <w:pPr>
              <w:pStyle w:val="TableColumnHeadings"/>
              <w:keepNext/>
              <w:jc w:val="left"/>
              <w:rPr>
                <w:rFonts w:ascii="Century Gothic" w:hAnsi="Century Gothic"/>
              </w:rPr>
            </w:pPr>
            <w:r>
              <w:rPr>
                <w:rFonts w:ascii="Century Gothic" w:hAnsi="Century Gothic"/>
              </w:rPr>
              <w:t xml:space="preserve">$m </w:t>
            </w:r>
            <w:r w:rsidR="00C241B6">
              <w:rPr>
                <w:rFonts w:ascii="Century Gothic" w:hAnsi="Century Gothic"/>
              </w:rPr>
              <w:t>nominal</w:t>
            </w:r>
          </w:p>
        </w:tc>
        <w:tc>
          <w:tcPr>
            <w:tcW w:w="1077" w:type="dxa"/>
            <w:shd w:val="clear" w:color="auto" w:fill="333333"/>
          </w:tcPr>
          <w:p w:rsidR="00C241B6" w:rsidRPr="00AF4988" w:rsidRDefault="00C241B6" w:rsidP="00E1002B">
            <w:pPr>
              <w:pStyle w:val="TableColumnHeadings"/>
              <w:rPr>
                <w:rFonts w:ascii="Century Gothic" w:hAnsi="Century Gothic"/>
              </w:rPr>
            </w:pPr>
            <w:r>
              <w:rPr>
                <w:rFonts w:ascii="Century Gothic" w:hAnsi="Century Gothic"/>
              </w:rPr>
              <w:t>2013</w:t>
            </w:r>
          </w:p>
        </w:tc>
        <w:tc>
          <w:tcPr>
            <w:tcW w:w="1077" w:type="dxa"/>
            <w:shd w:val="clear" w:color="auto" w:fill="333333"/>
          </w:tcPr>
          <w:p w:rsidR="00C241B6" w:rsidRPr="00AF4988" w:rsidRDefault="00C241B6" w:rsidP="00E1002B">
            <w:pPr>
              <w:pStyle w:val="TableColumnHeadings"/>
              <w:rPr>
                <w:rFonts w:ascii="Century Gothic" w:hAnsi="Century Gothic"/>
              </w:rPr>
            </w:pPr>
            <w:r>
              <w:rPr>
                <w:rFonts w:ascii="Century Gothic" w:hAnsi="Century Gothic"/>
              </w:rPr>
              <w:t>2014</w:t>
            </w:r>
          </w:p>
        </w:tc>
        <w:tc>
          <w:tcPr>
            <w:tcW w:w="1077" w:type="dxa"/>
            <w:shd w:val="clear" w:color="auto" w:fill="333333"/>
          </w:tcPr>
          <w:p w:rsidR="00C241B6" w:rsidRPr="00AF4988" w:rsidRDefault="00C241B6" w:rsidP="00E1002B">
            <w:pPr>
              <w:pStyle w:val="TableColumnHeadings"/>
              <w:rPr>
                <w:rFonts w:ascii="Century Gothic" w:hAnsi="Century Gothic"/>
              </w:rPr>
            </w:pPr>
            <w:r>
              <w:rPr>
                <w:rFonts w:ascii="Century Gothic" w:hAnsi="Century Gothic"/>
              </w:rPr>
              <w:t>2015</w:t>
            </w:r>
          </w:p>
        </w:tc>
        <w:tc>
          <w:tcPr>
            <w:tcW w:w="1077" w:type="dxa"/>
            <w:shd w:val="clear" w:color="auto" w:fill="333333"/>
          </w:tcPr>
          <w:p w:rsidR="00C241B6" w:rsidRPr="00AF4988" w:rsidRDefault="00C241B6" w:rsidP="00E1002B">
            <w:pPr>
              <w:pStyle w:val="TableColumnHeadings"/>
              <w:rPr>
                <w:rFonts w:ascii="Century Gothic" w:hAnsi="Century Gothic"/>
              </w:rPr>
            </w:pPr>
            <w:r>
              <w:rPr>
                <w:rFonts w:ascii="Century Gothic" w:hAnsi="Century Gothic"/>
              </w:rPr>
              <w:t>2016</w:t>
            </w:r>
          </w:p>
        </w:tc>
        <w:tc>
          <w:tcPr>
            <w:tcW w:w="1077" w:type="dxa"/>
            <w:shd w:val="clear" w:color="auto" w:fill="333333"/>
          </w:tcPr>
          <w:p w:rsidR="00C241B6" w:rsidRPr="00AF4988" w:rsidRDefault="00C241B6" w:rsidP="00E1002B">
            <w:pPr>
              <w:pStyle w:val="TableColumnHeadings"/>
              <w:rPr>
                <w:rFonts w:ascii="Century Gothic" w:hAnsi="Century Gothic"/>
              </w:rPr>
            </w:pPr>
            <w:r>
              <w:rPr>
                <w:rFonts w:ascii="Century Gothic" w:hAnsi="Century Gothic"/>
              </w:rPr>
              <w:t>2017</w:t>
            </w:r>
          </w:p>
        </w:tc>
      </w:tr>
      <w:tr w:rsidR="000A1014" w:rsidRPr="008A4AF0" w:rsidTr="00B56CAC">
        <w:trPr>
          <w:trHeight w:val="454"/>
        </w:trPr>
        <w:tc>
          <w:tcPr>
            <w:tcW w:w="2937" w:type="dxa"/>
            <w:shd w:val="clear" w:color="auto" w:fill="auto"/>
          </w:tcPr>
          <w:p w:rsidR="000A1014" w:rsidRPr="00184FFA" w:rsidRDefault="000A1014" w:rsidP="00C241B6">
            <w:pPr>
              <w:pStyle w:val="TableBodyCells"/>
              <w:keepNext/>
              <w:jc w:val="left"/>
            </w:pPr>
            <w:r w:rsidRPr="00184FFA">
              <w:t>Opening capital base</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635.86</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646.92</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763.75</w:t>
            </w:r>
          </w:p>
        </w:tc>
        <w:tc>
          <w:tcPr>
            <w:tcW w:w="1077" w:type="dxa"/>
            <w:vAlign w:val="center"/>
          </w:tcPr>
          <w:p w:rsidR="000A1014" w:rsidRPr="008D6C6C" w:rsidRDefault="000A1014" w:rsidP="00AF3C32">
            <w:pPr>
              <w:spacing w:before="0"/>
              <w:jc w:val="center"/>
              <w:rPr>
                <w:rFonts w:cs="Arial"/>
                <w:sz w:val="18"/>
                <w:szCs w:val="18"/>
              </w:rPr>
            </w:pPr>
            <w:r w:rsidRPr="00AC6EB7">
              <w:rPr>
                <w:rFonts w:cs="Arial"/>
                <w:sz w:val="18"/>
              </w:rPr>
              <w:t>849.64</w:t>
            </w:r>
          </w:p>
        </w:tc>
        <w:tc>
          <w:tcPr>
            <w:tcW w:w="1077" w:type="dxa"/>
            <w:vAlign w:val="center"/>
          </w:tcPr>
          <w:p w:rsidR="000A1014" w:rsidRPr="008D6C6C" w:rsidRDefault="000A1014" w:rsidP="00AF3C32">
            <w:pPr>
              <w:spacing w:before="0"/>
              <w:jc w:val="center"/>
              <w:rPr>
                <w:rFonts w:cs="Arial"/>
                <w:sz w:val="18"/>
                <w:szCs w:val="18"/>
              </w:rPr>
            </w:pPr>
            <w:r w:rsidRPr="00AC6EB7">
              <w:rPr>
                <w:rFonts w:cs="Arial"/>
                <w:sz w:val="18"/>
              </w:rPr>
              <w:t>944.67</w:t>
            </w:r>
          </w:p>
        </w:tc>
      </w:tr>
      <w:tr w:rsidR="000A1014" w:rsidRPr="008A4AF0" w:rsidTr="00B56CAC">
        <w:trPr>
          <w:trHeight w:val="454"/>
        </w:trPr>
        <w:tc>
          <w:tcPr>
            <w:tcW w:w="2937" w:type="dxa"/>
            <w:shd w:val="clear" w:color="auto" w:fill="auto"/>
          </w:tcPr>
          <w:p w:rsidR="000A1014" w:rsidRPr="00184FFA" w:rsidRDefault="000A1014" w:rsidP="00C241B6">
            <w:pPr>
              <w:pStyle w:val="TableBodyCells"/>
              <w:keepNext/>
              <w:jc w:val="left"/>
            </w:pPr>
            <w:r w:rsidRPr="00184FFA">
              <w:t>Plus conforming capex</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15.92</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127.31</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97.56</w:t>
            </w:r>
          </w:p>
        </w:tc>
        <w:tc>
          <w:tcPr>
            <w:tcW w:w="1077" w:type="dxa"/>
            <w:vAlign w:val="center"/>
          </w:tcPr>
          <w:p w:rsidR="000A1014" w:rsidRPr="008D6C6C" w:rsidRDefault="000A1014" w:rsidP="00AF3C32">
            <w:pPr>
              <w:spacing w:before="0"/>
              <w:jc w:val="center"/>
              <w:rPr>
                <w:rFonts w:cs="Arial"/>
                <w:sz w:val="18"/>
                <w:szCs w:val="18"/>
              </w:rPr>
            </w:pPr>
            <w:r w:rsidRPr="00AC6EB7">
              <w:rPr>
                <w:rFonts w:cs="Arial"/>
                <w:sz w:val="18"/>
              </w:rPr>
              <w:t>108.55</w:t>
            </w:r>
          </w:p>
        </w:tc>
        <w:tc>
          <w:tcPr>
            <w:tcW w:w="1077" w:type="dxa"/>
            <w:vAlign w:val="center"/>
          </w:tcPr>
          <w:p w:rsidR="000A1014" w:rsidRPr="008D6C6C" w:rsidRDefault="000A1014" w:rsidP="00AF3C32">
            <w:pPr>
              <w:spacing w:before="0"/>
              <w:jc w:val="center"/>
              <w:rPr>
                <w:rFonts w:cs="Arial"/>
                <w:sz w:val="18"/>
                <w:szCs w:val="18"/>
              </w:rPr>
            </w:pPr>
            <w:r w:rsidRPr="00AC6EB7">
              <w:rPr>
                <w:rFonts w:cs="Arial"/>
                <w:sz w:val="18"/>
              </w:rPr>
              <w:t>71.31</w:t>
            </w:r>
          </w:p>
        </w:tc>
      </w:tr>
      <w:tr w:rsidR="000A1014" w:rsidRPr="00C241B6" w:rsidTr="00B56CAC">
        <w:trPr>
          <w:trHeight w:val="454"/>
        </w:trPr>
        <w:tc>
          <w:tcPr>
            <w:tcW w:w="2937" w:type="dxa"/>
            <w:shd w:val="clear" w:color="auto" w:fill="auto"/>
          </w:tcPr>
          <w:p w:rsidR="000A1014" w:rsidRPr="00184FFA" w:rsidRDefault="000A1014" w:rsidP="00C241B6">
            <w:pPr>
              <w:pStyle w:val="TableBodyCells"/>
              <w:keepNext/>
              <w:jc w:val="left"/>
            </w:pPr>
            <w:r w:rsidRPr="00184FFA">
              <w:t>Plus speculative capex</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0</w:t>
            </w:r>
          </w:p>
        </w:tc>
        <w:tc>
          <w:tcPr>
            <w:tcW w:w="1077" w:type="dxa"/>
            <w:shd w:val="clear" w:color="auto" w:fill="auto"/>
            <w:vAlign w:val="center"/>
          </w:tcPr>
          <w:p w:rsidR="000A1014" w:rsidRPr="00AC6EB7" w:rsidRDefault="000A1014" w:rsidP="00AF3C32">
            <w:pPr>
              <w:spacing w:before="0"/>
              <w:jc w:val="center"/>
              <w:rPr>
                <w:sz w:val="18"/>
              </w:rPr>
            </w:pPr>
            <w:r w:rsidRPr="00AC6EB7">
              <w:rPr>
                <w:rFonts w:cs="Arial"/>
                <w:sz w:val="18"/>
              </w:rPr>
              <w:t>0</w:t>
            </w:r>
          </w:p>
        </w:tc>
        <w:tc>
          <w:tcPr>
            <w:tcW w:w="1077" w:type="dxa"/>
            <w:shd w:val="clear" w:color="auto" w:fill="auto"/>
            <w:vAlign w:val="center"/>
          </w:tcPr>
          <w:p w:rsidR="000A1014" w:rsidRPr="00AC6EB7" w:rsidRDefault="000A1014" w:rsidP="00AF3C32">
            <w:pPr>
              <w:spacing w:before="0"/>
              <w:jc w:val="center"/>
              <w:rPr>
                <w:sz w:val="18"/>
              </w:rPr>
            </w:pPr>
            <w:r w:rsidRPr="00AC6EB7">
              <w:rPr>
                <w:rFonts w:cs="Arial"/>
                <w:sz w:val="18"/>
              </w:rPr>
              <w:t>0</w:t>
            </w:r>
          </w:p>
        </w:tc>
        <w:tc>
          <w:tcPr>
            <w:tcW w:w="1077" w:type="dxa"/>
            <w:vAlign w:val="center"/>
          </w:tcPr>
          <w:p w:rsidR="000A1014" w:rsidRPr="00AC6EB7" w:rsidRDefault="000A1014" w:rsidP="00AF3C32">
            <w:pPr>
              <w:spacing w:before="0"/>
              <w:jc w:val="center"/>
              <w:rPr>
                <w:sz w:val="18"/>
              </w:rPr>
            </w:pPr>
            <w:r w:rsidRPr="00AC6EB7">
              <w:rPr>
                <w:rFonts w:cs="Arial"/>
                <w:sz w:val="18"/>
              </w:rPr>
              <w:t>0</w:t>
            </w:r>
          </w:p>
        </w:tc>
        <w:tc>
          <w:tcPr>
            <w:tcW w:w="1077" w:type="dxa"/>
            <w:vAlign w:val="center"/>
          </w:tcPr>
          <w:p w:rsidR="000A1014" w:rsidRPr="00AC6EB7" w:rsidRDefault="000A1014" w:rsidP="00AF3C32">
            <w:pPr>
              <w:spacing w:before="0"/>
              <w:jc w:val="center"/>
              <w:rPr>
                <w:sz w:val="18"/>
              </w:rPr>
            </w:pPr>
            <w:r w:rsidRPr="00AC6EB7">
              <w:rPr>
                <w:rFonts w:cs="Arial"/>
                <w:sz w:val="18"/>
              </w:rPr>
              <w:t>0</w:t>
            </w:r>
          </w:p>
        </w:tc>
      </w:tr>
      <w:tr w:rsidR="000A1014" w:rsidRPr="00C241B6" w:rsidTr="00B56CAC">
        <w:trPr>
          <w:trHeight w:val="454"/>
        </w:trPr>
        <w:tc>
          <w:tcPr>
            <w:tcW w:w="2937" w:type="dxa"/>
            <w:shd w:val="clear" w:color="auto" w:fill="auto"/>
          </w:tcPr>
          <w:p w:rsidR="000A1014" w:rsidRPr="00C241B6" w:rsidRDefault="000A1014" w:rsidP="00C241B6">
            <w:pPr>
              <w:pStyle w:val="TableBodyCells"/>
              <w:keepNext/>
              <w:jc w:val="left"/>
            </w:pPr>
            <w:r w:rsidRPr="00184FFA">
              <w:t>Plus reused redundant assets</w:t>
            </w:r>
          </w:p>
        </w:tc>
        <w:tc>
          <w:tcPr>
            <w:tcW w:w="1077" w:type="dxa"/>
            <w:shd w:val="clear" w:color="auto" w:fill="auto"/>
            <w:vAlign w:val="center"/>
          </w:tcPr>
          <w:p w:rsidR="000A1014" w:rsidRPr="00AC6EB7" w:rsidRDefault="000A1014" w:rsidP="00AF3C32">
            <w:pPr>
              <w:spacing w:before="0"/>
              <w:jc w:val="center"/>
              <w:rPr>
                <w:sz w:val="18"/>
              </w:rPr>
            </w:pPr>
            <w:r w:rsidRPr="00AC6EB7">
              <w:rPr>
                <w:rFonts w:cs="Arial"/>
                <w:sz w:val="18"/>
              </w:rPr>
              <w:t>0</w:t>
            </w:r>
          </w:p>
        </w:tc>
        <w:tc>
          <w:tcPr>
            <w:tcW w:w="1077" w:type="dxa"/>
            <w:shd w:val="clear" w:color="auto" w:fill="auto"/>
            <w:vAlign w:val="center"/>
          </w:tcPr>
          <w:p w:rsidR="000A1014" w:rsidRPr="00AC6EB7" w:rsidRDefault="000A1014" w:rsidP="00AF3C32">
            <w:pPr>
              <w:spacing w:before="0"/>
              <w:jc w:val="center"/>
              <w:rPr>
                <w:sz w:val="18"/>
              </w:rPr>
            </w:pPr>
            <w:r w:rsidRPr="00AC6EB7">
              <w:rPr>
                <w:rFonts w:cs="Arial"/>
                <w:sz w:val="18"/>
              </w:rPr>
              <w:t>0</w:t>
            </w:r>
          </w:p>
        </w:tc>
        <w:tc>
          <w:tcPr>
            <w:tcW w:w="1077" w:type="dxa"/>
            <w:shd w:val="clear" w:color="auto" w:fill="auto"/>
            <w:vAlign w:val="center"/>
          </w:tcPr>
          <w:p w:rsidR="000A1014" w:rsidRPr="00AC6EB7" w:rsidRDefault="000A1014" w:rsidP="00AF3C32">
            <w:pPr>
              <w:spacing w:before="0"/>
              <w:jc w:val="center"/>
              <w:rPr>
                <w:sz w:val="18"/>
              </w:rPr>
            </w:pPr>
            <w:r w:rsidRPr="00AC6EB7">
              <w:rPr>
                <w:rFonts w:cs="Arial"/>
                <w:sz w:val="18"/>
              </w:rPr>
              <w:t>0</w:t>
            </w:r>
          </w:p>
        </w:tc>
        <w:tc>
          <w:tcPr>
            <w:tcW w:w="1077" w:type="dxa"/>
            <w:vAlign w:val="center"/>
          </w:tcPr>
          <w:p w:rsidR="000A1014" w:rsidRPr="00AC6EB7" w:rsidRDefault="000A1014" w:rsidP="00AF3C32">
            <w:pPr>
              <w:spacing w:before="0"/>
              <w:jc w:val="center"/>
              <w:rPr>
                <w:sz w:val="18"/>
              </w:rPr>
            </w:pPr>
            <w:r w:rsidRPr="00AC6EB7">
              <w:rPr>
                <w:rFonts w:cs="Arial"/>
                <w:sz w:val="18"/>
              </w:rPr>
              <w:t>0</w:t>
            </w:r>
          </w:p>
        </w:tc>
        <w:tc>
          <w:tcPr>
            <w:tcW w:w="1077" w:type="dxa"/>
            <w:vAlign w:val="center"/>
          </w:tcPr>
          <w:p w:rsidR="000A1014" w:rsidRPr="008D6C6C" w:rsidRDefault="000A1014" w:rsidP="00AF3C32">
            <w:pPr>
              <w:spacing w:before="0"/>
              <w:jc w:val="center"/>
              <w:rPr>
                <w:rFonts w:cs="Arial"/>
                <w:sz w:val="18"/>
                <w:szCs w:val="18"/>
              </w:rPr>
            </w:pPr>
            <w:r w:rsidRPr="00AC6EB7">
              <w:rPr>
                <w:rFonts w:cs="Arial"/>
                <w:sz w:val="18"/>
              </w:rPr>
              <w:t>0</w:t>
            </w:r>
          </w:p>
        </w:tc>
      </w:tr>
      <w:tr w:rsidR="000A1014" w:rsidRPr="00C241B6" w:rsidTr="00B56CAC">
        <w:trPr>
          <w:trHeight w:val="454"/>
        </w:trPr>
        <w:tc>
          <w:tcPr>
            <w:tcW w:w="2937" w:type="dxa"/>
            <w:shd w:val="clear" w:color="auto" w:fill="auto"/>
          </w:tcPr>
          <w:p w:rsidR="000A1014" w:rsidRPr="00184FFA" w:rsidRDefault="000A1014" w:rsidP="00C241B6">
            <w:pPr>
              <w:pStyle w:val="TableBodyCells"/>
              <w:keepNext/>
              <w:jc w:val="left"/>
            </w:pPr>
            <w:r w:rsidRPr="00184FFA">
              <w:t>Less depreciation</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-12.80</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-26.48</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-30.49</w:t>
            </w:r>
          </w:p>
        </w:tc>
        <w:tc>
          <w:tcPr>
            <w:tcW w:w="1077" w:type="dxa"/>
            <w:vAlign w:val="center"/>
          </w:tcPr>
          <w:p w:rsidR="000A1014" w:rsidRPr="008D6C6C" w:rsidRDefault="000A1014" w:rsidP="00AF3C32">
            <w:pPr>
              <w:spacing w:before="0"/>
              <w:jc w:val="center"/>
              <w:rPr>
                <w:rFonts w:cs="Arial"/>
                <w:sz w:val="18"/>
                <w:szCs w:val="18"/>
              </w:rPr>
            </w:pPr>
            <w:r w:rsidRPr="00AC6EB7">
              <w:rPr>
                <w:rFonts w:cs="Arial"/>
                <w:sz w:val="18"/>
              </w:rPr>
              <w:t>-33.58</w:t>
            </w:r>
          </w:p>
        </w:tc>
        <w:tc>
          <w:tcPr>
            <w:tcW w:w="1077" w:type="dxa"/>
            <w:vAlign w:val="center"/>
          </w:tcPr>
          <w:p w:rsidR="000A1014" w:rsidRPr="008D6C6C" w:rsidRDefault="000A1014" w:rsidP="00AF3C32">
            <w:pPr>
              <w:spacing w:before="0"/>
              <w:jc w:val="center"/>
              <w:rPr>
                <w:rFonts w:cs="Arial"/>
                <w:sz w:val="18"/>
                <w:szCs w:val="18"/>
              </w:rPr>
            </w:pPr>
            <w:r w:rsidRPr="00AC6EB7">
              <w:rPr>
                <w:rFonts w:cs="Arial"/>
                <w:sz w:val="18"/>
              </w:rPr>
              <w:t>-30.07</w:t>
            </w:r>
          </w:p>
        </w:tc>
      </w:tr>
      <w:tr w:rsidR="000A1014" w:rsidRPr="00C241B6" w:rsidTr="00B56CAC">
        <w:trPr>
          <w:trHeight w:val="454"/>
        </w:trPr>
        <w:tc>
          <w:tcPr>
            <w:tcW w:w="2937" w:type="dxa"/>
            <w:shd w:val="clear" w:color="auto" w:fill="auto"/>
          </w:tcPr>
          <w:p w:rsidR="000A1014" w:rsidRPr="00184FFA" w:rsidRDefault="000A1014" w:rsidP="00C241B6">
            <w:pPr>
              <w:pStyle w:val="TableBodyCells"/>
              <w:keepNext/>
              <w:jc w:val="left"/>
            </w:pPr>
            <w:r w:rsidRPr="00184FFA">
              <w:t>Plus indexation</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7.95</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16.18</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18.87</w:t>
            </w:r>
          </w:p>
        </w:tc>
        <w:tc>
          <w:tcPr>
            <w:tcW w:w="1077" w:type="dxa"/>
            <w:vAlign w:val="center"/>
          </w:tcPr>
          <w:p w:rsidR="000A1014" w:rsidRPr="008D6C6C" w:rsidRDefault="000A1014" w:rsidP="00AF3C32">
            <w:pPr>
              <w:spacing w:before="0"/>
              <w:jc w:val="center"/>
              <w:rPr>
                <w:rFonts w:cs="Arial"/>
                <w:sz w:val="18"/>
                <w:szCs w:val="18"/>
              </w:rPr>
            </w:pPr>
            <w:r w:rsidRPr="00AC6EB7">
              <w:rPr>
                <w:rFonts w:cs="Arial"/>
                <w:sz w:val="18"/>
              </w:rPr>
              <w:t>20.10</w:t>
            </w:r>
          </w:p>
        </w:tc>
        <w:tc>
          <w:tcPr>
            <w:tcW w:w="1077" w:type="dxa"/>
            <w:vAlign w:val="center"/>
          </w:tcPr>
          <w:p w:rsidR="000A1014" w:rsidRPr="008D6C6C" w:rsidRDefault="000A1014" w:rsidP="00AF3C32">
            <w:pPr>
              <w:spacing w:before="0"/>
              <w:jc w:val="center"/>
              <w:rPr>
                <w:rFonts w:cs="Arial"/>
                <w:sz w:val="18"/>
                <w:szCs w:val="18"/>
              </w:rPr>
            </w:pPr>
            <w:r w:rsidRPr="00AC6EB7">
              <w:rPr>
                <w:rFonts w:cs="Arial"/>
                <w:sz w:val="18"/>
              </w:rPr>
              <w:t>22.67</w:t>
            </w:r>
          </w:p>
        </w:tc>
      </w:tr>
      <w:tr w:rsidR="000A1014" w:rsidRPr="00C241B6" w:rsidTr="00B56CAC">
        <w:trPr>
          <w:trHeight w:val="454"/>
        </w:trPr>
        <w:tc>
          <w:tcPr>
            <w:tcW w:w="2937" w:type="dxa"/>
            <w:shd w:val="clear" w:color="auto" w:fill="auto"/>
          </w:tcPr>
          <w:p w:rsidR="000A1014" w:rsidRPr="00184FFA" w:rsidRDefault="000A1014" w:rsidP="00C241B6">
            <w:pPr>
              <w:pStyle w:val="TableBodyCells"/>
              <w:keepNext/>
              <w:jc w:val="left"/>
            </w:pPr>
            <w:r w:rsidRPr="00184FFA">
              <w:t>Less redundant assets</w:t>
            </w:r>
          </w:p>
        </w:tc>
        <w:tc>
          <w:tcPr>
            <w:tcW w:w="1077" w:type="dxa"/>
            <w:shd w:val="clear" w:color="auto" w:fill="auto"/>
            <w:vAlign w:val="center"/>
          </w:tcPr>
          <w:p w:rsidR="000A1014" w:rsidRPr="008D6C6C" w:rsidRDefault="000A1014" w:rsidP="00AF3C32">
            <w:pPr>
              <w:pStyle w:val="TableBodyCells"/>
              <w:keepNext/>
              <w:spacing w:before="0" w:after="0"/>
            </w:pPr>
            <w:r w:rsidRPr="00AC6EB7">
              <w:rPr>
                <w:rFonts w:cs="Arial"/>
                <w:szCs w:val="20"/>
              </w:rPr>
              <w:t>0</w:t>
            </w:r>
          </w:p>
        </w:tc>
        <w:tc>
          <w:tcPr>
            <w:tcW w:w="1077" w:type="dxa"/>
            <w:shd w:val="clear" w:color="auto" w:fill="auto"/>
            <w:vAlign w:val="center"/>
          </w:tcPr>
          <w:p w:rsidR="000A1014" w:rsidRPr="008D6C6C" w:rsidRDefault="000A1014" w:rsidP="00AF3C32">
            <w:pPr>
              <w:pStyle w:val="TableBodyCells"/>
              <w:keepNext/>
              <w:spacing w:before="0" w:after="0"/>
            </w:pPr>
            <w:r w:rsidRPr="00AC6EB7">
              <w:rPr>
                <w:rFonts w:cs="Arial"/>
                <w:szCs w:val="20"/>
              </w:rPr>
              <w:t>0</w:t>
            </w:r>
          </w:p>
        </w:tc>
        <w:tc>
          <w:tcPr>
            <w:tcW w:w="1077" w:type="dxa"/>
            <w:shd w:val="clear" w:color="auto" w:fill="auto"/>
            <w:vAlign w:val="center"/>
          </w:tcPr>
          <w:p w:rsidR="000A1014" w:rsidRPr="008D6C6C" w:rsidRDefault="000A1014" w:rsidP="00AF3C32">
            <w:pPr>
              <w:pStyle w:val="TableBodyCells"/>
              <w:keepNext/>
              <w:spacing w:before="0" w:after="0"/>
            </w:pPr>
            <w:r w:rsidRPr="00AC6EB7">
              <w:rPr>
                <w:rFonts w:cs="Arial"/>
                <w:szCs w:val="20"/>
              </w:rPr>
              <w:t>0</w:t>
            </w:r>
          </w:p>
        </w:tc>
        <w:tc>
          <w:tcPr>
            <w:tcW w:w="1077" w:type="dxa"/>
            <w:vAlign w:val="center"/>
          </w:tcPr>
          <w:p w:rsidR="000A1014" w:rsidRPr="008D6C6C" w:rsidRDefault="000A1014" w:rsidP="00AF3C32">
            <w:pPr>
              <w:pStyle w:val="TableBodyCells"/>
              <w:keepNext/>
              <w:spacing w:before="0" w:after="0"/>
            </w:pPr>
            <w:r w:rsidRPr="00AC6EB7">
              <w:rPr>
                <w:rFonts w:cs="Arial"/>
                <w:szCs w:val="20"/>
              </w:rPr>
              <w:t>0</w:t>
            </w:r>
          </w:p>
        </w:tc>
        <w:tc>
          <w:tcPr>
            <w:tcW w:w="1077" w:type="dxa"/>
            <w:vAlign w:val="center"/>
          </w:tcPr>
          <w:p w:rsidR="000A1014" w:rsidRPr="008D6C6C" w:rsidRDefault="000A1014" w:rsidP="00AF3C32">
            <w:pPr>
              <w:pStyle w:val="TableBodyCells"/>
              <w:keepNext/>
              <w:spacing w:before="0" w:after="0"/>
            </w:pPr>
            <w:r w:rsidRPr="00AC6EB7">
              <w:rPr>
                <w:rFonts w:cs="Arial"/>
                <w:szCs w:val="20"/>
              </w:rPr>
              <w:t>0</w:t>
            </w:r>
          </w:p>
        </w:tc>
      </w:tr>
      <w:tr w:rsidR="000A1014" w:rsidRPr="00C241B6" w:rsidTr="00B56CAC">
        <w:trPr>
          <w:trHeight w:val="454"/>
        </w:trPr>
        <w:tc>
          <w:tcPr>
            <w:tcW w:w="2937" w:type="dxa"/>
            <w:shd w:val="clear" w:color="auto" w:fill="auto"/>
          </w:tcPr>
          <w:p w:rsidR="000A1014" w:rsidRPr="00184FFA" w:rsidRDefault="000A1014" w:rsidP="00C241B6">
            <w:pPr>
              <w:pStyle w:val="TableBodyCells"/>
              <w:keepNext/>
              <w:jc w:val="left"/>
            </w:pPr>
            <w:r w:rsidRPr="00184FFA">
              <w:t>Less disposals</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-0.01</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-0.18</w:t>
            </w:r>
          </w:p>
        </w:tc>
        <w:tc>
          <w:tcPr>
            <w:tcW w:w="1077" w:type="dxa"/>
            <w:shd w:val="clear" w:color="auto" w:fill="auto"/>
            <w:vAlign w:val="center"/>
          </w:tcPr>
          <w:p w:rsidR="000A1014" w:rsidRPr="008D6C6C" w:rsidRDefault="000A1014" w:rsidP="00AF3C32">
            <w:pPr>
              <w:spacing w:before="0"/>
              <w:jc w:val="center"/>
              <w:rPr>
                <w:rFonts w:cs="Arial"/>
                <w:sz w:val="18"/>
                <w:szCs w:val="18"/>
              </w:rPr>
            </w:pPr>
            <w:r w:rsidRPr="00AC6EB7">
              <w:rPr>
                <w:rFonts w:cs="Arial"/>
                <w:sz w:val="18"/>
              </w:rPr>
              <w:t>-0.04</w:t>
            </w:r>
          </w:p>
        </w:tc>
        <w:tc>
          <w:tcPr>
            <w:tcW w:w="1077" w:type="dxa"/>
            <w:vAlign w:val="center"/>
          </w:tcPr>
          <w:p w:rsidR="000A1014" w:rsidRPr="008D6C6C" w:rsidRDefault="000A1014" w:rsidP="00AF3C32">
            <w:pPr>
              <w:spacing w:before="0"/>
              <w:jc w:val="center"/>
              <w:rPr>
                <w:rFonts w:cs="Arial"/>
                <w:sz w:val="18"/>
                <w:szCs w:val="18"/>
              </w:rPr>
            </w:pPr>
            <w:r w:rsidRPr="00AC6EB7">
              <w:rPr>
                <w:rFonts w:cs="Arial"/>
                <w:sz w:val="18"/>
              </w:rPr>
              <w:t>-0.04</w:t>
            </w:r>
          </w:p>
        </w:tc>
        <w:tc>
          <w:tcPr>
            <w:tcW w:w="1077" w:type="dxa"/>
            <w:vAlign w:val="center"/>
          </w:tcPr>
          <w:p w:rsidR="000A1014" w:rsidRPr="008D6C6C" w:rsidRDefault="000A1014" w:rsidP="00AF3C32">
            <w:pPr>
              <w:spacing w:before="0"/>
              <w:jc w:val="center"/>
              <w:rPr>
                <w:rFonts w:cs="Arial"/>
                <w:sz w:val="18"/>
                <w:szCs w:val="18"/>
              </w:rPr>
            </w:pPr>
            <w:r w:rsidRPr="00AC6EB7">
              <w:rPr>
                <w:rFonts w:cs="Arial"/>
                <w:sz w:val="18"/>
              </w:rPr>
              <w:t>-0.07</w:t>
            </w:r>
          </w:p>
        </w:tc>
      </w:tr>
      <w:tr w:rsidR="000A1014" w:rsidRPr="00C241B6" w:rsidTr="00B56CAC">
        <w:trPr>
          <w:trHeight w:val="454"/>
        </w:trPr>
        <w:tc>
          <w:tcPr>
            <w:tcW w:w="2937" w:type="dxa"/>
            <w:shd w:val="clear" w:color="auto" w:fill="auto"/>
          </w:tcPr>
          <w:p w:rsidR="000A1014" w:rsidRPr="00C241B6" w:rsidRDefault="000A1014" w:rsidP="00C241B6">
            <w:pPr>
              <w:pStyle w:val="TableBodyCells"/>
              <w:keepNext/>
              <w:jc w:val="left"/>
              <w:rPr>
                <w:b/>
              </w:rPr>
            </w:pPr>
            <w:r w:rsidRPr="00C241B6">
              <w:rPr>
                <w:b/>
              </w:rPr>
              <w:t>Closing capital base</w:t>
            </w:r>
          </w:p>
        </w:tc>
        <w:tc>
          <w:tcPr>
            <w:tcW w:w="1077" w:type="dxa"/>
            <w:shd w:val="clear" w:color="auto" w:fill="auto"/>
            <w:vAlign w:val="center"/>
          </w:tcPr>
          <w:p w:rsidR="000A1014" w:rsidRPr="008D6C6C" w:rsidRDefault="000A1014" w:rsidP="00B56CAC">
            <w:pPr>
              <w:spacing w:before="0"/>
              <w:jc w:val="center"/>
              <w:rPr>
                <w:rFonts w:cs="Arial"/>
                <w:b/>
                <w:bCs/>
                <w:sz w:val="18"/>
                <w:szCs w:val="18"/>
              </w:rPr>
            </w:pPr>
            <w:r w:rsidRPr="00AC6EB7">
              <w:rPr>
                <w:rFonts w:cs="Arial"/>
                <w:b/>
                <w:bCs/>
                <w:sz w:val="18"/>
              </w:rPr>
              <w:t>646.92</w:t>
            </w:r>
          </w:p>
        </w:tc>
        <w:tc>
          <w:tcPr>
            <w:tcW w:w="1077" w:type="dxa"/>
            <w:shd w:val="clear" w:color="auto" w:fill="auto"/>
            <w:vAlign w:val="center"/>
          </w:tcPr>
          <w:p w:rsidR="000A1014" w:rsidRPr="008D6C6C" w:rsidRDefault="000A1014" w:rsidP="00B56CAC">
            <w:pPr>
              <w:spacing w:before="0"/>
              <w:jc w:val="center"/>
              <w:rPr>
                <w:rFonts w:cs="Arial"/>
                <w:b/>
                <w:bCs/>
                <w:sz w:val="18"/>
                <w:szCs w:val="18"/>
              </w:rPr>
            </w:pPr>
            <w:r w:rsidRPr="00AC6EB7">
              <w:rPr>
                <w:rFonts w:cs="Arial"/>
                <w:b/>
                <w:bCs/>
                <w:sz w:val="18"/>
              </w:rPr>
              <w:t>763.75</w:t>
            </w:r>
          </w:p>
        </w:tc>
        <w:tc>
          <w:tcPr>
            <w:tcW w:w="1077" w:type="dxa"/>
            <w:shd w:val="clear" w:color="auto" w:fill="auto"/>
            <w:vAlign w:val="center"/>
          </w:tcPr>
          <w:p w:rsidR="000A1014" w:rsidRPr="008D6C6C" w:rsidRDefault="000A1014" w:rsidP="00B56CAC">
            <w:pPr>
              <w:spacing w:before="0"/>
              <w:jc w:val="center"/>
              <w:rPr>
                <w:rFonts w:cs="Arial"/>
                <w:b/>
                <w:bCs/>
                <w:sz w:val="18"/>
                <w:szCs w:val="18"/>
              </w:rPr>
            </w:pPr>
            <w:r w:rsidRPr="00AC6EB7">
              <w:rPr>
                <w:rFonts w:cs="Arial"/>
                <w:b/>
                <w:bCs/>
                <w:sz w:val="18"/>
              </w:rPr>
              <w:t>849.64</w:t>
            </w:r>
          </w:p>
        </w:tc>
        <w:tc>
          <w:tcPr>
            <w:tcW w:w="1077" w:type="dxa"/>
            <w:vAlign w:val="center"/>
          </w:tcPr>
          <w:p w:rsidR="000A1014" w:rsidRPr="008D6C6C" w:rsidRDefault="000A1014" w:rsidP="00B56CAC">
            <w:pPr>
              <w:spacing w:before="0"/>
              <w:jc w:val="center"/>
              <w:rPr>
                <w:rFonts w:cs="Arial"/>
                <w:b/>
                <w:bCs/>
                <w:sz w:val="18"/>
                <w:szCs w:val="18"/>
              </w:rPr>
            </w:pPr>
            <w:r w:rsidRPr="00AC6EB7">
              <w:rPr>
                <w:rFonts w:cs="Arial"/>
                <w:b/>
                <w:bCs/>
                <w:sz w:val="18"/>
              </w:rPr>
              <w:t>944.67</w:t>
            </w:r>
          </w:p>
        </w:tc>
        <w:tc>
          <w:tcPr>
            <w:tcW w:w="1077" w:type="dxa"/>
            <w:vAlign w:val="center"/>
          </w:tcPr>
          <w:p w:rsidR="000A1014" w:rsidRPr="008D6C6C" w:rsidRDefault="000A1014" w:rsidP="00B56CAC">
            <w:pPr>
              <w:spacing w:before="0"/>
              <w:jc w:val="center"/>
              <w:rPr>
                <w:rFonts w:cs="Arial"/>
                <w:b/>
                <w:bCs/>
                <w:sz w:val="18"/>
                <w:szCs w:val="18"/>
              </w:rPr>
            </w:pPr>
            <w:r w:rsidRPr="00AC6EB7">
              <w:rPr>
                <w:rFonts w:cs="Arial"/>
                <w:b/>
                <w:bCs/>
                <w:sz w:val="18"/>
              </w:rPr>
              <w:t>1,008.51</w:t>
            </w:r>
          </w:p>
        </w:tc>
      </w:tr>
    </w:tbl>
    <w:p w:rsidR="00C241B6" w:rsidRDefault="00C241B6" w:rsidP="00C241B6">
      <w:pPr>
        <w:pStyle w:val="BodyText"/>
      </w:pPr>
    </w:p>
    <w:p w:rsidR="00677E0E" w:rsidRDefault="00C241B6" w:rsidP="0055275F">
      <w:pPr>
        <w:pStyle w:val="Heading2"/>
      </w:pPr>
      <w:bookmarkStart w:id="54" w:name="_Ref468181541"/>
      <w:bookmarkStart w:id="55" w:name="_Toc482626071"/>
      <w:r>
        <w:lastRenderedPageBreak/>
        <w:t>Projected capital base for the access arrangement period</w:t>
      </w:r>
      <w:bookmarkEnd w:id="54"/>
      <w:bookmarkEnd w:id="55"/>
    </w:p>
    <w:p w:rsidR="00C241B6" w:rsidRDefault="00C241B6" w:rsidP="006367E5">
      <w:pPr>
        <w:pStyle w:val="Heading3"/>
      </w:pPr>
      <w:r>
        <w:t xml:space="preserve">Forecast capital expenditure </w:t>
      </w:r>
    </w:p>
    <w:p w:rsidR="00C241B6" w:rsidRDefault="00C241B6" w:rsidP="00F55674">
      <w:pPr>
        <w:pStyle w:val="BodyText"/>
      </w:pPr>
      <w:r>
        <w:t xml:space="preserve">Forecast capital expenditure is </w:t>
      </w:r>
      <w:r w:rsidR="00192C04">
        <w:t xml:space="preserve">summarised </w:t>
      </w:r>
      <w:r>
        <w:t xml:space="preserve">in </w:t>
      </w:r>
      <w:r>
        <w:fldChar w:fldCharType="begin"/>
      </w:r>
      <w:r>
        <w:instrText xml:space="preserve"> REF _Ref467768535 \h </w:instrText>
      </w:r>
      <w:r>
        <w:fldChar w:fldCharType="separate"/>
      </w:r>
      <w:r w:rsidR="006D055F" w:rsidRPr="008A4AF0">
        <w:t xml:space="preserve">Table </w:t>
      </w:r>
      <w:r w:rsidR="006D055F">
        <w:rPr>
          <w:noProof/>
        </w:rPr>
        <w:t>6</w:t>
      </w:r>
      <w:r w:rsidR="006D055F">
        <w:noBreakHyphen/>
      </w:r>
      <w:r w:rsidR="006D055F">
        <w:rPr>
          <w:noProof/>
        </w:rPr>
        <w:t>2</w:t>
      </w:r>
      <w:r>
        <w:fldChar w:fldCharType="end"/>
      </w:r>
      <w:r>
        <w:t xml:space="preserve"> below.</w:t>
      </w:r>
    </w:p>
    <w:p w:rsidR="00C241B6" w:rsidRPr="008A4AF0" w:rsidRDefault="00C241B6" w:rsidP="0032107D">
      <w:pPr>
        <w:pStyle w:val="Caption"/>
      </w:pPr>
      <w:bookmarkStart w:id="56" w:name="_Ref467768535"/>
      <w:bookmarkStart w:id="57" w:name="_Toc482626108"/>
      <w:r w:rsidRPr="008A4AF0">
        <w:t xml:space="preserve">Table </w:t>
      </w:r>
      <w:r w:rsidR="006D055F">
        <w:fldChar w:fldCharType="begin"/>
      </w:r>
      <w:r w:rsidR="006D055F">
        <w:instrText xml:space="preserve"> STYLEREF 1 \s </w:instrText>
      </w:r>
      <w:r w:rsidR="006D055F">
        <w:fldChar w:fldCharType="separate"/>
      </w:r>
      <w:r w:rsidR="006D055F">
        <w:rPr>
          <w:noProof/>
        </w:rPr>
        <w:t>6</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2</w:t>
      </w:r>
      <w:r w:rsidR="006D055F">
        <w:rPr>
          <w:noProof/>
        </w:rPr>
        <w:fldChar w:fldCharType="end"/>
      </w:r>
      <w:bookmarkEnd w:id="56"/>
      <w:r>
        <w:t xml:space="preserve"> –</w:t>
      </w:r>
      <w:r w:rsidRPr="008A4AF0">
        <w:t xml:space="preserve"> </w:t>
      </w:r>
      <w:r>
        <w:t xml:space="preserve">Forecast capital expenditure </w:t>
      </w:r>
      <w:r w:rsidR="001F426A">
        <w:t xml:space="preserve">($m </w:t>
      </w:r>
      <w:r w:rsidR="00464A44">
        <w:t>2017</w:t>
      </w:r>
      <w:r w:rsidR="001F426A">
        <w:t>)</w:t>
      </w:r>
      <w:bookmarkEnd w:id="57"/>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093"/>
        <w:gridCol w:w="1057"/>
        <w:gridCol w:w="1057"/>
        <w:gridCol w:w="1058"/>
        <w:gridCol w:w="1057"/>
        <w:gridCol w:w="1057"/>
        <w:gridCol w:w="1058"/>
      </w:tblGrid>
      <w:tr w:rsidR="00C241B6" w:rsidRPr="008A4AF0" w:rsidTr="00E1002B">
        <w:tc>
          <w:tcPr>
            <w:tcW w:w="2093" w:type="dxa"/>
            <w:shd w:val="clear" w:color="auto" w:fill="333333"/>
          </w:tcPr>
          <w:p w:rsidR="00C241B6" w:rsidRPr="00AF4988" w:rsidRDefault="001F426A" w:rsidP="00464A44">
            <w:pPr>
              <w:pStyle w:val="TableColumnHeadings"/>
              <w:keepNext/>
              <w:jc w:val="left"/>
              <w:rPr>
                <w:rFonts w:ascii="Century Gothic" w:hAnsi="Century Gothic"/>
              </w:rPr>
            </w:pPr>
            <w:r>
              <w:rPr>
                <w:rFonts w:ascii="Century Gothic" w:hAnsi="Century Gothic"/>
              </w:rPr>
              <w:t xml:space="preserve">$m </w:t>
            </w:r>
            <w:r w:rsidR="00464A44">
              <w:rPr>
                <w:rFonts w:ascii="Century Gothic" w:hAnsi="Century Gothic"/>
              </w:rPr>
              <w:t>real 2017</w:t>
            </w:r>
          </w:p>
        </w:tc>
        <w:tc>
          <w:tcPr>
            <w:tcW w:w="1057" w:type="dxa"/>
            <w:shd w:val="clear" w:color="auto" w:fill="333333"/>
          </w:tcPr>
          <w:p w:rsidR="00C241B6" w:rsidRPr="00AF4988" w:rsidRDefault="00C241B6" w:rsidP="00E1591E">
            <w:pPr>
              <w:pStyle w:val="TableColumnHeadings"/>
              <w:rPr>
                <w:rFonts w:ascii="Century Gothic" w:hAnsi="Century Gothic"/>
              </w:rPr>
            </w:pPr>
            <w:r>
              <w:rPr>
                <w:rFonts w:ascii="Century Gothic" w:hAnsi="Century Gothic"/>
              </w:rPr>
              <w:t>201</w:t>
            </w:r>
            <w:r w:rsidR="00E1591E">
              <w:rPr>
                <w:rFonts w:ascii="Century Gothic" w:hAnsi="Century Gothic"/>
              </w:rPr>
              <w:t>8</w:t>
            </w:r>
          </w:p>
        </w:tc>
        <w:tc>
          <w:tcPr>
            <w:tcW w:w="1057" w:type="dxa"/>
            <w:shd w:val="clear" w:color="auto" w:fill="333333"/>
          </w:tcPr>
          <w:p w:rsidR="00C241B6" w:rsidRPr="00AF4988" w:rsidRDefault="00C241B6" w:rsidP="00E1591E">
            <w:pPr>
              <w:pStyle w:val="TableColumnHeadings"/>
              <w:rPr>
                <w:rFonts w:ascii="Century Gothic" w:hAnsi="Century Gothic"/>
              </w:rPr>
            </w:pPr>
            <w:r>
              <w:rPr>
                <w:rFonts w:ascii="Century Gothic" w:hAnsi="Century Gothic"/>
              </w:rPr>
              <w:t>201</w:t>
            </w:r>
            <w:r w:rsidR="00E1591E">
              <w:rPr>
                <w:rFonts w:ascii="Century Gothic" w:hAnsi="Century Gothic"/>
              </w:rPr>
              <w:t>9</w:t>
            </w:r>
          </w:p>
        </w:tc>
        <w:tc>
          <w:tcPr>
            <w:tcW w:w="1058" w:type="dxa"/>
            <w:shd w:val="clear" w:color="auto" w:fill="333333"/>
          </w:tcPr>
          <w:p w:rsidR="00C241B6" w:rsidRPr="00AF4988" w:rsidRDefault="00C241B6" w:rsidP="00E1591E">
            <w:pPr>
              <w:pStyle w:val="TableColumnHeadings"/>
              <w:rPr>
                <w:rFonts w:ascii="Century Gothic" w:hAnsi="Century Gothic"/>
              </w:rPr>
            </w:pPr>
            <w:r>
              <w:rPr>
                <w:rFonts w:ascii="Century Gothic" w:hAnsi="Century Gothic"/>
              </w:rPr>
              <w:t>20</w:t>
            </w:r>
            <w:r w:rsidR="00E1591E">
              <w:rPr>
                <w:rFonts w:ascii="Century Gothic" w:hAnsi="Century Gothic"/>
              </w:rPr>
              <w:t>20</w:t>
            </w:r>
          </w:p>
        </w:tc>
        <w:tc>
          <w:tcPr>
            <w:tcW w:w="1057" w:type="dxa"/>
            <w:shd w:val="clear" w:color="auto" w:fill="333333"/>
          </w:tcPr>
          <w:p w:rsidR="00C241B6" w:rsidRPr="00AF4988" w:rsidRDefault="00C241B6" w:rsidP="00E1591E">
            <w:pPr>
              <w:pStyle w:val="TableColumnHeadings"/>
              <w:rPr>
                <w:rFonts w:ascii="Century Gothic" w:hAnsi="Century Gothic"/>
              </w:rPr>
            </w:pPr>
            <w:r>
              <w:rPr>
                <w:rFonts w:ascii="Century Gothic" w:hAnsi="Century Gothic"/>
              </w:rPr>
              <w:t>20</w:t>
            </w:r>
            <w:r w:rsidR="00E1591E">
              <w:rPr>
                <w:rFonts w:ascii="Century Gothic" w:hAnsi="Century Gothic"/>
              </w:rPr>
              <w:t>21</w:t>
            </w:r>
          </w:p>
        </w:tc>
        <w:tc>
          <w:tcPr>
            <w:tcW w:w="1057" w:type="dxa"/>
            <w:shd w:val="clear" w:color="auto" w:fill="333333"/>
          </w:tcPr>
          <w:p w:rsidR="00C241B6" w:rsidRPr="00AF4988" w:rsidRDefault="00C241B6" w:rsidP="00E1591E">
            <w:pPr>
              <w:pStyle w:val="TableColumnHeadings"/>
              <w:rPr>
                <w:rFonts w:ascii="Century Gothic" w:hAnsi="Century Gothic"/>
              </w:rPr>
            </w:pPr>
            <w:r>
              <w:rPr>
                <w:rFonts w:ascii="Century Gothic" w:hAnsi="Century Gothic"/>
              </w:rPr>
              <w:t>20</w:t>
            </w:r>
            <w:r w:rsidR="00E1591E">
              <w:rPr>
                <w:rFonts w:ascii="Century Gothic" w:hAnsi="Century Gothic"/>
              </w:rPr>
              <w:t>22</w:t>
            </w:r>
          </w:p>
        </w:tc>
        <w:tc>
          <w:tcPr>
            <w:tcW w:w="1058" w:type="dxa"/>
            <w:shd w:val="clear" w:color="auto" w:fill="333333"/>
          </w:tcPr>
          <w:p w:rsidR="00C241B6" w:rsidRPr="00AF4988" w:rsidRDefault="00C241B6" w:rsidP="00E1002B">
            <w:pPr>
              <w:pStyle w:val="TableColumnHeadings"/>
              <w:rPr>
                <w:rFonts w:ascii="Century Gothic" w:hAnsi="Century Gothic"/>
              </w:rPr>
            </w:pPr>
            <w:r w:rsidRPr="00AF4988">
              <w:rPr>
                <w:rFonts w:ascii="Century Gothic" w:hAnsi="Century Gothic"/>
              </w:rPr>
              <w:t>Total</w:t>
            </w:r>
          </w:p>
        </w:tc>
      </w:tr>
      <w:tr w:rsidR="00F55B05" w:rsidRPr="008A4AF0" w:rsidTr="00AC6EB7">
        <w:tc>
          <w:tcPr>
            <w:tcW w:w="2093" w:type="dxa"/>
            <w:shd w:val="clear" w:color="auto" w:fill="auto"/>
            <w:vAlign w:val="center"/>
          </w:tcPr>
          <w:p w:rsidR="00F55B05" w:rsidRPr="008A4AF0" w:rsidRDefault="00F55B05" w:rsidP="00E1002B">
            <w:pPr>
              <w:pStyle w:val="TableBodyCells"/>
              <w:keepNext/>
              <w:jc w:val="left"/>
            </w:pPr>
            <w:r>
              <w:t>Capital expenditure</w:t>
            </w:r>
          </w:p>
        </w:tc>
        <w:tc>
          <w:tcPr>
            <w:tcW w:w="1057" w:type="dxa"/>
            <w:shd w:val="clear" w:color="auto" w:fill="auto"/>
            <w:vAlign w:val="bottom"/>
          </w:tcPr>
          <w:p w:rsidR="00F55B05" w:rsidRPr="008D6C6C" w:rsidRDefault="00F55B05" w:rsidP="00464A44">
            <w:pPr>
              <w:pStyle w:val="TableBodyCells"/>
              <w:keepNext/>
              <w:rPr>
                <w:rFonts w:cs="Arial"/>
              </w:rPr>
            </w:pPr>
            <w:r w:rsidRPr="00AC6EB7">
              <w:rPr>
                <w:rFonts w:cs="Arial"/>
              </w:rPr>
              <w:t>77.71</w:t>
            </w:r>
          </w:p>
        </w:tc>
        <w:tc>
          <w:tcPr>
            <w:tcW w:w="1057" w:type="dxa"/>
            <w:shd w:val="clear" w:color="auto" w:fill="auto"/>
            <w:vAlign w:val="bottom"/>
          </w:tcPr>
          <w:p w:rsidR="00F55B05" w:rsidRPr="008D6C6C" w:rsidRDefault="00F55B05" w:rsidP="00464A44">
            <w:pPr>
              <w:pStyle w:val="TableBodyCells"/>
              <w:keepNext/>
              <w:rPr>
                <w:rFonts w:cs="Arial"/>
              </w:rPr>
            </w:pPr>
            <w:r w:rsidRPr="00AC6EB7">
              <w:rPr>
                <w:rFonts w:cs="Arial"/>
              </w:rPr>
              <w:t>71.92</w:t>
            </w:r>
          </w:p>
        </w:tc>
        <w:tc>
          <w:tcPr>
            <w:tcW w:w="1058" w:type="dxa"/>
            <w:shd w:val="clear" w:color="auto" w:fill="auto"/>
            <w:vAlign w:val="bottom"/>
          </w:tcPr>
          <w:p w:rsidR="00F55B05" w:rsidRPr="008D6C6C" w:rsidRDefault="00F55B05" w:rsidP="00464A44">
            <w:pPr>
              <w:pStyle w:val="TableBodyCells"/>
              <w:keepNext/>
              <w:rPr>
                <w:rFonts w:cs="Arial"/>
              </w:rPr>
            </w:pPr>
            <w:r w:rsidRPr="00AC6EB7">
              <w:rPr>
                <w:rFonts w:cs="Arial"/>
              </w:rPr>
              <w:t>73.73</w:t>
            </w:r>
          </w:p>
        </w:tc>
        <w:tc>
          <w:tcPr>
            <w:tcW w:w="1057" w:type="dxa"/>
            <w:vAlign w:val="bottom"/>
          </w:tcPr>
          <w:p w:rsidR="00F55B05" w:rsidRPr="008D6C6C" w:rsidRDefault="00F55B05" w:rsidP="00464A44">
            <w:pPr>
              <w:pStyle w:val="TableBodyCells"/>
              <w:keepNext/>
              <w:rPr>
                <w:rFonts w:cs="Arial"/>
              </w:rPr>
            </w:pPr>
            <w:r w:rsidRPr="00AC6EB7">
              <w:rPr>
                <w:rFonts w:cs="Arial"/>
              </w:rPr>
              <w:t>17.79</w:t>
            </w:r>
          </w:p>
        </w:tc>
        <w:tc>
          <w:tcPr>
            <w:tcW w:w="1057" w:type="dxa"/>
            <w:vAlign w:val="bottom"/>
          </w:tcPr>
          <w:p w:rsidR="00F55B05" w:rsidRPr="008D6C6C" w:rsidRDefault="00F55B05" w:rsidP="00464A44">
            <w:pPr>
              <w:pStyle w:val="TableBodyCells"/>
              <w:keepNext/>
              <w:rPr>
                <w:rFonts w:cs="Arial"/>
              </w:rPr>
            </w:pPr>
            <w:r w:rsidRPr="00AC6EB7">
              <w:rPr>
                <w:rFonts w:cs="Arial"/>
              </w:rPr>
              <w:t>14.92</w:t>
            </w:r>
          </w:p>
        </w:tc>
        <w:tc>
          <w:tcPr>
            <w:tcW w:w="1058" w:type="dxa"/>
            <w:shd w:val="clear" w:color="auto" w:fill="auto"/>
            <w:vAlign w:val="bottom"/>
          </w:tcPr>
          <w:p w:rsidR="00F55B05" w:rsidRPr="00464A44" w:rsidRDefault="00F55B05" w:rsidP="00464A44">
            <w:pPr>
              <w:pStyle w:val="TableBodyCells"/>
              <w:keepNext/>
              <w:rPr>
                <w:b/>
              </w:rPr>
            </w:pPr>
            <w:r>
              <w:rPr>
                <w:rFonts w:cs="Arial"/>
              </w:rPr>
              <w:t>256.07</w:t>
            </w:r>
          </w:p>
        </w:tc>
      </w:tr>
    </w:tbl>
    <w:p w:rsidR="00C241B6" w:rsidRDefault="00C241B6" w:rsidP="006367E5">
      <w:pPr>
        <w:pStyle w:val="Heading3"/>
      </w:pPr>
      <w:r>
        <w:t>Non-conforming capital expenditure</w:t>
      </w:r>
    </w:p>
    <w:p w:rsidR="00C241B6" w:rsidRDefault="00C241B6" w:rsidP="00172132">
      <w:pPr>
        <w:pStyle w:val="Heading5"/>
      </w:pPr>
      <w:r>
        <w:t>Disposals</w:t>
      </w:r>
      <w:r w:rsidR="00C57406">
        <w:t xml:space="preserve"> or redundant assets</w:t>
      </w:r>
    </w:p>
    <w:p w:rsidR="00C57406" w:rsidRDefault="00C57406" w:rsidP="00C57406">
      <w:pPr>
        <w:pStyle w:val="BodyText"/>
      </w:pPr>
      <w:r>
        <w:t xml:space="preserve">APA VTS does not anticipate any additional disposals or redundant assets associated with the WORM project. </w:t>
      </w:r>
    </w:p>
    <w:p w:rsidR="00C57406" w:rsidRDefault="00C57406" w:rsidP="00C57406">
      <w:pPr>
        <w:pStyle w:val="BodyText"/>
      </w:pPr>
      <w:r>
        <w:t>Importantly, Brooklyn Compressor Station will remain in operation to support winter gas pressures to the Geelong</w:t>
      </w:r>
      <w:r w:rsidR="009279DA">
        <w:t xml:space="preserve"> and Ballarat</w:t>
      </w:r>
      <w:r>
        <w:t xml:space="preserve"> region</w:t>
      </w:r>
      <w:r w:rsidR="009279DA">
        <w:t>s</w:t>
      </w:r>
      <w:r>
        <w:t xml:space="preserve">, as well as the summer GPG load for the Laverton North PS.  </w:t>
      </w:r>
    </w:p>
    <w:p w:rsidR="009535C9" w:rsidRDefault="009535C9" w:rsidP="006367E5">
      <w:pPr>
        <w:pStyle w:val="Heading3"/>
      </w:pPr>
      <w:r>
        <w:t>Project</w:t>
      </w:r>
      <w:r w:rsidR="00C57406">
        <w:t>ed</w:t>
      </w:r>
      <w:r>
        <w:t xml:space="preserve"> capital base over the period</w:t>
      </w:r>
    </w:p>
    <w:p w:rsidR="009535C9" w:rsidRDefault="009535C9" w:rsidP="009535C9">
      <w:pPr>
        <w:pStyle w:val="BodyText"/>
      </w:pPr>
      <w:r>
        <w:t xml:space="preserve">The projected capital base has been rolled forward in accordance with the provisions of Rule 78, as shown in </w:t>
      </w:r>
      <w:r w:rsidR="0077328E">
        <w:fldChar w:fldCharType="begin"/>
      </w:r>
      <w:r w:rsidR="0077328E">
        <w:instrText xml:space="preserve"> REF _Ref469577275 \h </w:instrText>
      </w:r>
      <w:r w:rsidR="0077328E">
        <w:fldChar w:fldCharType="separate"/>
      </w:r>
      <w:r w:rsidR="006D055F" w:rsidRPr="008A4AF0">
        <w:t xml:space="preserve">Table </w:t>
      </w:r>
      <w:r w:rsidR="006D055F">
        <w:rPr>
          <w:noProof/>
        </w:rPr>
        <w:t>6</w:t>
      </w:r>
      <w:r w:rsidR="006D055F">
        <w:noBreakHyphen/>
      </w:r>
      <w:r w:rsidR="006D055F">
        <w:rPr>
          <w:noProof/>
        </w:rPr>
        <w:t>3</w:t>
      </w:r>
      <w:r w:rsidR="0077328E">
        <w:fldChar w:fldCharType="end"/>
      </w:r>
      <w:r w:rsidR="0077328E">
        <w:t>.</w:t>
      </w:r>
    </w:p>
    <w:p w:rsidR="009535C9" w:rsidRPr="008A4AF0" w:rsidRDefault="009535C9" w:rsidP="0032107D">
      <w:pPr>
        <w:pStyle w:val="Caption"/>
      </w:pPr>
      <w:bookmarkStart w:id="58" w:name="_Ref469577275"/>
      <w:bookmarkStart w:id="59" w:name="_Toc482626109"/>
      <w:r w:rsidRPr="008A4AF0">
        <w:lastRenderedPageBreak/>
        <w:t xml:space="preserve">Table </w:t>
      </w:r>
      <w:r w:rsidR="006D055F">
        <w:fldChar w:fldCharType="begin"/>
      </w:r>
      <w:r w:rsidR="006D055F">
        <w:instrText xml:space="preserve"> STYLEREF 1 \s </w:instrText>
      </w:r>
      <w:r w:rsidR="006D055F">
        <w:fldChar w:fldCharType="separate"/>
      </w:r>
      <w:r w:rsidR="006D055F">
        <w:rPr>
          <w:noProof/>
        </w:rPr>
        <w:t>6</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3</w:t>
      </w:r>
      <w:r w:rsidR="006D055F">
        <w:rPr>
          <w:noProof/>
        </w:rPr>
        <w:fldChar w:fldCharType="end"/>
      </w:r>
      <w:bookmarkEnd w:id="58"/>
      <w:r>
        <w:t xml:space="preserve"> –</w:t>
      </w:r>
      <w:r w:rsidRPr="008A4AF0">
        <w:t xml:space="preserve"> </w:t>
      </w:r>
      <w:r>
        <w:t>Capital base roll forward 2018-2022</w:t>
      </w:r>
      <w:r w:rsidR="001F426A">
        <w:t xml:space="preserve"> ($m nominal)</w:t>
      </w:r>
      <w:bookmarkEnd w:id="59"/>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937"/>
        <w:gridCol w:w="1078"/>
        <w:gridCol w:w="1079"/>
        <w:gridCol w:w="1078"/>
        <w:gridCol w:w="1079"/>
        <w:gridCol w:w="1079"/>
      </w:tblGrid>
      <w:tr w:rsidR="009535C9" w:rsidRPr="008A4AF0" w:rsidTr="00E1002B">
        <w:tc>
          <w:tcPr>
            <w:tcW w:w="2937" w:type="dxa"/>
            <w:shd w:val="clear" w:color="auto" w:fill="333333"/>
          </w:tcPr>
          <w:p w:rsidR="009535C9" w:rsidRPr="00AF4988" w:rsidRDefault="001F426A" w:rsidP="00E1002B">
            <w:pPr>
              <w:pStyle w:val="TableColumnHeadings"/>
              <w:keepNext/>
              <w:jc w:val="left"/>
              <w:rPr>
                <w:rFonts w:ascii="Century Gothic" w:hAnsi="Century Gothic"/>
              </w:rPr>
            </w:pPr>
            <w:r>
              <w:rPr>
                <w:rFonts w:ascii="Century Gothic" w:hAnsi="Century Gothic"/>
              </w:rPr>
              <w:t xml:space="preserve">$m </w:t>
            </w:r>
            <w:r w:rsidR="009535C9">
              <w:rPr>
                <w:rFonts w:ascii="Century Gothic" w:hAnsi="Century Gothic"/>
              </w:rPr>
              <w:t>nominal</w:t>
            </w:r>
          </w:p>
        </w:tc>
        <w:tc>
          <w:tcPr>
            <w:tcW w:w="1078" w:type="dxa"/>
            <w:shd w:val="clear" w:color="auto" w:fill="333333"/>
          </w:tcPr>
          <w:p w:rsidR="009535C9" w:rsidRPr="00AF4988" w:rsidRDefault="009535C9" w:rsidP="00E1002B">
            <w:pPr>
              <w:pStyle w:val="TableColumnHeadings"/>
              <w:rPr>
                <w:rFonts w:ascii="Century Gothic" w:hAnsi="Century Gothic"/>
              </w:rPr>
            </w:pPr>
            <w:r>
              <w:rPr>
                <w:rFonts w:ascii="Century Gothic" w:hAnsi="Century Gothic"/>
              </w:rPr>
              <w:t>2018</w:t>
            </w:r>
          </w:p>
        </w:tc>
        <w:tc>
          <w:tcPr>
            <w:tcW w:w="1079" w:type="dxa"/>
            <w:shd w:val="clear" w:color="auto" w:fill="333333"/>
          </w:tcPr>
          <w:p w:rsidR="009535C9" w:rsidRPr="00AF4988" w:rsidRDefault="009535C9" w:rsidP="00E1002B">
            <w:pPr>
              <w:pStyle w:val="TableColumnHeadings"/>
              <w:rPr>
                <w:rFonts w:ascii="Century Gothic" w:hAnsi="Century Gothic"/>
              </w:rPr>
            </w:pPr>
            <w:r>
              <w:rPr>
                <w:rFonts w:ascii="Century Gothic" w:hAnsi="Century Gothic"/>
              </w:rPr>
              <w:t>2019</w:t>
            </w:r>
          </w:p>
        </w:tc>
        <w:tc>
          <w:tcPr>
            <w:tcW w:w="1078" w:type="dxa"/>
            <w:shd w:val="clear" w:color="auto" w:fill="333333"/>
          </w:tcPr>
          <w:p w:rsidR="009535C9" w:rsidRPr="00AF4988" w:rsidRDefault="009535C9" w:rsidP="009535C9">
            <w:pPr>
              <w:pStyle w:val="TableColumnHeadings"/>
              <w:rPr>
                <w:rFonts w:ascii="Century Gothic" w:hAnsi="Century Gothic"/>
              </w:rPr>
            </w:pPr>
            <w:r>
              <w:rPr>
                <w:rFonts w:ascii="Century Gothic" w:hAnsi="Century Gothic"/>
              </w:rPr>
              <w:t>2020</w:t>
            </w:r>
          </w:p>
        </w:tc>
        <w:tc>
          <w:tcPr>
            <w:tcW w:w="1079" w:type="dxa"/>
            <w:shd w:val="clear" w:color="auto" w:fill="333333"/>
          </w:tcPr>
          <w:p w:rsidR="009535C9" w:rsidRPr="00AF4988" w:rsidRDefault="009535C9" w:rsidP="00E1002B">
            <w:pPr>
              <w:pStyle w:val="TableColumnHeadings"/>
              <w:rPr>
                <w:rFonts w:ascii="Century Gothic" w:hAnsi="Century Gothic"/>
              </w:rPr>
            </w:pPr>
            <w:r>
              <w:rPr>
                <w:rFonts w:ascii="Century Gothic" w:hAnsi="Century Gothic"/>
              </w:rPr>
              <w:t>2021</w:t>
            </w:r>
          </w:p>
        </w:tc>
        <w:tc>
          <w:tcPr>
            <w:tcW w:w="1079" w:type="dxa"/>
            <w:shd w:val="clear" w:color="auto" w:fill="333333"/>
          </w:tcPr>
          <w:p w:rsidR="009535C9" w:rsidRPr="00AF4988" w:rsidRDefault="009535C9" w:rsidP="00E1002B">
            <w:pPr>
              <w:pStyle w:val="TableColumnHeadings"/>
              <w:rPr>
                <w:rFonts w:ascii="Century Gothic" w:hAnsi="Century Gothic"/>
              </w:rPr>
            </w:pPr>
            <w:r>
              <w:rPr>
                <w:rFonts w:ascii="Century Gothic" w:hAnsi="Century Gothic"/>
              </w:rPr>
              <w:t>2022</w:t>
            </w:r>
          </w:p>
        </w:tc>
      </w:tr>
      <w:tr w:rsidR="000A1014" w:rsidRPr="008A4AF0" w:rsidTr="00F16B20">
        <w:tc>
          <w:tcPr>
            <w:tcW w:w="2937" w:type="dxa"/>
            <w:shd w:val="clear" w:color="auto" w:fill="auto"/>
          </w:tcPr>
          <w:p w:rsidR="000A1014" w:rsidRPr="00184FFA" w:rsidRDefault="000A1014" w:rsidP="00E1002B">
            <w:pPr>
              <w:pStyle w:val="TableBodyCells"/>
              <w:keepNext/>
              <w:jc w:val="left"/>
            </w:pPr>
            <w:r w:rsidRPr="00184FFA">
              <w:t>Opening capital base</w:t>
            </w:r>
          </w:p>
        </w:tc>
        <w:tc>
          <w:tcPr>
            <w:tcW w:w="1078" w:type="dxa"/>
            <w:shd w:val="clear" w:color="auto" w:fill="auto"/>
            <w:vAlign w:val="center"/>
          </w:tcPr>
          <w:p w:rsidR="000A1014" w:rsidRPr="008D6C6C" w:rsidRDefault="000A1014" w:rsidP="00F16B20">
            <w:pPr>
              <w:spacing w:before="0"/>
              <w:jc w:val="center"/>
              <w:rPr>
                <w:rFonts w:cs="Arial"/>
                <w:sz w:val="18"/>
                <w:szCs w:val="18"/>
              </w:rPr>
            </w:pPr>
            <w:r w:rsidRPr="00AC6EB7">
              <w:rPr>
                <w:rFonts w:cs="Arial"/>
                <w:sz w:val="18"/>
                <w:szCs w:val="18"/>
              </w:rPr>
              <w:t>1008.51</w:t>
            </w:r>
          </w:p>
        </w:tc>
        <w:tc>
          <w:tcPr>
            <w:tcW w:w="1079" w:type="dxa"/>
            <w:shd w:val="clear" w:color="auto" w:fill="auto"/>
            <w:vAlign w:val="center"/>
          </w:tcPr>
          <w:p w:rsidR="000A1014" w:rsidRPr="008D6C6C" w:rsidRDefault="000A1014" w:rsidP="00F16B20">
            <w:pPr>
              <w:spacing w:before="0"/>
              <w:jc w:val="center"/>
              <w:rPr>
                <w:rFonts w:cs="Arial"/>
                <w:sz w:val="18"/>
                <w:szCs w:val="18"/>
              </w:rPr>
            </w:pPr>
            <w:r w:rsidRPr="00AC6EB7">
              <w:rPr>
                <w:rFonts w:cs="Arial"/>
                <w:sz w:val="18"/>
                <w:szCs w:val="18"/>
              </w:rPr>
              <w:t>1035.86</w:t>
            </w:r>
          </w:p>
        </w:tc>
        <w:tc>
          <w:tcPr>
            <w:tcW w:w="1078" w:type="dxa"/>
            <w:shd w:val="clear" w:color="auto" w:fill="auto"/>
            <w:vAlign w:val="center"/>
          </w:tcPr>
          <w:p w:rsidR="000A1014" w:rsidRPr="008D6C6C" w:rsidRDefault="000A1014" w:rsidP="00F16B20">
            <w:pPr>
              <w:spacing w:before="0"/>
              <w:jc w:val="center"/>
              <w:rPr>
                <w:rFonts w:cs="Arial"/>
                <w:sz w:val="18"/>
                <w:szCs w:val="18"/>
              </w:rPr>
            </w:pPr>
            <w:r w:rsidRPr="00AC6EB7">
              <w:rPr>
                <w:rFonts w:cs="Arial"/>
                <w:sz w:val="18"/>
                <w:szCs w:val="18"/>
              </w:rPr>
              <w:t>1054.81</w:t>
            </w:r>
          </w:p>
        </w:tc>
        <w:tc>
          <w:tcPr>
            <w:tcW w:w="1079" w:type="dxa"/>
            <w:vAlign w:val="center"/>
          </w:tcPr>
          <w:p w:rsidR="000A1014" w:rsidRPr="008D6C6C" w:rsidRDefault="000A1014" w:rsidP="00F16B20">
            <w:pPr>
              <w:spacing w:before="0"/>
              <w:jc w:val="center"/>
              <w:rPr>
                <w:rFonts w:cs="Arial"/>
                <w:sz w:val="18"/>
                <w:szCs w:val="18"/>
              </w:rPr>
            </w:pPr>
            <w:r w:rsidRPr="00AC6EB7">
              <w:rPr>
                <w:rFonts w:cs="Arial"/>
                <w:sz w:val="18"/>
                <w:szCs w:val="18"/>
              </w:rPr>
              <w:t>1073.63</w:t>
            </w:r>
          </w:p>
        </w:tc>
        <w:tc>
          <w:tcPr>
            <w:tcW w:w="1079" w:type="dxa"/>
            <w:vAlign w:val="center"/>
          </w:tcPr>
          <w:p w:rsidR="000A1014" w:rsidRPr="008D6C6C" w:rsidRDefault="000A1014" w:rsidP="00F16B20">
            <w:pPr>
              <w:spacing w:before="0"/>
              <w:jc w:val="center"/>
              <w:rPr>
                <w:rFonts w:cs="Arial"/>
                <w:sz w:val="18"/>
                <w:szCs w:val="18"/>
              </w:rPr>
            </w:pPr>
            <w:r w:rsidRPr="00AC6EB7">
              <w:rPr>
                <w:rFonts w:cs="Arial"/>
                <w:sz w:val="18"/>
                <w:szCs w:val="18"/>
              </w:rPr>
              <w:t>1026.28</w:t>
            </w:r>
          </w:p>
        </w:tc>
      </w:tr>
      <w:tr w:rsidR="000A1014" w:rsidRPr="008A4AF0" w:rsidTr="00F16B20">
        <w:tc>
          <w:tcPr>
            <w:tcW w:w="2937" w:type="dxa"/>
            <w:shd w:val="clear" w:color="auto" w:fill="auto"/>
          </w:tcPr>
          <w:p w:rsidR="000A1014" w:rsidRPr="00184FFA" w:rsidRDefault="000A1014" w:rsidP="00E1002B">
            <w:pPr>
              <w:pStyle w:val="TableBodyCells"/>
              <w:keepNext/>
              <w:jc w:val="left"/>
            </w:pPr>
            <w:r w:rsidRPr="00184FFA">
              <w:t>Plus conforming capex</w:t>
            </w:r>
          </w:p>
        </w:tc>
        <w:tc>
          <w:tcPr>
            <w:tcW w:w="1078" w:type="dxa"/>
            <w:shd w:val="clear" w:color="auto" w:fill="auto"/>
            <w:vAlign w:val="center"/>
          </w:tcPr>
          <w:p w:rsidR="000A1014" w:rsidRPr="008D6C6C" w:rsidRDefault="000A1014" w:rsidP="00F16B20">
            <w:pPr>
              <w:spacing w:before="0"/>
              <w:jc w:val="center"/>
              <w:rPr>
                <w:rFonts w:cs="Arial"/>
                <w:sz w:val="18"/>
                <w:szCs w:val="18"/>
              </w:rPr>
            </w:pPr>
            <w:r w:rsidRPr="00AC6EB7">
              <w:rPr>
                <w:rFonts w:cs="Arial"/>
                <w:sz w:val="18"/>
                <w:szCs w:val="18"/>
              </w:rPr>
              <w:t>81.52</w:t>
            </w:r>
          </w:p>
        </w:tc>
        <w:tc>
          <w:tcPr>
            <w:tcW w:w="1079" w:type="dxa"/>
            <w:shd w:val="clear" w:color="auto" w:fill="auto"/>
            <w:vAlign w:val="center"/>
          </w:tcPr>
          <w:p w:rsidR="000A1014" w:rsidRPr="008D6C6C" w:rsidRDefault="000A1014" w:rsidP="00F16B20">
            <w:pPr>
              <w:spacing w:before="0"/>
              <w:jc w:val="center"/>
              <w:rPr>
                <w:rFonts w:cs="Arial"/>
                <w:sz w:val="18"/>
                <w:szCs w:val="18"/>
              </w:rPr>
            </w:pPr>
            <w:r w:rsidRPr="00AC6EB7">
              <w:rPr>
                <w:rFonts w:cs="Arial"/>
                <w:sz w:val="18"/>
                <w:szCs w:val="18"/>
              </w:rPr>
              <w:t>76.96</w:t>
            </w:r>
          </w:p>
        </w:tc>
        <w:tc>
          <w:tcPr>
            <w:tcW w:w="1078" w:type="dxa"/>
            <w:shd w:val="clear" w:color="auto" w:fill="auto"/>
            <w:vAlign w:val="center"/>
          </w:tcPr>
          <w:p w:rsidR="000A1014" w:rsidRPr="008D6C6C" w:rsidRDefault="000A1014" w:rsidP="00F16B20">
            <w:pPr>
              <w:spacing w:before="0"/>
              <w:jc w:val="center"/>
              <w:rPr>
                <w:rFonts w:cs="Arial"/>
                <w:sz w:val="18"/>
                <w:szCs w:val="18"/>
              </w:rPr>
            </w:pPr>
            <w:r w:rsidRPr="00AC6EB7">
              <w:rPr>
                <w:rFonts w:cs="Arial"/>
                <w:sz w:val="18"/>
                <w:szCs w:val="18"/>
              </w:rPr>
              <w:t>80.47</w:t>
            </w:r>
          </w:p>
        </w:tc>
        <w:tc>
          <w:tcPr>
            <w:tcW w:w="1079" w:type="dxa"/>
            <w:vAlign w:val="center"/>
          </w:tcPr>
          <w:p w:rsidR="000A1014" w:rsidRPr="008D6C6C" w:rsidRDefault="000A1014" w:rsidP="00F16B20">
            <w:pPr>
              <w:spacing w:before="0"/>
              <w:jc w:val="center"/>
              <w:rPr>
                <w:rFonts w:cs="Arial"/>
                <w:sz w:val="18"/>
                <w:szCs w:val="18"/>
              </w:rPr>
            </w:pPr>
            <w:r w:rsidRPr="00AC6EB7">
              <w:rPr>
                <w:rFonts w:cs="Arial"/>
                <w:sz w:val="18"/>
                <w:szCs w:val="18"/>
              </w:rPr>
              <w:t>19.80</w:t>
            </w:r>
          </w:p>
        </w:tc>
        <w:tc>
          <w:tcPr>
            <w:tcW w:w="1079" w:type="dxa"/>
            <w:vAlign w:val="center"/>
          </w:tcPr>
          <w:p w:rsidR="000A1014" w:rsidRPr="008D6C6C" w:rsidRDefault="000A1014" w:rsidP="00F16B20">
            <w:pPr>
              <w:spacing w:before="0"/>
              <w:jc w:val="center"/>
              <w:rPr>
                <w:rFonts w:cs="Arial"/>
                <w:sz w:val="18"/>
                <w:szCs w:val="18"/>
              </w:rPr>
            </w:pPr>
            <w:r w:rsidRPr="00AC6EB7">
              <w:rPr>
                <w:rFonts w:cs="Arial"/>
                <w:sz w:val="18"/>
                <w:szCs w:val="18"/>
              </w:rPr>
              <w:t>16.94</w:t>
            </w:r>
          </w:p>
        </w:tc>
      </w:tr>
      <w:tr w:rsidR="007B4581" w:rsidRPr="00C241B6" w:rsidTr="00F16B20">
        <w:tc>
          <w:tcPr>
            <w:tcW w:w="2937" w:type="dxa"/>
            <w:shd w:val="clear" w:color="auto" w:fill="auto"/>
          </w:tcPr>
          <w:p w:rsidR="007B4581" w:rsidRPr="00184FFA" w:rsidRDefault="007B4581" w:rsidP="00E1002B">
            <w:pPr>
              <w:pStyle w:val="TableBodyCells"/>
              <w:keepNext/>
              <w:jc w:val="left"/>
            </w:pPr>
            <w:r w:rsidRPr="00184FFA">
              <w:t>Plus speculative capex</w:t>
            </w:r>
          </w:p>
        </w:tc>
        <w:tc>
          <w:tcPr>
            <w:tcW w:w="1078" w:type="dxa"/>
            <w:shd w:val="clear" w:color="auto" w:fill="auto"/>
            <w:vAlign w:val="center"/>
          </w:tcPr>
          <w:p w:rsidR="007B4581" w:rsidRPr="008D6C6C" w:rsidRDefault="007B4581" w:rsidP="00F16B20">
            <w:pPr>
              <w:pStyle w:val="TableBodyCells"/>
              <w:keepNext/>
              <w:spacing w:before="0" w:after="0" w:line="276" w:lineRule="auto"/>
            </w:pPr>
            <w:r w:rsidRPr="00AC6EB7">
              <w:rPr>
                <w:rFonts w:cs="Arial"/>
              </w:rPr>
              <w:t>0.00</w:t>
            </w:r>
          </w:p>
        </w:tc>
        <w:tc>
          <w:tcPr>
            <w:tcW w:w="1079" w:type="dxa"/>
            <w:shd w:val="clear" w:color="auto" w:fill="auto"/>
            <w:vAlign w:val="center"/>
          </w:tcPr>
          <w:p w:rsidR="007B4581" w:rsidRPr="008D6C6C" w:rsidRDefault="007B4581" w:rsidP="00F16B20">
            <w:pPr>
              <w:pStyle w:val="TableBodyCells"/>
              <w:keepNext/>
              <w:spacing w:before="0" w:after="0" w:line="276" w:lineRule="auto"/>
            </w:pPr>
            <w:r w:rsidRPr="00AC6EB7">
              <w:rPr>
                <w:rFonts w:cs="Arial"/>
              </w:rPr>
              <w:t>0.00</w:t>
            </w:r>
          </w:p>
        </w:tc>
        <w:tc>
          <w:tcPr>
            <w:tcW w:w="1078" w:type="dxa"/>
            <w:shd w:val="clear" w:color="auto" w:fill="auto"/>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9" w:type="dxa"/>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9" w:type="dxa"/>
            <w:vAlign w:val="center"/>
          </w:tcPr>
          <w:p w:rsidR="007B4581" w:rsidRPr="008D6C6C" w:rsidRDefault="007B4581" w:rsidP="00F16B20">
            <w:pPr>
              <w:spacing w:before="0"/>
              <w:jc w:val="center"/>
              <w:rPr>
                <w:sz w:val="18"/>
                <w:szCs w:val="18"/>
              </w:rPr>
            </w:pPr>
            <w:r w:rsidRPr="00AC6EB7">
              <w:rPr>
                <w:rFonts w:cs="Arial"/>
                <w:sz w:val="18"/>
                <w:szCs w:val="18"/>
              </w:rPr>
              <w:t>0.00</w:t>
            </w:r>
          </w:p>
        </w:tc>
      </w:tr>
      <w:tr w:rsidR="007B4581" w:rsidRPr="00C241B6" w:rsidTr="00F16B20">
        <w:tc>
          <w:tcPr>
            <w:tcW w:w="2937" w:type="dxa"/>
            <w:shd w:val="clear" w:color="auto" w:fill="auto"/>
          </w:tcPr>
          <w:p w:rsidR="007B4581" w:rsidRPr="00C241B6" w:rsidRDefault="007B4581" w:rsidP="00E1002B">
            <w:pPr>
              <w:pStyle w:val="TableBodyCells"/>
              <w:keepNext/>
              <w:jc w:val="left"/>
            </w:pPr>
            <w:r w:rsidRPr="00184FFA">
              <w:t>Plus reused redundant assets</w:t>
            </w:r>
          </w:p>
        </w:tc>
        <w:tc>
          <w:tcPr>
            <w:tcW w:w="1078" w:type="dxa"/>
            <w:shd w:val="clear" w:color="auto" w:fill="auto"/>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9" w:type="dxa"/>
            <w:shd w:val="clear" w:color="auto" w:fill="auto"/>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8" w:type="dxa"/>
            <w:shd w:val="clear" w:color="auto" w:fill="auto"/>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9" w:type="dxa"/>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9" w:type="dxa"/>
            <w:vAlign w:val="center"/>
          </w:tcPr>
          <w:p w:rsidR="007B4581" w:rsidRPr="008D6C6C" w:rsidRDefault="007B4581" w:rsidP="00F16B20">
            <w:pPr>
              <w:spacing w:before="0"/>
              <w:jc w:val="center"/>
              <w:rPr>
                <w:sz w:val="18"/>
                <w:szCs w:val="18"/>
              </w:rPr>
            </w:pPr>
            <w:r w:rsidRPr="00AC6EB7">
              <w:rPr>
                <w:rFonts w:cs="Arial"/>
                <w:sz w:val="18"/>
                <w:szCs w:val="18"/>
              </w:rPr>
              <w:t>0.00</w:t>
            </w:r>
          </w:p>
        </w:tc>
      </w:tr>
      <w:tr w:rsidR="007B4581" w:rsidRPr="00C241B6" w:rsidTr="00F16B20">
        <w:tc>
          <w:tcPr>
            <w:tcW w:w="2937" w:type="dxa"/>
            <w:shd w:val="clear" w:color="auto" w:fill="auto"/>
          </w:tcPr>
          <w:p w:rsidR="007B4581" w:rsidRPr="00184FFA" w:rsidRDefault="007B4581" w:rsidP="00E1002B">
            <w:pPr>
              <w:pStyle w:val="TableBodyCells"/>
              <w:keepNext/>
              <w:jc w:val="left"/>
            </w:pPr>
            <w:r w:rsidRPr="00184FFA">
              <w:t>Less depreciation</w:t>
            </w:r>
          </w:p>
        </w:tc>
        <w:tc>
          <w:tcPr>
            <w:tcW w:w="1078" w:type="dxa"/>
            <w:shd w:val="clear" w:color="auto" w:fill="auto"/>
            <w:vAlign w:val="center"/>
          </w:tcPr>
          <w:p w:rsidR="007B4581" w:rsidRPr="008D6C6C" w:rsidRDefault="007B4581" w:rsidP="00F16B20">
            <w:pPr>
              <w:spacing w:before="0"/>
              <w:jc w:val="center"/>
              <w:rPr>
                <w:rFonts w:cs="Arial"/>
                <w:sz w:val="18"/>
                <w:szCs w:val="18"/>
              </w:rPr>
            </w:pPr>
            <w:r w:rsidRPr="00AC6EB7">
              <w:rPr>
                <w:rFonts w:cs="Arial"/>
                <w:sz w:val="18"/>
                <w:szCs w:val="18"/>
              </w:rPr>
              <w:t>74.34</w:t>
            </w:r>
          </w:p>
        </w:tc>
        <w:tc>
          <w:tcPr>
            <w:tcW w:w="1079" w:type="dxa"/>
            <w:shd w:val="clear" w:color="auto" w:fill="auto"/>
            <w:vAlign w:val="center"/>
          </w:tcPr>
          <w:p w:rsidR="007B4581" w:rsidRPr="008D6C6C" w:rsidRDefault="007B4581" w:rsidP="00F16B20">
            <w:pPr>
              <w:spacing w:before="0"/>
              <w:jc w:val="center"/>
              <w:rPr>
                <w:rFonts w:cs="Arial"/>
                <w:sz w:val="18"/>
                <w:szCs w:val="18"/>
              </w:rPr>
            </w:pPr>
            <w:r w:rsidRPr="00AC6EB7">
              <w:rPr>
                <w:rFonts w:cs="Arial"/>
                <w:sz w:val="18"/>
                <w:szCs w:val="18"/>
              </w:rPr>
              <w:t>78.73</w:t>
            </w:r>
          </w:p>
        </w:tc>
        <w:tc>
          <w:tcPr>
            <w:tcW w:w="1078" w:type="dxa"/>
            <w:shd w:val="clear" w:color="auto" w:fill="auto"/>
            <w:vAlign w:val="center"/>
          </w:tcPr>
          <w:p w:rsidR="007B4581" w:rsidRPr="008D6C6C" w:rsidRDefault="007B4581" w:rsidP="00F16B20">
            <w:pPr>
              <w:spacing w:before="0"/>
              <w:jc w:val="center"/>
              <w:rPr>
                <w:rFonts w:cs="Arial"/>
                <w:sz w:val="18"/>
                <w:szCs w:val="18"/>
              </w:rPr>
            </w:pPr>
            <w:r w:rsidRPr="00AC6EB7">
              <w:rPr>
                <w:rFonts w:cs="Arial"/>
                <w:sz w:val="18"/>
                <w:szCs w:val="18"/>
              </w:rPr>
              <w:t>82.73</w:t>
            </w:r>
          </w:p>
        </w:tc>
        <w:tc>
          <w:tcPr>
            <w:tcW w:w="1079" w:type="dxa"/>
            <w:vAlign w:val="center"/>
          </w:tcPr>
          <w:p w:rsidR="007B4581" w:rsidRPr="008D6C6C" w:rsidRDefault="007B4581" w:rsidP="00F16B20">
            <w:pPr>
              <w:spacing w:before="0"/>
              <w:jc w:val="center"/>
              <w:rPr>
                <w:rFonts w:cs="Arial"/>
                <w:sz w:val="18"/>
                <w:szCs w:val="18"/>
              </w:rPr>
            </w:pPr>
            <w:r w:rsidRPr="00AC6EB7">
              <w:rPr>
                <w:rFonts w:cs="Arial"/>
                <w:sz w:val="18"/>
                <w:szCs w:val="18"/>
              </w:rPr>
              <w:t>88.63</w:t>
            </w:r>
          </w:p>
        </w:tc>
        <w:tc>
          <w:tcPr>
            <w:tcW w:w="1079" w:type="dxa"/>
            <w:vAlign w:val="center"/>
          </w:tcPr>
          <w:p w:rsidR="007B4581" w:rsidRPr="008D6C6C" w:rsidRDefault="007B4581" w:rsidP="00F16B20">
            <w:pPr>
              <w:spacing w:before="0"/>
              <w:jc w:val="center"/>
              <w:rPr>
                <w:rFonts w:cs="Arial"/>
                <w:sz w:val="18"/>
                <w:szCs w:val="18"/>
              </w:rPr>
            </w:pPr>
            <w:r w:rsidRPr="00AC6EB7">
              <w:rPr>
                <w:rFonts w:cs="Arial"/>
                <w:sz w:val="18"/>
                <w:szCs w:val="18"/>
              </w:rPr>
              <w:t>89.12</w:t>
            </w:r>
          </w:p>
        </w:tc>
      </w:tr>
      <w:tr w:rsidR="000A1014" w:rsidRPr="00C241B6" w:rsidTr="00F16B20">
        <w:tc>
          <w:tcPr>
            <w:tcW w:w="2937" w:type="dxa"/>
            <w:shd w:val="clear" w:color="auto" w:fill="auto"/>
          </w:tcPr>
          <w:p w:rsidR="000A1014" w:rsidRPr="00184FFA" w:rsidRDefault="000A1014" w:rsidP="00E1002B">
            <w:pPr>
              <w:pStyle w:val="TableBodyCells"/>
              <w:keepNext/>
              <w:jc w:val="left"/>
            </w:pPr>
            <w:r w:rsidRPr="00184FFA">
              <w:t>Plus indexation</w:t>
            </w:r>
          </w:p>
        </w:tc>
        <w:tc>
          <w:tcPr>
            <w:tcW w:w="1078" w:type="dxa"/>
            <w:shd w:val="clear" w:color="auto" w:fill="auto"/>
            <w:vAlign w:val="center"/>
          </w:tcPr>
          <w:p w:rsidR="000A1014" w:rsidRPr="008D6C6C" w:rsidRDefault="000A1014" w:rsidP="00F16B20">
            <w:pPr>
              <w:spacing w:before="0"/>
              <w:jc w:val="center"/>
              <w:rPr>
                <w:rFonts w:cs="Arial"/>
                <w:sz w:val="18"/>
                <w:szCs w:val="18"/>
              </w:rPr>
            </w:pPr>
            <w:r w:rsidRPr="00AC6EB7">
              <w:rPr>
                <w:rFonts w:cs="Arial"/>
                <w:sz w:val="18"/>
                <w:szCs w:val="18"/>
              </w:rPr>
              <w:t>20.17</w:t>
            </w:r>
          </w:p>
        </w:tc>
        <w:tc>
          <w:tcPr>
            <w:tcW w:w="1079" w:type="dxa"/>
            <w:shd w:val="clear" w:color="auto" w:fill="auto"/>
            <w:vAlign w:val="center"/>
          </w:tcPr>
          <w:p w:rsidR="000A1014" w:rsidRPr="008D6C6C" w:rsidRDefault="000A1014" w:rsidP="00F16B20">
            <w:pPr>
              <w:spacing w:before="0"/>
              <w:jc w:val="center"/>
              <w:rPr>
                <w:rFonts w:cs="Arial"/>
                <w:sz w:val="18"/>
                <w:szCs w:val="18"/>
              </w:rPr>
            </w:pPr>
            <w:r w:rsidRPr="00AC6EB7">
              <w:rPr>
                <w:rFonts w:cs="Arial"/>
                <w:sz w:val="18"/>
                <w:szCs w:val="18"/>
              </w:rPr>
              <w:t>20.72</w:t>
            </w:r>
          </w:p>
        </w:tc>
        <w:tc>
          <w:tcPr>
            <w:tcW w:w="1078" w:type="dxa"/>
            <w:shd w:val="clear" w:color="auto" w:fill="auto"/>
            <w:vAlign w:val="center"/>
          </w:tcPr>
          <w:p w:rsidR="000A1014" w:rsidRPr="008D6C6C" w:rsidRDefault="000A1014" w:rsidP="00F16B20">
            <w:pPr>
              <w:spacing w:before="0"/>
              <w:jc w:val="center"/>
              <w:rPr>
                <w:rFonts w:cs="Arial"/>
                <w:sz w:val="18"/>
                <w:szCs w:val="18"/>
              </w:rPr>
            </w:pPr>
            <w:r w:rsidRPr="00AC6EB7">
              <w:rPr>
                <w:rFonts w:cs="Arial"/>
                <w:sz w:val="18"/>
                <w:szCs w:val="18"/>
              </w:rPr>
              <w:t>21.10</w:t>
            </w:r>
          </w:p>
        </w:tc>
        <w:tc>
          <w:tcPr>
            <w:tcW w:w="1079" w:type="dxa"/>
            <w:vAlign w:val="center"/>
          </w:tcPr>
          <w:p w:rsidR="000A1014" w:rsidRPr="008D6C6C" w:rsidRDefault="000A1014" w:rsidP="00F16B20">
            <w:pPr>
              <w:spacing w:before="0"/>
              <w:jc w:val="center"/>
              <w:rPr>
                <w:rFonts w:cs="Arial"/>
                <w:sz w:val="18"/>
                <w:szCs w:val="18"/>
              </w:rPr>
            </w:pPr>
            <w:r w:rsidRPr="00AC6EB7">
              <w:rPr>
                <w:rFonts w:cs="Arial"/>
                <w:sz w:val="18"/>
                <w:szCs w:val="18"/>
              </w:rPr>
              <w:t>21.47</w:t>
            </w:r>
          </w:p>
        </w:tc>
        <w:tc>
          <w:tcPr>
            <w:tcW w:w="1079" w:type="dxa"/>
            <w:vAlign w:val="center"/>
          </w:tcPr>
          <w:p w:rsidR="000A1014" w:rsidRPr="008D6C6C" w:rsidRDefault="000A1014" w:rsidP="00F16B20">
            <w:pPr>
              <w:spacing w:before="0"/>
              <w:jc w:val="center"/>
              <w:rPr>
                <w:rFonts w:cs="Arial"/>
                <w:sz w:val="18"/>
                <w:szCs w:val="18"/>
              </w:rPr>
            </w:pPr>
            <w:r w:rsidRPr="00AC6EB7">
              <w:rPr>
                <w:rFonts w:cs="Arial"/>
                <w:sz w:val="18"/>
                <w:szCs w:val="18"/>
              </w:rPr>
              <w:t>20.53</w:t>
            </w:r>
          </w:p>
        </w:tc>
      </w:tr>
      <w:tr w:rsidR="007B4581" w:rsidRPr="00C241B6" w:rsidTr="00F16B20">
        <w:tc>
          <w:tcPr>
            <w:tcW w:w="2937" w:type="dxa"/>
            <w:shd w:val="clear" w:color="auto" w:fill="auto"/>
          </w:tcPr>
          <w:p w:rsidR="007B4581" w:rsidRPr="00184FFA" w:rsidRDefault="007B4581" w:rsidP="00E1002B">
            <w:pPr>
              <w:pStyle w:val="TableBodyCells"/>
              <w:keepNext/>
              <w:jc w:val="left"/>
            </w:pPr>
            <w:r w:rsidRPr="00184FFA">
              <w:t>Less redundant assets</w:t>
            </w:r>
          </w:p>
        </w:tc>
        <w:tc>
          <w:tcPr>
            <w:tcW w:w="1078" w:type="dxa"/>
            <w:shd w:val="clear" w:color="auto" w:fill="auto"/>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9" w:type="dxa"/>
            <w:shd w:val="clear" w:color="auto" w:fill="auto"/>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8" w:type="dxa"/>
            <w:shd w:val="clear" w:color="auto" w:fill="auto"/>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9" w:type="dxa"/>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9" w:type="dxa"/>
            <w:vAlign w:val="center"/>
          </w:tcPr>
          <w:p w:rsidR="007B4581" w:rsidRPr="008D6C6C" w:rsidRDefault="007B4581" w:rsidP="00F16B20">
            <w:pPr>
              <w:spacing w:before="0"/>
              <w:jc w:val="center"/>
              <w:rPr>
                <w:sz w:val="18"/>
                <w:szCs w:val="18"/>
              </w:rPr>
            </w:pPr>
            <w:r w:rsidRPr="00AC6EB7">
              <w:rPr>
                <w:rFonts w:cs="Arial"/>
                <w:sz w:val="18"/>
                <w:szCs w:val="18"/>
              </w:rPr>
              <w:t>0.00</w:t>
            </w:r>
          </w:p>
        </w:tc>
      </w:tr>
      <w:tr w:rsidR="007B4581" w:rsidRPr="00C241B6" w:rsidTr="00F16B20">
        <w:tc>
          <w:tcPr>
            <w:tcW w:w="2937" w:type="dxa"/>
            <w:shd w:val="clear" w:color="auto" w:fill="auto"/>
          </w:tcPr>
          <w:p w:rsidR="007B4581" w:rsidRPr="00184FFA" w:rsidRDefault="007B4581" w:rsidP="00E1002B">
            <w:pPr>
              <w:pStyle w:val="TableBodyCells"/>
              <w:keepNext/>
              <w:jc w:val="left"/>
            </w:pPr>
            <w:r w:rsidRPr="00184FFA">
              <w:t>Less disposals</w:t>
            </w:r>
          </w:p>
        </w:tc>
        <w:tc>
          <w:tcPr>
            <w:tcW w:w="1078" w:type="dxa"/>
            <w:shd w:val="clear" w:color="auto" w:fill="auto"/>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9" w:type="dxa"/>
            <w:shd w:val="clear" w:color="auto" w:fill="auto"/>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8" w:type="dxa"/>
            <w:shd w:val="clear" w:color="auto" w:fill="auto"/>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9" w:type="dxa"/>
            <w:vAlign w:val="center"/>
          </w:tcPr>
          <w:p w:rsidR="007B4581" w:rsidRPr="008D6C6C" w:rsidRDefault="007B4581" w:rsidP="00F16B20">
            <w:pPr>
              <w:spacing w:before="0"/>
              <w:jc w:val="center"/>
              <w:rPr>
                <w:sz w:val="18"/>
                <w:szCs w:val="18"/>
              </w:rPr>
            </w:pPr>
            <w:r w:rsidRPr="00AC6EB7">
              <w:rPr>
                <w:rFonts w:cs="Arial"/>
                <w:sz w:val="18"/>
                <w:szCs w:val="18"/>
              </w:rPr>
              <w:t>0.00</w:t>
            </w:r>
          </w:p>
        </w:tc>
        <w:tc>
          <w:tcPr>
            <w:tcW w:w="1079" w:type="dxa"/>
            <w:vAlign w:val="center"/>
          </w:tcPr>
          <w:p w:rsidR="007B4581" w:rsidRPr="008D6C6C" w:rsidRDefault="007B4581" w:rsidP="00F16B20">
            <w:pPr>
              <w:spacing w:before="0"/>
              <w:jc w:val="center"/>
              <w:rPr>
                <w:sz w:val="18"/>
                <w:szCs w:val="18"/>
              </w:rPr>
            </w:pPr>
            <w:r w:rsidRPr="00AC6EB7">
              <w:rPr>
                <w:rFonts w:cs="Arial"/>
                <w:sz w:val="18"/>
                <w:szCs w:val="18"/>
              </w:rPr>
              <w:t>0.00</w:t>
            </w:r>
          </w:p>
        </w:tc>
      </w:tr>
      <w:tr w:rsidR="007B4581" w:rsidRPr="00C241B6" w:rsidTr="00F16B20">
        <w:tc>
          <w:tcPr>
            <w:tcW w:w="2937" w:type="dxa"/>
            <w:shd w:val="clear" w:color="auto" w:fill="auto"/>
          </w:tcPr>
          <w:p w:rsidR="007B4581" w:rsidRPr="00C241B6" w:rsidRDefault="007B4581" w:rsidP="00E1002B">
            <w:pPr>
              <w:pStyle w:val="TableBodyCells"/>
              <w:keepNext/>
              <w:jc w:val="left"/>
              <w:rPr>
                <w:b/>
              </w:rPr>
            </w:pPr>
            <w:r w:rsidRPr="00C241B6">
              <w:rPr>
                <w:b/>
              </w:rPr>
              <w:t>Closing capital base</w:t>
            </w:r>
          </w:p>
        </w:tc>
        <w:tc>
          <w:tcPr>
            <w:tcW w:w="1078" w:type="dxa"/>
            <w:shd w:val="clear" w:color="auto" w:fill="auto"/>
            <w:vAlign w:val="center"/>
          </w:tcPr>
          <w:p w:rsidR="007B4581" w:rsidRPr="008D6C6C" w:rsidRDefault="007B4581" w:rsidP="00F16B20">
            <w:pPr>
              <w:spacing w:before="0"/>
              <w:jc w:val="center"/>
              <w:rPr>
                <w:rFonts w:cs="Arial"/>
                <w:b/>
                <w:sz w:val="18"/>
                <w:szCs w:val="18"/>
              </w:rPr>
            </w:pPr>
            <w:r w:rsidRPr="00AC6EB7">
              <w:rPr>
                <w:rFonts w:cs="Arial"/>
                <w:b/>
                <w:bCs/>
                <w:sz w:val="18"/>
                <w:szCs w:val="18"/>
              </w:rPr>
              <w:t>1035.86</w:t>
            </w:r>
          </w:p>
        </w:tc>
        <w:tc>
          <w:tcPr>
            <w:tcW w:w="1079" w:type="dxa"/>
            <w:shd w:val="clear" w:color="auto" w:fill="auto"/>
            <w:vAlign w:val="center"/>
          </w:tcPr>
          <w:p w:rsidR="007B4581" w:rsidRPr="008D6C6C" w:rsidRDefault="007B4581" w:rsidP="00F16B20">
            <w:pPr>
              <w:spacing w:before="0"/>
              <w:jc w:val="center"/>
              <w:rPr>
                <w:rFonts w:cs="Arial"/>
                <w:b/>
                <w:sz w:val="18"/>
                <w:szCs w:val="18"/>
              </w:rPr>
            </w:pPr>
            <w:r w:rsidRPr="00AC6EB7">
              <w:rPr>
                <w:rFonts w:cs="Arial"/>
                <w:b/>
                <w:bCs/>
                <w:sz w:val="18"/>
                <w:szCs w:val="18"/>
              </w:rPr>
              <w:t>1054.81</w:t>
            </w:r>
          </w:p>
        </w:tc>
        <w:tc>
          <w:tcPr>
            <w:tcW w:w="1078" w:type="dxa"/>
            <w:shd w:val="clear" w:color="auto" w:fill="auto"/>
            <w:vAlign w:val="center"/>
          </w:tcPr>
          <w:p w:rsidR="007B4581" w:rsidRPr="008D6C6C" w:rsidRDefault="007B4581" w:rsidP="00F16B20">
            <w:pPr>
              <w:spacing w:before="0"/>
              <w:jc w:val="center"/>
              <w:rPr>
                <w:rFonts w:cs="Arial"/>
                <w:b/>
                <w:sz w:val="18"/>
                <w:szCs w:val="18"/>
              </w:rPr>
            </w:pPr>
            <w:r w:rsidRPr="00AC6EB7">
              <w:rPr>
                <w:rFonts w:cs="Arial"/>
                <w:b/>
                <w:bCs/>
                <w:sz w:val="18"/>
                <w:szCs w:val="18"/>
              </w:rPr>
              <w:t>1073.63</w:t>
            </w:r>
          </w:p>
        </w:tc>
        <w:tc>
          <w:tcPr>
            <w:tcW w:w="1079" w:type="dxa"/>
            <w:vAlign w:val="center"/>
          </w:tcPr>
          <w:p w:rsidR="007B4581" w:rsidRPr="008D6C6C" w:rsidRDefault="007B4581" w:rsidP="00F16B20">
            <w:pPr>
              <w:spacing w:before="0"/>
              <w:jc w:val="center"/>
              <w:rPr>
                <w:rFonts w:cs="Arial"/>
                <w:b/>
                <w:sz w:val="18"/>
                <w:szCs w:val="18"/>
              </w:rPr>
            </w:pPr>
            <w:r w:rsidRPr="00AC6EB7">
              <w:rPr>
                <w:rFonts w:cs="Arial"/>
                <w:b/>
                <w:bCs/>
                <w:sz w:val="18"/>
                <w:szCs w:val="18"/>
              </w:rPr>
              <w:t>1026.28</w:t>
            </w:r>
          </w:p>
        </w:tc>
        <w:tc>
          <w:tcPr>
            <w:tcW w:w="1079" w:type="dxa"/>
            <w:vAlign w:val="center"/>
          </w:tcPr>
          <w:p w:rsidR="007B4581" w:rsidRPr="008D6C6C" w:rsidRDefault="007B4581" w:rsidP="00F16B20">
            <w:pPr>
              <w:spacing w:before="0"/>
              <w:jc w:val="center"/>
              <w:rPr>
                <w:rFonts w:cs="Arial"/>
                <w:b/>
                <w:sz w:val="18"/>
                <w:szCs w:val="18"/>
              </w:rPr>
            </w:pPr>
            <w:r w:rsidRPr="00AC6EB7">
              <w:rPr>
                <w:rFonts w:cs="Arial"/>
                <w:b/>
                <w:bCs/>
                <w:sz w:val="18"/>
                <w:szCs w:val="18"/>
              </w:rPr>
              <w:t>974.63</w:t>
            </w:r>
          </w:p>
        </w:tc>
      </w:tr>
    </w:tbl>
    <w:p w:rsidR="003A1415" w:rsidRDefault="003A1415" w:rsidP="0055275F">
      <w:pPr>
        <w:pStyle w:val="Heading2"/>
      </w:pPr>
      <w:bookmarkStart w:id="60" w:name="_Toc457833549"/>
      <w:bookmarkStart w:id="61" w:name="_Ref460435971"/>
      <w:bookmarkStart w:id="62" w:name="_Toc460504189"/>
      <w:bookmarkStart w:id="63" w:name="_Ref469660748"/>
      <w:bookmarkStart w:id="64" w:name="_Ref470081114"/>
      <w:bookmarkStart w:id="65" w:name="_Ref470081182"/>
      <w:bookmarkStart w:id="66" w:name="_Toc482626072"/>
      <w:r w:rsidRPr="00306774">
        <w:t>Tax Asset Base</w:t>
      </w:r>
      <w:bookmarkEnd w:id="60"/>
      <w:bookmarkEnd w:id="61"/>
      <w:bookmarkEnd w:id="62"/>
      <w:bookmarkEnd w:id="63"/>
      <w:bookmarkEnd w:id="64"/>
      <w:bookmarkEnd w:id="65"/>
      <w:bookmarkEnd w:id="66"/>
    </w:p>
    <w:p w:rsidR="003A1415" w:rsidRDefault="003A1415" w:rsidP="003A1415">
      <w:pPr>
        <w:pStyle w:val="BodyText"/>
      </w:pPr>
      <w:r>
        <w:t xml:space="preserve">The TAB roll forward is shown in </w:t>
      </w:r>
      <w:r>
        <w:fldChar w:fldCharType="begin"/>
      </w:r>
      <w:r>
        <w:instrText xml:space="preserve"> REF _Ref457224506 \h </w:instrText>
      </w:r>
      <w:r>
        <w:fldChar w:fldCharType="separate"/>
      </w:r>
      <w:r w:rsidR="006D055F">
        <w:t xml:space="preserve">Table </w:t>
      </w:r>
      <w:r w:rsidR="006D055F">
        <w:rPr>
          <w:noProof/>
        </w:rPr>
        <w:t>6</w:t>
      </w:r>
      <w:r w:rsidR="006D055F">
        <w:noBreakHyphen/>
      </w:r>
      <w:r w:rsidR="006D055F">
        <w:rPr>
          <w:noProof/>
        </w:rPr>
        <w:t>4</w:t>
      </w:r>
      <w:r>
        <w:fldChar w:fldCharType="end"/>
      </w:r>
      <w:r>
        <w:t xml:space="preserve">, and the forecast TAB is shown in </w:t>
      </w:r>
      <w:r w:rsidRPr="003A1415">
        <w:rPr>
          <w:b/>
        </w:rPr>
        <w:fldChar w:fldCharType="begin"/>
      </w:r>
      <w:r w:rsidRPr="003A1415">
        <w:rPr>
          <w:b/>
        </w:rPr>
        <w:instrText xml:space="preserve"> REF _Ref457224513 \h </w:instrText>
      </w:r>
      <w:r w:rsidRPr="003A1415">
        <w:rPr>
          <w:b/>
        </w:rPr>
      </w:r>
      <w:r w:rsidRPr="003A1415">
        <w:rPr>
          <w:b/>
        </w:rPr>
        <w:fldChar w:fldCharType="separate"/>
      </w:r>
      <w:r w:rsidR="006D055F">
        <w:t xml:space="preserve">Table </w:t>
      </w:r>
      <w:r w:rsidR="006D055F">
        <w:rPr>
          <w:noProof/>
        </w:rPr>
        <w:t>6</w:t>
      </w:r>
      <w:r w:rsidR="006D055F">
        <w:noBreakHyphen/>
      </w:r>
      <w:r w:rsidR="006D055F">
        <w:rPr>
          <w:noProof/>
        </w:rPr>
        <w:t>5</w:t>
      </w:r>
      <w:r w:rsidRPr="003A1415">
        <w:rPr>
          <w:b/>
        </w:rPr>
        <w:fldChar w:fldCharType="end"/>
      </w:r>
      <w:r w:rsidRPr="003A1415">
        <w:rPr>
          <w:b/>
        </w:rPr>
        <w:t>.</w:t>
      </w:r>
    </w:p>
    <w:p w:rsidR="003A1415" w:rsidRDefault="003A1415" w:rsidP="003A1415">
      <w:pPr>
        <w:pStyle w:val="Caption"/>
      </w:pPr>
      <w:bookmarkStart w:id="67" w:name="_Ref457224506"/>
      <w:bookmarkStart w:id="68" w:name="_Toc482626110"/>
      <w:r>
        <w:t xml:space="preserve">Table </w:t>
      </w:r>
      <w:r w:rsidR="006D055F">
        <w:fldChar w:fldCharType="begin"/>
      </w:r>
      <w:r w:rsidR="006D055F">
        <w:instrText xml:space="preserve"> STYLEREF 1 \s </w:instrText>
      </w:r>
      <w:r w:rsidR="006D055F">
        <w:fldChar w:fldCharType="separate"/>
      </w:r>
      <w:r w:rsidR="006D055F">
        <w:rPr>
          <w:noProof/>
        </w:rPr>
        <w:t>6</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4</w:t>
      </w:r>
      <w:r w:rsidR="006D055F">
        <w:rPr>
          <w:noProof/>
        </w:rPr>
        <w:fldChar w:fldCharType="end"/>
      </w:r>
      <w:bookmarkEnd w:id="67"/>
      <w:r w:rsidR="00142AC5">
        <w:t xml:space="preserve"> – </w:t>
      </w:r>
      <w:r>
        <w:t>Tax Asset Base roll forward 2013-2017 ($m nominal)</w:t>
      </w:r>
      <w:bookmarkEnd w:id="68"/>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343"/>
        <w:gridCol w:w="994"/>
        <w:gridCol w:w="1275"/>
        <w:gridCol w:w="1275"/>
        <w:gridCol w:w="1275"/>
        <w:gridCol w:w="1275"/>
      </w:tblGrid>
      <w:tr w:rsidR="003A1415" w:rsidRPr="008A4AF0" w:rsidTr="007B4581">
        <w:tc>
          <w:tcPr>
            <w:tcW w:w="2343" w:type="dxa"/>
            <w:shd w:val="clear" w:color="auto" w:fill="333333"/>
          </w:tcPr>
          <w:p w:rsidR="003A1415" w:rsidRPr="00AF4988" w:rsidRDefault="001F426A" w:rsidP="00D47CD9">
            <w:pPr>
              <w:pStyle w:val="TableColumnHeadings"/>
              <w:keepNext/>
              <w:jc w:val="left"/>
              <w:rPr>
                <w:rFonts w:ascii="Century Gothic" w:hAnsi="Century Gothic"/>
              </w:rPr>
            </w:pPr>
            <w:r>
              <w:rPr>
                <w:rFonts w:ascii="Century Gothic" w:hAnsi="Century Gothic"/>
              </w:rPr>
              <w:t xml:space="preserve">$m </w:t>
            </w:r>
            <w:r w:rsidR="003A1415">
              <w:rPr>
                <w:rFonts w:ascii="Century Gothic" w:hAnsi="Century Gothic"/>
              </w:rPr>
              <w:t>nominal</w:t>
            </w:r>
          </w:p>
        </w:tc>
        <w:tc>
          <w:tcPr>
            <w:tcW w:w="994" w:type="dxa"/>
            <w:shd w:val="clear" w:color="auto" w:fill="333333"/>
          </w:tcPr>
          <w:p w:rsidR="003A1415" w:rsidRPr="00AF4988" w:rsidRDefault="003A1415" w:rsidP="00D47CD9">
            <w:pPr>
              <w:pStyle w:val="TableColumnHeadings"/>
              <w:rPr>
                <w:rFonts w:ascii="Century Gothic" w:hAnsi="Century Gothic"/>
              </w:rPr>
            </w:pPr>
            <w:r>
              <w:rPr>
                <w:rFonts w:ascii="Century Gothic" w:hAnsi="Century Gothic"/>
              </w:rPr>
              <w:t>2013</w:t>
            </w:r>
          </w:p>
        </w:tc>
        <w:tc>
          <w:tcPr>
            <w:tcW w:w="1275" w:type="dxa"/>
            <w:shd w:val="clear" w:color="auto" w:fill="333333"/>
          </w:tcPr>
          <w:p w:rsidR="003A1415" w:rsidRPr="00AF4988" w:rsidRDefault="003A1415" w:rsidP="00D47CD9">
            <w:pPr>
              <w:pStyle w:val="TableColumnHeadings"/>
              <w:rPr>
                <w:rFonts w:ascii="Century Gothic" w:hAnsi="Century Gothic"/>
              </w:rPr>
            </w:pPr>
            <w:r>
              <w:rPr>
                <w:rFonts w:ascii="Century Gothic" w:hAnsi="Century Gothic"/>
              </w:rPr>
              <w:t>2014</w:t>
            </w:r>
          </w:p>
        </w:tc>
        <w:tc>
          <w:tcPr>
            <w:tcW w:w="1275" w:type="dxa"/>
            <w:shd w:val="clear" w:color="auto" w:fill="333333"/>
          </w:tcPr>
          <w:p w:rsidR="003A1415" w:rsidRPr="00AF4988" w:rsidRDefault="003A1415" w:rsidP="00D47CD9">
            <w:pPr>
              <w:pStyle w:val="TableColumnHeadings"/>
              <w:rPr>
                <w:rFonts w:ascii="Century Gothic" w:hAnsi="Century Gothic"/>
              </w:rPr>
            </w:pPr>
            <w:r>
              <w:rPr>
                <w:rFonts w:ascii="Century Gothic" w:hAnsi="Century Gothic"/>
              </w:rPr>
              <w:t>2015</w:t>
            </w:r>
          </w:p>
        </w:tc>
        <w:tc>
          <w:tcPr>
            <w:tcW w:w="1275" w:type="dxa"/>
            <w:shd w:val="clear" w:color="auto" w:fill="333333"/>
          </w:tcPr>
          <w:p w:rsidR="003A1415" w:rsidRPr="00AF4988" w:rsidRDefault="003A1415" w:rsidP="00D47CD9">
            <w:pPr>
              <w:pStyle w:val="TableColumnHeadings"/>
              <w:rPr>
                <w:rFonts w:ascii="Century Gothic" w:hAnsi="Century Gothic"/>
              </w:rPr>
            </w:pPr>
            <w:r>
              <w:rPr>
                <w:rFonts w:ascii="Century Gothic" w:hAnsi="Century Gothic"/>
              </w:rPr>
              <w:t>2026</w:t>
            </w:r>
          </w:p>
        </w:tc>
        <w:tc>
          <w:tcPr>
            <w:tcW w:w="1275" w:type="dxa"/>
            <w:shd w:val="clear" w:color="auto" w:fill="333333"/>
          </w:tcPr>
          <w:p w:rsidR="003A1415" w:rsidRPr="00AF4988" w:rsidRDefault="003A1415" w:rsidP="003A1415">
            <w:pPr>
              <w:pStyle w:val="TableColumnHeadings"/>
              <w:rPr>
                <w:rFonts w:ascii="Century Gothic" w:hAnsi="Century Gothic"/>
              </w:rPr>
            </w:pPr>
            <w:r>
              <w:rPr>
                <w:rFonts w:ascii="Century Gothic" w:hAnsi="Century Gothic"/>
              </w:rPr>
              <w:t>2017</w:t>
            </w:r>
          </w:p>
        </w:tc>
      </w:tr>
      <w:tr w:rsidR="007B4581" w:rsidRPr="007B4581" w:rsidTr="007B4581">
        <w:tc>
          <w:tcPr>
            <w:tcW w:w="2343" w:type="dxa"/>
            <w:shd w:val="clear" w:color="auto" w:fill="auto"/>
          </w:tcPr>
          <w:p w:rsidR="007B4581" w:rsidRPr="00184FFA" w:rsidRDefault="007B4581" w:rsidP="003A1415">
            <w:pPr>
              <w:pStyle w:val="TableBodyCells"/>
              <w:keepNext/>
              <w:jc w:val="left"/>
            </w:pPr>
            <w:r w:rsidRPr="00184FFA">
              <w:t xml:space="preserve">Opening </w:t>
            </w:r>
            <w:r>
              <w:t>TAB</w:t>
            </w:r>
          </w:p>
        </w:tc>
        <w:tc>
          <w:tcPr>
            <w:tcW w:w="994" w:type="dxa"/>
            <w:shd w:val="clear" w:color="auto" w:fill="auto"/>
            <w:vAlign w:val="center"/>
          </w:tcPr>
          <w:p w:rsidR="007B4581" w:rsidRPr="007B4581" w:rsidRDefault="007B4581" w:rsidP="00217781">
            <w:pPr>
              <w:spacing w:before="0"/>
              <w:jc w:val="center"/>
              <w:rPr>
                <w:rFonts w:cs="Arial"/>
                <w:bCs/>
                <w:sz w:val="18"/>
                <w:szCs w:val="18"/>
              </w:rPr>
            </w:pPr>
            <w:r w:rsidRPr="00AC6EB7">
              <w:rPr>
                <w:rFonts w:cs="Arial"/>
                <w:sz w:val="18"/>
                <w:szCs w:val="18"/>
              </w:rPr>
              <w:t>228.95</w:t>
            </w:r>
          </w:p>
        </w:tc>
        <w:tc>
          <w:tcPr>
            <w:tcW w:w="1275" w:type="dxa"/>
            <w:shd w:val="clear" w:color="auto" w:fill="auto"/>
            <w:vAlign w:val="center"/>
          </w:tcPr>
          <w:p w:rsidR="007B4581" w:rsidRPr="007B4581" w:rsidRDefault="007B4581" w:rsidP="00217781">
            <w:pPr>
              <w:spacing w:before="0"/>
              <w:jc w:val="center"/>
              <w:rPr>
                <w:rFonts w:cs="Arial"/>
                <w:bCs/>
                <w:sz w:val="18"/>
                <w:szCs w:val="18"/>
              </w:rPr>
            </w:pPr>
            <w:r w:rsidRPr="00AC6EB7">
              <w:rPr>
                <w:rFonts w:cs="Arial"/>
                <w:sz w:val="18"/>
                <w:szCs w:val="18"/>
              </w:rPr>
              <w:t>224.13</w:t>
            </w:r>
          </w:p>
        </w:tc>
        <w:tc>
          <w:tcPr>
            <w:tcW w:w="1275" w:type="dxa"/>
            <w:shd w:val="clear" w:color="auto" w:fill="auto"/>
            <w:vAlign w:val="center"/>
          </w:tcPr>
          <w:p w:rsidR="007B4581" w:rsidRPr="007B4581" w:rsidRDefault="007B4581" w:rsidP="00217781">
            <w:pPr>
              <w:spacing w:before="0"/>
              <w:jc w:val="center"/>
              <w:rPr>
                <w:rFonts w:cs="Arial"/>
                <w:bCs/>
                <w:sz w:val="18"/>
                <w:szCs w:val="18"/>
              </w:rPr>
            </w:pPr>
            <w:r w:rsidRPr="00AC6EB7">
              <w:rPr>
                <w:rFonts w:cs="Arial"/>
                <w:sz w:val="18"/>
                <w:szCs w:val="18"/>
              </w:rPr>
              <w:t>345.37</w:t>
            </w:r>
          </w:p>
        </w:tc>
        <w:tc>
          <w:tcPr>
            <w:tcW w:w="1275" w:type="dxa"/>
            <w:vAlign w:val="center"/>
          </w:tcPr>
          <w:p w:rsidR="007B4581" w:rsidRPr="007B4581" w:rsidRDefault="007B4581" w:rsidP="00217781">
            <w:pPr>
              <w:spacing w:before="0"/>
              <w:jc w:val="center"/>
              <w:rPr>
                <w:rFonts w:cs="Arial"/>
                <w:bCs/>
                <w:sz w:val="18"/>
                <w:szCs w:val="18"/>
              </w:rPr>
            </w:pPr>
            <w:r w:rsidRPr="00AC6EB7">
              <w:rPr>
                <w:rFonts w:cs="Arial"/>
                <w:sz w:val="18"/>
                <w:szCs w:val="18"/>
              </w:rPr>
              <w:t>417.75</w:t>
            </w:r>
          </w:p>
        </w:tc>
        <w:tc>
          <w:tcPr>
            <w:tcW w:w="1275" w:type="dxa"/>
            <w:vAlign w:val="center"/>
          </w:tcPr>
          <w:p w:rsidR="007B4581" w:rsidRPr="007B4581" w:rsidRDefault="007B4581" w:rsidP="00217781">
            <w:pPr>
              <w:spacing w:before="0"/>
              <w:jc w:val="center"/>
              <w:rPr>
                <w:rFonts w:cs="Arial"/>
                <w:bCs/>
                <w:sz w:val="18"/>
                <w:szCs w:val="18"/>
              </w:rPr>
            </w:pPr>
            <w:r w:rsidRPr="00AC6EB7">
              <w:rPr>
                <w:rFonts w:cs="Arial"/>
                <w:sz w:val="18"/>
                <w:szCs w:val="18"/>
              </w:rPr>
              <w:t>497.79</w:t>
            </w:r>
          </w:p>
        </w:tc>
      </w:tr>
      <w:tr w:rsidR="007B4581" w:rsidRPr="007B4581" w:rsidTr="007B4581">
        <w:tc>
          <w:tcPr>
            <w:tcW w:w="2343" w:type="dxa"/>
            <w:shd w:val="clear" w:color="auto" w:fill="auto"/>
          </w:tcPr>
          <w:p w:rsidR="007B4581" w:rsidRPr="00184FFA" w:rsidRDefault="007B4581" w:rsidP="00D47CD9">
            <w:pPr>
              <w:pStyle w:val="TableBodyCells"/>
              <w:keepNext/>
              <w:jc w:val="left"/>
            </w:pPr>
            <w:r>
              <w:t>net additions</w:t>
            </w:r>
          </w:p>
        </w:tc>
        <w:tc>
          <w:tcPr>
            <w:tcW w:w="994" w:type="dxa"/>
            <w:shd w:val="clear" w:color="auto" w:fill="auto"/>
            <w:vAlign w:val="center"/>
          </w:tcPr>
          <w:p w:rsidR="007B4581" w:rsidRPr="007B4581" w:rsidRDefault="007B4581" w:rsidP="00217781">
            <w:pPr>
              <w:spacing w:before="0"/>
              <w:jc w:val="center"/>
              <w:rPr>
                <w:rFonts w:cs="Arial"/>
                <w:bCs/>
                <w:sz w:val="18"/>
                <w:szCs w:val="18"/>
              </w:rPr>
            </w:pPr>
            <w:r w:rsidRPr="00AC6EB7">
              <w:rPr>
                <w:rFonts w:cs="Arial"/>
                <w:sz w:val="18"/>
                <w:szCs w:val="18"/>
              </w:rPr>
              <w:t>3.98</w:t>
            </w:r>
          </w:p>
        </w:tc>
        <w:tc>
          <w:tcPr>
            <w:tcW w:w="1275" w:type="dxa"/>
            <w:shd w:val="clear" w:color="auto" w:fill="auto"/>
            <w:vAlign w:val="center"/>
          </w:tcPr>
          <w:p w:rsidR="007B4581" w:rsidRPr="007B4581" w:rsidRDefault="007B4581" w:rsidP="00217781">
            <w:pPr>
              <w:spacing w:before="0"/>
              <w:jc w:val="center"/>
              <w:rPr>
                <w:rFonts w:cs="Arial"/>
                <w:bCs/>
                <w:sz w:val="18"/>
                <w:szCs w:val="18"/>
              </w:rPr>
            </w:pPr>
            <w:r w:rsidRPr="00AC6EB7">
              <w:rPr>
                <w:rFonts w:cs="Arial"/>
                <w:sz w:val="18"/>
                <w:szCs w:val="18"/>
              </w:rPr>
              <w:t>139.30</w:t>
            </w:r>
          </w:p>
        </w:tc>
        <w:tc>
          <w:tcPr>
            <w:tcW w:w="1275" w:type="dxa"/>
            <w:shd w:val="clear" w:color="auto" w:fill="auto"/>
            <w:vAlign w:val="center"/>
          </w:tcPr>
          <w:p w:rsidR="007B4581" w:rsidRPr="007B4581" w:rsidRDefault="007B4581" w:rsidP="00217781">
            <w:pPr>
              <w:spacing w:before="0"/>
              <w:jc w:val="center"/>
              <w:rPr>
                <w:rFonts w:cs="Arial"/>
                <w:bCs/>
                <w:sz w:val="18"/>
                <w:szCs w:val="18"/>
              </w:rPr>
            </w:pPr>
            <w:r w:rsidRPr="00AC6EB7">
              <w:rPr>
                <w:rFonts w:cs="Arial"/>
                <w:sz w:val="18"/>
                <w:szCs w:val="18"/>
              </w:rPr>
              <w:t>94.00</w:t>
            </w:r>
          </w:p>
        </w:tc>
        <w:tc>
          <w:tcPr>
            <w:tcW w:w="1275" w:type="dxa"/>
            <w:vAlign w:val="center"/>
          </w:tcPr>
          <w:p w:rsidR="007B4581" w:rsidRPr="007B4581" w:rsidRDefault="007B4581" w:rsidP="00217781">
            <w:pPr>
              <w:spacing w:before="0"/>
              <w:jc w:val="center"/>
              <w:rPr>
                <w:rFonts w:cs="Arial"/>
                <w:bCs/>
                <w:sz w:val="18"/>
                <w:szCs w:val="18"/>
              </w:rPr>
            </w:pPr>
            <w:r w:rsidRPr="00AC6EB7">
              <w:rPr>
                <w:rFonts w:cs="Arial"/>
                <w:sz w:val="18"/>
                <w:szCs w:val="18"/>
              </w:rPr>
              <w:t>103.00</w:t>
            </w:r>
          </w:p>
        </w:tc>
        <w:tc>
          <w:tcPr>
            <w:tcW w:w="1275" w:type="dxa"/>
            <w:vAlign w:val="center"/>
          </w:tcPr>
          <w:p w:rsidR="007B4581" w:rsidRPr="007B4581" w:rsidRDefault="007B4581" w:rsidP="00217781">
            <w:pPr>
              <w:spacing w:before="0"/>
              <w:jc w:val="center"/>
              <w:rPr>
                <w:rFonts w:cs="Arial"/>
                <w:bCs/>
                <w:sz w:val="18"/>
                <w:szCs w:val="18"/>
              </w:rPr>
            </w:pPr>
            <w:r w:rsidRPr="00AC6EB7">
              <w:rPr>
                <w:rFonts w:cs="Arial"/>
                <w:sz w:val="18"/>
                <w:szCs w:val="18"/>
              </w:rPr>
              <w:t>69.07</w:t>
            </w:r>
          </w:p>
        </w:tc>
      </w:tr>
      <w:tr w:rsidR="007B4581" w:rsidRPr="007B4581" w:rsidTr="007B4581">
        <w:tc>
          <w:tcPr>
            <w:tcW w:w="2343" w:type="dxa"/>
            <w:shd w:val="clear" w:color="auto" w:fill="auto"/>
          </w:tcPr>
          <w:p w:rsidR="007B4581" w:rsidRPr="00184FFA" w:rsidRDefault="007B4581" w:rsidP="00D47CD9">
            <w:pPr>
              <w:pStyle w:val="TableBodyCells"/>
              <w:keepNext/>
              <w:jc w:val="left"/>
            </w:pPr>
            <w:r>
              <w:t>tax depreciation</w:t>
            </w:r>
          </w:p>
        </w:tc>
        <w:tc>
          <w:tcPr>
            <w:tcW w:w="994" w:type="dxa"/>
            <w:shd w:val="clear" w:color="auto" w:fill="auto"/>
            <w:vAlign w:val="center"/>
          </w:tcPr>
          <w:p w:rsidR="007B4581" w:rsidRPr="007B4581" w:rsidRDefault="007B4581" w:rsidP="00217781">
            <w:pPr>
              <w:spacing w:before="0"/>
              <w:jc w:val="center"/>
              <w:rPr>
                <w:rFonts w:cs="Arial"/>
                <w:bCs/>
                <w:sz w:val="18"/>
                <w:szCs w:val="18"/>
              </w:rPr>
            </w:pPr>
            <w:r w:rsidRPr="00AC6EB7">
              <w:rPr>
                <w:rFonts w:cs="Arial"/>
                <w:sz w:val="18"/>
                <w:szCs w:val="18"/>
              </w:rPr>
              <w:t>-8.80</w:t>
            </w:r>
          </w:p>
        </w:tc>
        <w:tc>
          <w:tcPr>
            <w:tcW w:w="1275" w:type="dxa"/>
            <w:shd w:val="clear" w:color="auto" w:fill="auto"/>
            <w:vAlign w:val="center"/>
          </w:tcPr>
          <w:p w:rsidR="007B4581" w:rsidRPr="007B4581" w:rsidRDefault="007B4581" w:rsidP="00217781">
            <w:pPr>
              <w:spacing w:before="0"/>
              <w:jc w:val="center"/>
              <w:rPr>
                <w:rFonts w:cs="Arial"/>
                <w:bCs/>
                <w:sz w:val="18"/>
                <w:szCs w:val="18"/>
              </w:rPr>
            </w:pPr>
            <w:r w:rsidRPr="00AC6EB7">
              <w:rPr>
                <w:rFonts w:cs="Arial"/>
                <w:sz w:val="18"/>
                <w:szCs w:val="18"/>
              </w:rPr>
              <w:t>-18.06</w:t>
            </w:r>
          </w:p>
        </w:tc>
        <w:tc>
          <w:tcPr>
            <w:tcW w:w="1275" w:type="dxa"/>
            <w:shd w:val="clear" w:color="auto" w:fill="auto"/>
            <w:vAlign w:val="center"/>
          </w:tcPr>
          <w:p w:rsidR="007B4581" w:rsidRPr="007B4581" w:rsidRDefault="007B4581" w:rsidP="00217781">
            <w:pPr>
              <w:spacing w:before="0"/>
              <w:jc w:val="center"/>
              <w:rPr>
                <w:rFonts w:cs="Arial"/>
                <w:bCs/>
                <w:sz w:val="18"/>
                <w:szCs w:val="18"/>
              </w:rPr>
            </w:pPr>
            <w:r w:rsidRPr="00AC6EB7">
              <w:rPr>
                <w:rFonts w:cs="Arial"/>
                <w:sz w:val="18"/>
                <w:szCs w:val="18"/>
              </w:rPr>
              <w:t>-21.62</w:t>
            </w:r>
          </w:p>
        </w:tc>
        <w:tc>
          <w:tcPr>
            <w:tcW w:w="1275" w:type="dxa"/>
            <w:vAlign w:val="center"/>
          </w:tcPr>
          <w:p w:rsidR="007B4581" w:rsidRPr="007B4581" w:rsidRDefault="007B4581" w:rsidP="00217781">
            <w:pPr>
              <w:spacing w:before="0"/>
              <w:jc w:val="center"/>
              <w:rPr>
                <w:rFonts w:cs="Arial"/>
                <w:bCs/>
                <w:sz w:val="18"/>
                <w:szCs w:val="18"/>
              </w:rPr>
            </w:pPr>
            <w:r w:rsidRPr="00AC6EB7">
              <w:rPr>
                <w:rFonts w:cs="Arial"/>
                <w:sz w:val="18"/>
                <w:szCs w:val="18"/>
              </w:rPr>
              <w:t>-22.96</w:t>
            </w:r>
          </w:p>
        </w:tc>
        <w:tc>
          <w:tcPr>
            <w:tcW w:w="1275" w:type="dxa"/>
            <w:vAlign w:val="center"/>
          </w:tcPr>
          <w:p w:rsidR="007B4581" w:rsidRPr="007B4581" w:rsidRDefault="007B4581" w:rsidP="00217781">
            <w:pPr>
              <w:spacing w:before="0"/>
              <w:jc w:val="center"/>
              <w:rPr>
                <w:rFonts w:cs="Arial"/>
                <w:bCs/>
                <w:sz w:val="18"/>
                <w:szCs w:val="18"/>
              </w:rPr>
            </w:pPr>
            <w:r w:rsidRPr="00AC6EB7">
              <w:rPr>
                <w:rFonts w:cs="Arial"/>
                <w:sz w:val="18"/>
                <w:szCs w:val="18"/>
              </w:rPr>
              <w:t>-23.67</w:t>
            </w:r>
          </w:p>
        </w:tc>
      </w:tr>
      <w:tr w:rsidR="007B4581" w:rsidRPr="007B4581" w:rsidTr="007B4581">
        <w:tc>
          <w:tcPr>
            <w:tcW w:w="2343" w:type="dxa"/>
            <w:shd w:val="clear" w:color="auto" w:fill="auto"/>
          </w:tcPr>
          <w:p w:rsidR="007B4581" w:rsidRPr="00C241B6" w:rsidRDefault="007B4581" w:rsidP="003A1415">
            <w:pPr>
              <w:pStyle w:val="TableBodyCells"/>
              <w:keepNext/>
              <w:jc w:val="left"/>
              <w:rPr>
                <w:b/>
              </w:rPr>
            </w:pPr>
            <w:r w:rsidRPr="00C241B6">
              <w:rPr>
                <w:b/>
              </w:rPr>
              <w:t xml:space="preserve">Closing </w:t>
            </w:r>
            <w:r>
              <w:rPr>
                <w:b/>
              </w:rPr>
              <w:t>TAB</w:t>
            </w:r>
          </w:p>
        </w:tc>
        <w:tc>
          <w:tcPr>
            <w:tcW w:w="994" w:type="dxa"/>
            <w:shd w:val="clear" w:color="auto" w:fill="auto"/>
            <w:vAlign w:val="center"/>
          </w:tcPr>
          <w:p w:rsidR="007B4581" w:rsidRPr="007B4581" w:rsidRDefault="007B4581" w:rsidP="00217781">
            <w:pPr>
              <w:spacing w:before="0"/>
              <w:jc w:val="center"/>
              <w:rPr>
                <w:rFonts w:cs="Arial"/>
                <w:b/>
                <w:bCs/>
                <w:sz w:val="18"/>
                <w:szCs w:val="18"/>
              </w:rPr>
            </w:pPr>
            <w:r w:rsidRPr="00AC6EB7">
              <w:rPr>
                <w:rFonts w:cs="Arial"/>
                <w:b/>
                <w:bCs/>
                <w:sz w:val="18"/>
                <w:szCs w:val="18"/>
              </w:rPr>
              <w:t>224.13</w:t>
            </w:r>
          </w:p>
        </w:tc>
        <w:tc>
          <w:tcPr>
            <w:tcW w:w="1275" w:type="dxa"/>
            <w:shd w:val="clear" w:color="auto" w:fill="auto"/>
            <w:vAlign w:val="center"/>
          </w:tcPr>
          <w:p w:rsidR="007B4581" w:rsidRPr="007B4581" w:rsidRDefault="007B4581" w:rsidP="00217781">
            <w:pPr>
              <w:spacing w:before="0"/>
              <w:jc w:val="center"/>
              <w:rPr>
                <w:rFonts w:cs="Arial"/>
                <w:b/>
                <w:bCs/>
                <w:sz w:val="18"/>
                <w:szCs w:val="18"/>
              </w:rPr>
            </w:pPr>
            <w:r w:rsidRPr="00AC6EB7">
              <w:rPr>
                <w:rFonts w:cs="Arial"/>
                <w:b/>
                <w:bCs/>
                <w:sz w:val="18"/>
                <w:szCs w:val="18"/>
              </w:rPr>
              <w:t>345.37</w:t>
            </w:r>
          </w:p>
        </w:tc>
        <w:tc>
          <w:tcPr>
            <w:tcW w:w="1275" w:type="dxa"/>
            <w:shd w:val="clear" w:color="auto" w:fill="auto"/>
            <w:vAlign w:val="center"/>
          </w:tcPr>
          <w:p w:rsidR="007B4581" w:rsidRPr="007B4581" w:rsidRDefault="007B4581" w:rsidP="00BC5B70">
            <w:pPr>
              <w:spacing w:before="0"/>
              <w:jc w:val="center"/>
              <w:rPr>
                <w:rFonts w:cs="Arial"/>
                <w:b/>
                <w:bCs/>
                <w:sz w:val="18"/>
                <w:szCs w:val="18"/>
              </w:rPr>
            </w:pPr>
            <w:r w:rsidRPr="00AC6EB7">
              <w:rPr>
                <w:rFonts w:cs="Arial"/>
                <w:b/>
                <w:bCs/>
                <w:sz w:val="18"/>
                <w:szCs w:val="18"/>
              </w:rPr>
              <w:t>417.75</w:t>
            </w:r>
          </w:p>
        </w:tc>
        <w:tc>
          <w:tcPr>
            <w:tcW w:w="1275" w:type="dxa"/>
            <w:vAlign w:val="center"/>
          </w:tcPr>
          <w:p w:rsidR="007B4581" w:rsidRPr="007B4581" w:rsidRDefault="007B4581" w:rsidP="00BC5B70">
            <w:pPr>
              <w:spacing w:before="0"/>
              <w:jc w:val="center"/>
              <w:rPr>
                <w:rFonts w:cs="Arial"/>
                <w:b/>
                <w:bCs/>
                <w:sz w:val="18"/>
                <w:szCs w:val="18"/>
              </w:rPr>
            </w:pPr>
            <w:r w:rsidRPr="00AC6EB7">
              <w:rPr>
                <w:rFonts w:cs="Arial"/>
                <w:b/>
                <w:bCs/>
                <w:sz w:val="18"/>
                <w:szCs w:val="18"/>
              </w:rPr>
              <w:t>497.79</w:t>
            </w:r>
          </w:p>
        </w:tc>
        <w:tc>
          <w:tcPr>
            <w:tcW w:w="1275" w:type="dxa"/>
            <w:vAlign w:val="center"/>
          </w:tcPr>
          <w:p w:rsidR="007B4581" w:rsidRPr="007B4581" w:rsidRDefault="007B4581" w:rsidP="00BC5B70">
            <w:pPr>
              <w:spacing w:before="0"/>
              <w:jc w:val="center"/>
              <w:rPr>
                <w:rFonts w:cs="Arial"/>
                <w:b/>
                <w:bCs/>
                <w:sz w:val="18"/>
                <w:szCs w:val="18"/>
              </w:rPr>
            </w:pPr>
            <w:r w:rsidRPr="00AC6EB7">
              <w:rPr>
                <w:rFonts w:cs="Arial"/>
                <w:b/>
                <w:bCs/>
                <w:sz w:val="18"/>
                <w:szCs w:val="18"/>
              </w:rPr>
              <w:t>543.18</w:t>
            </w:r>
          </w:p>
        </w:tc>
      </w:tr>
    </w:tbl>
    <w:p w:rsidR="003A1415" w:rsidRDefault="003A1415" w:rsidP="003A1415">
      <w:pPr>
        <w:pStyle w:val="BodyText"/>
      </w:pPr>
    </w:p>
    <w:p w:rsidR="003A1415" w:rsidRDefault="003A1415" w:rsidP="003A1415">
      <w:pPr>
        <w:pStyle w:val="BodyText"/>
      </w:pPr>
    </w:p>
    <w:p w:rsidR="003A1415" w:rsidRDefault="003A1415" w:rsidP="003A1415">
      <w:pPr>
        <w:pStyle w:val="Caption"/>
      </w:pPr>
      <w:bookmarkStart w:id="69" w:name="_Ref457224513"/>
      <w:bookmarkStart w:id="70" w:name="_Toc482626111"/>
      <w:r>
        <w:lastRenderedPageBreak/>
        <w:t xml:space="preserve">Table </w:t>
      </w:r>
      <w:r w:rsidR="006D055F">
        <w:fldChar w:fldCharType="begin"/>
      </w:r>
      <w:r w:rsidR="006D055F">
        <w:instrText xml:space="preserve"> STYLEREF 1 \s </w:instrText>
      </w:r>
      <w:r w:rsidR="006D055F">
        <w:fldChar w:fldCharType="separate"/>
      </w:r>
      <w:r w:rsidR="006D055F">
        <w:rPr>
          <w:noProof/>
        </w:rPr>
        <w:t>6</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5</w:t>
      </w:r>
      <w:r w:rsidR="006D055F">
        <w:rPr>
          <w:noProof/>
        </w:rPr>
        <w:fldChar w:fldCharType="end"/>
      </w:r>
      <w:bookmarkEnd w:id="69"/>
      <w:r w:rsidR="00142AC5">
        <w:t xml:space="preserve"> –</w:t>
      </w:r>
      <w:r>
        <w:t xml:space="preserve"> Forecast Tax Asset Base ($</w:t>
      </w:r>
      <w:r w:rsidR="001F426A">
        <w:t xml:space="preserve">m </w:t>
      </w:r>
      <w:r>
        <w:t>nominal)</w:t>
      </w:r>
      <w:bookmarkEnd w:id="70"/>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937"/>
        <w:gridCol w:w="1078"/>
        <w:gridCol w:w="1079"/>
        <w:gridCol w:w="1078"/>
        <w:gridCol w:w="1079"/>
        <w:gridCol w:w="1079"/>
      </w:tblGrid>
      <w:tr w:rsidR="007B4581" w:rsidRPr="008A4AF0" w:rsidTr="007B4581">
        <w:tc>
          <w:tcPr>
            <w:tcW w:w="2937" w:type="dxa"/>
            <w:shd w:val="clear" w:color="auto" w:fill="333333"/>
          </w:tcPr>
          <w:p w:rsidR="007B4581" w:rsidRPr="00AF4988" w:rsidRDefault="007B4581" w:rsidP="007B4581">
            <w:pPr>
              <w:pStyle w:val="TableColumnHeadings"/>
              <w:keepNext/>
              <w:jc w:val="left"/>
              <w:rPr>
                <w:rFonts w:ascii="Century Gothic" w:hAnsi="Century Gothic"/>
              </w:rPr>
            </w:pPr>
            <w:r>
              <w:rPr>
                <w:rFonts w:ascii="Century Gothic" w:hAnsi="Century Gothic"/>
              </w:rPr>
              <w:t>$m nominal</w:t>
            </w:r>
          </w:p>
        </w:tc>
        <w:tc>
          <w:tcPr>
            <w:tcW w:w="1078" w:type="dxa"/>
            <w:shd w:val="clear" w:color="auto" w:fill="333333"/>
          </w:tcPr>
          <w:p w:rsidR="007B4581" w:rsidRPr="00AF4988" w:rsidRDefault="007B4581" w:rsidP="007B4581">
            <w:pPr>
              <w:pStyle w:val="TableColumnHeadings"/>
              <w:rPr>
                <w:rFonts w:ascii="Century Gothic" w:hAnsi="Century Gothic"/>
              </w:rPr>
            </w:pPr>
            <w:r>
              <w:rPr>
                <w:rFonts w:ascii="Century Gothic" w:hAnsi="Century Gothic"/>
              </w:rPr>
              <w:t>2018</w:t>
            </w:r>
          </w:p>
        </w:tc>
        <w:tc>
          <w:tcPr>
            <w:tcW w:w="1079" w:type="dxa"/>
            <w:shd w:val="clear" w:color="auto" w:fill="333333"/>
          </w:tcPr>
          <w:p w:rsidR="007B4581" w:rsidRPr="00AF4988" w:rsidRDefault="007B4581" w:rsidP="007B4581">
            <w:pPr>
              <w:pStyle w:val="TableColumnHeadings"/>
              <w:rPr>
                <w:rFonts w:ascii="Century Gothic" w:hAnsi="Century Gothic"/>
              </w:rPr>
            </w:pPr>
            <w:r>
              <w:rPr>
                <w:rFonts w:ascii="Century Gothic" w:hAnsi="Century Gothic"/>
              </w:rPr>
              <w:t>2019</w:t>
            </w:r>
          </w:p>
        </w:tc>
        <w:tc>
          <w:tcPr>
            <w:tcW w:w="1078" w:type="dxa"/>
            <w:shd w:val="clear" w:color="auto" w:fill="333333"/>
          </w:tcPr>
          <w:p w:rsidR="007B4581" w:rsidRPr="00AF4988" w:rsidRDefault="007B4581" w:rsidP="007B4581">
            <w:pPr>
              <w:pStyle w:val="TableColumnHeadings"/>
              <w:rPr>
                <w:rFonts w:ascii="Century Gothic" w:hAnsi="Century Gothic"/>
              </w:rPr>
            </w:pPr>
            <w:r>
              <w:rPr>
                <w:rFonts w:ascii="Century Gothic" w:hAnsi="Century Gothic"/>
              </w:rPr>
              <w:t>2020</w:t>
            </w:r>
          </w:p>
        </w:tc>
        <w:tc>
          <w:tcPr>
            <w:tcW w:w="1079" w:type="dxa"/>
            <w:shd w:val="clear" w:color="auto" w:fill="333333"/>
          </w:tcPr>
          <w:p w:rsidR="007B4581" w:rsidRPr="00AF4988" w:rsidRDefault="007B4581" w:rsidP="007B4581">
            <w:pPr>
              <w:pStyle w:val="TableColumnHeadings"/>
              <w:rPr>
                <w:rFonts w:ascii="Century Gothic" w:hAnsi="Century Gothic"/>
              </w:rPr>
            </w:pPr>
            <w:r>
              <w:rPr>
                <w:rFonts w:ascii="Century Gothic" w:hAnsi="Century Gothic"/>
              </w:rPr>
              <w:t>2021</w:t>
            </w:r>
          </w:p>
        </w:tc>
        <w:tc>
          <w:tcPr>
            <w:tcW w:w="1079" w:type="dxa"/>
            <w:shd w:val="clear" w:color="auto" w:fill="333333"/>
          </w:tcPr>
          <w:p w:rsidR="007B4581" w:rsidRPr="00AF4988" w:rsidRDefault="007B4581" w:rsidP="007B4581">
            <w:pPr>
              <w:pStyle w:val="TableColumnHeadings"/>
              <w:rPr>
                <w:rFonts w:ascii="Century Gothic" w:hAnsi="Century Gothic"/>
              </w:rPr>
            </w:pPr>
            <w:r>
              <w:rPr>
                <w:rFonts w:ascii="Century Gothic" w:hAnsi="Century Gothic"/>
              </w:rPr>
              <w:t>2022</w:t>
            </w:r>
          </w:p>
        </w:tc>
      </w:tr>
      <w:tr w:rsidR="007B4581" w:rsidRPr="008A4AF0" w:rsidTr="007B4581">
        <w:tc>
          <w:tcPr>
            <w:tcW w:w="2937" w:type="dxa"/>
            <w:shd w:val="clear" w:color="auto" w:fill="auto"/>
          </w:tcPr>
          <w:p w:rsidR="007B4581" w:rsidRPr="00184FFA" w:rsidRDefault="007B4581" w:rsidP="007B4581">
            <w:pPr>
              <w:pStyle w:val="TableBodyCells"/>
              <w:keepNext/>
              <w:jc w:val="left"/>
            </w:pPr>
            <w:r w:rsidRPr="00184FFA">
              <w:t xml:space="preserve">Opening </w:t>
            </w:r>
            <w:r>
              <w:t>TAB</w:t>
            </w:r>
          </w:p>
        </w:tc>
        <w:tc>
          <w:tcPr>
            <w:tcW w:w="1078" w:type="dxa"/>
            <w:shd w:val="clear" w:color="auto" w:fill="auto"/>
            <w:vAlign w:val="center"/>
          </w:tcPr>
          <w:p w:rsidR="007B4581" w:rsidRPr="008D6C6C" w:rsidRDefault="007B4581" w:rsidP="007B4581">
            <w:pPr>
              <w:spacing w:before="0"/>
              <w:jc w:val="center"/>
              <w:rPr>
                <w:rFonts w:cs="Arial"/>
                <w:sz w:val="18"/>
                <w:szCs w:val="18"/>
              </w:rPr>
            </w:pPr>
            <w:r w:rsidRPr="00AC6EB7">
              <w:rPr>
                <w:rFonts w:cs="Arial"/>
                <w:sz w:val="18"/>
                <w:szCs w:val="22"/>
              </w:rPr>
              <w:t>543.18</w:t>
            </w:r>
          </w:p>
        </w:tc>
        <w:tc>
          <w:tcPr>
            <w:tcW w:w="1079" w:type="dxa"/>
            <w:shd w:val="clear" w:color="auto" w:fill="auto"/>
            <w:vAlign w:val="center"/>
          </w:tcPr>
          <w:p w:rsidR="007B4581" w:rsidRPr="008D6C6C" w:rsidRDefault="007B4581" w:rsidP="007B4581">
            <w:pPr>
              <w:spacing w:before="0"/>
              <w:jc w:val="center"/>
              <w:rPr>
                <w:rFonts w:cs="Arial"/>
                <w:sz w:val="18"/>
                <w:szCs w:val="18"/>
              </w:rPr>
            </w:pPr>
            <w:r w:rsidRPr="00AC6EB7">
              <w:rPr>
                <w:rFonts w:cs="Arial"/>
                <w:sz w:val="18"/>
                <w:szCs w:val="22"/>
              </w:rPr>
              <w:t>562.13</w:t>
            </w:r>
          </w:p>
        </w:tc>
        <w:tc>
          <w:tcPr>
            <w:tcW w:w="1078" w:type="dxa"/>
            <w:shd w:val="clear" w:color="auto" w:fill="auto"/>
            <w:vAlign w:val="center"/>
          </w:tcPr>
          <w:p w:rsidR="007B4581" w:rsidRPr="008D6C6C" w:rsidRDefault="007B4581" w:rsidP="007B4581">
            <w:pPr>
              <w:spacing w:before="0"/>
              <w:jc w:val="center"/>
              <w:rPr>
                <w:rFonts w:cs="Arial"/>
                <w:sz w:val="18"/>
                <w:szCs w:val="18"/>
              </w:rPr>
            </w:pPr>
            <w:r w:rsidRPr="00AC6EB7">
              <w:rPr>
                <w:rFonts w:cs="Arial"/>
                <w:sz w:val="18"/>
                <w:szCs w:val="22"/>
              </w:rPr>
              <w:t>561.78</w:t>
            </w:r>
          </w:p>
        </w:tc>
        <w:tc>
          <w:tcPr>
            <w:tcW w:w="1079" w:type="dxa"/>
            <w:vAlign w:val="center"/>
          </w:tcPr>
          <w:p w:rsidR="007B4581" w:rsidRPr="008D6C6C" w:rsidRDefault="007B4581" w:rsidP="007B4581">
            <w:pPr>
              <w:spacing w:before="0"/>
              <w:jc w:val="center"/>
              <w:rPr>
                <w:rFonts w:cs="Arial"/>
                <w:sz w:val="18"/>
                <w:szCs w:val="18"/>
              </w:rPr>
            </w:pPr>
            <w:r w:rsidRPr="00AC6EB7">
              <w:rPr>
                <w:rFonts w:cs="Arial"/>
                <w:sz w:val="18"/>
                <w:szCs w:val="22"/>
              </w:rPr>
              <w:t>673.87</w:t>
            </w:r>
          </w:p>
        </w:tc>
        <w:tc>
          <w:tcPr>
            <w:tcW w:w="1079" w:type="dxa"/>
            <w:vAlign w:val="center"/>
          </w:tcPr>
          <w:p w:rsidR="007B4581" w:rsidRPr="008D6C6C" w:rsidRDefault="007B4581" w:rsidP="007B4581">
            <w:pPr>
              <w:spacing w:before="0"/>
              <w:jc w:val="center"/>
              <w:rPr>
                <w:rFonts w:cs="Arial"/>
                <w:sz w:val="18"/>
                <w:szCs w:val="18"/>
              </w:rPr>
            </w:pPr>
            <w:r w:rsidRPr="00AC6EB7">
              <w:rPr>
                <w:rFonts w:cs="Arial"/>
                <w:sz w:val="18"/>
                <w:szCs w:val="22"/>
              </w:rPr>
              <w:t>640.34</w:t>
            </w:r>
          </w:p>
        </w:tc>
      </w:tr>
      <w:tr w:rsidR="007B4581" w:rsidRPr="008A4AF0" w:rsidTr="007B4581">
        <w:tc>
          <w:tcPr>
            <w:tcW w:w="2937" w:type="dxa"/>
            <w:shd w:val="clear" w:color="auto" w:fill="auto"/>
          </w:tcPr>
          <w:p w:rsidR="007B4581" w:rsidRPr="00184FFA" w:rsidRDefault="007B4581" w:rsidP="007B4581">
            <w:pPr>
              <w:pStyle w:val="TableBodyCells"/>
              <w:keepNext/>
              <w:jc w:val="left"/>
            </w:pPr>
            <w:r>
              <w:t>net additions</w:t>
            </w:r>
          </w:p>
        </w:tc>
        <w:tc>
          <w:tcPr>
            <w:tcW w:w="1078" w:type="dxa"/>
            <w:shd w:val="clear" w:color="auto" w:fill="auto"/>
            <w:vAlign w:val="center"/>
          </w:tcPr>
          <w:p w:rsidR="007B4581" w:rsidRPr="008D6C6C" w:rsidRDefault="007B4581" w:rsidP="007B4581">
            <w:pPr>
              <w:spacing w:before="0"/>
              <w:jc w:val="center"/>
              <w:rPr>
                <w:rFonts w:cs="Arial"/>
                <w:sz w:val="18"/>
                <w:szCs w:val="18"/>
              </w:rPr>
            </w:pPr>
            <w:r w:rsidRPr="00AC6EB7">
              <w:rPr>
                <w:rFonts w:cs="Arial"/>
                <w:sz w:val="18"/>
                <w:szCs w:val="22"/>
              </w:rPr>
              <w:t>54.72</w:t>
            </w:r>
          </w:p>
        </w:tc>
        <w:tc>
          <w:tcPr>
            <w:tcW w:w="1079" w:type="dxa"/>
            <w:shd w:val="clear" w:color="auto" w:fill="auto"/>
            <w:vAlign w:val="center"/>
          </w:tcPr>
          <w:p w:rsidR="007B4581" w:rsidRPr="008D6C6C" w:rsidRDefault="007B4581" w:rsidP="007B4581">
            <w:pPr>
              <w:spacing w:before="0"/>
              <w:jc w:val="center"/>
              <w:rPr>
                <w:rFonts w:cs="Arial"/>
                <w:sz w:val="18"/>
                <w:szCs w:val="18"/>
              </w:rPr>
            </w:pPr>
            <w:r w:rsidRPr="00AC6EB7">
              <w:rPr>
                <w:rFonts w:cs="Arial"/>
                <w:sz w:val="18"/>
                <w:szCs w:val="22"/>
              </w:rPr>
              <w:t>38.95</w:t>
            </w:r>
          </w:p>
        </w:tc>
        <w:tc>
          <w:tcPr>
            <w:tcW w:w="1078" w:type="dxa"/>
            <w:shd w:val="clear" w:color="auto" w:fill="auto"/>
            <w:vAlign w:val="center"/>
          </w:tcPr>
          <w:p w:rsidR="007B4581" w:rsidRPr="008D6C6C" w:rsidRDefault="007B4581" w:rsidP="007B4581">
            <w:pPr>
              <w:spacing w:before="0"/>
              <w:jc w:val="center"/>
              <w:rPr>
                <w:rFonts w:cs="Arial"/>
                <w:sz w:val="18"/>
                <w:szCs w:val="18"/>
              </w:rPr>
            </w:pPr>
            <w:r w:rsidRPr="00AC6EB7">
              <w:rPr>
                <w:rFonts w:cs="Arial"/>
                <w:sz w:val="18"/>
                <w:szCs w:val="22"/>
              </w:rPr>
              <w:t>154.04</w:t>
            </w:r>
          </w:p>
        </w:tc>
        <w:tc>
          <w:tcPr>
            <w:tcW w:w="1079" w:type="dxa"/>
            <w:vAlign w:val="center"/>
          </w:tcPr>
          <w:p w:rsidR="007B4581" w:rsidRPr="008D6C6C" w:rsidRDefault="007B4581" w:rsidP="007B4581">
            <w:pPr>
              <w:spacing w:before="0"/>
              <w:jc w:val="center"/>
              <w:rPr>
                <w:rFonts w:cs="Arial"/>
                <w:sz w:val="18"/>
                <w:szCs w:val="18"/>
              </w:rPr>
            </w:pPr>
            <w:r w:rsidRPr="00AC6EB7">
              <w:rPr>
                <w:rFonts w:cs="Arial"/>
                <w:sz w:val="18"/>
                <w:szCs w:val="22"/>
              </w:rPr>
              <w:t>16.44</w:t>
            </w:r>
          </w:p>
        </w:tc>
        <w:tc>
          <w:tcPr>
            <w:tcW w:w="1079" w:type="dxa"/>
            <w:vAlign w:val="center"/>
          </w:tcPr>
          <w:p w:rsidR="007B4581" w:rsidRPr="008D6C6C" w:rsidRDefault="007B4581" w:rsidP="007B4581">
            <w:pPr>
              <w:spacing w:before="0"/>
              <w:jc w:val="center"/>
              <w:rPr>
                <w:rFonts w:cs="Arial"/>
                <w:sz w:val="18"/>
                <w:szCs w:val="18"/>
              </w:rPr>
            </w:pPr>
            <w:r w:rsidRPr="00AC6EB7">
              <w:rPr>
                <w:rFonts w:cs="Arial"/>
                <w:sz w:val="18"/>
                <w:szCs w:val="22"/>
              </w:rPr>
              <w:t>18.34</w:t>
            </w:r>
          </w:p>
        </w:tc>
      </w:tr>
      <w:tr w:rsidR="007B4581" w:rsidRPr="00C241B6" w:rsidTr="007B4581">
        <w:tc>
          <w:tcPr>
            <w:tcW w:w="2937" w:type="dxa"/>
            <w:shd w:val="clear" w:color="auto" w:fill="auto"/>
          </w:tcPr>
          <w:p w:rsidR="007B4581" w:rsidRPr="00184FFA" w:rsidRDefault="007B4581" w:rsidP="007B4581">
            <w:pPr>
              <w:pStyle w:val="TableBodyCells"/>
              <w:keepNext/>
              <w:jc w:val="left"/>
            </w:pPr>
            <w:r>
              <w:t>tax depreciation</w:t>
            </w:r>
          </w:p>
        </w:tc>
        <w:tc>
          <w:tcPr>
            <w:tcW w:w="1078" w:type="dxa"/>
            <w:shd w:val="clear" w:color="auto" w:fill="auto"/>
            <w:vAlign w:val="center"/>
          </w:tcPr>
          <w:p w:rsidR="007B4581" w:rsidRPr="008D6C6C" w:rsidRDefault="007B4581" w:rsidP="007B4581">
            <w:pPr>
              <w:spacing w:before="0"/>
              <w:jc w:val="center"/>
              <w:rPr>
                <w:rFonts w:cs="Arial"/>
                <w:sz w:val="18"/>
                <w:szCs w:val="18"/>
              </w:rPr>
            </w:pPr>
            <w:r w:rsidRPr="00AC6EB7">
              <w:rPr>
                <w:rFonts w:cs="Arial"/>
                <w:sz w:val="18"/>
                <w:szCs w:val="22"/>
              </w:rPr>
              <w:t>-35.78</w:t>
            </w:r>
          </w:p>
        </w:tc>
        <w:tc>
          <w:tcPr>
            <w:tcW w:w="1079" w:type="dxa"/>
            <w:shd w:val="clear" w:color="auto" w:fill="auto"/>
            <w:vAlign w:val="center"/>
          </w:tcPr>
          <w:p w:rsidR="007B4581" w:rsidRPr="008D6C6C" w:rsidRDefault="007B4581" w:rsidP="007B4581">
            <w:pPr>
              <w:spacing w:before="0"/>
              <w:jc w:val="center"/>
              <w:rPr>
                <w:rFonts w:cs="Arial"/>
                <w:sz w:val="18"/>
                <w:szCs w:val="18"/>
              </w:rPr>
            </w:pPr>
            <w:r w:rsidRPr="00AC6EB7">
              <w:rPr>
                <w:rFonts w:cs="Arial"/>
                <w:sz w:val="18"/>
                <w:szCs w:val="22"/>
              </w:rPr>
              <w:t>-39.29</w:t>
            </w:r>
          </w:p>
        </w:tc>
        <w:tc>
          <w:tcPr>
            <w:tcW w:w="1078" w:type="dxa"/>
            <w:shd w:val="clear" w:color="auto" w:fill="auto"/>
            <w:vAlign w:val="center"/>
          </w:tcPr>
          <w:p w:rsidR="007B4581" w:rsidRPr="008D6C6C" w:rsidRDefault="007B4581" w:rsidP="007B4581">
            <w:pPr>
              <w:spacing w:before="0"/>
              <w:jc w:val="center"/>
              <w:rPr>
                <w:rFonts w:cs="Arial"/>
                <w:sz w:val="18"/>
                <w:szCs w:val="18"/>
              </w:rPr>
            </w:pPr>
            <w:r w:rsidRPr="00AC6EB7">
              <w:rPr>
                <w:rFonts w:cs="Arial"/>
                <w:sz w:val="18"/>
                <w:szCs w:val="22"/>
              </w:rPr>
              <w:t>-41.96</w:t>
            </w:r>
          </w:p>
        </w:tc>
        <w:tc>
          <w:tcPr>
            <w:tcW w:w="1079" w:type="dxa"/>
            <w:vAlign w:val="center"/>
          </w:tcPr>
          <w:p w:rsidR="007B4581" w:rsidRPr="008D6C6C" w:rsidRDefault="007B4581" w:rsidP="007B4581">
            <w:pPr>
              <w:spacing w:before="0"/>
              <w:jc w:val="center"/>
              <w:rPr>
                <w:rFonts w:cs="Arial"/>
                <w:sz w:val="18"/>
                <w:szCs w:val="18"/>
              </w:rPr>
            </w:pPr>
            <w:r w:rsidRPr="00AC6EB7">
              <w:rPr>
                <w:rFonts w:cs="Arial"/>
                <w:sz w:val="18"/>
                <w:szCs w:val="22"/>
              </w:rPr>
              <w:t>-49.96</w:t>
            </w:r>
          </w:p>
        </w:tc>
        <w:tc>
          <w:tcPr>
            <w:tcW w:w="1079" w:type="dxa"/>
            <w:vAlign w:val="center"/>
          </w:tcPr>
          <w:p w:rsidR="007B4581" w:rsidRPr="008D6C6C" w:rsidRDefault="007B4581" w:rsidP="007B4581">
            <w:pPr>
              <w:spacing w:before="0"/>
              <w:jc w:val="center"/>
              <w:rPr>
                <w:rFonts w:cs="Arial"/>
                <w:sz w:val="18"/>
                <w:szCs w:val="18"/>
              </w:rPr>
            </w:pPr>
            <w:r w:rsidRPr="00AC6EB7">
              <w:rPr>
                <w:rFonts w:cs="Arial"/>
                <w:sz w:val="18"/>
                <w:szCs w:val="22"/>
              </w:rPr>
              <w:t>-51.49</w:t>
            </w:r>
          </w:p>
        </w:tc>
      </w:tr>
      <w:tr w:rsidR="007B4581" w:rsidRPr="00C241B6" w:rsidTr="007B4581">
        <w:tc>
          <w:tcPr>
            <w:tcW w:w="2937" w:type="dxa"/>
            <w:shd w:val="clear" w:color="auto" w:fill="auto"/>
          </w:tcPr>
          <w:p w:rsidR="007B4581" w:rsidRPr="00C241B6" w:rsidRDefault="007B4581" w:rsidP="007B4581">
            <w:pPr>
              <w:pStyle w:val="TableBodyCells"/>
              <w:keepNext/>
              <w:jc w:val="left"/>
              <w:rPr>
                <w:b/>
              </w:rPr>
            </w:pPr>
            <w:r w:rsidRPr="00C241B6">
              <w:rPr>
                <w:b/>
              </w:rPr>
              <w:t xml:space="preserve">Closing </w:t>
            </w:r>
            <w:r>
              <w:rPr>
                <w:b/>
              </w:rPr>
              <w:t>TAB</w:t>
            </w:r>
          </w:p>
        </w:tc>
        <w:tc>
          <w:tcPr>
            <w:tcW w:w="1078" w:type="dxa"/>
            <w:shd w:val="clear" w:color="auto" w:fill="auto"/>
            <w:vAlign w:val="center"/>
          </w:tcPr>
          <w:p w:rsidR="007B4581" w:rsidRPr="008D6C6C" w:rsidRDefault="007B4581" w:rsidP="007B4581">
            <w:pPr>
              <w:spacing w:before="0"/>
              <w:jc w:val="center"/>
              <w:rPr>
                <w:rFonts w:cs="Arial"/>
                <w:b/>
                <w:sz w:val="18"/>
                <w:szCs w:val="18"/>
              </w:rPr>
            </w:pPr>
            <w:r w:rsidRPr="00AC6EB7">
              <w:rPr>
                <w:rFonts w:cs="Arial"/>
                <w:b/>
                <w:bCs/>
                <w:sz w:val="18"/>
                <w:szCs w:val="22"/>
              </w:rPr>
              <w:t>562.13</w:t>
            </w:r>
          </w:p>
        </w:tc>
        <w:tc>
          <w:tcPr>
            <w:tcW w:w="1079" w:type="dxa"/>
            <w:shd w:val="clear" w:color="auto" w:fill="auto"/>
            <w:vAlign w:val="center"/>
          </w:tcPr>
          <w:p w:rsidR="007B4581" w:rsidRPr="008D6C6C" w:rsidRDefault="007B4581" w:rsidP="007B4581">
            <w:pPr>
              <w:spacing w:before="0"/>
              <w:jc w:val="center"/>
              <w:rPr>
                <w:rFonts w:cs="Arial"/>
                <w:b/>
                <w:sz w:val="18"/>
                <w:szCs w:val="18"/>
              </w:rPr>
            </w:pPr>
            <w:r w:rsidRPr="00AC6EB7">
              <w:rPr>
                <w:rFonts w:cs="Arial"/>
                <w:b/>
                <w:bCs/>
                <w:sz w:val="18"/>
                <w:szCs w:val="22"/>
              </w:rPr>
              <w:t>561.78</w:t>
            </w:r>
          </w:p>
        </w:tc>
        <w:tc>
          <w:tcPr>
            <w:tcW w:w="1078" w:type="dxa"/>
            <w:shd w:val="clear" w:color="auto" w:fill="auto"/>
            <w:vAlign w:val="center"/>
          </w:tcPr>
          <w:p w:rsidR="007B4581" w:rsidRPr="008D6C6C" w:rsidRDefault="007B4581" w:rsidP="007B4581">
            <w:pPr>
              <w:spacing w:before="0"/>
              <w:jc w:val="center"/>
              <w:rPr>
                <w:rFonts w:cs="Arial"/>
                <w:b/>
                <w:sz w:val="18"/>
                <w:szCs w:val="18"/>
              </w:rPr>
            </w:pPr>
            <w:r w:rsidRPr="00AC6EB7">
              <w:rPr>
                <w:rFonts w:cs="Arial"/>
                <w:b/>
                <w:bCs/>
                <w:sz w:val="18"/>
                <w:szCs w:val="22"/>
              </w:rPr>
              <w:t>673.87</w:t>
            </w:r>
          </w:p>
        </w:tc>
        <w:tc>
          <w:tcPr>
            <w:tcW w:w="1079" w:type="dxa"/>
            <w:vAlign w:val="center"/>
          </w:tcPr>
          <w:p w:rsidR="007B4581" w:rsidRPr="008D6C6C" w:rsidRDefault="007B4581" w:rsidP="007B4581">
            <w:pPr>
              <w:spacing w:before="0"/>
              <w:jc w:val="center"/>
              <w:rPr>
                <w:rFonts w:cs="Arial"/>
                <w:b/>
                <w:sz w:val="18"/>
                <w:szCs w:val="18"/>
              </w:rPr>
            </w:pPr>
            <w:r w:rsidRPr="00AC6EB7">
              <w:rPr>
                <w:rFonts w:cs="Arial"/>
                <w:b/>
                <w:bCs/>
                <w:sz w:val="18"/>
                <w:szCs w:val="22"/>
              </w:rPr>
              <w:t>640.34</w:t>
            </w:r>
          </w:p>
        </w:tc>
        <w:tc>
          <w:tcPr>
            <w:tcW w:w="1079" w:type="dxa"/>
            <w:vAlign w:val="center"/>
          </w:tcPr>
          <w:p w:rsidR="007B4581" w:rsidRPr="008D6C6C" w:rsidRDefault="007B4581" w:rsidP="007B4581">
            <w:pPr>
              <w:spacing w:before="0"/>
              <w:jc w:val="center"/>
              <w:rPr>
                <w:rFonts w:cs="Arial"/>
                <w:b/>
                <w:sz w:val="18"/>
                <w:szCs w:val="18"/>
              </w:rPr>
            </w:pPr>
            <w:r w:rsidRPr="00AC6EB7">
              <w:rPr>
                <w:rFonts w:cs="Arial"/>
                <w:b/>
                <w:bCs/>
                <w:sz w:val="18"/>
                <w:szCs w:val="22"/>
              </w:rPr>
              <w:t>607.19</w:t>
            </w:r>
          </w:p>
        </w:tc>
      </w:tr>
    </w:tbl>
    <w:p w:rsidR="009535C9" w:rsidRDefault="009535C9" w:rsidP="00F55674">
      <w:pPr>
        <w:pStyle w:val="BodyText"/>
      </w:pPr>
    </w:p>
    <w:p w:rsidR="00306774" w:rsidRDefault="00306774" w:rsidP="00F55674">
      <w:pPr>
        <w:pStyle w:val="BodyText"/>
      </w:pPr>
    </w:p>
    <w:p w:rsidR="00306774" w:rsidRDefault="007F281B" w:rsidP="0055275F">
      <w:pPr>
        <w:pStyle w:val="Heading1"/>
      </w:pPr>
      <w:bookmarkStart w:id="71" w:name="_Ref468182585"/>
      <w:bookmarkStart w:id="72" w:name="_Ref470190060"/>
      <w:bookmarkStart w:id="73" w:name="_Toc482626073"/>
      <w:r>
        <w:lastRenderedPageBreak/>
        <w:t>Rate of Return</w:t>
      </w:r>
      <w:bookmarkEnd w:id="71"/>
      <w:r w:rsidR="00671E70">
        <w:t xml:space="preserve"> and value of imputation credits</w:t>
      </w:r>
      <w:bookmarkEnd w:id="72"/>
      <w:bookmarkEnd w:id="73"/>
    </w:p>
    <w:p w:rsidR="004C59F1" w:rsidRDefault="004C59F1" w:rsidP="004C59F1">
      <w:pPr>
        <w:pStyle w:val="BodyText"/>
      </w:pPr>
      <w:r>
        <w:t>APA VTS provides no update to this chapter arising from the revisions to the access arrangement to incorporate the WORM project.</w:t>
      </w:r>
    </w:p>
    <w:p w:rsidR="004C59F1" w:rsidRDefault="004C59F1" w:rsidP="009C2358">
      <w:pPr>
        <w:pStyle w:val="BodyText"/>
      </w:pPr>
    </w:p>
    <w:p w:rsidR="00306774" w:rsidRDefault="00D731E6" w:rsidP="0055275F">
      <w:pPr>
        <w:pStyle w:val="Heading1"/>
      </w:pPr>
      <w:bookmarkStart w:id="74" w:name="_Ref470081277"/>
      <w:bookmarkStart w:id="75" w:name="_Toc482626074"/>
      <w:r>
        <w:lastRenderedPageBreak/>
        <w:t>O</w:t>
      </w:r>
      <w:r w:rsidR="00306774" w:rsidRPr="00306774">
        <w:t>perating expenditure</w:t>
      </w:r>
      <w:bookmarkEnd w:id="74"/>
      <w:bookmarkEnd w:id="75"/>
    </w:p>
    <w:p w:rsidR="00BA791B" w:rsidRDefault="00BA791B" w:rsidP="00BA791B">
      <w:pPr>
        <w:pStyle w:val="BodyText"/>
      </w:pPr>
      <w:r>
        <w:t xml:space="preserve">This chapter sets out consequential changes to operating expenditure associated with the WORM project.  </w:t>
      </w:r>
    </w:p>
    <w:p w:rsidR="00BA791B" w:rsidRDefault="00BA791B" w:rsidP="00BA791B">
      <w:pPr>
        <w:pStyle w:val="BodyText"/>
      </w:pPr>
      <w:r>
        <w:t>It also reflects corrections to the calculation of the allowance</w:t>
      </w:r>
      <w:r w:rsidR="004C01E8">
        <w:t xml:space="preserve"> for passive linepack and spares advised to the AER in response to Information Request 6.</w:t>
      </w:r>
    </w:p>
    <w:p w:rsidR="004C01E8" w:rsidRDefault="004C01E8" w:rsidP="004C01E8">
      <w:pPr>
        <w:pStyle w:val="Heading2"/>
      </w:pPr>
      <w:bookmarkStart w:id="76" w:name="_Ref482107595"/>
      <w:bookmarkStart w:id="77" w:name="_Toc482626075"/>
      <w:r>
        <w:t>Step and scope changes</w:t>
      </w:r>
      <w:bookmarkEnd w:id="76"/>
      <w:bookmarkEnd w:id="77"/>
    </w:p>
    <w:p w:rsidR="004C01E8" w:rsidRDefault="004C01E8" w:rsidP="004C01E8">
      <w:pPr>
        <w:pStyle w:val="Heading3"/>
      </w:pPr>
      <w:r>
        <w:t xml:space="preserve">Western Outer Ring Main </w:t>
      </w:r>
    </w:p>
    <w:p w:rsidR="004C01E8" w:rsidRDefault="004C01E8" w:rsidP="004C01E8">
      <w:pPr>
        <w:pStyle w:val="BodyText"/>
      </w:pPr>
      <w:r>
        <w:t xml:space="preserve">In its January AA proposal, APA VTS proposed a scope change associated with the </w:t>
      </w:r>
      <w:r w:rsidR="00B65335">
        <w:t>procurement of the</w:t>
      </w:r>
      <w:r>
        <w:t xml:space="preserve"> easement </w:t>
      </w:r>
      <w:r w:rsidR="00B65335">
        <w:t xml:space="preserve">for the WORM </w:t>
      </w:r>
      <w:r>
        <w:t>in advance of the construction of the western outer ring main. There would be a small amount of additional operating expenditure associated with maintenance and protection of the easement land of $25 thousand</w:t>
      </w:r>
      <w:r w:rsidR="009279DA">
        <w:t xml:space="preserve"> per annum</w:t>
      </w:r>
      <w:r>
        <w:t>.</w:t>
      </w:r>
    </w:p>
    <w:p w:rsidR="004C01E8" w:rsidRPr="00A52D58" w:rsidRDefault="00B65335" w:rsidP="004C01E8">
      <w:pPr>
        <w:pStyle w:val="BodyText"/>
      </w:pPr>
      <w:r>
        <w:t xml:space="preserve">This supplementary submission involves full construction of the WORM in the forecast period. As a result, the scope change needs to be extended to also include additional operating expenditure in relation to the new pipeline, compressor and Pressure Regulating Station (PRS) associated with the </w:t>
      </w:r>
      <w:r w:rsidRPr="00A52D58">
        <w:t>WORM.</w:t>
      </w:r>
    </w:p>
    <w:p w:rsidR="00C224EF" w:rsidRDefault="00E444DE" w:rsidP="00C224EF">
      <w:pPr>
        <w:pStyle w:val="BodyText"/>
      </w:pPr>
      <w:r w:rsidRPr="00A52D58">
        <w:fldChar w:fldCharType="begin"/>
      </w:r>
      <w:r w:rsidRPr="00A52D58">
        <w:instrText xml:space="preserve"> REF _Ref482621832 \h </w:instrText>
      </w:r>
      <w:r w:rsidR="00A52D58">
        <w:instrText xml:space="preserve"> \* MERGEFORMAT </w:instrText>
      </w:r>
      <w:r w:rsidRPr="00A52D58">
        <w:fldChar w:fldCharType="separate"/>
      </w:r>
      <w:r w:rsidR="006D055F" w:rsidRPr="00A52D58">
        <w:t xml:space="preserve">Table </w:t>
      </w:r>
      <w:r w:rsidR="006D055F">
        <w:rPr>
          <w:noProof/>
        </w:rPr>
        <w:t>8</w:t>
      </w:r>
      <w:r w:rsidR="006D055F" w:rsidRPr="00A52D58">
        <w:rPr>
          <w:noProof/>
        </w:rPr>
        <w:noBreakHyphen/>
      </w:r>
      <w:r w:rsidR="006D055F">
        <w:rPr>
          <w:noProof/>
        </w:rPr>
        <w:t>1</w:t>
      </w:r>
      <w:r w:rsidRPr="00A52D58">
        <w:fldChar w:fldCharType="end"/>
      </w:r>
      <w:r w:rsidR="00C224EF" w:rsidRPr="00A52D58">
        <w:t xml:space="preserve"> below sets out the forecast operating expenditure associated with these projects.</w:t>
      </w:r>
    </w:p>
    <w:p w:rsidR="00C224EF" w:rsidRPr="00A52D58" w:rsidRDefault="00C224EF" w:rsidP="00AC6EB7">
      <w:pPr>
        <w:pStyle w:val="Caption"/>
      </w:pPr>
      <w:bookmarkStart w:id="78" w:name="_Ref482621832"/>
      <w:bookmarkStart w:id="79" w:name="_Toc482626112"/>
      <w:r w:rsidRPr="00A52D58">
        <w:t xml:space="preserve">Table </w:t>
      </w:r>
      <w:r w:rsidR="006D055F">
        <w:fldChar w:fldCharType="begin"/>
      </w:r>
      <w:r w:rsidR="006D055F">
        <w:instrText xml:space="preserve"> STYLEREF 1 \s </w:instrText>
      </w:r>
      <w:r w:rsidR="006D055F">
        <w:fldChar w:fldCharType="separate"/>
      </w:r>
      <w:r w:rsidR="006D055F">
        <w:rPr>
          <w:noProof/>
        </w:rPr>
        <w:t>8</w:t>
      </w:r>
      <w:r w:rsidR="006D055F">
        <w:rPr>
          <w:noProof/>
        </w:rPr>
        <w:fldChar w:fldCharType="end"/>
      </w:r>
      <w:r w:rsidRPr="00A52D58">
        <w:noBreakHyphen/>
      </w:r>
      <w:r w:rsidR="006D055F">
        <w:fldChar w:fldCharType="begin"/>
      </w:r>
      <w:r w:rsidR="006D055F">
        <w:instrText xml:space="preserve"> SEQ Table \* ARABIC \s 1 </w:instrText>
      </w:r>
      <w:r w:rsidR="006D055F">
        <w:fldChar w:fldCharType="separate"/>
      </w:r>
      <w:r w:rsidR="006D055F">
        <w:rPr>
          <w:noProof/>
        </w:rPr>
        <w:t>1</w:t>
      </w:r>
      <w:r w:rsidR="006D055F">
        <w:rPr>
          <w:noProof/>
        </w:rPr>
        <w:fldChar w:fldCharType="end"/>
      </w:r>
      <w:bookmarkEnd w:id="78"/>
      <w:r w:rsidRPr="00A52D58">
        <w:t xml:space="preserve"> – Operating expenditure associated with forecast capital expenditure (real 2017 $000)</w:t>
      </w:r>
      <w:bookmarkEnd w:id="79"/>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237"/>
        <w:gridCol w:w="1041"/>
        <w:gridCol w:w="1041"/>
        <w:gridCol w:w="1042"/>
        <w:gridCol w:w="1062"/>
        <w:gridCol w:w="1061"/>
        <w:gridCol w:w="953"/>
      </w:tblGrid>
      <w:tr w:rsidR="00C224EF" w:rsidRPr="00A52D58" w:rsidTr="004D6314">
        <w:trPr>
          <w:tblHeader/>
        </w:trPr>
        <w:tc>
          <w:tcPr>
            <w:tcW w:w="2237" w:type="dxa"/>
            <w:tcBorders>
              <w:bottom w:val="single" w:sz="6" w:space="0" w:color="000000"/>
            </w:tcBorders>
            <w:shd w:val="clear" w:color="auto" w:fill="333333"/>
          </w:tcPr>
          <w:p w:rsidR="00C224EF" w:rsidRPr="00A52D58" w:rsidRDefault="00C224EF" w:rsidP="004D6314">
            <w:pPr>
              <w:pStyle w:val="TableColumnHeadings"/>
              <w:keepNext/>
              <w:jc w:val="left"/>
              <w:rPr>
                <w:rFonts w:ascii="Century Gothic" w:hAnsi="Century Gothic"/>
              </w:rPr>
            </w:pPr>
            <w:r w:rsidRPr="00A52D58">
              <w:rPr>
                <w:rFonts w:ascii="Century Gothic" w:hAnsi="Century Gothic"/>
              </w:rPr>
              <w:t>$000 real 2017</w:t>
            </w:r>
          </w:p>
        </w:tc>
        <w:tc>
          <w:tcPr>
            <w:tcW w:w="1041" w:type="dxa"/>
            <w:tcBorders>
              <w:bottom w:val="single" w:sz="6" w:space="0" w:color="000000"/>
            </w:tcBorders>
            <w:shd w:val="clear" w:color="auto" w:fill="333333"/>
            <w:vAlign w:val="center"/>
          </w:tcPr>
          <w:p w:rsidR="00C224EF" w:rsidRPr="00A52D58" w:rsidRDefault="00C224EF" w:rsidP="004D6314">
            <w:pPr>
              <w:pStyle w:val="TableColumnHeadings"/>
              <w:rPr>
                <w:rFonts w:ascii="Century Gothic" w:hAnsi="Century Gothic"/>
              </w:rPr>
            </w:pPr>
            <w:r w:rsidRPr="00A52D58">
              <w:rPr>
                <w:rFonts w:ascii="Century Gothic" w:hAnsi="Century Gothic"/>
              </w:rPr>
              <w:t>2018</w:t>
            </w:r>
          </w:p>
        </w:tc>
        <w:tc>
          <w:tcPr>
            <w:tcW w:w="1041" w:type="dxa"/>
            <w:tcBorders>
              <w:bottom w:val="single" w:sz="6" w:space="0" w:color="000000"/>
            </w:tcBorders>
            <w:shd w:val="clear" w:color="auto" w:fill="333333"/>
            <w:vAlign w:val="center"/>
          </w:tcPr>
          <w:p w:rsidR="00C224EF" w:rsidRPr="00A52D58" w:rsidRDefault="00C224EF" w:rsidP="004D6314">
            <w:pPr>
              <w:pStyle w:val="TableColumnHeadings"/>
              <w:rPr>
                <w:rFonts w:ascii="Century Gothic" w:hAnsi="Century Gothic"/>
              </w:rPr>
            </w:pPr>
            <w:r w:rsidRPr="00A52D58">
              <w:rPr>
                <w:rFonts w:ascii="Century Gothic" w:hAnsi="Century Gothic"/>
              </w:rPr>
              <w:t>2019</w:t>
            </w:r>
          </w:p>
        </w:tc>
        <w:tc>
          <w:tcPr>
            <w:tcW w:w="1042" w:type="dxa"/>
            <w:tcBorders>
              <w:bottom w:val="single" w:sz="6" w:space="0" w:color="000000"/>
            </w:tcBorders>
            <w:shd w:val="clear" w:color="auto" w:fill="333333"/>
            <w:vAlign w:val="center"/>
          </w:tcPr>
          <w:p w:rsidR="00C224EF" w:rsidRPr="00A52D58" w:rsidRDefault="00C224EF" w:rsidP="004D6314">
            <w:pPr>
              <w:pStyle w:val="TableColumnHeadings"/>
              <w:rPr>
                <w:rFonts w:ascii="Century Gothic" w:hAnsi="Century Gothic"/>
              </w:rPr>
            </w:pPr>
            <w:r w:rsidRPr="00A52D58">
              <w:rPr>
                <w:rFonts w:ascii="Century Gothic" w:hAnsi="Century Gothic"/>
              </w:rPr>
              <w:t>2020</w:t>
            </w:r>
          </w:p>
        </w:tc>
        <w:tc>
          <w:tcPr>
            <w:tcW w:w="1062" w:type="dxa"/>
            <w:tcBorders>
              <w:bottom w:val="single" w:sz="6" w:space="0" w:color="000000"/>
            </w:tcBorders>
            <w:shd w:val="clear" w:color="auto" w:fill="333333"/>
            <w:vAlign w:val="center"/>
          </w:tcPr>
          <w:p w:rsidR="00C224EF" w:rsidRPr="00A52D58" w:rsidRDefault="00C224EF" w:rsidP="004D6314">
            <w:pPr>
              <w:pStyle w:val="TableColumnHeadings"/>
              <w:rPr>
                <w:rFonts w:ascii="Century Gothic" w:hAnsi="Century Gothic"/>
              </w:rPr>
            </w:pPr>
            <w:r w:rsidRPr="00A52D58">
              <w:rPr>
                <w:rFonts w:ascii="Century Gothic" w:hAnsi="Century Gothic"/>
              </w:rPr>
              <w:t>2021</w:t>
            </w:r>
          </w:p>
        </w:tc>
        <w:tc>
          <w:tcPr>
            <w:tcW w:w="1061" w:type="dxa"/>
            <w:tcBorders>
              <w:bottom w:val="single" w:sz="6" w:space="0" w:color="000000"/>
            </w:tcBorders>
            <w:shd w:val="clear" w:color="auto" w:fill="333333"/>
            <w:vAlign w:val="center"/>
          </w:tcPr>
          <w:p w:rsidR="00C224EF" w:rsidRPr="00A52D58" w:rsidRDefault="00C224EF" w:rsidP="004D6314">
            <w:pPr>
              <w:pStyle w:val="TableColumnHeadings"/>
              <w:rPr>
                <w:rFonts w:ascii="Century Gothic" w:hAnsi="Century Gothic"/>
              </w:rPr>
            </w:pPr>
            <w:r w:rsidRPr="00A52D58">
              <w:rPr>
                <w:rFonts w:ascii="Century Gothic" w:hAnsi="Century Gothic"/>
              </w:rPr>
              <w:t>2022</w:t>
            </w:r>
          </w:p>
        </w:tc>
        <w:tc>
          <w:tcPr>
            <w:tcW w:w="953" w:type="dxa"/>
            <w:tcBorders>
              <w:bottom w:val="single" w:sz="6" w:space="0" w:color="000000"/>
            </w:tcBorders>
            <w:shd w:val="clear" w:color="auto" w:fill="333333"/>
            <w:vAlign w:val="center"/>
          </w:tcPr>
          <w:p w:rsidR="00C224EF" w:rsidRPr="00A52D58" w:rsidRDefault="00C224EF" w:rsidP="004D6314">
            <w:pPr>
              <w:pStyle w:val="TableColumnHeadings"/>
              <w:rPr>
                <w:rFonts w:ascii="Century Gothic" w:hAnsi="Century Gothic"/>
              </w:rPr>
            </w:pPr>
            <w:r w:rsidRPr="00A52D58">
              <w:rPr>
                <w:rFonts w:ascii="Century Gothic" w:hAnsi="Century Gothic"/>
              </w:rPr>
              <w:t>Total</w:t>
            </w:r>
          </w:p>
        </w:tc>
      </w:tr>
      <w:tr w:rsidR="00C224EF" w:rsidRPr="00A52D58" w:rsidTr="004D6314">
        <w:tc>
          <w:tcPr>
            <w:tcW w:w="2237" w:type="dxa"/>
            <w:shd w:val="clear" w:color="auto" w:fill="auto"/>
          </w:tcPr>
          <w:p w:rsidR="00C224EF" w:rsidRPr="00A52D58" w:rsidRDefault="00C224EF" w:rsidP="004D6314">
            <w:pPr>
              <w:pStyle w:val="TableBodyCells"/>
              <w:jc w:val="left"/>
            </w:pPr>
            <w:r w:rsidRPr="00A52D58">
              <w:t>WORM pipeline</w:t>
            </w:r>
          </w:p>
        </w:tc>
        <w:tc>
          <w:tcPr>
            <w:tcW w:w="1041" w:type="dxa"/>
            <w:shd w:val="clear" w:color="auto" w:fill="auto"/>
            <w:vAlign w:val="center"/>
          </w:tcPr>
          <w:p w:rsidR="00C224EF" w:rsidRPr="00A52D58" w:rsidRDefault="00C224EF" w:rsidP="004D6314">
            <w:pPr>
              <w:pStyle w:val="TableBodyCells"/>
            </w:pPr>
          </w:p>
        </w:tc>
        <w:tc>
          <w:tcPr>
            <w:tcW w:w="1041" w:type="dxa"/>
            <w:shd w:val="clear" w:color="auto" w:fill="auto"/>
            <w:vAlign w:val="center"/>
          </w:tcPr>
          <w:p w:rsidR="00C224EF" w:rsidRPr="00A52D58" w:rsidRDefault="00C224EF" w:rsidP="004D6314">
            <w:pPr>
              <w:pStyle w:val="TableBodyCells"/>
            </w:pPr>
          </w:p>
        </w:tc>
        <w:tc>
          <w:tcPr>
            <w:tcW w:w="1042" w:type="dxa"/>
            <w:shd w:val="clear" w:color="auto" w:fill="auto"/>
            <w:vAlign w:val="center"/>
          </w:tcPr>
          <w:p w:rsidR="00C224EF" w:rsidRPr="00A52D58" w:rsidRDefault="00C224EF" w:rsidP="004D6314">
            <w:pPr>
              <w:pStyle w:val="TableBodyCells"/>
            </w:pPr>
          </w:p>
        </w:tc>
        <w:tc>
          <w:tcPr>
            <w:tcW w:w="1062" w:type="dxa"/>
            <w:shd w:val="clear" w:color="auto" w:fill="auto"/>
            <w:vAlign w:val="center"/>
          </w:tcPr>
          <w:p w:rsidR="00C224EF" w:rsidRPr="00A52D58" w:rsidRDefault="00C224EF" w:rsidP="004D6314">
            <w:pPr>
              <w:pStyle w:val="TableBodyCells"/>
            </w:pPr>
            <w:r w:rsidRPr="00A52D58">
              <w:t>33</w:t>
            </w:r>
            <w:r w:rsidR="00E444DE" w:rsidRPr="00A52D58">
              <w:t>.5</w:t>
            </w:r>
          </w:p>
        </w:tc>
        <w:tc>
          <w:tcPr>
            <w:tcW w:w="1061" w:type="dxa"/>
            <w:vAlign w:val="center"/>
          </w:tcPr>
          <w:p w:rsidR="00C224EF" w:rsidRPr="00A52D58" w:rsidRDefault="00C224EF" w:rsidP="004D6314">
            <w:pPr>
              <w:pStyle w:val="TableBodyCells"/>
            </w:pPr>
            <w:r w:rsidRPr="00A52D58">
              <w:t>33</w:t>
            </w:r>
            <w:r w:rsidR="00E444DE" w:rsidRPr="00A52D58">
              <w:t>.5</w:t>
            </w:r>
          </w:p>
        </w:tc>
        <w:tc>
          <w:tcPr>
            <w:tcW w:w="953" w:type="dxa"/>
            <w:vAlign w:val="center"/>
          </w:tcPr>
          <w:p w:rsidR="00C224EF" w:rsidRPr="00A52D58" w:rsidRDefault="00E444DE" w:rsidP="004D6314">
            <w:pPr>
              <w:pStyle w:val="TableBodyCells"/>
              <w:rPr>
                <w:b/>
              </w:rPr>
            </w:pPr>
            <w:r w:rsidRPr="00A52D58">
              <w:rPr>
                <w:b/>
              </w:rPr>
              <w:t>67.0</w:t>
            </w:r>
          </w:p>
        </w:tc>
      </w:tr>
      <w:tr w:rsidR="00C224EF" w:rsidRPr="00A52D58" w:rsidTr="004D6314">
        <w:tc>
          <w:tcPr>
            <w:tcW w:w="2237" w:type="dxa"/>
            <w:shd w:val="clear" w:color="auto" w:fill="auto"/>
          </w:tcPr>
          <w:p w:rsidR="00C224EF" w:rsidRPr="00A52D58" w:rsidRDefault="00C224EF" w:rsidP="004D6314">
            <w:pPr>
              <w:pStyle w:val="TableBodyCells"/>
              <w:jc w:val="left"/>
            </w:pPr>
            <w:r w:rsidRPr="00A52D58">
              <w:t>Wollert Unit 6</w:t>
            </w:r>
          </w:p>
        </w:tc>
        <w:tc>
          <w:tcPr>
            <w:tcW w:w="1041" w:type="dxa"/>
            <w:shd w:val="clear" w:color="auto" w:fill="auto"/>
            <w:vAlign w:val="center"/>
          </w:tcPr>
          <w:p w:rsidR="00C224EF" w:rsidRPr="00A52D58" w:rsidRDefault="00C224EF" w:rsidP="004D6314">
            <w:pPr>
              <w:pStyle w:val="TableBodyCells"/>
            </w:pPr>
          </w:p>
        </w:tc>
        <w:tc>
          <w:tcPr>
            <w:tcW w:w="1041" w:type="dxa"/>
            <w:shd w:val="clear" w:color="auto" w:fill="auto"/>
            <w:vAlign w:val="center"/>
          </w:tcPr>
          <w:p w:rsidR="00C224EF" w:rsidRPr="00A52D58" w:rsidRDefault="00C224EF" w:rsidP="004D6314">
            <w:pPr>
              <w:pStyle w:val="TableBodyCells"/>
            </w:pPr>
          </w:p>
        </w:tc>
        <w:tc>
          <w:tcPr>
            <w:tcW w:w="1042" w:type="dxa"/>
            <w:shd w:val="clear" w:color="auto" w:fill="auto"/>
            <w:vAlign w:val="center"/>
          </w:tcPr>
          <w:p w:rsidR="00C224EF" w:rsidRPr="00A52D58" w:rsidRDefault="00C224EF" w:rsidP="004D6314">
            <w:pPr>
              <w:pStyle w:val="TableBodyCells"/>
            </w:pPr>
          </w:p>
        </w:tc>
        <w:tc>
          <w:tcPr>
            <w:tcW w:w="1062" w:type="dxa"/>
            <w:shd w:val="clear" w:color="auto" w:fill="auto"/>
            <w:vAlign w:val="center"/>
          </w:tcPr>
          <w:p w:rsidR="00C224EF" w:rsidRPr="00A52D58" w:rsidRDefault="00E444DE" w:rsidP="004D6314">
            <w:pPr>
              <w:pStyle w:val="TableBodyCells"/>
            </w:pPr>
            <w:r w:rsidRPr="00A52D58">
              <w:t>161.8</w:t>
            </w:r>
          </w:p>
        </w:tc>
        <w:tc>
          <w:tcPr>
            <w:tcW w:w="1061" w:type="dxa"/>
            <w:vAlign w:val="center"/>
          </w:tcPr>
          <w:p w:rsidR="00C224EF" w:rsidRPr="00A52D58" w:rsidRDefault="00E444DE" w:rsidP="004D6314">
            <w:pPr>
              <w:pStyle w:val="TableBodyCells"/>
            </w:pPr>
            <w:r w:rsidRPr="00A52D58">
              <w:t>161.8</w:t>
            </w:r>
          </w:p>
        </w:tc>
        <w:tc>
          <w:tcPr>
            <w:tcW w:w="953" w:type="dxa"/>
            <w:vAlign w:val="center"/>
          </w:tcPr>
          <w:p w:rsidR="00C224EF" w:rsidRPr="00A52D58" w:rsidRDefault="00E444DE" w:rsidP="004D6314">
            <w:pPr>
              <w:pStyle w:val="TableBodyCells"/>
              <w:rPr>
                <w:b/>
              </w:rPr>
            </w:pPr>
            <w:r w:rsidRPr="00A52D58">
              <w:rPr>
                <w:b/>
              </w:rPr>
              <w:t>323.6</w:t>
            </w:r>
          </w:p>
        </w:tc>
      </w:tr>
      <w:tr w:rsidR="00C224EF" w:rsidRPr="00A52D58" w:rsidTr="004D6314">
        <w:tc>
          <w:tcPr>
            <w:tcW w:w="2237" w:type="dxa"/>
            <w:shd w:val="clear" w:color="auto" w:fill="auto"/>
          </w:tcPr>
          <w:p w:rsidR="00C224EF" w:rsidRPr="00A52D58" w:rsidRDefault="00C224EF" w:rsidP="004D6314">
            <w:pPr>
              <w:pStyle w:val="TableBodyCells"/>
              <w:jc w:val="left"/>
            </w:pPr>
            <w:r w:rsidRPr="00A52D58">
              <w:t>Rockbank PRS</w:t>
            </w:r>
          </w:p>
        </w:tc>
        <w:tc>
          <w:tcPr>
            <w:tcW w:w="1041" w:type="dxa"/>
            <w:shd w:val="clear" w:color="auto" w:fill="auto"/>
            <w:vAlign w:val="center"/>
          </w:tcPr>
          <w:p w:rsidR="00C224EF" w:rsidRPr="00A52D58" w:rsidRDefault="00C224EF" w:rsidP="004D6314">
            <w:pPr>
              <w:pStyle w:val="TableBodyCells"/>
            </w:pPr>
          </w:p>
        </w:tc>
        <w:tc>
          <w:tcPr>
            <w:tcW w:w="1041" w:type="dxa"/>
            <w:shd w:val="clear" w:color="auto" w:fill="auto"/>
            <w:vAlign w:val="center"/>
          </w:tcPr>
          <w:p w:rsidR="00C224EF" w:rsidRPr="00A52D58" w:rsidRDefault="00C224EF" w:rsidP="004D6314">
            <w:pPr>
              <w:pStyle w:val="TableBodyCells"/>
            </w:pPr>
          </w:p>
        </w:tc>
        <w:tc>
          <w:tcPr>
            <w:tcW w:w="1042" w:type="dxa"/>
            <w:shd w:val="clear" w:color="auto" w:fill="auto"/>
            <w:vAlign w:val="center"/>
          </w:tcPr>
          <w:p w:rsidR="00C224EF" w:rsidRPr="00A52D58" w:rsidRDefault="00C224EF" w:rsidP="004D6314">
            <w:pPr>
              <w:pStyle w:val="TableBodyCells"/>
            </w:pPr>
          </w:p>
        </w:tc>
        <w:tc>
          <w:tcPr>
            <w:tcW w:w="1062" w:type="dxa"/>
            <w:shd w:val="clear" w:color="auto" w:fill="auto"/>
            <w:vAlign w:val="center"/>
          </w:tcPr>
          <w:p w:rsidR="00C224EF" w:rsidRPr="00A52D58" w:rsidRDefault="00E444DE" w:rsidP="004D6314">
            <w:pPr>
              <w:pStyle w:val="TableBodyCells"/>
            </w:pPr>
            <w:r w:rsidRPr="00A52D58">
              <w:t>4.7</w:t>
            </w:r>
          </w:p>
        </w:tc>
        <w:tc>
          <w:tcPr>
            <w:tcW w:w="1061" w:type="dxa"/>
            <w:vAlign w:val="center"/>
          </w:tcPr>
          <w:p w:rsidR="00C224EF" w:rsidRPr="00A52D58" w:rsidRDefault="00E444DE" w:rsidP="004D6314">
            <w:pPr>
              <w:pStyle w:val="TableBodyCells"/>
            </w:pPr>
            <w:r w:rsidRPr="00A52D58">
              <w:t>4.7</w:t>
            </w:r>
          </w:p>
        </w:tc>
        <w:tc>
          <w:tcPr>
            <w:tcW w:w="953" w:type="dxa"/>
            <w:vAlign w:val="center"/>
          </w:tcPr>
          <w:p w:rsidR="00C224EF" w:rsidRPr="00A52D58" w:rsidRDefault="00A52D58" w:rsidP="004D6314">
            <w:pPr>
              <w:pStyle w:val="TableBodyCells"/>
              <w:rPr>
                <w:b/>
              </w:rPr>
            </w:pPr>
            <w:r w:rsidRPr="00A52D58">
              <w:rPr>
                <w:b/>
              </w:rPr>
              <w:t>9.3</w:t>
            </w:r>
          </w:p>
        </w:tc>
      </w:tr>
      <w:tr w:rsidR="00C224EF" w:rsidRPr="00793C53" w:rsidTr="004D6314">
        <w:tc>
          <w:tcPr>
            <w:tcW w:w="2237" w:type="dxa"/>
            <w:shd w:val="clear" w:color="auto" w:fill="auto"/>
          </w:tcPr>
          <w:p w:rsidR="00C224EF" w:rsidRPr="00A52D58" w:rsidRDefault="00C224EF" w:rsidP="004D6314">
            <w:pPr>
              <w:pStyle w:val="TableBodyCells"/>
              <w:jc w:val="left"/>
              <w:rPr>
                <w:b/>
              </w:rPr>
            </w:pPr>
            <w:r w:rsidRPr="00A52D58">
              <w:rPr>
                <w:b/>
              </w:rPr>
              <w:t>Total</w:t>
            </w:r>
          </w:p>
        </w:tc>
        <w:tc>
          <w:tcPr>
            <w:tcW w:w="1041" w:type="dxa"/>
            <w:shd w:val="clear" w:color="auto" w:fill="auto"/>
            <w:vAlign w:val="center"/>
          </w:tcPr>
          <w:p w:rsidR="00C224EF" w:rsidRPr="00A52D58" w:rsidRDefault="00C224EF" w:rsidP="004D6314">
            <w:pPr>
              <w:pStyle w:val="TableBodyCells"/>
              <w:rPr>
                <w:b/>
              </w:rPr>
            </w:pPr>
          </w:p>
        </w:tc>
        <w:tc>
          <w:tcPr>
            <w:tcW w:w="1041" w:type="dxa"/>
            <w:shd w:val="clear" w:color="auto" w:fill="auto"/>
            <w:vAlign w:val="center"/>
          </w:tcPr>
          <w:p w:rsidR="00C224EF" w:rsidRPr="00A52D58" w:rsidRDefault="00C224EF" w:rsidP="004D6314">
            <w:pPr>
              <w:pStyle w:val="TableBodyCells"/>
              <w:rPr>
                <w:b/>
              </w:rPr>
            </w:pPr>
          </w:p>
        </w:tc>
        <w:tc>
          <w:tcPr>
            <w:tcW w:w="1042" w:type="dxa"/>
            <w:shd w:val="clear" w:color="auto" w:fill="auto"/>
            <w:vAlign w:val="center"/>
          </w:tcPr>
          <w:p w:rsidR="00C224EF" w:rsidRPr="00A52D58" w:rsidRDefault="00C224EF" w:rsidP="004D6314">
            <w:pPr>
              <w:pStyle w:val="TableBodyCells"/>
              <w:rPr>
                <w:b/>
              </w:rPr>
            </w:pPr>
          </w:p>
        </w:tc>
        <w:tc>
          <w:tcPr>
            <w:tcW w:w="1062" w:type="dxa"/>
            <w:shd w:val="clear" w:color="auto" w:fill="auto"/>
            <w:vAlign w:val="center"/>
          </w:tcPr>
          <w:p w:rsidR="00C224EF" w:rsidRPr="00A52D58" w:rsidRDefault="00E444DE" w:rsidP="004D6314">
            <w:pPr>
              <w:pStyle w:val="TableBodyCells"/>
              <w:rPr>
                <w:b/>
              </w:rPr>
            </w:pPr>
            <w:r w:rsidRPr="00A52D58">
              <w:rPr>
                <w:b/>
              </w:rPr>
              <w:t>200</w:t>
            </w:r>
          </w:p>
        </w:tc>
        <w:tc>
          <w:tcPr>
            <w:tcW w:w="1061" w:type="dxa"/>
            <w:vAlign w:val="center"/>
          </w:tcPr>
          <w:p w:rsidR="00C224EF" w:rsidRPr="00A52D58" w:rsidRDefault="00E444DE" w:rsidP="004D6314">
            <w:pPr>
              <w:pStyle w:val="TableBodyCells"/>
              <w:rPr>
                <w:b/>
              </w:rPr>
            </w:pPr>
            <w:r w:rsidRPr="00A52D58">
              <w:rPr>
                <w:b/>
              </w:rPr>
              <w:t>200</w:t>
            </w:r>
          </w:p>
        </w:tc>
        <w:tc>
          <w:tcPr>
            <w:tcW w:w="953" w:type="dxa"/>
            <w:vAlign w:val="center"/>
          </w:tcPr>
          <w:p w:rsidR="00C224EF" w:rsidRPr="000E1834" w:rsidRDefault="00A52D58" w:rsidP="004D6314">
            <w:pPr>
              <w:pStyle w:val="TableBodyCells"/>
              <w:rPr>
                <w:b/>
              </w:rPr>
            </w:pPr>
            <w:r w:rsidRPr="00A52D58">
              <w:rPr>
                <w:b/>
              </w:rPr>
              <w:t>399.9</w:t>
            </w:r>
          </w:p>
        </w:tc>
      </w:tr>
    </w:tbl>
    <w:p w:rsidR="00C224EF" w:rsidRDefault="00C224EF" w:rsidP="00C224EF">
      <w:pPr>
        <w:pStyle w:val="BodyText"/>
      </w:pPr>
      <w:r>
        <w:t>The WORM pipeline operating expenditure covers a range of activities</w:t>
      </w:r>
      <w:r w:rsidR="00A52D58">
        <w:t>,</w:t>
      </w:r>
      <w:r>
        <w:t xml:space="preserve"> most noticeably easement maintenance, third party inspections and cathodic protection unit inspections.</w:t>
      </w:r>
    </w:p>
    <w:p w:rsidR="00C224EF" w:rsidRDefault="00C224EF" w:rsidP="00C224EF">
      <w:pPr>
        <w:pStyle w:val="BodyText"/>
      </w:pPr>
      <w:r>
        <w:lastRenderedPageBreak/>
        <w:t>The Wollert Unit 6 operating expenditure also covers a range of ongoing maintenance and operation activities including purchase costs of electricity, electrical parts and instrumentation, valve fittings, regulator parts and field support from the compressor manufacturer.</w:t>
      </w:r>
    </w:p>
    <w:p w:rsidR="000D606A" w:rsidRDefault="00C224EF" w:rsidP="00BA791B">
      <w:pPr>
        <w:pStyle w:val="BodyText"/>
      </w:pPr>
      <w:r>
        <w:t>The PRS operating expenditure comprises ongoing operations and maintenance expenditure including control system spare parts, regulator spare parts and instrumentation repairs and parts.</w:t>
      </w:r>
    </w:p>
    <w:p w:rsidR="000D606A" w:rsidRPr="00AC6EB7" w:rsidRDefault="000D606A" w:rsidP="000D606A">
      <w:pPr>
        <w:pStyle w:val="Heading3"/>
      </w:pPr>
      <w:bookmarkStart w:id="80" w:name="_Ref482344170"/>
      <w:r w:rsidRPr="00AC6EB7">
        <w:t>Reductions in fuel gas consumption</w:t>
      </w:r>
      <w:bookmarkEnd w:id="80"/>
    </w:p>
    <w:p w:rsidR="000D606A" w:rsidRDefault="000D606A" w:rsidP="00BA791B">
      <w:pPr>
        <w:pStyle w:val="BodyText"/>
      </w:pPr>
      <w:r>
        <w:t>The WORM project reduces reliance on compression into the Brooklyn Lara Pipeline in the summer. Due to the compressor and pipeline configuration, summer compression to support Iona refill is relative</w:t>
      </w:r>
      <w:r w:rsidR="00A52D58">
        <w:t>ly inefficient as the Brooklyn c</w:t>
      </w:r>
      <w:r>
        <w:t xml:space="preserve">ompressors have been primarily set up to support winter gas pressures. </w:t>
      </w:r>
    </w:p>
    <w:p w:rsidR="000D606A" w:rsidRDefault="000D606A" w:rsidP="00BA791B">
      <w:pPr>
        <w:pStyle w:val="BodyText"/>
      </w:pPr>
      <w:r>
        <w:t xml:space="preserve">AEMO noted the following in its 2017 VGPR: </w:t>
      </w:r>
    </w:p>
    <w:p w:rsidR="000D606A" w:rsidRDefault="000D606A" w:rsidP="000D606A">
      <w:pPr>
        <w:pStyle w:val="Quote"/>
        <w:rPr>
          <w:sz w:val="20"/>
        </w:rPr>
      </w:pPr>
      <w:r w:rsidRPr="000D606A">
        <w:rPr>
          <w:sz w:val="20"/>
        </w:rPr>
        <w:t xml:space="preserve">The current method of transporting gas from Longford to Port Campbell is very inefficient. Gas flows along the Longford to Melbourne Pipeline to Dandenong CG. During the summer the pipeline pressure is approximately 5,500 </w:t>
      </w:r>
      <w:proofErr w:type="spellStart"/>
      <w:r w:rsidRPr="000D606A">
        <w:rPr>
          <w:sz w:val="20"/>
        </w:rPr>
        <w:t>kPa</w:t>
      </w:r>
      <w:proofErr w:type="spellEnd"/>
      <w:r w:rsidRPr="000D606A">
        <w:rPr>
          <w:sz w:val="20"/>
        </w:rPr>
        <w:t xml:space="preserve">. At Dandenong CG, the pressure has to be reduced to 2,760 </w:t>
      </w:r>
      <w:proofErr w:type="spellStart"/>
      <w:r w:rsidRPr="000D606A">
        <w:rPr>
          <w:sz w:val="20"/>
        </w:rPr>
        <w:t>kPa</w:t>
      </w:r>
      <w:proofErr w:type="spellEnd"/>
      <w:r w:rsidRPr="000D606A">
        <w:rPr>
          <w:sz w:val="20"/>
        </w:rPr>
        <w:t xml:space="preserve"> to flow through the low pressure transmission network from Dandenong to Brooklyn. At Brooklyn, the gas is recompressed to approximately 6,500 </w:t>
      </w:r>
      <w:proofErr w:type="spellStart"/>
      <w:r w:rsidRPr="000D606A">
        <w:rPr>
          <w:sz w:val="20"/>
        </w:rPr>
        <w:t>kPa</w:t>
      </w:r>
      <w:proofErr w:type="spellEnd"/>
      <w:r w:rsidRPr="000D606A">
        <w:rPr>
          <w:sz w:val="20"/>
        </w:rPr>
        <w:t xml:space="preserve"> (which is limited by the capacity of the Brooklyn compressors) to flow along the BCP, BLP, and SWP towards Port Campbell.</w:t>
      </w:r>
    </w:p>
    <w:p w:rsidR="000D606A" w:rsidRPr="000D606A" w:rsidRDefault="000D606A" w:rsidP="000D606A">
      <w:pPr>
        <w:pStyle w:val="Quote"/>
        <w:rPr>
          <w:sz w:val="20"/>
        </w:rPr>
      </w:pPr>
      <w:r w:rsidRPr="000D606A">
        <w:rPr>
          <w:sz w:val="20"/>
        </w:rPr>
        <w:t xml:space="preserve">With the WORM, gas would flow from Longford to Wollert via the existing (Eastern) Outer Ring Main. At Wollert, the pressure during summer would be approximately 5,500 </w:t>
      </w:r>
      <w:proofErr w:type="spellStart"/>
      <w:r w:rsidRPr="000D606A">
        <w:rPr>
          <w:sz w:val="20"/>
        </w:rPr>
        <w:t>kPa</w:t>
      </w:r>
      <w:proofErr w:type="spellEnd"/>
      <w:r w:rsidRPr="000D606A">
        <w:rPr>
          <w:sz w:val="20"/>
        </w:rPr>
        <w:t xml:space="preserve"> (similar to that at Dandenong CG). A compressor at Wollert would boost the gas pressure up to 10,200 </w:t>
      </w:r>
      <w:proofErr w:type="spellStart"/>
      <w:r w:rsidRPr="000D606A">
        <w:rPr>
          <w:sz w:val="20"/>
        </w:rPr>
        <w:t>kPa</w:t>
      </w:r>
      <w:proofErr w:type="spellEnd"/>
      <w:r w:rsidRPr="000D606A">
        <w:rPr>
          <w:sz w:val="20"/>
        </w:rPr>
        <w:t xml:space="preserve"> to flow around the 500 mm diameter WORM. The WORM would connect into the BLP, which would enable gas to flow to Port Campbell via the SWP.</w:t>
      </w:r>
      <w:r>
        <w:rPr>
          <w:rStyle w:val="FootnoteReference"/>
          <w:sz w:val="20"/>
        </w:rPr>
        <w:footnoteReference w:id="19"/>
      </w:r>
    </w:p>
    <w:p w:rsidR="000D606A" w:rsidRDefault="000D606A" w:rsidP="00BA791B">
      <w:pPr>
        <w:pStyle w:val="BodyText"/>
      </w:pPr>
      <w:r>
        <w:t xml:space="preserve">AEMO identified that it expected there to be savings in compressor fuel associated with the WORM of approximately $1.4 million per year. This estimate includes assumptions related to the wholesale gas price at which </w:t>
      </w:r>
      <w:r>
        <w:lastRenderedPageBreak/>
        <w:t>fuel gas is procured, and the actual level of compressor operation, which can vary significantly year-on-year.</w:t>
      </w:r>
    </w:p>
    <w:p w:rsidR="000D606A" w:rsidRDefault="000D606A" w:rsidP="00BA791B">
      <w:pPr>
        <w:pStyle w:val="BodyText"/>
      </w:pPr>
      <w:r>
        <w:t xml:space="preserve">While these expected savings are real, it is important to note that fuel gas costs are not incurred by APA VTS, so these expected savings are not relevant to APA VTS’s supplementary proposal. </w:t>
      </w:r>
    </w:p>
    <w:p w:rsidR="00AE6938" w:rsidRDefault="000D606A" w:rsidP="00BA791B">
      <w:pPr>
        <w:pStyle w:val="BodyText"/>
      </w:pPr>
      <w:r>
        <w:t xml:space="preserve">As described in APA </w:t>
      </w:r>
      <w:proofErr w:type="spellStart"/>
      <w:r>
        <w:t>GasNet’s</w:t>
      </w:r>
      <w:proofErr w:type="spellEnd"/>
      <w:r>
        <w:t xml:space="preserve"> revision submission to the AER for the 2013-17 access arrangement </w:t>
      </w:r>
      <w:proofErr w:type="gramStart"/>
      <w:r>
        <w:t>period</w:t>
      </w:r>
      <w:proofErr w:type="gramEnd"/>
      <w:r>
        <w:t xml:space="preserve">, the regulatory approach to fuel gas changed midway through the 2008-12 access arrangement period. From 1 January 2009, </w:t>
      </w:r>
      <w:r w:rsidRPr="000D606A">
        <w:t xml:space="preserve">AEMO took over supply of fuel gas from APA </w:t>
      </w:r>
      <w:proofErr w:type="spellStart"/>
      <w:r w:rsidRPr="000D606A">
        <w:t>GasNet</w:t>
      </w:r>
      <w:proofErr w:type="spellEnd"/>
      <w:r w:rsidRPr="000D606A">
        <w:t>.</w:t>
      </w:r>
      <w:r>
        <w:t xml:space="preserve"> From that date, APA </w:t>
      </w:r>
      <w:proofErr w:type="spellStart"/>
      <w:r>
        <w:t>GasNet</w:t>
      </w:r>
      <w:proofErr w:type="spellEnd"/>
      <w:r>
        <w:t xml:space="preserve"> ceased to receive an allowance in its forecast operating expenditure for fuel gas. </w:t>
      </w:r>
      <w:r w:rsidR="00AE6938">
        <w:t>No allowance was sought or granted in the 2013-17 access arrangement period, or has been sought for the forecast 2018-22 period.</w:t>
      </w:r>
    </w:p>
    <w:p w:rsidR="000D606A" w:rsidRDefault="000D606A" w:rsidP="00BA791B">
      <w:pPr>
        <w:pStyle w:val="BodyText"/>
      </w:pPr>
      <w:r>
        <w:t>AEMO now directly charges</w:t>
      </w:r>
      <w:r w:rsidR="00AE6938">
        <w:t xml:space="preserve"> Market Participants</w:t>
      </w:r>
      <w:r>
        <w:t xml:space="preserve"> for </w:t>
      </w:r>
      <w:r w:rsidR="00AE6938">
        <w:t>fuel gas</w:t>
      </w:r>
      <w:r w:rsidR="00F30708">
        <w:t xml:space="preserve"> through the linepack account established under Rule 241.</w:t>
      </w:r>
      <w:r w:rsidR="00AE6938">
        <w:t xml:space="preserve"> This means that shippers will benefit from reduced fuel gas costs associated with the WORM, but this benefit will be delivered through reductions in a charge that is separate from the regulated tariffs charged by APA VTS in respect of use of the VTS. </w:t>
      </w:r>
    </w:p>
    <w:p w:rsidR="000D606A" w:rsidRPr="00261E37" w:rsidRDefault="00F75547" w:rsidP="00F75547">
      <w:pPr>
        <w:pStyle w:val="Heading3"/>
      </w:pPr>
      <w:r w:rsidRPr="00261E37">
        <w:t>Operating expenditure associated with Brooklyn Compressor Station</w:t>
      </w:r>
    </w:p>
    <w:p w:rsidR="000D606A" w:rsidRDefault="00261E37" w:rsidP="00BA791B">
      <w:pPr>
        <w:pStyle w:val="BodyText"/>
      </w:pPr>
      <w:r w:rsidRPr="00261E37">
        <w:t>The WORM is expected to reduce t</w:t>
      </w:r>
      <w:r w:rsidR="00A52D58">
        <w:t>he load on Brooklyn Compressor S</w:t>
      </w:r>
      <w:r w:rsidRPr="00261E37">
        <w:t xml:space="preserve">tation so the compressors will be required to operate for less hours (noting that the compressor operation is controlled by AEMO).  Maintenance on compressors is undertaken either based on hours of operation or for lower operated compressors is based </w:t>
      </w:r>
      <w:r>
        <w:t>on time since last maintenance.</w:t>
      </w:r>
      <w:r w:rsidR="00A52D58">
        <w:t xml:space="preserve"> This is s</w:t>
      </w:r>
      <w:r w:rsidRPr="00261E37">
        <w:t xml:space="preserve">imilar to recommended maintenance on cars being based on kilometres travelled or </w:t>
      </w:r>
      <w:r>
        <w:t xml:space="preserve">time. </w:t>
      </w:r>
      <w:r w:rsidRPr="00261E37">
        <w:t xml:space="preserve">No significant scheduled maintenance activities at Brooklyn </w:t>
      </w:r>
      <w:r w:rsidR="00A52D58" w:rsidRPr="00261E37">
        <w:t xml:space="preserve">Compressor Station </w:t>
      </w:r>
      <w:r w:rsidRPr="00261E37">
        <w:t>have been included in the operating expenditure forecast for the access arrangement period following completion of the WORM in 2020.</w:t>
      </w:r>
    </w:p>
    <w:p w:rsidR="00575BFD" w:rsidRPr="005B04EE" w:rsidRDefault="00575BFD" w:rsidP="00575BFD">
      <w:pPr>
        <w:pStyle w:val="Heading2"/>
      </w:pPr>
      <w:bookmarkStart w:id="81" w:name="_Toc469305279"/>
      <w:bookmarkStart w:id="82" w:name="_Toc469306428"/>
      <w:bookmarkStart w:id="83" w:name="_Toc482626076"/>
      <w:r w:rsidRPr="005B04EE">
        <w:t>Total controllable operating expenditure</w:t>
      </w:r>
      <w:bookmarkEnd w:id="81"/>
      <w:bookmarkEnd w:id="82"/>
      <w:bookmarkEnd w:id="83"/>
    </w:p>
    <w:p w:rsidR="00575BFD" w:rsidRDefault="00575BFD" w:rsidP="00575BFD">
      <w:pPr>
        <w:pStyle w:val="BodyText"/>
      </w:pPr>
      <w:r>
        <w:t xml:space="preserve">Total controllable operating expenditure by category (excluding debt raising costs, EBSS additions/deductions, other allowances) over the access arrangement period is set out in </w:t>
      </w:r>
      <w:r>
        <w:fldChar w:fldCharType="begin"/>
      </w:r>
      <w:r>
        <w:instrText xml:space="preserve"> REF _Ref469824473 \h </w:instrText>
      </w:r>
      <w:r>
        <w:fldChar w:fldCharType="separate"/>
      </w:r>
      <w:r w:rsidR="006D055F">
        <w:t xml:space="preserve">Table </w:t>
      </w:r>
      <w:r w:rsidR="006D055F">
        <w:rPr>
          <w:noProof/>
        </w:rPr>
        <w:t>8</w:t>
      </w:r>
      <w:r w:rsidR="006D055F">
        <w:noBreakHyphen/>
      </w:r>
      <w:r w:rsidR="006D055F">
        <w:rPr>
          <w:noProof/>
        </w:rPr>
        <w:t>2</w:t>
      </w:r>
      <w:r>
        <w:fldChar w:fldCharType="end"/>
      </w:r>
      <w:r>
        <w:t xml:space="preserve"> below.</w:t>
      </w:r>
    </w:p>
    <w:p w:rsidR="00575BFD" w:rsidRDefault="00575BFD" w:rsidP="00575BFD">
      <w:pPr>
        <w:pStyle w:val="Caption"/>
      </w:pPr>
      <w:bookmarkStart w:id="84" w:name="_Ref469824473"/>
      <w:bookmarkStart w:id="85" w:name="_Toc482626113"/>
      <w:r>
        <w:lastRenderedPageBreak/>
        <w:t xml:space="preserve">Table </w:t>
      </w:r>
      <w:r w:rsidR="006D055F">
        <w:fldChar w:fldCharType="begin"/>
      </w:r>
      <w:r w:rsidR="006D055F">
        <w:instrText xml:space="preserve"> STYLEREF 1 \s </w:instrText>
      </w:r>
      <w:r w:rsidR="006D055F">
        <w:fldChar w:fldCharType="separate"/>
      </w:r>
      <w:r w:rsidR="006D055F">
        <w:rPr>
          <w:noProof/>
        </w:rPr>
        <w:t>8</w:t>
      </w:r>
      <w:r w:rsidR="006D055F">
        <w:rPr>
          <w:noProof/>
        </w:rPr>
        <w:fldChar w:fldCharType="end"/>
      </w:r>
      <w:r>
        <w:noBreakHyphen/>
      </w:r>
      <w:r w:rsidR="006D055F">
        <w:fldChar w:fldCharType="begin"/>
      </w:r>
      <w:r w:rsidR="006D055F">
        <w:instrText xml:space="preserve"> SEQ Table \* ARABIC \s 1 </w:instrText>
      </w:r>
      <w:r w:rsidR="006D055F">
        <w:fldChar w:fldCharType="separate"/>
      </w:r>
      <w:r w:rsidR="006D055F">
        <w:rPr>
          <w:noProof/>
        </w:rPr>
        <w:t>2</w:t>
      </w:r>
      <w:r w:rsidR="006D055F">
        <w:rPr>
          <w:noProof/>
        </w:rPr>
        <w:fldChar w:fldCharType="end"/>
      </w:r>
      <w:bookmarkEnd w:id="84"/>
      <w:r>
        <w:t xml:space="preserve"> – Total controllable operating expenditure forecast (excluding debt raising costs and other allowances) (real 2017 $m)</w:t>
      </w:r>
      <w:bookmarkEnd w:id="85"/>
      <w:r>
        <w:t xml:space="preserve"> </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237"/>
        <w:gridCol w:w="1041"/>
        <w:gridCol w:w="1041"/>
        <w:gridCol w:w="1042"/>
        <w:gridCol w:w="1062"/>
        <w:gridCol w:w="1061"/>
        <w:gridCol w:w="953"/>
      </w:tblGrid>
      <w:tr w:rsidR="00575BFD" w:rsidRPr="008A5DC8" w:rsidTr="006E1541">
        <w:trPr>
          <w:tblHeader/>
        </w:trPr>
        <w:tc>
          <w:tcPr>
            <w:tcW w:w="2237" w:type="dxa"/>
            <w:tcBorders>
              <w:bottom w:val="single" w:sz="6" w:space="0" w:color="000000"/>
            </w:tcBorders>
            <w:shd w:val="clear" w:color="auto" w:fill="333333"/>
          </w:tcPr>
          <w:p w:rsidR="00575BFD" w:rsidRPr="008A5DC8" w:rsidRDefault="00575BFD" w:rsidP="006E1541">
            <w:pPr>
              <w:pStyle w:val="TableColumnHeadings"/>
              <w:keepNext/>
              <w:jc w:val="left"/>
              <w:rPr>
                <w:rFonts w:ascii="Century Gothic" w:hAnsi="Century Gothic"/>
              </w:rPr>
            </w:pPr>
            <w:r>
              <w:rPr>
                <w:rFonts w:ascii="Century Gothic" w:hAnsi="Century Gothic"/>
              </w:rPr>
              <w:t>$m real 2017</w:t>
            </w:r>
          </w:p>
        </w:tc>
        <w:tc>
          <w:tcPr>
            <w:tcW w:w="1041" w:type="dxa"/>
            <w:tcBorders>
              <w:bottom w:val="single" w:sz="6" w:space="0" w:color="000000"/>
            </w:tcBorders>
            <w:shd w:val="clear" w:color="auto" w:fill="333333"/>
            <w:vAlign w:val="center"/>
          </w:tcPr>
          <w:p w:rsidR="00575BFD" w:rsidRPr="008A5DC8" w:rsidRDefault="00575BFD" w:rsidP="006E1541">
            <w:pPr>
              <w:pStyle w:val="TableColumnHeadings"/>
              <w:rPr>
                <w:rFonts w:ascii="Century Gothic" w:hAnsi="Century Gothic"/>
              </w:rPr>
            </w:pPr>
            <w:r>
              <w:rPr>
                <w:rFonts w:ascii="Century Gothic" w:hAnsi="Century Gothic"/>
              </w:rPr>
              <w:t>2018</w:t>
            </w:r>
          </w:p>
        </w:tc>
        <w:tc>
          <w:tcPr>
            <w:tcW w:w="1041" w:type="dxa"/>
            <w:tcBorders>
              <w:bottom w:val="single" w:sz="6" w:space="0" w:color="000000"/>
            </w:tcBorders>
            <w:shd w:val="clear" w:color="auto" w:fill="333333"/>
            <w:vAlign w:val="center"/>
          </w:tcPr>
          <w:p w:rsidR="00575BFD" w:rsidRPr="008A5DC8" w:rsidRDefault="00575BFD" w:rsidP="006E1541">
            <w:pPr>
              <w:pStyle w:val="TableColumnHeadings"/>
              <w:rPr>
                <w:rFonts w:ascii="Century Gothic" w:hAnsi="Century Gothic"/>
              </w:rPr>
            </w:pPr>
            <w:r>
              <w:rPr>
                <w:rFonts w:ascii="Century Gothic" w:hAnsi="Century Gothic"/>
              </w:rPr>
              <w:t>2019</w:t>
            </w:r>
          </w:p>
        </w:tc>
        <w:tc>
          <w:tcPr>
            <w:tcW w:w="1042" w:type="dxa"/>
            <w:tcBorders>
              <w:bottom w:val="single" w:sz="6" w:space="0" w:color="000000"/>
            </w:tcBorders>
            <w:shd w:val="clear" w:color="auto" w:fill="333333"/>
            <w:vAlign w:val="center"/>
          </w:tcPr>
          <w:p w:rsidR="00575BFD" w:rsidRPr="008A5DC8" w:rsidRDefault="00575BFD" w:rsidP="006E1541">
            <w:pPr>
              <w:pStyle w:val="TableColumnHeadings"/>
              <w:rPr>
                <w:rFonts w:ascii="Century Gothic" w:hAnsi="Century Gothic"/>
              </w:rPr>
            </w:pPr>
            <w:r>
              <w:rPr>
                <w:rFonts w:ascii="Century Gothic" w:hAnsi="Century Gothic"/>
              </w:rPr>
              <w:t>2020</w:t>
            </w:r>
          </w:p>
        </w:tc>
        <w:tc>
          <w:tcPr>
            <w:tcW w:w="1062" w:type="dxa"/>
            <w:tcBorders>
              <w:bottom w:val="single" w:sz="6" w:space="0" w:color="000000"/>
            </w:tcBorders>
            <w:shd w:val="clear" w:color="auto" w:fill="333333"/>
            <w:vAlign w:val="center"/>
          </w:tcPr>
          <w:p w:rsidR="00575BFD" w:rsidRPr="008A5DC8" w:rsidRDefault="00575BFD" w:rsidP="006E1541">
            <w:pPr>
              <w:pStyle w:val="TableColumnHeadings"/>
              <w:rPr>
                <w:rFonts w:ascii="Century Gothic" w:hAnsi="Century Gothic"/>
              </w:rPr>
            </w:pPr>
            <w:r>
              <w:rPr>
                <w:rFonts w:ascii="Century Gothic" w:hAnsi="Century Gothic"/>
              </w:rPr>
              <w:t>2021</w:t>
            </w:r>
          </w:p>
        </w:tc>
        <w:tc>
          <w:tcPr>
            <w:tcW w:w="1061" w:type="dxa"/>
            <w:tcBorders>
              <w:bottom w:val="single" w:sz="6" w:space="0" w:color="000000"/>
            </w:tcBorders>
            <w:shd w:val="clear" w:color="auto" w:fill="333333"/>
            <w:vAlign w:val="center"/>
          </w:tcPr>
          <w:p w:rsidR="00575BFD" w:rsidRPr="008A5DC8" w:rsidRDefault="00575BFD" w:rsidP="006E1541">
            <w:pPr>
              <w:pStyle w:val="TableColumnHeadings"/>
              <w:rPr>
                <w:rFonts w:ascii="Century Gothic" w:hAnsi="Century Gothic"/>
              </w:rPr>
            </w:pPr>
            <w:r>
              <w:rPr>
                <w:rFonts w:ascii="Century Gothic" w:hAnsi="Century Gothic"/>
              </w:rPr>
              <w:t>2022</w:t>
            </w:r>
          </w:p>
        </w:tc>
        <w:tc>
          <w:tcPr>
            <w:tcW w:w="953" w:type="dxa"/>
            <w:tcBorders>
              <w:bottom w:val="single" w:sz="6" w:space="0" w:color="000000"/>
            </w:tcBorders>
            <w:shd w:val="clear" w:color="auto" w:fill="333333"/>
            <w:vAlign w:val="center"/>
          </w:tcPr>
          <w:p w:rsidR="00575BFD" w:rsidRPr="000E1834" w:rsidRDefault="00575BFD" w:rsidP="006E1541">
            <w:pPr>
              <w:pStyle w:val="TableColumnHeadings"/>
              <w:rPr>
                <w:rFonts w:ascii="Century Gothic" w:hAnsi="Century Gothic"/>
              </w:rPr>
            </w:pPr>
            <w:r w:rsidRPr="000E1834">
              <w:rPr>
                <w:rFonts w:ascii="Century Gothic" w:hAnsi="Century Gothic"/>
              </w:rPr>
              <w:t>Total</w:t>
            </w:r>
          </w:p>
        </w:tc>
      </w:tr>
      <w:tr w:rsidR="007B4581" w:rsidRPr="005B04EE" w:rsidTr="00AC6EB7">
        <w:tc>
          <w:tcPr>
            <w:tcW w:w="2237" w:type="dxa"/>
            <w:shd w:val="clear" w:color="auto" w:fill="auto"/>
            <w:vAlign w:val="center"/>
          </w:tcPr>
          <w:p w:rsidR="007B4581" w:rsidRPr="00675DE4" w:rsidRDefault="007B4581" w:rsidP="006E1541">
            <w:pPr>
              <w:pStyle w:val="TableBodyCells"/>
              <w:jc w:val="left"/>
            </w:pPr>
            <w:r>
              <w:t>Operating Expenditure</w:t>
            </w:r>
          </w:p>
        </w:tc>
        <w:tc>
          <w:tcPr>
            <w:tcW w:w="1041" w:type="dxa"/>
            <w:shd w:val="clear" w:color="auto" w:fill="auto"/>
            <w:vAlign w:val="bottom"/>
          </w:tcPr>
          <w:p w:rsidR="007B4581" w:rsidRPr="008D6C6C" w:rsidRDefault="007B4581" w:rsidP="006E1541">
            <w:pPr>
              <w:pStyle w:val="TableBodyCells"/>
            </w:pPr>
            <w:r w:rsidRPr="00AC6EB7">
              <w:rPr>
                <w:rFonts w:cs="Arial"/>
                <w:szCs w:val="22"/>
              </w:rPr>
              <w:t>34.29</w:t>
            </w:r>
          </w:p>
        </w:tc>
        <w:tc>
          <w:tcPr>
            <w:tcW w:w="1041" w:type="dxa"/>
            <w:shd w:val="clear" w:color="auto" w:fill="auto"/>
            <w:vAlign w:val="bottom"/>
          </w:tcPr>
          <w:p w:rsidR="007B4581" w:rsidRPr="008D6C6C" w:rsidRDefault="007B4581" w:rsidP="006E1541">
            <w:pPr>
              <w:pStyle w:val="TableBodyCells"/>
            </w:pPr>
            <w:r w:rsidRPr="00AC6EB7">
              <w:rPr>
                <w:rFonts w:cs="Arial"/>
                <w:szCs w:val="22"/>
              </w:rPr>
              <w:t>30.23</w:t>
            </w:r>
          </w:p>
        </w:tc>
        <w:tc>
          <w:tcPr>
            <w:tcW w:w="1042" w:type="dxa"/>
            <w:shd w:val="clear" w:color="auto" w:fill="auto"/>
            <w:vAlign w:val="bottom"/>
          </w:tcPr>
          <w:p w:rsidR="007B4581" w:rsidRPr="008D6C6C" w:rsidRDefault="007B4581" w:rsidP="006E1541">
            <w:pPr>
              <w:pStyle w:val="TableBodyCells"/>
            </w:pPr>
            <w:r w:rsidRPr="00AC6EB7">
              <w:rPr>
                <w:rFonts w:cs="Arial"/>
                <w:szCs w:val="22"/>
              </w:rPr>
              <w:t>29.17</w:t>
            </w:r>
          </w:p>
        </w:tc>
        <w:tc>
          <w:tcPr>
            <w:tcW w:w="1062" w:type="dxa"/>
            <w:shd w:val="clear" w:color="auto" w:fill="auto"/>
            <w:vAlign w:val="bottom"/>
          </w:tcPr>
          <w:p w:rsidR="007B4581" w:rsidRPr="008D6C6C" w:rsidRDefault="007B4581" w:rsidP="006E1541">
            <w:pPr>
              <w:pStyle w:val="TableBodyCells"/>
            </w:pPr>
            <w:r w:rsidRPr="00AC6EB7">
              <w:rPr>
                <w:rFonts w:cs="Arial"/>
                <w:szCs w:val="22"/>
              </w:rPr>
              <w:t>29.12</w:t>
            </w:r>
          </w:p>
        </w:tc>
        <w:tc>
          <w:tcPr>
            <w:tcW w:w="1061" w:type="dxa"/>
            <w:vAlign w:val="bottom"/>
          </w:tcPr>
          <w:p w:rsidR="007B4581" w:rsidRPr="008D6C6C" w:rsidRDefault="007B4581" w:rsidP="006E1541">
            <w:pPr>
              <w:pStyle w:val="TableBodyCells"/>
            </w:pPr>
            <w:r w:rsidRPr="00AC6EB7">
              <w:rPr>
                <w:rFonts w:cs="Arial"/>
                <w:szCs w:val="22"/>
              </w:rPr>
              <w:t>27.25</w:t>
            </w:r>
          </w:p>
        </w:tc>
        <w:tc>
          <w:tcPr>
            <w:tcW w:w="953" w:type="dxa"/>
            <w:vAlign w:val="bottom"/>
          </w:tcPr>
          <w:p w:rsidR="007B4581" w:rsidRPr="00261E37" w:rsidRDefault="007B4581" w:rsidP="006E1541">
            <w:pPr>
              <w:pStyle w:val="TableBodyCells"/>
              <w:rPr>
                <w:b/>
              </w:rPr>
            </w:pPr>
            <w:r w:rsidRPr="00261E37">
              <w:rPr>
                <w:rFonts w:cs="Arial"/>
                <w:b/>
              </w:rPr>
              <w:t>150.06</w:t>
            </w:r>
          </w:p>
        </w:tc>
      </w:tr>
    </w:tbl>
    <w:p w:rsidR="000D606A" w:rsidRPr="0089438B" w:rsidRDefault="00575BFD" w:rsidP="00575BFD">
      <w:pPr>
        <w:pStyle w:val="Heading2"/>
      </w:pPr>
      <w:bookmarkStart w:id="86" w:name="_Toc482626077"/>
      <w:r w:rsidRPr="0089438B">
        <w:t>Calculation of allowances for passive linepack and spares</w:t>
      </w:r>
      <w:bookmarkEnd w:id="86"/>
    </w:p>
    <w:p w:rsidR="004C01E8" w:rsidRDefault="00AC6EB7" w:rsidP="00BA791B">
      <w:pPr>
        <w:pStyle w:val="BodyText"/>
      </w:pPr>
      <w:r>
        <w:t xml:space="preserve">Operating expenditure has </w:t>
      </w:r>
      <w:r w:rsidR="0089438B">
        <w:t xml:space="preserve">also </w:t>
      </w:r>
      <w:r>
        <w:t xml:space="preserve">been adjusted to reflect errors identified in </w:t>
      </w:r>
      <w:r w:rsidR="0089438B">
        <w:t>response to AER Information Request 6.</w:t>
      </w:r>
    </w:p>
    <w:p w:rsidR="00B83D80" w:rsidRDefault="00B83D80" w:rsidP="0055275F">
      <w:pPr>
        <w:pStyle w:val="Heading2"/>
      </w:pPr>
      <w:bookmarkStart w:id="87" w:name="_Toc482626078"/>
      <w:r>
        <w:t>Total operating expenditure including allowances</w:t>
      </w:r>
      <w:bookmarkEnd w:id="87"/>
    </w:p>
    <w:p w:rsidR="00B83D80" w:rsidRDefault="00B83D80" w:rsidP="004A4B16">
      <w:pPr>
        <w:pStyle w:val="BodyText"/>
      </w:pPr>
      <w:r w:rsidRPr="001D4E25">
        <w:fldChar w:fldCharType="begin"/>
      </w:r>
      <w:r w:rsidRPr="001D4E25">
        <w:instrText xml:space="preserve"> REF _Ref469826441 \h </w:instrText>
      </w:r>
      <w:r w:rsidR="001D4E25">
        <w:instrText xml:space="preserve"> \* MERGEFORMAT </w:instrText>
      </w:r>
      <w:r w:rsidRPr="001D4E25">
        <w:fldChar w:fldCharType="separate"/>
      </w:r>
      <w:r w:rsidR="006D055F" w:rsidRPr="001D4E25">
        <w:t xml:space="preserve">Table </w:t>
      </w:r>
      <w:r w:rsidR="006D055F">
        <w:rPr>
          <w:noProof/>
        </w:rPr>
        <w:t>8</w:t>
      </w:r>
      <w:r w:rsidR="006D055F">
        <w:rPr>
          <w:noProof/>
        </w:rPr>
        <w:noBreakHyphen/>
        <w:t>3</w:t>
      </w:r>
      <w:r w:rsidRPr="001D4E25">
        <w:fldChar w:fldCharType="end"/>
      </w:r>
      <w:r w:rsidRPr="001D4E25">
        <w:t xml:space="preserve"> below </w:t>
      </w:r>
      <w:r w:rsidR="008E4645" w:rsidRPr="001D4E25">
        <w:t xml:space="preserve">is a summary table showing </w:t>
      </w:r>
      <w:r w:rsidRPr="001D4E25">
        <w:t xml:space="preserve">total operating costs, including controllable operating costs </w:t>
      </w:r>
      <w:r w:rsidR="008E4645" w:rsidRPr="001D4E25">
        <w:t>described</w:t>
      </w:r>
      <w:r w:rsidRPr="001D4E25">
        <w:t xml:space="preserve"> above, </w:t>
      </w:r>
      <w:r w:rsidR="008E4645" w:rsidRPr="001D4E25">
        <w:t xml:space="preserve">as well as all </w:t>
      </w:r>
      <w:r w:rsidRPr="001D4E25">
        <w:t>allowances.</w:t>
      </w:r>
    </w:p>
    <w:p w:rsidR="00B83D80" w:rsidRDefault="00B83D80" w:rsidP="00B83D80">
      <w:pPr>
        <w:pStyle w:val="Caption"/>
      </w:pPr>
      <w:bookmarkStart w:id="88" w:name="_Ref469826441"/>
      <w:bookmarkStart w:id="89" w:name="_Ref469826437"/>
      <w:bookmarkStart w:id="90" w:name="_Toc482626114"/>
      <w:r w:rsidRPr="001D4E25">
        <w:t xml:space="preserve">Table </w:t>
      </w:r>
      <w:r w:rsidR="006D055F">
        <w:fldChar w:fldCharType="begin"/>
      </w:r>
      <w:r w:rsidR="006D055F">
        <w:instrText xml:space="preserve"> STYLEREF 1 \s </w:instrText>
      </w:r>
      <w:r w:rsidR="006D055F">
        <w:fldChar w:fldCharType="separate"/>
      </w:r>
      <w:r w:rsidR="006D055F">
        <w:rPr>
          <w:noProof/>
        </w:rPr>
        <w:t>8</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3</w:t>
      </w:r>
      <w:r w:rsidR="006D055F">
        <w:rPr>
          <w:noProof/>
        </w:rPr>
        <w:fldChar w:fldCharType="end"/>
      </w:r>
      <w:bookmarkEnd w:id="88"/>
      <w:r w:rsidRPr="001D4E25">
        <w:t xml:space="preserve"> – Total operating expenditure inc</w:t>
      </w:r>
      <w:r w:rsidR="004352A9">
        <w:t>luding allowances (real 2017 $m</w:t>
      </w:r>
      <w:r w:rsidRPr="001D4E25">
        <w:t>)</w:t>
      </w:r>
      <w:bookmarkEnd w:id="89"/>
      <w:bookmarkEnd w:id="90"/>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237"/>
        <w:gridCol w:w="1041"/>
        <w:gridCol w:w="1041"/>
        <w:gridCol w:w="1042"/>
        <w:gridCol w:w="1062"/>
        <w:gridCol w:w="1061"/>
        <w:gridCol w:w="953"/>
      </w:tblGrid>
      <w:tr w:rsidR="00B83D80" w:rsidRPr="008A5DC8" w:rsidTr="00E32CDF">
        <w:trPr>
          <w:tblHeader/>
        </w:trPr>
        <w:tc>
          <w:tcPr>
            <w:tcW w:w="2237" w:type="dxa"/>
            <w:tcBorders>
              <w:bottom w:val="single" w:sz="6" w:space="0" w:color="000000"/>
            </w:tcBorders>
            <w:shd w:val="clear" w:color="auto" w:fill="333333"/>
          </w:tcPr>
          <w:p w:rsidR="00B83D80" w:rsidRPr="008A5DC8" w:rsidRDefault="004352A9" w:rsidP="00E32CDF">
            <w:pPr>
              <w:pStyle w:val="TableColumnHeadings"/>
              <w:keepNext/>
              <w:jc w:val="left"/>
              <w:rPr>
                <w:rFonts w:ascii="Century Gothic" w:hAnsi="Century Gothic"/>
              </w:rPr>
            </w:pPr>
            <w:r>
              <w:rPr>
                <w:rFonts w:ascii="Century Gothic" w:hAnsi="Century Gothic"/>
              </w:rPr>
              <w:t>$m real 2017</w:t>
            </w:r>
          </w:p>
        </w:tc>
        <w:tc>
          <w:tcPr>
            <w:tcW w:w="1041" w:type="dxa"/>
            <w:tcBorders>
              <w:bottom w:val="single" w:sz="6" w:space="0" w:color="000000"/>
            </w:tcBorders>
            <w:shd w:val="clear" w:color="auto" w:fill="333333"/>
            <w:vAlign w:val="center"/>
          </w:tcPr>
          <w:p w:rsidR="00B83D80" w:rsidRPr="008A5DC8" w:rsidRDefault="00B83D80" w:rsidP="00E32CDF">
            <w:pPr>
              <w:pStyle w:val="TableColumnHeadings"/>
              <w:rPr>
                <w:rFonts w:ascii="Century Gothic" w:hAnsi="Century Gothic"/>
              </w:rPr>
            </w:pPr>
            <w:r>
              <w:rPr>
                <w:rFonts w:ascii="Century Gothic" w:hAnsi="Century Gothic"/>
              </w:rPr>
              <w:t>2018</w:t>
            </w:r>
          </w:p>
        </w:tc>
        <w:tc>
          <w:tcPr>
            <w:tcW w:w="1041" w:type="dxa"/>
            <w:tcBorders>
              <w:bottom w:val="single" w:sz="6" w:space="0" w:color="000000"/>
            </w:tcBorders>
            <w:shd w:val="clear" w:color="auto" w:fill="333333"/>
            <w:vAlign w:val="center"/>
          </w:tcPr>
          <w:p w:rsidR="00B83D80" w:rsidRPr="008A5DC8" w:rsidRDefault="00B83D80" w:rsidP="00E32CDF">
            <w:pPr>
              <w:pStyle w:val="TableColumnHeadings"/>
              <w:rPr>
                <w:rFonts w:ascii="Century Gothic" w:hAnsi="Century Gothic"/>
              </w:rPr>
            </w:pPr>
            <w:r>
              <w:rPr>
                <w:rFonts w:ascii="Century Gothic" w:hAnsi="Century Gothic"/>
              </w:rPr>
              <w:t>2019</w:t>
            </w:r>
          </w:p>
        </w:tc>
        <w:tc>
          <w:tcPr>
            <w:tcW w:w="1042" w:type="dxa"/>
            <w:tcBorders>
              <w:bottom w:val="single" w:sz="6" w:space="0" w:color="000000"/>
            </w:tcBorders>
            <w:shd w:val="clear" w:color="auto" w:fill="333333"/>
            <w:vAlign w:val="center"/>
          </w:tcPr>
          <w:p w:rsidR="00B83D80" w:rsidRPr="008A5DC8" w:rsidRDefault="00B83D80" w:rsidP="00E32CDF">
            <w:pPr>
              <w:pStyle w:val="TableColumnHeadings"/>
              <w:rPr>
                <w:rFonts w:ascii="Century Gothic" w:hAnsi="Century Gothic"/>
              </w:rPr>
            </w:pPr>
            <w:r>
              <w:rPr>
                <w:rFonts w:ascii="Century Gothic" w:hAnsi="Century Gothic"/>
              </w:rPr>
              <w:t>2020</w:t>
            </w:r>
          </w:p>
        </w:tc>
        <w:tc>
          <w:tcPr>
            <w:tcW w:w="1062" w:type="dxa"/>
            <w:tcBorders>
              <w:bottom w:val="single" w:sz="6" w:space="0" w:color="000000"/>
            </w:tcBorders>
            <w:shd w:val="clear" w:color="auto" w:fill="333333"/>
            <w:vAlign w:val="center"/>
          </w:tcPr>
          <w:p w:rsidR="00B83D80" w:rsidRPr="008A5DC8" w:rsidRDefault="00B83D80" w:rsidP="00E32CDF">
            <w:pPr>
              <w:pStyle w:val="TableColumnHeadings"/>
              <w:rPr>
                <w:rFonts w:ascii="Century Gothic" w:hAnsi="Century Gothic"/>
              </w:rPr>
            </w:pPr>
            <w:r>
              <w:rPr>
                <w:rFonts w:ascii="Century Gothic" w:hAnsi="Century Gothic"/>
              </w:rPr>
              <w:t>2021</w:t>
            </w:r>
          </w:p>
        </w:tc>
        <w:tc>
          <w:tcPr>
            <w:tcW w:w="1061" w:type="dxa"/>
            <w:tcBorders>
              <w:bottom w:val="single" w:sz="6" w:space="0" w:color="000000"/>
            </w:tcBorders>
            <w:shd w:val="clear" w:color="auto" w:fill="333333"/>
            <w:vAlign w:val="center"/>
          </w:tcPr>
          <w:p w:rsidR="00B83D80" w:rsidRPr="008A5DC8" w:rsidRDefault="00B83D80" w:rsidP="00E32CDF">
            <w:pPr>
              <w:pStyle w:val="TableColumnHeadings"/>
              <w:rPr>
                <w:rFonts w:ascii="Century Gothic" w:hAnsi="Century Gothic"/>
              </w:rPr>
            </w:pPr>
            <w:r>
              <w:rPr>
                <w:rFonts w:ascii="Century Gothic" w:hAnsi="Century Gothic"/>
              </w:rPr>
              <w:t>2022</w:t>
            </w:r>
          </w:p>
        </w:tc>
        <w:tc>
          <w:tcPr>
            <w:tcW w:w="953" w:type="dxa"/>
            <w:tcBorders>
              <w:bottom w:val="single" w:sz="6" w:space="0" w:color="000000"/>
            </w:tcBorders>
            <w:shd w:val="clear" w:color="auto" w:fill="333333"/>
            <w:vAlign w:val="center"/>
          </w:tcPr>
          <w:p w:rsidR="00B83D80" w:rsidRPr="000E1834" w:rsidRDefault="00B83D80" w:rsidP="00E32CDF">
            <w:pPr>
              <w:pStyle w:val="TableColumnHeadings"/>
              <w:rPr>
                <w:rFonts w:ascii="Century Gothic" w:hAnsi="Century Gothic"/>
              </w:rPr>
            </w:pPr>
            <w:r w:rsidRPr="000E1834">
              <w:rPr>
                <w:rFonts w:ascii="Century Gothic" w:hAnsi="Century Gothic"/>
              </w:rPr>
              <w:t>Total</w:t>
            </w:r>
          </w:p>
        </w:tc>
      </w:tr>
      <w:tr w:rsidR="006D26DC" w:rsidRPr="00793C53" w:rsidTr="00EE5147">
        <w:tc>
          <w:tcPr>
            <w:tcW w:w="2237" w:type="dxa"/>
            <w:shd w:val="clear" w:color="auto" w:fill="auto"/>
          </w:tcPr>
          <w:p w:rsidR="006D26DC" w:rsidRPr="00675DE4" w:rsidRDefault="006D26DC" w:rsidP="00E32CDF">
            <w:pPr>
              <w:pStyle w:val="TableBodyCells"/>
              <w:jc w:val="left"/>
            </w:pPr>
            <w:r>
              <w:t>Controllable operating expenditure</w:t>
            </w:r>
          </w:p>
        </w:tc>
        <w:tc>
          <w:tcPr>
            <w:tcW w:w="1041" w:type="dxa"/>
            <w:shd w:val="clear" w:color="auto" w:fill="auto"/>
            <w:vAlign w:val="center"/>
          </w:tcPr>
          <w:p w:rsidR="006D26DC" w:rsidRPr="008D6C6C" w:rsidRDefault="006D26DC" w:rsidP="00EE5147">
            <w:pPr>
              <w:pStyle w:val="TableBodyCells"/>
            </w:pPr>
            <w:r w:rsidRPr="00AC6EB7">
              <w:t>25.</w:t>
            </w:r>
            <w:r w:rsidR="00EE5147">
              <w:t>65</w:t>
            </w:r>
          </w:p>
        </w:tc>
        <w:tc>
          <w:tcPr>
            <w:tcW w:w="1041" w:type="dxa"/>
            <w:shd w:val="clear" w:color="auto" w:fill="auto"/>
            <w:vAlign w:val="center"/>
          </w:tcPr>
          <w:p w:rsidR="006D26DC" w:rsidRPr="008D6C6C" w:rsidRDefault="00EE5147" w:rsidP="00EE5147">
            <w:pPr>
              <w:pStyle w:val="TableBodyCells"/>
            </w:pPr>
            <w:r>
              <w:t>25.74</w:t>
            </w:r>
          </w:p>
        </w:tc>
        <w:tc>
          <w:tcPr>
            <w:tcW w:w="1042" w:type="dxa"/>
            <w:shd w:val="clear" w:color="auto" w:fill="auto"/>
            <w:vAlign w:val="center"/>
          </w:tcPr>
          <w:p w:rsidR="006D26DC" w:rsidRPr="008D6C6C" w:rsidRDefault="00EE5147" w:rsidP="00EE5147">
            <w:pPr>
              <w:pStyle w:val="TableBodyCells"/>
            </w:pPr>
            <w:r>
              <w:t>25.74</w:t>
            </w:r>
          </w:p>
        </w:tc>
        <w:tc>
          <w:tcPr>
            <w:tcW w:w="1062" w:type="dxa"/>
            <w:shd w:val="clear" w:color="auto" w:fill="auto"/>
            <w:vAlign w:val="center"/>
          </w:tcPr>
          <w:p w:rsidR="006D26DC" w:rsidRPr="008D6C6C" w:rsidRDefault="00EE5147" w:rsidP="00EE5147">
            <w:pPr>
              <w:pStyle w:val="TableBodyCells"/>
            </w:pPr>
            <w:r>
              <w:t>26.74</w:t>
            </w:r>
          </w:p>
        </w:tc>
        <w:tc>
          <w:tcPr>
            <w:tcW w:w="1061" w:type="dxa"/>
            <w:vAlign w:val="center"/>
          </w:tcPr>
          <w:p w:rsidR="006D26DC" w:rsidRPr="008D6C6C" w:rsidRDefault="00EE5147" w:rsidP="00EE5147">
            <w:pPr>
              <w:pStyle w:val="TableBodyCells"/>
            </w:pPr>
            <w:r>
              <w:t>26.93</w:t>
            </w:r>
          </w:p>
        </w:tc>
        <w:tc>
          <w:tcPr>
            <w:tcW w:w="953" w:type="dxa"/>
            <w:vAlign w:val="center"/>
          </w:tcPr>
          <w:p w:rsidR="006D26DC" w:rsidRPr="00AC6EB7" w:rsidRDefault="00EE5147" w:rsidP="00EE5147">
            <w:pPr>
              <w:pStyle w:val="TableBodyCells"/>
            </w:pPr>
            <w:r>
              <w:t>130.81</w:t>
            </w:r>
          </w:p>
        </w:tc>
      </w:tr>
      <w:tr w:rsidR="006D26DC" w:rsidRPr="00793C53" w:rsidTr="00EE5147">
        <w:tc>
          <w:tcPr>
            <w:tcW w:w="2237" w:type="dxa"/>
            <w:shd w:val="clear" w:color="auto" w:fill="auto"/>
          </w:tcPr>
          <w:p w:rsidR="006D26DC" w:rsidRDefault="006D26DC" w:rsidP="00E32CDF">
            <w:pPr>
              <w:pStyle w:val="TableBodyCells"/>
              <w:jc w:val="left"/>
            </w:pPr>
            <w:r>
              <w:t>Debt raising costs</w:t>
            </w:r>
          </w:p>
        </w:tc>
        <w:tc>
          <w:tcPr>
            <w:tcW w:w="1041" w:type="dxa"/>
            <w:shd w:val="clear" w:color="auto" w:fill="auto"/>
            <w:vAlign w:val="center"/>
          </w:tcPr>
          <w:p w:rsidR="006D26DC" w:rsidRPr="008D6C6C" w:rsidRDefault="006D26DC" w:rsidP="00EE5147">
            <w:pPr>
              <w:pStyle w:val="TableBodyCells"/>
            </w:pPr>
            <w:r w:rsidRPr="00AC6EB7">
              <w:t>0.06</w:t>
            </w:r>
          </w:p>
        </w:tc>
        <w:tc>
          <w:tcPr>
            <w:tcW w:w="1041" w:type="dxa"/>
            <w:shd w:val="clear" w:color="auto" w:fill="auto"/>
            <w:vAlign w:val="center"/>
          </w:tcPr>
          <w:p w:rsidR="006D26DC" w:rsidRPr="008D6C6C" w:rsidRDefault="006D26DC" w:rsidP="00EE5147">
            <w:pPr>
              <w:pStyle w:val="TableBodyCells"/>
            </w:pPr>
            <w:r w:rsidRPr="00AC6EB7">
              <w:t>0.06</w:t>
            </w:r>
          </w:p>
        </w:tc>
        <w:tc>
          <w:tcPr>
            <w:tcW w:w="1042" w:type="dxa"/>
            <w:shd w:val="clear" w:color="auto" w:fill="auto"/>
            <w:vAlign w:val="center"/>
          </w:tcPr>
          <w:p w:rsidR="006D26DC" w:rsidRPr="008D6C6C" w:rsidRDefault="00EE5147" w:rsidP="00EE5147">
            <w:pPr>
              <w:pStyle w:val="TableBodyCells"/>
            </w:pPr>
            <w:r>
              <w:t>0.07</w:t>
            </w:r>
          </w:p>
        </w:tc>
        <w:tc>
          <w:tcPr>
            <w:tcW w:w="1062" w:type="dxa"/>
            <w:shd w:val="clear" w:color="auto" w:fill="auto"/>
            <w:vAlign w:val="center"/>
          </w:tcPr>
          <w:p w:rsidR="006D26DC" w:rsidRPr="008D6C6C" w:rsidRDefault="00EE5147" w:rsidP="00EE5147">
            <w:pPr>
              <w:pStyle w:val="TableBodyCells"/>
            </w:pPr>
            <w:r>
              <w:t>0.07</w:t>
            </w:r>
          </w:p>
        </w:tc>
        <w:tc>
          <w:tcPr>
            <w:tcW w:w="1061" w:type="dxa"/>
            <w:vAlign w:val="center"/>
          </w:tcPr>
          <w:p w:rsidR="006D26DC" w:rsidRPr="008D6C6C" w:rsidRDefault="00EE5147" w:rsidP="00EE5147">
            <w:pPr>
              <w:pStyle w:val="TableBodyCells"/>
            </w:pPr>
            <w:r>
              <w:t>0.07</w:t>
            </w:r>
          </w:p>
        </w:tc>
        <w:tc>
          <w:tcPr>
            <w:tcW w:w="953" w:type="dxa"/>
            <w:vAlign w:val="center"/>
          </w:tcPr>
          <w:p w:rsidR="006D26DC" w:rsidRPr="00AC6EB7" w:rsidRDefault="00EE5147" w:rsidP="00EE5147">
            <w:pPr>
              <w:pStyle w:val="TableBodyCells"/>
            </w:pPr>
            <w:r>
              <w:t>0.32</w:t>
            </w:r>
          </w:p>
        </w:tc>
      </w:tr>
      <w:tr w:rsidR="006D26DC" w:rsidRPr="00793C53" w:rsidTr="00EE5147">
        <w:tc>
          <w:tcPr>
            <w:tcW w:w="2237" w:type="dxa"/>
            <w:shd w:val="clear" w:color="auto" w:fill="auto"/>
          </w:tcPr>
          <w:p w:rsidR="006D26DC" w:rsidRDefault="006D26DC" w:rsidP="00E32CDF">
            <w:pPr>
              <w:pStyle w:val="TableBodyCells"/>
              <w:jc w:val="left"/>
            </w:pPr>
            <w:r>
              <w:t>EBSS adjustments</w:t>
            </w:r>
          </w:p>
        </w:tc>
        <w:tc>
          <w:tcPr>
            <w:tcW w:w="1041" w:type="dxa"/>
            <w:shd w:val="clear" w:color="auto" w:fill="auto"/>
            <w:vAlign w:val="center"/>
          </w:tcPr>
          <w:p w:rsidR="006D26DC" w:rsidRPr="008D6C6C" w:rsidRDefault="006D26DC" w:rsidP="00EE5147">
            <w:pPr>
              <w:pStyle w:val="TableBodyCells"/>
            </w:pPr>
            <w:r w:rsidRPr="00AC6EB7">
              <w:t>8.33</w:t>
            </w:r>
          </w:p>
        </w:tc>
        <w:tc>
          <w:tcPr>
            <w:tcW w:w="1041" w:type="dxa"/>
            <w:shd w:val="clear" w:color="auto" w:fill="auto"/>
            <w:vAlign w:val="center"/>
          </w:tcPr>
          <w:p w:rsidR="006D26DC" w:rsidRPr="008D6C6C" w:rsidRDefault="006D26DC" w:rsidP="00EE5147">
            <w:pPr>
              <w:pStyle w:val="TableBodyCells"/>
            </w:pPr>
            <w:r w:rsidRPr="00AC6EB7">
              <w:t>4.18</w:t>
            </w:r>
          </w:p>
        </w:tc>
        <w:tc>
          <w:tcPr>
            <w:tcW w:w="1042" w:type="dxa"/>
            <w:shd w:val="clear" w:color="auto" w:fill="auto"/>
            <w:vAlign w:val="center"/>
          </w:tcPr>
          <w:p w:rsidR="006D26DC" w:rsidRPr="008D6C6C" w:rsidRDefault="006D26DC" w:rsidP="00EE5147">
            <w:pPr>
              <w:pStyle w:val="TableBodyCells"/>
            </w:pPr>
            <w:r w:rsidRPr="00AC6EB7">
              <w:t>3.11</w:t>
            </w:r>
          </w:p>
        </w:tc>
        <w:tc>
          <w:tcPr>
            <w:tcW w:w="1062" w:type="dxa"/>
            <w:shd w:val="clear" w:color="auto" w:fill="auto"/>
            <w:vAlign w:val="center"/>
          </w:tcPr>
          <w:p w:rsidR="006D26DC" w:rsidRPr="008D6C6C" w:rsidRDefault="006D26DC" w:rsidP="00EE5147">
            <w:pPr>
              <w:pStyle w:val="TableBodyCells"/>
            </w:pPr>
            <w:r w:rsidRPr="00AC6EB7">
              <w:t>2.06</w:t>
            </w:r>
          </w:p>
        </w:tc>
        <w:tc>
          <w:tcPr>
            <w:tcW w:w="1061" w:type="dxa"/>
            <w:vAlign w:val="center"/>
          </w:tcPr>
          <w:p w:rsidR="006D26DC" w:rsidRPr="008D6C6C" w:rsidRDefault="006D26DC" w:rsidP="00EE5147">
            <w:pPr>
              <w:pStyle w:val="TableBodyCells"/>
            </w:pPr>
            <w:r w:rsidRPr="00AC6EB7">
              <w:t>0.00</w:t>
            </w:r>
          </w:p>
        </w:tc>
        <w:tc>
          <w:tcPr>
            <w:tcW w:w="953" w:type="dxa"/>
            <w:vAlign w:val="center"/>
          </w:tcPr>
          <w:p w:rsidR="006D26DC" w:rsidRPr="00AC6EB7" w:rsidRDefault="006D26DC" w:rsidP="00EE5147">
            <w:pPr>
              <w:pStyle w:val="TableBodyCells"/>
            </w:pPr>
            <w:r w:rsidRPr="00A75B61">
              <w:t>17.68</w:t>
            </w:r>
          </w:p>
        </w:tc>
      </w:tr>
      <w:tr w:rsidR="007B4581" w:rsidRPr="00793C53" w:rsidTr="00EE5147">
        <w:tc>
          <w:tcPr>
            <w:tcW w:w="2237" w:type="dxa"/>
            <w:shd w:val="clear" w:color="auto" w:fill="auto"/>
          </w:tcPr>
          <w:p w:rsidR="007B4581" w:rsidRDefault="007B4581" w:rsidP="00E32CDF">
            <w:pPr>
              <w:pStyle w:val="TableBodyCells"/>
              <w:jc w:val="left"/>
            </w:pPr>
            <w:r w:rsidRPr="00EE5147">
              <w:t>Other allowances</w:t>
            </w:r>
          </w:p>
        </w:tc>
        <w:tc>
          <w:tcPr>
            <w:tcW w:w="1041" w:type="dxa"/>
            <w:shd w:val="clear" w:color="auto" w:fill="auto"/>
            <w:vAlign w:val="center"/>
          </w:tcPr>
          <w:p w:rsidR="007B4581" w:rsidRPr="008D6C6C" w:rsidRDefault="00EE5147" w:rsidP="00EE5147">
            <w:pPr>
              <w:pStyle w:val="TableBodyCells"/>
            </w:pPr>
            <w:r>
              <w:t>0.24</w:t>
            </w:r>
          </w:p>
        </w:tc>
        <w:tc>
          <w:tcPr>
            <w:tcW w:w="1041" w:type="dxa"/>
            <w:shd w:val="clear" w:color="auto" w:fill="auto"/>
            <w:vAlign w:val="center"/>
          </w:tcPr>
          <w:p w:rsidR="007B4581" w:rsidRPr="007B4581" w:rsidRDefault="00EE5147" w:rsidP="00EE5147">
            <w:pPr>
              <w:pStyle w:val="TableBodyCells"/>
            </w:pPr>
            <w:r>
              <w:t>0.25</w:t>
            </w:r>
          </w:p>
        </w:tc>
        <w:tc>
          <w:tcPr>
            <w:tcW w:w="1042" w:type="dxa"/>
            <w:shd w:val="clear" w:color="auto" w:fill="auto"/>
            <w:vAlign w:val="center"/>
          </w:tcPr>
          <w:p w:rsidR="007B4581" w:rsidRPr="007B4581" w:rsidRDefault="00EE5147" w:rsidP="00EE5147">
            <w:pPr>
              <w:pStyle w:val="TableBodyCells"/>
            </w:pPr>
            <w:r>
              <w:t>0.25</w:t>
            </w:r>
          </w:p>
        </w:tc>
        <w:tc>
          <w:tcPr>
            <w:tcW w:w="1062" w:type="dxa"/>
            <w:shd w:val="clear" w:color="auto" w:fill="auto"/>
            <w:vAlign w:val="center"/>
          </w:tcPr>
          <w:p w:rsidR="007B4581" w:rsidRPr="007B4581" w:rsidRDefault="00EE5147" w:rsidP="00EE5147">
            <w:pPr>
              <w:pStyle w:val="TableBodyCells"/>
            </w:pPr>
            <w:r>
              <w:t>0.26</w:t>
            </w:r>
          </w:p>
        </w:tc>
        <w:tc>
          <w:tcPr>
            <w:tcW w:w="1061" w:type="dxa"/>
            <w:vAlign w:val="center"/>
          </w:tcPr>
          <w:p w:rsidR="007B4581" w:rsidRPr="007B4581" w:rsidRDefault="00EE5147" w:rsidP="00EE5147">
            <w:pPr>
              <w:pStyle w:val="TableBodyCells"/>
            </w:pPr>
            <w:r>
              <w:t>0.26</w:t>
            </w:r>
          </w:p>
        </w:tc>
        <w:tc>
          <w:tcPr>
            <w:tcW w:w="953" w:type="dxa"/>
            <w:vAlign w:val="center"/>
          </w:tcPr>
          <w:p w:rsidR="007B4581" w:rsidRPr="00EE5147" w:rsidRDefault="00EE5147" w:rsidP="00EE5147">
            <w:pPr>
              <w:pStyle w:val="TableBodyCells"/>
            </w:pPr>
            <w:r w:rsidRPr="00EE5147">
              <w:t>1.27</w:t>
            </w:r>
          </w:p>
        </w:tc>
      </w:tr>
      <w:tr w:rsidR="006D26DC" w:rsidRPr="00793C53" w:rsidTr="00EE5147">
        <w:tc>
          <w:tcPr>
            <w:tcW w:w="2237" w:type="dxa"/>
            <w:shd w:val="clear" w:color="auto" w:fill="auto"/>
          </w:tcPr>
          <w:p w:rsidR="006D26DC" w:rsidRPr="00584FA4" w:rsidRDefault="006D26DC" w:rsidP="00E32CDF">
            <w:pPr>
              <w:pStyle w:val="TableBodyCells"/>
              <w:jc w:val="left"/>
              <w:rPr>
                <w:b/>
                <w:highlight w:val="yellow"/>
              </w:rPr>
            </w:pPr>
            <w:r w:rsidRPr="001D4E25">
              <w:rPr>
                <w:b/>
              </w:rPr>
              <w:t>Total</w:t>
            </w:r>
          </w:p>
        </w:tc>
        <w:tc>
          <w:tcPr>
            <w:tcW w:w="1041" w:type="dxa"/>
            <w:shd w:val="clear" w:color="auto" w:fill="auto"/>
            <w:vAlign w:val="center"/>
          </w:tcPr>
          <w:p w:rsidR="006D26DC" w:rsidRPr="00AC6EB7" w:rsidRDefault="006D26DC" w:rsidP="00EE5147">
            <w:pPr>
              <w:pStyle w:val="TableBodyCells"/>
              <w:rPr>
                <w:b/>
              </w:rPr>
            </w:pPr>
            <w:r w:rsidRPr="00AC6EB7">
              <w:rPr>
                <w:b/>
              </w:rPr>
              <w:t>34.29</w:t>
            </w:r>
          </w:p>
        </w:tc>
        <w:tc>
          <w:tcPr>
            <w:tcW w:w="1041" w:type="dxa"/>
            <w:shd w:val="clear" w:color="auto" w:fill="auto"/>
            <w:vAlign w:val="center"/>
          </w:tcPr>
          <w:p w:rsidR="006D26DC" w:rsidRPr="00AC6EB7" w:rsidRDefault="006D26DC" w:rsidP="00EE5147">
            <w:pPr>
              <w:pStyle w:val="TableBodyCells"/>
              <w:rPr>
                <w:b/>
              </w:rPr>
            </w:pPr>
            <w:r w:rsidRPr="00AC6EB7">
              <w:rPr>
                <w:b/>
              </w:rPr>
              <w:t>30.2</w:t>
            </w:r>
            <w:r w:rsidR="00EE5147">
              <w:rPr>
                <w:b/>
              </w:rPr>
              <w:t>4</w:t>
            </w:r>
          </w:p>
        </w:tc>
        <w:tc>
          <w:tcPr>
            <w:tcW w:w="1042" w:type="dxa"/>
            <w:shd w:val="clear" w:color="auto" w:fill="auto"/>
            <w:vAlign w:val="center"/>
          </w:tcPr>
          <w:p w:rsidR="006D26DC" w:rsidRPr="00AC6EB7" w:rsidRDefault="006D26DC" w:rsidP="00EE5147">
            <w:pPr>
              <w:pStyle w:val="TableBodyCells"/>
              <w:rPr>
                <w:b/>
              </w:rPr>
            </w:pPr>
            <w:r w:rsidRPr="00AC6EB7">
              <w:rPr>
                <w:b/>
              </w:rPr>
              <w:t>29.17</w:t>
            </w:r>
          </w:p>
        </w:tc>
        <w:tc>
          <w:tcPr>
            <w:tcW w:w="1062" w:type="dxa"/>
            <w:shd w:val="clear" w:color="auto" w:fill="auto"/>
            <w:vAlign w:val="center"/>
          </w:tcPr>
          <w:p w:rsidR="006D26DC" w:rsidRPr="00AC6EB7" w:rsidRDefault="006D26DC" w:rsidP="00EE5147">
            <w:pPr>
              <w:pStyle w:val="TableBodyCells"/>
              <w:rPr>
                <w:b/>
              </w:rPr>
            </w:pPr>
            <w:r w:rsidRPr="00AC6EB7">
              <w:rPr>
                <w:b/>
              </w:rPr>
              <w:t>29.12</w:t>
            </w:r>
          </w:p>
        </w:tc>
        <w:tc>
          <w:tcPr>
            <w:tcW w:w="1061" w:type="dxa"/>
            <w:vAlign w:val="center"/>
          </w:tcPr>
          <w:p w:rsidR="006D26DC" w:rsidRPr="00AC6EB7" w:rsidRDefault="00EE5147" w:rsidP="00EE5147">
            <w:pPr>
              <w:pStyle w:val="TableBodyCells"/>
              <w:rPr>
                <w:b/>
              </w:rPr>
            </w:pPr>
            <w:r>
              <w:rPr>
                <w:b/>
              </w:rPr>
              <w:t>27.26</w:t>
            </w:r>
          </w:p>
        </w:tc>
        <w:tc>
          <w:tcPr>
            <w:tcW w:w="953" w:type="dxa"/>
            <w:vAlign w:val="center"/>
          </w:tcPr>
          <w:p w:rsidR="006D26DC" w:rsidRPr="008D6C6C" w:rsidRDefault="00EE5147" w:rsidP="00EE5147">
            <w:pPr>
              <w:pStyle w:val="TableBodyCells"/>
              <w:rPr>
                <w:b/>
              </w:rPr>
            </w:pPr>
            <w:r>
              <w:rPr>
                <w:b/>
              </w:rPr>
              <w:t>150.08</w:t>
            </w:r>
          </w:p>
        </w:tc>
      </w:tr>
    </w:tbl>
    <w:p w:rsidR="001D4E25" w:rsidRDefault="001D4E25" w:rsidP="001D4E25">
      <w:pPr>
        <w:pStyle w:val="BodyText"/>
        <w:rPr>
          <w:highlight w:val="yellow"/>
        </w:rPr>
      </w:pPr>
    </w:p>
    <w:p w:rsidR="00306774" w:rsidRDefault="00D731E6" w:rsidP="0055275F">
      <w:pPr>
        <w:pStyle w:val="Heading1"/>
      </w:pPr>
      <w:bookmarkStart w:id="91" w:name="_Toc482626079"/>
      <w:r>
        <w:lastRenderedPageBreak/>
        <w:t>T</w:t>
      </w:r>
      <w:r w:rsidR="00306774" w:rsidRPr="00306774">
        <w:t>otal revenue</w:t>
      </w:r>
      <w:bookmarkEnd w:id="91"/>
    </w:p>
    <w:p w:rsidR="008E5DC2" w:rsidRDefault="008E5DC2" w:rsidP="00F55674">
      <w:pPr>
        <w:pStyle w:val="BodyText"/>
      </w:pPr>
      <w:r>
        <w:t xml:space="preserve">This </w:t>
      </w:r>
      <w:r w:rsidR="00E77DB0">
        <w:t xml:space="preserve">chapter of the supplementary </w:t>
      </w:r>
      <w:r>
        <w:t>submission updates tables relevant to calculating total revenue to take account of the revisions to the January AA proposal as discussed above. To be clear, these revisions are limited to those necessary to:</w:t>
      </w:r>
    </w:p>
    <w:p w:rsidR="008E5DC2" w:rsidRDefault="008E5DC2" w:rsidP="008E5DC2">
      <w:pPr>
        <w:pStyle w:val="ListBullet"/>
      </w:pPr>
      <w:r>
        <w:t>Incorporate the WORM project, and associated revisions to the forecast capital and operating expenditure allowance, made necessary by the WORM;</w:t>
      </w:r>
    </w:p>
    <w:p w:rsidR="008E5DC2" w:rsidRDefault="008E5DC2" w:rsidP="008E5DC2">
      <w:pPr>
        <w:pStyle w:val="ListBullet"/>
      </w:pPr>
      <w:r>
        <w:t>Correction of errors identified by the AER in relation to the calculation of inflation, impacting both the roll forward model and therefore the opening capital base for the forecast period, and the treatment of inflation within the PTRM; and</w:t>
      </w:r>
    </w:p>
    <w:p w:rsidR="008E5DC2" w:rsidRDefault="008E5DC2" w:rsidP="008E5DC2">
      <w:pPr>
        <w:pStyle w:val="ListBullet"/>
      </w:pPr>
      <w:r>
        <w:t>Correction of an error identified by APA VTS, and advised to the AER, in the calculation of allowances for passive linepack and spares, impacting forecast operating expenditure.</w:t>
      </w:r>
    </w:p>
    <w:p w:rsidR="00E1002B" w:rsidRDefault="00E1002B" w:rsidP="0055275F">
      <w:pPr>
        <w:pStyle w:val="Heading2"/>
      </w:pPr>
      <w:bookmarkStart w:id="92" w:name="_Toc482626080"/>
      <w:r>
        <w:t>Return on capital</w:t>
      </w:r>
      <w:bookmarkEnd w:id="92"/>
    </w:p>
    <w:p w:rsidR="00E1002B" w:rsidRDefault="00E1002B" w:rsidP="00F55674">
      <w:pPr>
        <w:pStyle w:val="BodyText"/>
      </w:pPr>
      <w:r>
        <w:t xml:space="preserve">The return on the projected capital base is calculated as the regulatory asset base multiplied by the weighted average cost of capital, as shown in </w:t>
      </w:r>
      <w:r>
        <w:fldChar w:fldCharType="begin"/>
      </w:r>
      <w:r>
        <w:instrText xml:space="preserve"> REF _Ref467769882 \h </w:instrText>
      </w:r>
      <w:r>
        <w:fldChar w:fldCharType="separate"/>
      </w:r>
      <w:r w:rsidR="006D055F" w:rsidRPr="008A4AF0">
        <w:t xml:space="preserve">Table </w:t>
      </w:r>
      <w:r w:rsidR="006D055F">
        <w:rPr>
          <w:noProof/>
        </w:rPr>
        <w:t>9</w:t>
      </w:r>
      <w:r w:rsidR="006D055F">
        <w:noBreakHyphen/>
      </w:r>
      <w:r w:rsidR="006D055F">
        <w:rPr>
          <w:noProof/>
        </w:rPr>
        <w:t>1</w:t>
      </w:r>
      <w:r>
        <w:fldChar w:fldCharType="end"/>
      </w:r>
      <w:r>
        <w:t xml:space="preserve"> below.</w:t>
      </w:r>
    </w:p>
    <w:p w:rsidR="00E1002B" w:rsidRPr="008A4AF0" w:rsidRDefault="00E1002B" w:rsidP="0032107D">
      <w:pPr>
        <w:pStyle w:val="Caption"/>
      </w:pPr>
      <w:bookmarkStart w:id="93" w:name="_Ref467769882"/>
      <w:bookmarkStart w:id="94" w:name="_Toc482626115"/>
      <w:r w:rsidRPr="008A4AF0">
        <w:t xml:space="preserve">Table </w:t>
      </w:r>
      <w:r w:rsidR="006D055F">
        <w:fldChar w:fldCharType="begin"/>
      </w:r>
      <w:r w:rsidR="006D055F">
        <w:instrText xml:space="preserve"> STYLEREF 1 \s </w:instrText>
      </w:r>
      <w:r w:rsidR="006D055F">
        <w:fldChar w:fldCharType="separate"/>
      </w:r>
      <w:r w:rsidR="006D055F">
        <w:rPr>
          <w:noProof/>
        </w:rPr>
        <w:t>9</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1</w:t>
      </w:r>
      <w:r w:rsidR="006D055F">
        <w:rPr>
          <w:noProof/>
        </w:rPr>
        <w:fldChar w:fldCharType="end"/>
      </w:r>
      <w:bookmarkEnd w:id="93"/>
      <w:r>
        <w:t xml:space="preserve"> –</w:t>
      </w:r>
      <w:r w:rsidRPr="008A4AF0">
        <w:t xml:space="preserve"> </w:t>
      </w:r>
      <w:r>
        <w:t>Return on capital</w:t>
      </w:r>
      <w:r w:rsidR="004352A9">
        <w:t xml:space="preserve"> (nominal $m)</w:t>
      </w:r>
      <w:bookmarkEnd w:id="94"/>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937"/>
        <w:gridCol w:w="1078"/>
        <w:gridCol w:w="1079"/>
        <w:gridCol w:w="1078"/>
        <w:gridCol w:w="1079"/>
        <w:gridCol w:w="1079"/>
      </w:tblGrid>
      <w:tr w:rsidR="00E1002B" w:rsidRPr="008A4AF0" w:rsidTr="00E1002B">
        <w:tc>
          <w:tcPr>
            <w:tcW w:w="2937" w:type="dxa"/>
            <w:shd w:val="clear" w:color="auto" w:fill="333333"/>
          </w:tcPr>
          <w:p w:rsidR="00E1002B" w:rsidRPr="00AF4988" w:rsidRDefault="004352A9" w:rsidP="00E1002B">
            <w:pPr>
              <w:pStyle w:val="TableColumnHeadings"/>
              <w:keepNext/>
              <w:jc w:val="left"/>
              <w:rPr>
                <w:rFonts w:ascii="Century Gothic" w:hAnsi="Century Gothic"/>
              </w:rPr>
            </w:pPr>
            <w:r>
              <w:rPr>
                <w:rFonts w:ascii="Century Gothic" w:hAnsi="Century Gothic"/>
              </w:rPr>
              <w:t>$m nominal</w:t>
            </w:r>
          </w:p>
        </w:tc>
        <w:tc>
          <w:tcPr>
            <w:tcW w:w="1078" w:type="dxa"/>
            <w:shd w:val="clear" w:color="auto" w:fill="333333"/>
          </w:tcPr>
          <w:p w:rsidR="00E1002B" w:rsidRPr="00AF4988" w:rsidRDefault="00E1002B" w:rsidP="00E1002B">
            <w:pPr>
              <w:pStyle w:val="TableColumnHeadings"/>
              <w:rPr>
                <w:rFonts w:ascii="Century Gothic" w:hAnsi="Century Gothic"/>
              </w:rPr>
            </w:pPr>
            <w:r>
              <w:rPr>
                <w:rFonts w:ascii="Century Gothic" w:hAnsi="Century Gothic"/>
              </w:rPr>
              <w:t>2018</w:t>
            </w:r>
          </w:p>
        </w:tc>
        <w:tc>
          <w:tcPr>
            <w:tcW w:w="1079" w:type="dxa"/>
            <w:shd w:val="clear" w:color="auto" w:fill="333333"/>
          </w:tcPr>
          <w:p w:rsidR="00E1002B" w:rsidRPr="00AF4988" w:rsidRDefault="00E1002B" w:rsidP="00E1002B">
            <w:pPr>
              <w:pStyle w:val="TableColumnHeadings"/>
              <w:rPr>
                <w:rFonts w:ascii="Century Gothic" w:hAnsi="Century Gothic"/>
              </w:rPr>
            </w:pPr>
            <w:r>
              <w:rPr>
                <w:rFonts w:ascii="Century Gothic" w:hAnsi="Century Gothic"/>
              </w:rPr>
              <w:t>2019</w:t>
            </w:r>
          </w:p>
        </w:tc>
        <w:tc>
          <w:tcPr>
            <w:tcW w:w="1078" w:type="dxa"/>
            <w:shd w:val="clear" w:color="auto" w:fill="333333"/>
          </w:tcPr>
          <w:p w:rsidR="00E1002B" w:rsidRPr="00AF4988" w:rsidRDefault="00E1002B" w:rsidP="00E1002B">
            <w:pPr>
              <w:pStyle w:val="TableColumnHeadings"/>
              <w:rPr>
                <w:rFonts w:ascii="Century Gothic" w:hAnsi="Century Gothic"/>
              </w:rPr>
            </w:pPr>
            <w:r>
              <w:rPr>
                <w:rFonts w:ascii="Century Gothic" w:hAnsi="Century Gothic"/>
              </w:rPr>
              <w:t>2020</w:t>
            </w:r>
          </w:p>
        </w:tc>
        <w:tc>
          <w:tcPr>
            <w:tcW w:w="1079" w:type="dxa"/>
            <w:shd w:val="clear" w:color="auto" w:fill="333333"/>
          </w:tcPr>
          <w:p w:rsidR="00E1002B" w:rsidRPr="00AF4988" w:rsidRDefault="00E1002B" w:rsidP="00E1002B">
            <w:pPr>
              <w:pStyle w:val="TableColumnHeadings"/>
              <w:rPr>
                <w:rFonts w:ascii="Century Gothic" w:hAnsi="Century Gothic"/>
              </w:rPr>
            </w:pPr>
            <w:r>
              <w:rPr>
                <w:rFonts w:ascii="Century Gothic" w:hAnsi="Century Gothic"/>
              </w:rPr>
              <w:t>2021</w:t>
            </w:r>
          </w:p>
        </w:tc>
        <w:tc>
          <w:tcPr>
            <w:tcW w:w="1079" w:type="dxa"/>
            <w:shd w:val="clear" w:color="auto" w:fill="333333"/>
          </w:tcPr>
          <w:p w:rsidR="00E1002B" w:rsidRPr="00AF4988" w:rsidRDefault="00E1002B" w:rsidP="00E1002B">
            <w:pPr>
              <w:pStyle w:val="TableColumnHeadings"/>
              <w:rPr>
                <w:rFonts w:ascii="Century Gothic" w:hAnsi="Century Gothic"/>
              </w:rPr>
            </w:pPr>
            <w:r>
              <w:rPr>
                <w:rFonts w:ascii="Century Gothic" w:hAnsi="Century Gothic"/>
              </w:rPr>
              <w:t>2022</w:t>
            </w:r>
          </w:p>
        </w:tc>
      </w:tr>
      <w:tr w:rsidR="0056418E" w:rsidRPr="008A4AF0" w:rsidTr="005F7BB2">
        <w:tc>
          <w:tcPr>
            <w:tcW w:w="2937" w:type="dxa"/>
            <w:shd w:val="clear" w:color="auto" w:fill="auto"/>
          </w:tcPr>
          <w:p w:rsidR="0056418E" w:rsidRPr="00184FFA" w:rsidRDefault="0056418E" w:rsidP="00E1002B">
            <w:pPr>
              <w:pStyle w:val="TableBodyCells"/>
              <w:keepNext/>
              <w:jc w:val="left"/>
            </w:pPr>
            <w:r>
              <w:t>Regulated asset base</w:t>
            </w:r>
          </w:p>
        </w:tc>
        <w:tc>
          <w:tcPr>
            <w:tcW w:w="1078" w:type="dxa"/>
            <w:shd w:val="clear" w:color="auto" w:fill="auto"/>
            <w:vAlign w:val="center"/>
          </w:tcPr>
          <w:p w:rsidR="0056418E" w:rsidRPr="00217781" w:rsidRDefault="0056418E" w:rsidP="00217781">
            <w:pPr>
              <w:pStyle w:val="TableBodyCells"/>
              <w:keepNext/>
            </w:pPr>
            <w:r w:rsidRPr="00AC6EB7">
              <w:t>1008.51</w:t>
            </w:r>
          </w:p>
        </w:tc>
        <w:tc>
          <w:tcPr>
            <w:tcW w:w="1079" w:type="dxa"/>
            <w:shd w:val="clear" w:color="auto" w:fill="auto"/>
            <w:vAlign w:val="center"/>
          </w:tcPr>
          <w:p w:rsidR="0056418E" w:rsidRPr="00217781" w:rsidRDefault="0056418E" w:rsidP="00217781">
            <w:pPr>
              <w:pStyle w:val="TableBodyCells"/>
              <w:keepNext/>
            </w:pPr>
            <w:r w:rsidRPr="00AC6EB7">
              <w:t>1035.86</w:t>
            </w:r>
          </w:p>
        </w:tc>
        <w:tc>
          <w:tcPr>
            <w:tcW w:w="1078" w:type="dxa"/>
            <w:shd w:val="clear" w:color="auto" w:fill="auto"/>
            <w:vAlign w:val="center"/>
          </w:tcPr>
          <w:p w:rsidR="0056418E" w:rsidRPr="00217781" w:rsidRDefault="0056418E" w:rsidP="00217781">
            <w:pPr>
              <w:pStyle w:val="TableBodyCells"/>
              <w:keepNext/>
            </w:pPr>
            <w:r w:rsidRPr="00AC6EB7">
              <w:t>1054.81</w:t>
            </w:r>
          </w:p>
        </w:tc>
        <w:tc>
          <w:tcPr>
            <w:tcW w:w="1079" w:type="dxa"/>
            <w:vAlign w:val="center"/>
          </w:tcPr>
          <w:p w:rsidR="0056418E" w:rsidRPr="00217781" w:rsidRDefault="0056418E" w:rsidP="00217781">
            <w:pPr>
              <w:pStyle w:val="TableBodyCells"/>
              <w:keepNext/>
            </w:pPr>
            <w:r w:rsidRPr="00AC6EB7">
              <w:t>1073.63</w:t>
            </w:r>
          </w:p>
        </w:tc>
        <w:tc>
          <w:tcPr>
            <w:tcW w:w="1079" w:type="dxa"/>
            <w:vAlign w:val="center"/>
          </w:tcPr>
          <w:p w:rsidR="0056418E" w:rsidRPr="00217781" w:rsidRDefault="0056418E" w:rsidP="00217781">
            <w:pPr>
              <w:pStyle w:val="TableBodyCells"/>
              <w:keepNext/>
            </w:pPr>
            <w:r w:rsidRPr="00AC6EB7">
              <w:t>1026.28</w:t>
            </w:r>
          </w:p>
        </w:tc>
      </w:tr>
      <w:tr w:rsidR="0056418E" w:rsidRPr="008A4AF0" w:rsidTr="00AC6EB7">
        <w:tc>
          <w:tcPr>
            <w:tcW w:w="2937" w:type="dxa"/>
            <w:shd w:val="clear" w:color="auto" w:fill="auto"/>
          </w:tcPr>
          <w:p w:rsidR="0056418E" w:rsidRPr="00184FFA" w:rsidRDefault="0056418E" w:rsidP="00E1002B">
            <w:pPr>
              <w:pStyle w:val="TableBodyCells"/>
              <w:keepNext/>
              <w:jc w:val="left"/>
            </w:pPr>
            <w:r>
              <w:t>WACC</w:t>
            </w:r>
          </w:p>
        </w:tc>
        <w:tc>
          <w:tcPr>
            <w:tcW w:w="1078" w:type="dxa"/>
            <w:shd w:val="clear" w:color="auto" w:fill="auto"/>
            <w:vAlign w:val="bottom"/>
          </w:tcPr>
          <w:p w:rsidR="0056418E" w:rsidRPr="008A4AF0" w:rsidRDefault="0056418E" w:rsidP="005F7BB2">
            <w:pPr>
              <w:pStyle w:val="TableBodyCells"/>
              <w:keepNext/>
            </w:pPr>
            <w:bookmarkStart w:id="95" w:name="RANGE!G18"/>
            <w:r w:rsidRPr="00AC6EB7">
              <w:t>7.88%</w:t>
            </w:r>
            <w:bookmarkEnd w:id="95"/>
          </w:p>
        </w:tc>
        <w:tc>
          <w:tcPr>
            <w:tcW w:w="1079" w:type="dxa"/>
            <w:shd w:val="clear" w:color="auto" w:fill="auto"/>
            <w:vAlign w:val="bottom"/>
          </w:tcPr>
          <w:p w:rsidR="0056418E" w:rsidRPr="00C241B6" w:rsidRDefault="0056418E" w:rsidP="005F7BB2">
            <w:pPr>
              <w:pStyle w:val="TableBodyCells"/>
              <w:keepNext/>
            </w:pPr>
            <w:bookmarkStart w:id="96" w:name="RANGE!H18"/>
            <w:r w:rsidRPr="00AC6EB7">
              <w:t>7.88%</w:t>
            </w:r>
            <w:bookmarkEnd w:id="96"/>
          </w:p>
        </w:tc>
        <w:tc>
          <w:tcPr>
            <w:tcW w:w="1078" w:type="dxa"/>
            <w:shd w:val="clear" w:color="auto" w:fill="auto"/>
            <w:vAlign w:val="bottom"/>
          </w:tcPr>
          <w:p w:rsidR="0056418E" w:rsidRPr="00C241B6" w:rsidRDefault="0056418E" w:rsidP="005F7BB2">
            <w:pPr>
              <w:pStyle w:val="TableBodyCells"/>
              <w:keepNext/>
            </w:pPr>
            <w:bookmarkStart w:id="97" w:name="RANGE!I18"/>
            <w:r w:rsidRPr="00AC6EB7">
              <w:t>7.88%</w:t>
            </w:r>
            <w:bookmarkEnd w:id="97"/>
          </w:p>
        </w:tc>
        <w:tc>
          <w:tcPr>
            <w:tcW w:w="1079" w:type="dxa"/>
            <w:vAlign w:val="bottom"/>
          </w:tcPr>
          <w:p w:rsidR="0056418E" w:rsidRPr="00C241B6" w:rsidRDefault="0056418E" w:rsidP="005F7BB2">
            <w:pPr>
              <w:pStyle w:val="TableBodyCells"/>
              <w:keepNext/>
            </w:pPr>
            <w:bookmarkStart w:id="98" w:name="RANGE!J18"/>
            <w:r w:rsidRPr="00AC6EB7">
              <w:t>7.88%</w:t>
            </w:r>
            <w:bookmarkEnd w:id="98"/>
          </w:p>
        </w:tc>
        <w:tc>
          <w:tcPr>
            <w:tcW w:w="1079" w:type="dxa"/>
            <w:vAlign w:val="bottom"/>
          </w:tcPr>
          <w:p w:rsidR="0056418E" w:rsidRPr="008A4AF0" w:rsidRDefault="0056418E" w:rsidP="005F7BB2">
            <w:pPr>
              <w:pStyle w:val="TableBodyCells"/>
              <w:keepNext/>
            </w:pPr>
            <w:bookmarkStart w:id="99" w:name="RANGE!K18"/>
            <w:r w:rsidRPr="00AC6EB7">
              <w:t>7.88%</w:t>
            </w:r>
            <w:bookmarkEnd w:id="99"/>
          </w:p>
        </w:tc>
      </w:tr>
      <w:tr w:rsidR="0056418E" w:rsidRPr="00C241B6" w:rsidTr="005F7BB2">
        <w:tc>
          <w:tcPr>
            <w:tcW w:w="2937" w:type="dxa"/>
            <w:shd w:val="clear" w:color="auto" w:fill="auto"/>
          </w:tcPr>
          <w:p w:rsidR="0056418E" w:rsidRPr="00184FFA" w:rsidRDefault="0056418E" w:rsidP="00E1002B">
            <w:pPr>
              <w:pStyle w:val="TableBodyCells"/>
              <w:keepNext/>
              <w:jc w:val="left"/>
            </w:pPr>
            <w:r>
              <w:t>Return on Capital</w:t>
            </w:r>
          </w:p>
        </w:tc>
        <w:tc>
          <w:tcPr>
            <w:tcW w:w="1078" w:type="dxa"/>
            <w:shd w:val="clear" w:color="auto" w:fill="auto"/>
            <w:vAlign w:val="center"/>
          </w:tcPr>
          <w:p w:rsidR="0056418E" w:rsidRPr="00217781" w:rsidRDefault="0056418E" w:rsidP="00217781">
            <w:pPr>
              <w:pStyle w:val="TableBodyCells"/>
              <w:keepNext/>
            </w:pPr>
            <w:r w:rsidRPr="00AC6EB7">
              <w:t>79.49</w:t>
            </w:r>
          </w:p>
        </w:tc>
        <w:tc>
          <w:tcPr>
            <w:tcW w:w="1079" w:type="dxa"/>
            <w:shd w:val="clear" w:color="auto" w:fill="auto"/>
            <w:vAlign w:val="center"/>
          </w:tcPr>
          <w:p w:rsidR="0056418E" w:rsidRPr="00217781" w:rsidRDefault="0056418E" w:rsidP="00217781">
            <w:pPr>
              <w:pStyle w:val="TableBodyCells"/>
              <w:keepNext/>
            </w:pPr>
            <w:r w:rsidRPr="00AC6EB7">
              <w:t>81.65</w:t>
            </w:r>
          </w:p>
        </w:tc>
        <w:tc>
          <w:tcPr>
            <w:tcW w:w="1078" w:type="dxa"/>
            <w:shd w:val="clear" w:color="auto" w:fill="auto"/>
            <w:vAlign w:val="center"/>
          </w:tcPr>
          <w:p w:rsidR="0056418E" w:rsidRPr="00217781" w:rsidRDefault="0056418E" w:rsidP="00217781">
            <w:pPr>
              <w:pStyle w:val="TableBodyCells"/>
              <w:keepNext/>
            </w:pPr>
            <w:r w:rsidRPr="00AC6EB7">
              <w:t>83.14</w:t>
            </w:r>
          </w:p>
        </w:tc>
        <w:tc>
          <w:tcPr>
            <w:tcW w:w="1079" w:type="dxa"/>
            <w:vAlign w:val="center"/>
          </w:tcPr>
          <w:p w:rsidR="0056418E" w:rsidRPr="00217781" w:rsidRDefault="0056418E" w:rsidP="00217781">
            <w:pPr>
              <w:pStyle w:val="TableBodyCells"/>
              <w:keepNext/>
            </w:pPr>
            <w:r w:rsidRPr="00AC6EB7">
              <w:t>84.62</w:t>
            </w:r>
          </w:p>
        </w:tc>
        <w:tc>
          <w:tcPr>
            <w:tcW w:w="1079" w:type="dxa"/>
            <w:vAlign w:val="center"/>
          </w:tcPr>
          <w:p w:rsidR="0056418E" w:rsidRPr="00217781" w:rsidRDefault="0056418E" w:rsidP="00217781">
            <w:pPr>
              <w:pStyle w:val="TableBodyCells"/>
              <w:keepNext/>
            </w:pPr>
            <w:r w:rsidRPr="00AC6EB7">
              <w:t>80.89</w:t>
            </w:r>
          </w:p>
        </w:tc>
      </w:tr>
    </w:tbl>
    <w:p w:rsidR="00E1002B" w:rsidRDefault="00E1002B" w:rsidP="0055275F">
      <w:pPr>
        <w:pStyle w:val="Heading2"/>
      </w:pPr>
      <w:bookmarkStart w:id="100" w:name="_Toc482626081"/>
      <w:r>
        <w:t>Return of capital</w:t>
      </w:r>
      <w:bookmarkEnd w:id="100"/>
    </w:p>
    <w:p w:rsidR="00B37BD9" w:rsidRDefault="008E5DC2" w:rsidP="00B37BD9">
      <w:pPr>
        <w:pStyle w:val="BodyText"/>
      </w:pPr>
      <w:r>
        <w:t xml:space="preserve">Forecast regulatory depreciation as set out in </w:t>
      </w:r>
      <w:r w:rsidR="00B37BD9">
        <w:fldChar w:fldCharType="begin"/>
      </w:r>
      <w:r w:rsidR="00B37BD9">
        <w:instrText xml:space="preserve"> REF _Ref470011264 \h </w:instrText>
      </w:r>
      <w:r w:rsidR="00B37BD9">
        <w:fldChar w:fldCharType="separate"/>
      </w:r>
      <w:r w:rsidR="006D055F">
        <w:t xml:space="preserve">Table </w:t>
      </w:r>
      <w:r w:rsidR="006D055F">
        <w:rPr>
          <w:noProof/>
        </w:rPr>
        <w:t>9</w:t>
      </w:r>
      <w:r w:rsidR="006D055F">
        <w:noBreakHyphen/>
      </w:r>
      <w:r w:rsidR="006D055F">
        <w:rPr>
          <w:noProof/>
        </w:rPr>
        <w:t>2</w:t>
      </w:r>
      <w:r w:rsidR="00B37BD9">
        <w:fldChar w:fldCharType="end"/>
      </w:r>
      <w:r w:rsidR="00B37BD9" w:rsidRPr="005423E6">
        <w:t>.</w:t>
      </w:r>
      <w:bookmarkStart w:id="101" w:name="_Ref469650251"/>
    </w:p>
    <w:p w:rsidR="00B37BD9" w:rsidRDefault="00B37BD9" w:rsidP="00B37BD9">
      <w:pPr>
        <w:pStyle w:val="Caption"/>
      </w:pPr>
      <w:bookmarkStart w:id="102" w:name="_Ref470011264"/>
      <w:bookmarkStart w:id="103" w:name="_Toc482626116"/>
      <w:bookmarkEnd w:id="101"/>
      <w:r>
        <w:lastRenderedPageBreak/>
        <w:t xml:space="preserve">Table </w:t>
      </w:r>
      <w:r w:rsidR="006D055F">
        <w:fldChar w:fldCharType="begin"/>
      </w:r>
      <w:r w:rsidR="006D055F">
        <w:instrText xml:space="preserve"> STYLEREF 1 \s </w:instrText>
      </w:r>
      <w:r w:rsidR="006D055F">
        <w:fldChar w:fldCharType="separate"/>
      </w:r>
      <w:r w:rsidR="006D055F">
        <w:rPr>
          <w:noProof/>
        </w:rPr>
        <w:t>9</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2</w:t>
      </w:r>
      <w:r w:rsidR="006D055F">
        <w:rPr>
          <w:noProof/>
        </w:rPr>
        <w:fldChar w:fldCharType="end"/>
      </w:r>
      <w:bookmarkEnd w:id="102"/>
      <w:r>
        <w:t xml:space="preserve"> – </w:t>
      </w:r>
      <w:r w:rsidRPr="00BF586E">
        <w:t xml:space="preserve">Forecast depreciation over </w:t>
      </w:r>
      <w:r w:rsidR="004352A9">
        <w:t>the access arrangement period (</w:t>
      </w:r>
      <w:r w:rsidRPr="00BF586E">
        <w:t>nominal</w:t>
      </w:r>
      <w:r w:rsidR="004352A9">
        <w:t xml:space="preserve"> $m</w:t>
      </w:r>
      <w:r w:rsidRPr="00BF586E">
        <w:t>)</w:t>
      </w:r>
      <w:bookmarkEnd w:id="103"/>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937"/>
        <w:gridCol w:w="1078"/>
        <w:gridCol w:w="1079"/>
        <w:gridCol w:w="1078"/>
        <w:gridCol w:w="1079"/>
        <w:gridCol w:w="1079"/>
      </w:tblGrid>
      <w:tr w:rsidR="00B37BD9" w:rsidRPr="008A4AF0" w:rsidTr="00D47CD9">
        <w:tc>
          <w:tcPr>
            <w:tcW w:w="2937" w:type="dxa"/>
            <w:shd w:val="clear" w:color="auto" w:fill="333333"/>
          </w:tcPr>
          <w:p w:rsidR="00B37BD9" w:rsidRPr="00AF4988" w:rsidRDefault="004352A9" w:rsidP="00D47CD9">
            <w:pPr>
              <w:pStyle w:val="TableColumnHeadings"/>
              <w:keepNext/>
              <w:jc w:val="left"/>
              <w:rPr>
                <w:rFonts w:ascii="Century Gothic" w:hAnsi="Century Gothic"/>
              </w:rPr>
            </w:pPr>
            <w:r>
              <w:rPr>
                <w:rFonts w:ascii="Century Gothic" w:hAnsi="Century Gothic"/>
              </w:rPr>
              <w:t>$m nominal</w:t>
            </w:r>
          </w:p>
        </w:tc>
        <w:tc>
          <w:tcPr>
            <w:tcW w:w="1078" w:type="dxa"/>
            <w:shd w:val="clear" w:color="auto" w:fill="333333"/>
          </w:tcPr>
          <w:p w:rsidR="00B37BD9" w:rsidRPr="00AF4988" w:rsidRDefault="00B37BD9" w:rsidP="00D47CD9">
            <w:pPr>
              <w:pStyle w:val="TableColumnHeadings"/>
              <w:rPr>
                <w:rFonts w:ascii="Century Gothic" w:hAnsi="Century Gothic"/>
              </w:rPr>
            </w:pPr>
            <w:r>
              <w:rPr>
                <w:rFonts w:ascii="Century Gothic" w:hAnsi="Century Gothic"/>
              </w:rPr>
              <w:t>2018</w:t>
            </w:r>
          </w:p>
        </w:tc>
        <w:tc>
          <w:tcPr>
            <w:tcW w:w="1079" w:type="dxa"/>
            <w:shd w:val="clear" w:color="auto" w:fill="333333"/>
          </w:tcPr>
          <w:p w:rsidR="00B37BD9" w:rsidRPr="00AF4988" w:rsidRDefault="00B37BD9" w:rsidP="00D47CD9">
            <w:pPr>
              <w:pStyle w:val="TableColumnHeadings"/>
              <w:rPr>
                <w:rFonts w:ascii="Century Gothic" w:hAnsi="Century Gothic"/>
              </w:rPr>
            </w:pPr>
            <w:r>
              <w:rPr>
                <w:rFonts w:ascii="Century Gothic" w:hAnsi="Century Gothic"/>
              </w:rPr>
              <w:t>2019</w:t>
            </w:r>
          </w:p>
        </w:tc>
        <w:tc>
          <w:tcPr>
            <w:tcW w:w="1078" w:type="dxa"/>
            <w:shd w:val="clear" w:color="auto" w:fill="333333"/>
          </w:tcPr>
          <w:p w:rsidR="00B37BD9" w:rsidRPr="00AF4988" w:rsidRDefault="00B37BD9" w:rsidP="00D47CD9">
            <w:pPr>
              <w:pStyle w:val="TableColumnHeadings"/>
              <w:rPr>
                <w:rFonts w:ascii="Century Gothic" w:hAnsi="Century Gothic"/>
              </w:rPr>
            </w:pPr>
            <w:r>
              <w:rPr>
                <w:rFonts w:ascii="Century Gothic" w:hAnsi="Century Gothic"/>
              </w:rPr>
              <w:t>2020</w:t>
            </w:r>
          </w:p>
        </w:tc>
        <w:tc>
          <w:tcPr>
            <w:tcW w:w="1079" w:type="dxa"/>
            <w:shd w:val="clear" w:color="auto" w:fill="333333"/>
          </w:tcPr>
          <w:p w:rsidR="00B37BD9" w:rsidRPr="00AF4988" w:rsidRDefault="00B37BD9" w:rsidP="00D47CD9">
            <w:pPr>
              <w:pStyle w:val="TableColumnHeadings"/>
              <w:rPr>
                <w:rFonts w:ascii="Century Gothic" w:hAnsi="Century Gothic"/>
              </w:rPr>
            </w:pPr>
            <w:r>
              <w:rPr>
                <w:rFonts w:ascii="Century Gothic" w:hAnsi="Century Gothic"/>
              </w:rPr>
              <w:t>2021</w:t>
            </w:r>
          </w:p>
        </w:tc>
        <w:tc>
          <w:tcPr>
            <w:tcW w:w="1079" w:type="dxa"/>
            <w:shd w:val="clear" w:color="auto" w:fill="333333"/>
          </w:tcPr>
          <w:p w:rsidR="00B37BD9" w:rsidRPr="00AF4988" w:rsidRDefault="00B37BD9" w:rsidP="00D47CD9">
            <w:pPr>
              <w:pStyle w:val="TableColumnHeadings"/>
              <w:rPr>
                <w:rFonts w:ascii="Century Gothic" w:hAnsi="Century Gothic"/>
              </w:rPr>
            </w:pPr>
            <w:r>
              <w:rPr>
                <w:rFonts w:ascii="Century Gothic" w:hAnsi="Century Gothic"/>
              </w:rPr>
              <w:t>2022</w:t>
            </w:r>
          </w:p>
        </w:tc>
      </w:tr>
      <w:tr w:rsidR="00F55B05" w:rsidRPr="008A4AF0" w:rsidTr="000D7CDC">
        <w:tc>
          <w:tcPr>
            <w:tcW w:w="2937" w:type="dxa"/>
            <w:shd w:val="clear" w:color="auto" w:fill="auto"/>
          </w:tcPr>
          <w:p w:rsidR="00F55B05" w:rsidRPr="00184FFA" w:rsidRDefault="00F55B05" w:rsidP="00D47CD9">
            <w:pPr>
              <w:pStyle w:val="TableBodyCells"/>
              <w:keepNext/>
              <w:jc w:val="left"/>
            </w:pPr>
            <w:r>
              <w:t>Straight line depreciation</w:t>
            </w:r>
          </w:p>
        </w:tc>
        <w:tc>
          <w:tcPr>
            <w:tcW w:w="1078" w:type="dxa"/>
            <w:shd w:val="clear" w:color="auto" w:fill="auto"/>
            <w:vAlign w:val="center"/>
          </w:tcPr>
          <w:p w:rsidR="00F55B05" w:rsidRPr="008D6C6C" w:rsidRDefault="00F55B05" w:rsidP="00217781">
            <w:pPr>
              <w:pStyle w:val="TableBodyCells"/>
              <w:keepNext/>
            </w:pPr>
            <w:r w:rsidRPr="00AC6EB7">
              <w:rPr>
                <w:rFonts w:cs="Arial"/>
              </w:rPr>
              <w:t>37.07</w:t>
            </w:r>
          </w:p>
        </w:tc>
        <w:tc>
          <w:tcPr>
            <w:tcW w:w="1079" w:type="dxa"/>
            <w:shd w:val="clear" w:color="auto" w:fill="auto"/>
            <w:vAlign w:val="center"/>
          </w:tcPr>
          <w:p w:rsidR="00F55B05" w:rsidRPr="008D6C6C" w:rsidRDefault="00F55B05" w:rsidP="00217781">
            <w:pPr>
              <w:pStyle w:val="TableBodyCells"/>
              <w:keepNext/>
            </w:pPr>
            <w:r w:rsidRPr="00AC6EB7">
              <w:rPr>
                <w:rFonts w:cs="Arial"/>
              </w:rPr>
              <w:t>41.01</w:t>
            </w:r>
          </w:p>
        </w:tc>
        <w:tc>
          <w:tcPr>
            <w:tcW w:w="1078" w:type="dxa"/>
            <w:shd w:val="clear" w:color="auto" w:fill="auto"/>
            <w:vAlign w:val="center"/>
          </w:tcPr>
          <w:p w:rsidR="00F55B05" w:rsidRPr="008D6C6C" w:rsidRDefault="00F55B05" w:rsidP="00217781">
            <w:pPr>
              <w:pStyle w:val="TableBodyCells"/>
              <w:keepNext/>
            </w:pPr>
            <w:r w:rsidRPr="00AC6EB7">
              <w:rPr>
                <w:rFonts w:cs="Arial"/>
              </w:rPr>
              <w:t>44.26</w:t>
            </w:r>
          </w:p>
        </w:tc>
        <w:tc>
          <w:tcPr>
            <w:tcW w:w="1079" w:type="dxa"/>
            <w:vAlign w:val="center"/>
          </w:tcPr>
          <w:p w:rsidR="00F55B05" w:rsidRPr="008D6C6C" w:rsidRDefault="00F55B05" w:rsidP="00217781">
            <w:pPr>
              <w:pStyle w:val="TableBodyCells"/>
              <w:keepNext/>
            </w:pPr>
            <w:r w:rsidRPr="00AC6EB7">
              <w:rPr>
                <w:rFonts w:cs="Arial"/>
              </w:rPr>
              <w:t>49.39</w:t>
            </w:r>
          </w:p>
        </w:tc>
        <w:tc>
          <w:tcPr>
            <w:tcW w:w="1079" w:type="dxa"/>
            <w:vAlign w:val="center"/>
          </w:tcPr>
          <w:p w:rsidR="00F55B05" w:rsidRPr="008D6C6C" w:rsidRDefault="00F55B05" w:rsidP="00217781">
            <w:pPr>
              <w:pStyle w:val="TableBodyCells"/>
              <w:keepNext/>
            </w:pPr>
            <w:r w:rsidRPr="00AC6EB7">
              <w:rPr>
                <w:rFonts w:cs="Arial"/>
              </w:rPr>
              <w:t>47.32</w:t>
            </w:r>
          </w:p>
        </w:tc>
      </w:tr>
      <w:tr w:rsidR="00F55B05" w:rsidRPr="008A4AF0" w:rsidTr="000D7CDC">
        <w:tc>
          <w:tcPr>
            <w:tcW w:w="2937" w:type="dxa"/>
            <w:shd w:val="clear" w:color="auto" w:fill="auto"/>
          </w:tcPr>
          <w:p w:rsidR="00F55B05" w:rsidRPr="00184FFA" w:rsidRDefault="00F55B05" w:rsidP="00D47CD9">
            <w:pPr>
              <w:pStyle w:val="TableBodyCells"/>
              <w:keepNext/>
              <w:jc w:val="left"/>
            </w:pPr>
            <w:r>
              <w:t>Indexation</w:t>
            </w:r>
          </w:p>
        </w:tc>
        <w:tc>
          <w:tcPr>
            <w:tcW w:w="1078" w:type="dxa"/>
            <w:shd w:val="clear" w:color="auto" w:fill="auto"/>
            <w:vAlign w:val="center"/>
          </w:tcPr>
          <w:p w:rsidR="00F55B05" w:rsidRPr="008D6C6C" w:rsidRDefault="00F55B05" w:rsidP="00217781">
            <w:pPr>
              <w:pStyle w:val="TableBodyCells"/>
              <w:keepNext/>
            </w:pPr>
            <w:r w:rsidRPr="00AC6EB7">
              <w:rPr>
                <w:rFonts w:cs="Arial"/>
              </w:rPr>
              <w:t>20.17</w:t>
            </w:r>
          </w:p>
        </w:tc>
        <w:tc>
          <w:tcPr>
            <w:tcW w:w="1079" w:type="dxa"/>
            <w:shd w:val="clear" w:color="auto" w:fill="auto"/>
            <w:vAlign w:val="center"/>
          </w:tcPr>
          <w:p w:rsidR="00F55B05" w:rsidRPr="008D6C6C" w:rsidRDefault="00F55B05" w:rsidP="00217781">
            <w:pPr>
              <w:pStyle w:val="TableBodyCells"/>
              <w:keepNext/>
            </w:pPr>
            <w:r w:rsidRPr="00AC6EB7">
              <w:rPr>
                <w:rFonts w:cs="Arial"/>
              </w:rPr>
              <w:t>21.46</w:t>
            </w:r>
          </w:p>
        </w:tc>
        <w:tc>
          <w:tcPr>
            <w:tcW w:w="1078" w:type="dxa"/>
            <w:shd w:val="clear" w:color="auto" w:fill="auto"/>
            <w:vAlign w:val="center"/>
          </w:tcPr>
          <w:p w:rsidR="00F55B05" w:rsidRPr="008D6C6C" w:rsidRDefault="00F55B05" w:rsidP="00217781">
            <w:pPr>
              <w:pStyle w:val="TableBodyCells"/>
              <w:keepNext/>
            </w:pPr>
            <w:r w:rsidRPr="00AC6EB7">
              <w:rPr>
                <w:rFonts w:cs="Arial"/>
              </w:rPr>
              <w:t>22.61</w:t>
            </w:r>
          </w:p>
        </w:tc>
        <w:tc>
          <w:tcPr>
            <w:tcW w:w="1079" w:type="dxa"/>
            <w:vAlign w:val="center"/>
          </w:tcPr>
          <w:p w:rsidR="00F55B05" w:rsidRPr="008D6C6C" w:rsidRDefault="00F55B05" w:rsidP="00217781">
            <w:pPr>
              <w:pStyle w:val="TableBodyCells"/>
              <w:keepNext/>
            </w:pPr>
            <w:r w:rsidRPr="00AC6EB7">
              <w:rPr>
                <w:rFonts w:cs="Arial"/>
              </w:rPr>
              <w:t>23.79</w:t>
            </w:r>
          </w:p>
        </w:tc>
        <w:tc>
          <w:tcPr>
            <w:tcW w:w="1079" w:type="dxa"/>
            <w:vAlign w:val="center"/>
          </w:tcPr>
          <w:p w:rsidR="00F55B05" w:rsidRPr="008D6C6C" w:rsidRDefault="00F55B05" w:rsidP="00217781">
            <w:pPr>
              <w:pStyle w:val="TableBodyCells"/>
              <w:keepNext/>
            </w:pPr>
            <w:r w:rsidRPr="00AC6EB7">
              <w:rPr>
                <w:rFonts w:cs="Arial"/>
              </w:rPr>
              <w:t>23.67</w:t>
            </w:r>
          </w:p>
        </w:tc>
      </w:tr>
      <w:tr w:rsidR="00F55B05" w:rsidRPr="00C241B6" w:rsidTr="000D7CDC">
        <w:tc>
          <w:tcPr>
            <w:tcW w:w="2937" w:type="dxa"/>
            <w:shd w:val="clear" w:color="auto" w:fill="auto"/>
          </w:tcPr>
          <w:p w:rsidR="00F55B05" w:rsidRPr="00184FFA" w:rsidRDefault="00F55B05" w:rsidP="00D47CD9">
            <w:pPr>
              <w:pStyle w:val="TableBodyCells"/>
              <w:keepNext/>
              <w:jc w:val="left"/>
            </w:pPr>
            <w:r>
              <w:t>Regulatory depreciation</w:t>
            </w:r>
          </w:p>
        </w:tc>
        <w:tc>
          <w:tcPr>
            <w:tcW w:w="1078" w:type="dxa"/>
            <w:shd w:val="clear" w:color="auto" w:fill="auto"/>
            <w:vAlign w:val="center"/>
          </w:tcPr>
          <w:p w:rsidR="00F55B05" w:rsidRPr="008D6C6C" w:rsidRDefault="00F55B05" w:rsidP="00217781">
            <w:pPr>
              <w:pStyle w:val="TableBodyCells"/>
              <w:keepNext/>
            </w:pPr>
            <w:r w:rsidRPr="00AC6EB7">
              <w:rPr>
                <w:rFonts w:cs="Arial"/>
              </w:rPr>
              <w:t>16.90</w:t>
            </w:r>
          </w:p>
        </w:tc>
        <w:tc>
          <w:tcPr>
            <w:tcW w:w="1079" w:type="dxa"/>
            <w:shd w:val="clear" w:color="auto" w:fill="auto"/>
            <w:vAlign w:val="center"/>
          </w:tcPr>
          <w:p w:rsidR="00F55B05" w:rsidRPr="008D6C6C" w:rsidRDefault="00F55B05" w:rsidP="00217781">
            <w:pPr>
              <w:pStyle w:val="TableBodyCells"/>
              <w:keepNext/>
            </w:pPr>
            <w:r w:rsidRPr="00AC6EB7">
              <w:rPr>
                <w:rFonts w:cs="Arial"/>
              </w:rPr>
              <w:t>19.55</w:t>
            </w:r>
          </w:p>
        </w:tc>
        <w:tc>
          <w:tcPr>
            <w:tcW w:w="1078" w:type="dxa"/>
            <w:shd w:val="clear" w:color="auto" w:fill="auto"/>
            <w:vAlign w:val="center"/>
          </w:tcPr>
          <w:p w:rsidR="00F55B05" w:rsidRPr="008D6C6C" w:rsidRDefault="00F55B05" w:rsidP="00217781">
            <w:pPr>
              <w:pStyle w:val="TableBodyCells"/>
              <w:keepNext/>
            </w:pPr>
            <w:r w:rsidRPr="00AC6EB7">
              <w:rPr>
                <w:rFonts w:cs="Arial"/>
              </w:rPr>
              <w:t>21.65</w:t>
            </w:r>
          </w:p>
        </w:tc>
        <w:tc>
          <w:tcPr>
            <w:tcW w:w="1079" w:type="dxa"/>
            <w:vAlign w:val="center"/>
          </w:tcPr>
          <w:p w:rsidR="00F55B05" w:rsidRPr="008D6C6C" w:rsidRDefault="00F55B05" w:rsidP="00217781">
            <w:pPr>
              <w:pStyle w:val="TableBodyCells"/>
              <w:keepNext/>
            </w:pPr>
            <w:r w:rsidRPr="00AC6EB7">
              <w:rPr>
                <w:rFonts w:cs="Arial"/>
              </w:rPr>
              <w:t>25.60</w:t>
            </w:r>
          </w:p>
        </w:tc>
        <w:tc>
          <w:tcPr>
            <w:tcW w:w="1079" w:type="dxa"/>
            <w:vAlign w:val="center"/>
          </w:tcPr>
          <w:p w:rsidR="00F55B05" w:rsidRPr="008D6C6C" w:rsidRDefault="00F55B05" w:rsidP="00217781">
            <w:pPr>
              <w:pStyle w:val="TableBodyCells"/>
              <w:keepNext/>
            </w:pPr>
            <w:r w:rsidRPr="00AC6EB7">
              <w:rPr>
                <w:rFonts w:cs="Arial"/>
              </w:rPr>
              <w:t>23.65</w:t>
            </w:r>
          </w:p>
        </w:tc>
      </w:tr>
    </w:tbl>
    <w:p w:rsidR="00607CD7" w:rsidRDefault="00607CD7" w:rsidP="0055275F">
      <w:pPr>
        <w:pStyle w:val="Heading2"/>
      </w:pPr>
      <w:bookmarkStart w:id="104" w:name="_Ref470080436"/>
      <w:bookmarkStart w:id="105" w:name="_Toc482626082"/>
      <w:r>
        <w:t>Corporate income tax</w:t>
      </w:r>
      <w:bookmarkEnd w:id="104"/>
      <w:bookmarkEnd w:id="105"/>
    </w:p>
    <w:p w:rsidR="00B37BD9" w:rsidRDefault="00B637D0" w:rsidP="00B37BD9">
      <w:pPr>
        <w:pStyle w:val="BodyText"/>
      </w:pPr>
      <w:r w:rsidRPr="00B637D0">
        <w:t>Corporate income tax is calculated in the financial model accompanying this submission</w:t>
      </w:r>
      <w:r w:rsidR="00697470">
        <w:t xml:space="preserve"> at Attachment </w:t>
      </w:r>
      <w:r w:rsidR="008E5DC2">
        <w:fldChar w:fldCharType="begin"/>
      </w:r>
      <w:r w:rsidR="008E5DC2">
        <w:instrText xml:space="preserve"> REF _Ref482018902 \r \h </w:instrText>
      </w:r>
      <w:r w:rsidR="008E5DC2">
        <w:fldChar w:fldCharType="separate"/>
      </w:r>
      <w:r w:rsidR="006D055F">
        <w:t>B</w:t>
      </w:r>
      <w:r w:rsidR="008E5DC2">
        <w:fldChar w:fldCharType="end"/>
      </w:r>
      <w:r w:rsidRPr="00B637D0">
        <w:t xml:space="preserve">. </w:t>
      </w:r>
      <w:r w:rsidR="00B37BD9">
        <w:t>APA VTS</w:t>
      </w:r>
      <w:r w:rsidR="00B37BD9" w:rsidRPr="005423E6">
        <w:t xml:space="preserve">’s corporate income tax allowance is set out in </w:t>
      </w:r>
      <w:r w:rsidR="00B37BD9">
        <w:fldChar w:fldCharType="begin"/>
      </w:r>
      <w:r w:rsidR="00B37BD9">
        <w:instrText xml:space="preserve"> REF _Ref469660959 \h </w:instrText>
      </w:r>
      <w:r w:rsidR="00B37BD9">
        <w:fldChar w:fldCharType="separate"/>
      </w:r>
      <w:r w:rsidR="006D055F" w:rsidRPr="008A4AF0">
        <w:t xml:space="preserve">Table </w:t>
      </w:r>
      <w:r w:rsidR="006D055F">
        <w:rPr>
          <w:noProof/>
        </w:rPr>
        <w:t>9</w:t>
      </w:r>
      <w:r w:rsidR="006D055F">
        <w:noBreakHyphen/>
      </w:r>
      <w:r w:rsidR="006D055F">
        <w:rPr>
          <w:noProof/>
        </w:rPr>
        <w:t>3</w:t>
      </w:r>
      <w:r w:rsidR="00B37BD9">
        <w:fldChar w:fldCharType="end"/>
      </w:r>
      <w:r w:rsidR="00B37BD9">
        <w:t xml:space="preserve"> </w:t>
      </w:r>
      <w:r w:rsidR="00B37BD9" w:rsidRPr="005423E6">
        <w:t>below.</w:t>
      </w:r>
      <w:r w:rsidR="00B37BD9">
        <w:t xml:space="preserve"> </w:t>
      </w:r>
    </w:p>
    <w:p w:rsidR="00B37BD9" w:rsidRPr="008A4AF0" w:rsidRDefault="00B37BD9" w:rsidP="00B37BD9">
      <w:pPr>
        <w:pStyle w:val="Caption"/>
      </w:pPr>
      <w:bookmarkStart w:id="106" w:name="_Ref469660959"/>
      <w:bookmarkStart w:id="107" w:name="_Toc469584980"/>
      <w:bookmarkStart w:id="108" w:name="_Toc482626117"/>
      <w:r w:rsidRPr="008A4AF0">
        <w:t xml:space="preserve">Table </w:t>
      </w:r>
      <w:r w:rsidR="006D055F">
        <w:fldChar w:fldCharType="begin"/>
      </w:r>
      <w:r w:rsidR="006D055F">
        <w:instrText xml:space="preserve"> STYLEREF 1 \s </w:instrText>
      </w:r>
      <w:r w:rsidR="006D055F">
        <w:fldChar w:fldCharType="separate"/>
      </w:r>
      <w:r w:rsidR="006D055F">
        <w:rPr>
          <w:noProof/>
        </w:rPr>
        <w:t>9</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3</w:t>
      </w:r>
      <w:r w:rsidR="006D055F">
        <w:rPr>
          <w:noProof/>
        </w:rPr>
        <w:fldChar w:fldCharType="end"/>
      </w:r>
      <w:bookmarkEnd w:id="106"/>
      <w:r>
        <w:t xml:space="preserve"> –</w:t>
      </w:r>
      <w:r w:rsidRPr="008A4AF0">
        <w:t xml:space="preserve"> </w:t>
      </w:r>
      <w:r>
        <w:t>Forecast corporate tax allowance</w:t>
      </w:r>
      <w:bookmarkEnd w:id="107"/>
      <w:r w:rsidR="004352A9">
        <w:t xml:space="preserve"> (nominal $m)</w:t>
      </w:r>
      <w:bookmarkEnd w:id="108"/>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937"/>
        <w:gridCol w:w="1078"/>
        <w:gridCol w:w="1079"/>
        <w:gridCol w:w="1078"/>
        <w:gridCol w:w="1079"/>
        <w:gridCol w:w="1079"/>
      </w:tblGrid>
      <w:tr w:rsidR="00B37BD9" w:rsidRPr="008A4AF0" w:rsidTr="00D47CD9">
        <w:tc>
          <w:tcPr>
            <w:tcW w:w="2937" w:type="dxa"/>
            <w:shd w:val="clear" w:color="auto" w:fill="333333"/>
          </w:tcPr>
          <w:p w:rsidR="00B37BD9" w:rsidRPr="00AF4988" w:rsidRDefault="004352A9" w:rsidP="00D47CD9">
            <w:pPr>
              <w:pStyle w:val="TableColumnHeadings"/>
              <w:keepNext/>
              <w:jc w:val="left"/>
              <w:rPr>
                <w:rFonts w:ascii="Century Gothic" w:hAnsi="Century Gothic"/>
              </w:rPr>
            </w:pPr>
            <w:r>
              <w:rPr>
                <w:rFonts w:ascii="Century Gothic" w:hAnsi="Century Gothic"/>
              </w:rPr>
              <w:t>$m nominal</w:t>
            </w:r>
          </w:p>
        </w:tc>
        <w:tc>
          <w:tcPr>
            <w:tcW w:w="1078" w:type="dxa"/>
            <w:shd w:val="clear" w:color="auto" w:fill="333333"/>
          </w:tcPr>
          <w:p w:rsidR="00B37BD9" w:rsidRPr="00AF4988" w:rsidRDefault="00B37BD9" w:rsidP="00D47CD9">
            <w:pPr>
              <w:pStyle w:val="TableColumnHeadings"/>
              <w:rPr>
                <w:rFonts w:ascii="Century Gothic" w:hAnsi="Century Gothic"/>
              </w:rPr>
            </w:pPr>
            <w:r>
              <w:rPr>
                <w:rFonts w:ascii="Century Gothic" w:hAnsi="Century Gothic"/>
              </w:rPr>
              <w:t>2018</w:t>
            </w:r>
          </w:p>
        </w:tc>
        <w:tc>
          <w:tcPr>
            <w:tcW w:w="1079" w:type="dxa"/>
            <w:shd w:val="clear" w:color="auto" w:fill="333333"/>
          </w:tcPr>
          <w:p w:rsidR="00B37BD9" w:rsidRPr="00AF4988" w:rsidRDefault="00B37BD9" w:rsidP="00D47CD9">
            <w:pPr>
              <w:pStyle w:val="TableColumnHeadings"/>
              <w:rPr>
                <w:rFonts w:ascii="Century Gothic" w:hAnsi="Century Gothic"/>
              </w:rPr>
            </w:pPr>
            <w:r>
              <w:rPr>
                <w:rFonts w:ascii="Century Gothic" w:hAnsi="Century Gothic"/>
              </w:rPr>
              <w:t>2019</w:t>
            </w:r>
          </w:p>
        </w:tc>
        <w:tc>
          <w:tcPr>
            <w:tcW w:w="1078" w:type="dxa"/>
            <w:shd w:val="clear" w:color="auto" w:fill="333333"/>
          </w:tcPr>
          <w:p w:rsidR="00B37BD9" w:rsidRPr="00AF4988" w:rsidRDefault="00B37BD9" w:rsidP="00D47CD9">
            <w:pPr>
              <w:pStyle w:val="TableColumnHeadings"/>
              <w:rPr>
                <w:rFonts w:ascii="Century Gothic" w:hAnsi="Century Gothic"/>
              </w:rPr>
            </w:pPr>
            <w:r>
              <w:rPr>
                <w:rFonts w:ascii="Century Gothic" w:hAnsi="Century Gothic"/>
              </w:rPr>
              <w:t>2020</w:t>
            </w:r>
          </w:p>
        </w:tc>
        <w:tc>
          <w:tcPr>
            <w:tcW w:w="1079" w:type="dxa"/>
            <w:shd w:val="clear" w:color="auto" w:fill="333333"/>
          </w:tcPr>
          <w:p w:rsidR="00B37BD9" w:rsidRPr="00AF4988" w:rsidRDefault="00B37BD9" w:rsidP="00D47CD9">
            <w:pPr>
              <w:pStyle w:val="TableColumnHeadings"/>
              <w:rPr>
                <w:rFonts w:ascii="Century Gothic" w:hAnsi="Century Gothic"/>
              </w:rPr>
            </w:pPr>
            <w:r>
              <w:rPr>
                <w:rFonts w:ascii="Century Gothic" w:hAnsi="Century Gothic"/>
              </w:rPr>
              <w:t>2021</w:t>
            </w:r>
          </w:p>
        </w:tc>
        <w:tc>
          <w:tcPr>
            <w:tcW w:w="1079" w:type="dxa"/>
            <w:shd w:val="clear" w:color="auto" w:fill="333333"/>
          </w:tcPr>
          <w:p w:rsidR="00B37BD9" w:rsidRPr="00AF4988" w:rsidRDefault="00B37BD9" w:rsidP="00D47CD9">
            <w:pPr>
              <w:pStyle w:val="TableColumnHeadings"/>
              <w:rPr>
                <w:rFonts w:ascii="Century Gothic" w:hAnsi="Century Gothic"/>
              </w:rPr>
            </w:pPr>
            <w:r>
              <w:rPr>
                <w:rFonts w:ascii="Century Gothic" w:hAnsi="Century Gothic"/>
              </w:rPr>
              <w:t>2022</w:t>
            </w:r>
          </w:p>
        </w:tc>
      </w:tr>
      <w:tr w:rsidR="00F55B05" w:rsidRPr="008A4AF0" w:rsidTr="00AC6EB7">
        <w:tc>
          <w:tcPr>
            <w:tcW w:w="2937" w:type="dxa"/>
            <w:shd w:val="clear" w:color="auto" w:fill="auto"/>
          </w:tcPr>
          <w:p w:rsidR="00F55B05" w:rsidRPr="00184FFA" w:rsidRDefault="00F55B05" w:rsidP="00D47CD9">
            <w:pPr>
              <w:pStyle w:val="TableBodyCells"/>
              <w:keepNext/>
              <w:jc w:val="left"/>
            </w:pPr>
            <w:r>
              <w:t>Corporate tax allowance</w:t>
            </w:r>
          </w:p>
        </w:tc>
        <w:tc>
          <w:tcPr>
            <w:tcW w:w="1078" w:type="dxa"/>
            <w:shd w:val="clear" w:color="auto" w:fill="auto"/>
            <w:vAlign w:val="center"/>
          </w:tcPr>
          <w:p w:rsidR="00F55B05" w:rsidRPr="00A75B61" w:rsidRDefault="00F55B05" w:rsidP="00AC6EB7">
            <w:pPr>
              <w:pStyle w:val="TableBodyCells"/>
              <w:keepNext/>
              <w:rPr>
                <w:rFonts w:cs="Arial"/>
              </w:rPr>
            </w:pPr>
            <w:r w:rsidRPr="008D6C6C">
              <w:rPr>
                <w:rFonts w:cs="Arial"/>
              </w:rPr>
              <w:t>4.47</w:t>
            </w:r>
          </w:p>
        </w:tc>
        <w:tc>
          <w:tcPr>
            <w:tcW w:w="1079" w:type="dxa"/>
            <w:shd w:val="clear" w:color="auto" w:fill="auto"/>
            <w:vAlign w:val="center"/>
          </w:tcPr>
          <w:p w:rsidR="00F55B05" w:rsidRPr="00AC6EB7" w:rsidRDefault="00F55B05" w:rsidP="00AC6EB7">
            <w:pPr>
              <w:pStyle w:val="TableBodyCells"/>
              <w:keepNext/>
              <w:rPr>
                <w:rFonts w:cs="Arial"/>
              </w:rPr>
            </w:pPr>
            <w:r w:rsidRPr="00AC6EB7">
              <w:rPr>
                <w:rFonts w:cs="Arial"/>
              </w:rPr>
              <w:t>4.86</w:t>
            </w:r>
          </w:p>
        </w:tc>
        <w:tc>
          <w:tcPr>
            <w:tcW w:w="1078" w:type="dxa"/>
            <w:shd w:val="clear" w:color="auto" w:fill="auto"/>
            <w:vAlign w:val="center"/>
          </w:tcPr>
          <w:p w:rsidR="00F55B05" w:rsidRPr="00AC6EB7" w:rsidRDefault="00F55B05" w:rsidP="00AC6EB7">
            <w:pPr>
              <w:pStyle w:val="TableBodyCells"/>
              <w:keepNext/>
              <w:rPr>
                <w:rFonts w:cs="Arial"/>
              </w:rPr>
            </w:pPr>
            <w:r w:rsidRPr="00AC6EB7">
              <w:rPr>
                <w:rFonts w:cs="Arial"/>
              </w:rPr>
              <w:t>5.27</w:t>
            </w:r>
          </w:p>
        </w:tc>
        <w:tc>
          <w:tcPr>
            <w:tcW w:w="1079" w:type="dxa"/>
            <w:vAlign w:val="center"/>
          </w:tcPr>
          <w:p w:rsidR="00F55B05" w:rsidRPr="00AC6EB7" w:rsidRDefault="00F55B05" w:rsidP="00AC6EB7">
            <w:pPr>
              <w:pStyle w:val="TableBodyCells"/>
              <w:keepNext/>
              <w:rPr>
                <w:rFonts w:cs="Arial"/>
              </w:rPr>
            </w:pPr>
            <w:r w:rsidRPr="00AC6EB7">
              <w:rPr>
                <w:rFonts w:cs="Arial"/>
              </w:rPr>
              <w:t>4.67</w:t>
            </w:r>
          </w:p>
        </w:tc>
        <w:tc>
          <w:tcPr>
            <w:tcW w:w="1079" w:type="dxa"/>
            <w:vAlign w:val="center"/>
          </w:tcPr>
          <w:p w:rsidR="00F55B05" w:rsidRPr="00AC6EB7" w:rsidRDefault="00F55B05" w:rsidP="00AC6EB7">
            <w:pPr>
              <w:pStyle w:val="TableBodyCells"/>
              <w:keepNext/>
              <w:rPr>
                <w:rFonts w:cs="Arial"/>
              </w:rPr>
            </w:pPr>
            <w:r w:rsidRPr="00AC6EB7">
              <w:rPr>
                <w:rFonts w:cs="Arial"/>
              </w:rPr>
              <w:t>3.60</w:t>
            </w:r>
          </w:p>
        </w:tc>
      </w:tr>
    </w:tbl>
    <w:p w:rsidR="00607CD7" w:rsidRDefault="00607CD7" w:rsidP="0055275F">
      <w:pPr>
        <w:pStyle w:val="Heading2"/>
      </w:pPr>
      <w:bookmarkStart w:id="109" w:name="_Toc482626083"/>
      <w:r>
        <w:t>Operating expenditure</w:t>
      </w:r>
      <w:bookmarkEnd w:id="109"/>
    </w:p>
    <w:p w:rsidR="00B37BD9" w:rsidRDefault="00B37BD9" w:rsidP="00B37BD9">
      <w:pPr>
        <w:pStyle w:val="BodyText"/>
      </w:pPr>
      <w:r>
        <w:t>Forecast operating expenditure</w:t>
      </w:r>
      <w:r w:rsidR="008E5DC2">
        <w:t xml:space="preserve"> including the effect of the Efficiency Benefit Sharing Scheme, is set out in </w:t>
      </w:r>
      <w:r>
        <w:fldChar w:fldCharType="begin"/>
      </w:r>
      <w:r>
        <w:instrText xml:space="preserve"> REF _Ref467770312 \h </w:instrText>
      </w:r>
      <w:r>
        <w:fldChar w:fldCharType="separate"/>
      </w:r>
      <w:r w:rsidR="006D055F" w:rsidRPr="008A4AF0">
        <w:t xml:space="preserve">Table </w:t>
      </w:r>
      <w:r w:rsidR="006D055F">
        <w:rPr>
          <w:noProof/>
        </w:rPr>
        <w:t>9</w:t>
      </w:r>
      <w:r w:rsidR="006D055F">
        <w:noBreakHyphen/>
      </w:r>
      <w:r w:rsidR="006D055F">
        <w:rPr>
          <w:noProof/>
        </w:rPr>
        <w:t>4</w:t>
      </w:r>
      <w:r>
        <w:fldChar w:fldCharType="end"/>
      </w:r>
      <w:r w:rsidRPr="00EC2194">
        <w:t>.</w:t>
      </w:r>
    </w:p>
    <w:p w:rsidR="00B637D0" w:rsidRPr="008A4AF0" w:rsidRDefault="00B637D0" w:rsidP="0032107D">
      <w:pPr>
        <w:pStyle w:val="Caption"/>
      </w:pPr>
      <w:bookmarkStart w:id="110" w:name="_Ref467770312"/>
      <w:bookmarkStart w:id="111" w:name="_Toc482626118"/>
      <w:r w:rsidRPr="008A4AF0">
        <w:t xml:space="preserve">Table </w:t>
      </w:r>
      <w:r w:rsidR="006D055F">
        <w:fldChar w:fldCharType="begin"/>
      </w:r>
      <w:r w:rsidR="006D055F">
        <w:instrText xml:space="preserve"> STYLEREF 1 \s </w:instrText>
      </w:r>
      <w:r w:rsidR="006D055F">
        <w:fldChar w:fldCharType="separate"/>
      </w:r>
      <w:r w:rsidR="006D055F">
        <w:rPr>
          <w:noProof/>
        </w:rPr>
        <w:t>9</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4</w:t>
      </w:r>
      <w:r w:rsidR="006D055F">
        <w:rPr>
          <w:noProof/>
        </w:rPr>
        <w:fldChar w:fldCharType="end"/>
      </w:r>
      <w:bookmarkEnd w:id="110"/>
      <w:r>
        <w:t xml:space="preserve"> –</w:t>
      </w:r>
      <w:r w:rsidRPr="008A4AF0">
        <w:t xml:space="preserve"> </w:t>
      </w:r>
      <w:r>
        <w:t>Operating expenditure</w:t>
      </w:r>
      <w:r w:rsidR="004352A9">
        <w:t xml:space="preserve"> (nominal $m)</w:t>
      </w:r>
      <w:bookmarkEnd w:id="111"/>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937"/>
        <w:gridCol w:w="1078"/>
        <w:gridCol w:w="1079"/>
        <w:gridCol w:w="1078"/>
        <w:gridCol w:w="1079"/>
        <w:gridCol w:w="1079"/>
      </w:tblGrid>
      <w:tr w:rsidR="00B637D0" w:rsidRPr="008A4AF0" w:rsidTr="00217924">
        <w:tc>
          <w:tcPr>
            <w:tcW w:w="2937" w:type="dxa"/>
            <w:shd w:val="clear" w:color="auto" w:fill="333333"/>
          </w:tcPr>
          <w:p w:rsidR="00B637D0" w:rsidRPr="00AF4988" w:rsidRDefault="004352A9" w:rsidP="00217924">
            <w:pPr>
              <w:pStyle w:val="TableColumnHeadings"/>
              <w:keepNext/>
              <w:jc w:val="left"/>
              <w:rPr>
                <w:rFonts w:ascii="Century Gothic" w:hAnsi="Century Gothic"/>
              </w:rPr>
            </w:pPr>
            <w:r>
              <w:rPr>
                <w:rFonts w:ascii="Century Gothic" w:hAnsi="Century Gothic"/>
              </w:rPr>
              <w:t>$m nominal</w:t>
            </w:r>
          </w:p>
        </w:tc>
        <w:tc>
          <w:tcPr>
            <w:tcW w:w="1078" w:type="dxa"/>
            <w:shd w:val="clear" w:color="auto" w:fill="333333"/>
          </w:tcPr>
          <w:p w:rsidR="00B637D0" w:rsidRPr="00AF4988" w:rsidRDefault="00B637D0" w:rsidP="00217924">
            <w:pPr>
              <w:pStyle w:val="TableColumnHeadings"/>
              <w:rPr>
                <w:rFonts w:ascii="Century Gothic" w:hAnsi="Century Gothic"/>
              </w:rPr>
            </w:pPr>
            <w:r>
              <w:rPr>
                <w:rFonts w:ascii="Century Gothic" w:hAnsi="Century Gothic"/>
              </w:rPr>
              <w:t>2018</w:t>
            </w:r>
          </w:p>
        </w:tc>
        <w:tc>
          <w:tcPr>
            <w:tcW w:w="1079" w:type="dxa"/>
            <w:shd w:val="clear" w:color="auto" w:fill="333333"/>
          </w:tcPr>
          <w:p w:rsidR="00B637D0" w:rsidRPr="00AF4988" w:rsidRDefault="00B637D0" w:rsidP="00217924">
            <w:pPr>
              <w:pStyle w:val="TableColumnHeadings"/>
              <w:rPr>
                <w:rFonts w:ascii="Century Gothic" w:hAnsi="Century Gothic"/>
              </w:rPr>
            </w:pPr>
            <w:r>
              <w:rPr>
                <w:rFonts w:ascii="Century Gothic" w:hAnsi="Century Gothic"/>
              </w:rPr>
              <w:t>2019</w:t>
            </w:r>
          </w:p>
        </w:tc>
        <w:tc>
          <w:tcPr>
            <w:tcW w:w="1078" w:type="dxa"/>
            <w:shd w:val="clear" w:color="auto" w:fill="333333"/>
          </w:tcPr>
          <w:p w:rsidR="00B637D0" w:rsidRPr="00AF4988" w:rsidRDefault="00B637D0" w:rsidP="00217924">
            <w:pPr>
              <w:pStyle w:val="TableColumnHeadings"/>
              <w:rPr>
                <w:rFonts w:ascii="Century Gothic" w:hAnsi="Century Gothic"/>
              </w:rPr>
            </w:pPr>
            <w:r>
              <w:rPr>
                <w:rFonts w:ascii="Century Gothic" w:hAnsi="Century Gothic"/>
              </w:rPr>
              <w:t>2020</w:t>
            </w:r>
          </w:p>
        </w:tc>
        <w:tc>
          <w:tcPr>
            <w:tcW w:w="1079" w:type="dxa"/>
            <w:shd w:val="clear" w:color="auto" w:fill="333333"/>
          </w:tcPr>
          <w:p w:rsidR="00B637D0" w:rsidRPr="00AF4988" w:rsidRDefault="00B637D0" w:rsidP="00217924">
            <w:pPr>
              <w:pStyle w:val="TableColumnHeadings"/>
              <w:rPr>
                <w:rFonts w:ascii="Century Gothic" w:hAnsi="Century Gothic"/>
              </w:rPr>
            </w:pPr>
            <w:r>
              <w:rPr>
                <w:rFonts w:ascii="Century Gothic" w:hAnsi="Century Gothic"/>
              </w:rPr>
              <w:t>2021</w:t>
            </w:r>
          </w:p>
        </w:tc>
        <w:tc>
          <w:tcPr>
            <w:tcW w:w="1079" w:type="dxa"/>
            <w:shd w:val="clear" w:color="auto" w:fill="333333"/>
          </w:tcPr>
          <w:p w:rsidR="00B637D0" w:rsidRPr="00AF4988" w:rsidRDefault="00B637D0" w:rsidP="00217924">
            <w:pPr>
              <w:pStyle w:val="TableColumnHeadings"/>
              <w:rPr>
                <w:rFonts w:ascii="Century Gothic" w:hAnsi="Century Gothic"/>
              </w:rPr>
            </w:pPr>
            <w:r>
              <w:rPr>
                <w:rFonts w:ascii="Century Gothic" w:hAnsi="Century Gothic"/>
              </w:rPr>
              <w:t>2022</w:t>
            </w:r>
          </w:p>
        </w:tc>
      </w:tr>
      <w:tr w:rsidR="00F55B05" w:rsidRPr="008A4AF0" w:rsidTr="002C3B0E">
        <w:tc>
          <w:tcPr>
            <w:tcW w:w="2937" w:type="dxa"/>
            <w:shd w:val="clear" w:color="auto" w:fill="auto"/>
          </w:tcPr>
          <w:p w:rsidR="00F55B05" w:rsidRPr="00184FFA" w:rsidRDefault="00F55B05" w:rsidP="00217924">
            <w:pPr>
              <w:pStyle w:val="TableBodyCells"/>
              <w:keepNext/>
              <w:jc w:val="left"/>
            </w:pPr>
            <w:r>
              <w:t>Operating expenditure</w:t>
            </w:r>
          </w:p>
        </w:tc>
        <w:tc>
          <w:tcPr>
            <w:tcW w:w="1078" w:type="dxa"/>
            <w:shd w:val="clear" w:color="auto" w:fill="auto"/>
            <w:vAlign w:val="center"/>
          </w:tcPr>
          <w:p w:rsidR="00F55B05" w:rsidRPr="008D6C6C" w:rsidRDefault="00F55B05" w:rsidP="00217781">
            <w:pPr>
              <w:pStyle w:val="TableBodyCells"/>
              <w:keepNext/>
              <w:rPr>
                <w:rFonts w:cs="Arial"/>
              </w:rPr>
            </w:pPr>
            <w:r w:rsidRPr="00AC6EB7">
              <w:rPr>
                <w:rFonts w:cs="Arial"/>
              </w:rPr>
              <w:t>34.97</w:t>
            </w:r>
          </w:p>
        </w:tc>
        <w:tc>
          <w:tcPr>
            <w:tcW w:w="1079" w:type="dxa"/>
            <w:shd w:val="clear" w:color="auto" w:fill="auto"/>
            <w:vAlign w:val="center"/>
          </w:tcPr>
          <w:p w:rsidR="00F55B05" w:rsidRPr="008D6C6C" w:rsidRDefault="00F55B05" w:rsidP="00217781">
            <w:pPr>
              <w:pStyle w:val="TableBodyCells"/>
              <w:keepNext/>
              <w:rPr>
                <w:rFonts w:cs="Arial"/>
              </w:rPr>
            </w:pPr>
            <w:r w:rsidRPr="00AC6EB7">
              <w:rPr>
                <w:rFonts w:cs="Arial"/>
              </w:rPr>
              <w:t>31.46</w:t>
            </w:r>
          </w:p>
        </w:tc>
        <w:tc>
          <w:tcPr>
            <w:tcW w:w="1078" w:type="dxa"/>
            <w:shd w:val="clear" w:color="auto" w:fill="auto"/>
            <w:vAlign w:val="center"/>
          </w:tcPr>
          <w:p w:rsidR="00F55B05" w:rsidRPr="008D6C6C" w:rsidRDefault="00F55B05" w:rsidP="00217781">
            <w:pPr>
              <w:pStyle w:val="TableBodyCells"/>
              <w:keepNext/>
              <w:rPr>
                <w:rFonts w:cs="Arial"/>
              </w:rPr>
            </w:pPr>
            <w:r w:rsidRPr="00AC6EB7">
              <w:rPr>
                <w:rFonts w:cs="Arial"/>
              </w:rPr>
              <w:t>30.96</w:t>
            </w:r>
          </w:p>
        </w:tc>
        <w:tc>
          <w:tcPr>
            <w:tcW w:w="1079" w:type="dxa"/>
            <w:vAlign w:val="center"/>
          </w:tcPr>
          <w:p w:rsidR="00F55B05" w:rsidRPr="008D6C6C" w:rsidRDefault="00F55B05" w:rsidP="00217781">
            <w:pPr>
              <w:pStyle w:val="TableBodyCells"/>
              <w:keepNext/>
              <w:rPr>
                <w:rFonts w:cs="Arial"/>
              </w:rPr>
            </w:pPr>
            <w:r w:rsidRPr="00AC6EB7">
              <w:rPr>
                <w:rFonts w:cs="Arial"/>
              </w:rPr>
              <w:t>31.52</w:t>
            </w:r>
          </w:p>
        </w:tc>
        <w:tc>
          <w:tcPr>
            <w:tcW w:w="1079" w:type="dxa"/>
            <w:vAlign w:val="center"/>
          </w:tcPr>
          <w:p w:rsidR="00F55B05" w:rsidRPr="008D6C6C" w:rsidRDefault="00F55B05" w:rsidP="00217781">
            <w:pPr>
              <w:pStyle w:val="TableBodyCells"/>
              <w:keepNext/>
              <w:rPr>
                <w:rFonts w:cs="Arial"/>
              </w:rPr>
            </w:pPr>
            <w:r w:rsidRPr="00AC6EB7">
              <w:rPr>
                <w:rFonts w:cs="Arial"/>
              </w:rPr>
              <w:t>30.10</w:t>
            </w:r>
          </w:p>
        </w:tc>
      </w:tr>
    </w:tbl>
    <w:p w:rsidR="00607CD7" w:rsidRDefault="00607CD7" w:rsidP="0055275F">
      <w:pPr>
        <w:pStyle w:val="Heading2"/>
      </w:pPr>
      <w:bookmarkStart w:id="112" w:name="_Toc482626084"/>
      <w:r>
        <w:t>Total revenue requirement</w:t>
      </w:r>
      <w:bookmarkEnd w:id="112"/>
    </w:p>
    <w:p w:rsidR="00B637D0" w:rsidRDefault="00B637D0" w:rsidP="00B637D0">
      <w:pPr>
        <w:pStyle w:val="BodyText"/>
      </w:pPr>
      <w:r>
        <w:t xml:space="preserve">In summary, these components derive the total revenue requirement, as shown in </w:t>
      </w:r>
      <w:r>
        <w:fldChar w:fldCharType="begin"/>
      </w:r>
      <w:r>
        <w:instrText xml:space="preserve"> REF _Ref467770449 \h </w:instrText>
      </w:r>
      <w:r>
        <w:fldChar w:fldCharType="separate"/>
      </w:r>
      <w:r w:rsidR="006D055F" w:rsidRPr="008A4AF0">
        <w:t xml:space="preserve">Table </w:t>
      </w:r>
      <w:r w:rsidR="006D055F">
        <w:rPr>
          <w:noProof/>
        </w:rPr>
        <w:t>9</w:t>
      </w:r>
      <w:r w:rsidR="006D055F">
        <w:noBreakHyphen/>
      </w:r>
      <w:r w:rsidR="006D055F">
        <w:rPr>
          <w:noProof/>
        </w:rPr>
        <w:t>5</w:t>
      </w:r>
      <w:r>
        <w:fldChar w:fldCharType="end"/>
      </w:r>
      <w:r>
        <w:t>.</w:t>
      </w:r>
    </w:p>
    <w:p w:rsidR="004352A9" w:rsidRDefault="004352A9" w:rsidP="00B637D0">
      <w:pPr>
        <w:pStyle w:val="BodyText"/>
      </w:pPr>
    </w:p>
    <w:p w:rsidR="00B637D0" w:rsidRPr="008A4AF0" w:rsidRDefault="00B637D0" w:rsidP="0032107D">
      <w:pPr>
        <w:pStyle w:val="Caption"/>
      </w:pPr>
      <w:bookmarkStart w:id="113" w:name="_Ref467770449"/>
      <w:bookmarkStart w:id="114" w:name="_Toc482626119"/>
      <w:r w:rsidRPr="008A4AF0">
        <w:lastRenderedPageBreak/>
        <w:t xml:space="preserve">Table </w:t>
      </w:r>
      <w:r w:rsidR="006D055F">
        <w:fldChar w:fldCharType="begin"/>
      </w:r>
      <w:r w:rsidR="006D055F">
        <w:instrText xml:space="preserve"> STYLEREF 1 \s </w:instrText>
      </w:r>
      <w:r w:rsidR="006D055F">
        <w:fldChar w:fldCharType="separate"/>
      </w:r>
      <w:r w:rsidR="006D055F">
        <w:rPr>
          <w:noProof/>
        </w:rPr>
        <w:t>9</w:t>
      </w:r>
      <w:r w:rsidR="006D055F">
        <w:rPr>
          <w:noProof/>
        </w:rPr>
        <w:fldChar w:fldCharType="end"/>
      </w:r>
      <w:r w:rsidR="00D6109E">
        <w:noBreakHyphen/>
      </w:r>
      <w:r w:rsidR="006D055F">
        <w:fldChar w:fldCharType="begin"/>
      </w:r>
      <w:r w:rsidR="006D055F">
        <w:instrText xml:space="preserve"> SEQ Table \* ARABIC \s 1 </w:instrText>
      </w:r>
      <w:r w:rsidR="006D055F">
        <w:fldChar w:fldCharType="separate"/>
      </w:r>
      <w:r w:rsidR="006D055F">
        <w:rPr>
          <w:noProof/>
        </w:rPr>
        <w:t>5</w:t>
      </w:r>
      <w:r w:rsidR="006D055F">
        <w:rPr>
          <w:noProof/>
        </w:rPr>
        <w:fldChar w:fldCharType="end"/>
      </w:r>
      <w:bookmarkEnd w:id="113"/>
      <w:r>
        <w:t xml:space="preserve"> –</w:t>
      </w:r>
      <w:r w:rsidRPr="008A4AF0">
        <w:t xml:space="preserve"> </w:t>
      </w:r>
      <w:r>
        <w:t>Total revenue requirement</w:t>
      </w:r>
      <w:r w:rsidR="004352A9">
        <w:t xml:space="preserve"> (nominal $m)</w:t>
      </w:r>
      <w:bookmarkEnd w:id="114"/>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937"/>
        <w:gridCol w:w="1078"/>
        <w:gridCol w:w="1079"/>
        <w:gridCol w:w="1078"/>
        <w:gridCol w:w="1079"/>
        <w:gridCol w:w="1079"/>
      </w:tblGrid>
      <w:tr w:rsidR="00B637D0" w:rsidRPr="008A4AF0" w:rsidTr="00217924">
        <w:tc>
          <w:tcPr>
            <w:tcW w:w="2937" w:type="dxa"/>
            <w:shd w:val="clear" w:color="auto" w:fill="333333"/>
          </w:tcPr>
          <w:p w:rsidR="00B637D0" w:rsidRPr="00AF4988" w:rsidRDefault="004352A9" w:rsidP="00217924">
            <w:pPr>
              <w:pStyle w:val="TableColumnHeadings"/>
              <w:keepNext/>
              <w:jc w:val="left"/>
              <w:rPr>
                <w:rFonts w:ascii="Century Gothic" w:hAnsi="Century Gothic"/>
              </w:rPr>
            </w:pPr>
            <w:r>
              <w:rPr>
                <w:rFonts w:ascii="Century Gothic" w:hAnsi="Century Gothic"/>
              </w:rPr>
              <w:t>$m nominal</w:t>
            </w:r>
          </w:p>
        </w:tc>
        <w:tc>
          <w:tcPr>
            <w:tcW w:w="1078" w:type="dxa"/>
            <w:shd w:val="clear" w:color="auto" w:fill="333333"/>
          </w:tcPr>
          <w:p w:rsidR="00B637D0" w:rsidRPr="00AF4988" w:rsidRDefault="00B637D0" w:rsidP="00217924">
            <w:pPr>
              <w:pStyle w:val="TableColumnHeadings"/>
              <w:rPr>
                <w:rFonts w:ascii="Century Gothic" w:hAnsi="Century Gothic"/>
              </w:rPr>
            </w:pPr>
            <w:r>
              <w:rPr>
                <w:rFonts w:ascii="Century Gothic" w:hAnsi="Century Gothic"/>
              </w:rPr>
              <w:t>2018</w:t>
            </w:r>
          </w:p>
        </w:tc>
        <w:tc>
          <w:tcPr>
            <w:tcW w:w="1079" w:type="dxa"/>
            <w:shd w:val="clear" w:color="auto" w:fill="333333"/>
          </w:tcPr>
          <w:p w:rsidR="00B637D0" w:rsidRPr="00AF4988" w:rsidRDefault="00B637D0" w:rsidP="00217924">
            <w:pPr>
              <w:pStyle w:val="TableColumnHeadings"/>
              <w:rPr>
                <w:rFonts w:ascii="Century Gothic" w:hAnsi="Century Gothic"/>
              </w:rPr>
            </w:pPr>
            <w:r>
              <w:rPr>
                <w:rFonts w:ascii="Century Gothic" w:hAnsi="Century Gothic"/>
              </w:rPr>
              <w:t>2019</w:t>
            </w:r>
          </w:p>
        </w:tc>
        <w:tc>
          <w:tcPr>
            <w:tcW w:w="1078" w:type="dxa"/>
            <w:shd w:val="clear" w:color="auto" w:fill="333333"/>
          </w:tcPr>
          <w:p w:rsidR="00B637D0" w:rsidRPr="00AF4988" w:rsidRDefault="00B637D0" w:rsidP="00217924">
            <w:pPr>
              <w:pStyle w:val="TableColumnHeadings"/>
              <w:rPr>
                <w:rFonts w:ascii="Century Gothic" w:hAnsi="Century Gothic"/>
              </w:rPr>
            </w:pPr>
            <w:r>
              <w:rPr>
                <w:rFonts w:ascii="Century Gothic" w:hAnsi="Century Gothic"/>
              </w:rPr>
              <w:t>2020</w:t>
            </w:r>
          </w:p>
        </w:tc>
        <w:tc>
          <w:tcPr>
            <w:tcW w:w="1079" w:type="dxa"/>
            <w:shd w:val="clear" w:color="auto" w:fill="333333"/>
          </w:tcPr>
          <w:p w:rsidR="00B637D0" w:rsidRPr="00AF4988" w:rsidRDefault="00B637D0" w:rsidP="00217924">
            <w:pPr>
              <w:pStyle w:val="TableColumnHeadings"/>
              <w:rPr>
                <w:rFonts w:ascii="Century Gothic" w:hAnsi="Century Gothic"/>
              </w:rPr>
            </w:pPr>
            <w:r>
              <w:rPr>
                <w:rFonts w:ascii="Century Gothic" w:hAnsi="Century Gothic"/>
              </w:rPr>
              <w:t>2021</w:t>
            </w:r>
          </w:p>
        </w:tc>
        <w:tc>
          <w:tcPr>
            <w:tcW w:w="1079" w:type="dxa"/>
            <w:shd w:val="clear" w:color="auto" w:fill="333333"/>
          </w:tcPr>
          <w:p w:rsidR="00B637D0" w:rsidRPr="00AF4988" w:rsidRDefault="00B637D0" w:rsidP="00217924">
            <w:pPr>
              <w:pStyle w:val="TableColumnHeadings"/>
              <w:rPr>
                <w:rFonts w:ascii="Century Gothic" w:hAnsi="Century Gothic"/>
              </w:rPr>
            </w:pPr>
            <w:r>
              <w:rPr>
                <w:rFonts w:ascii="Century Gothic" w:hAnsi="Century Gothic"/>
              </w:rPr>
              <w:t>2022</w:t>
            </w:r>
          </w:p>
        </w:tc>
      </w:tr>
      <w:tr w:rsidR="00F55B05" w:rsidRPr="008A4AF0" w:rsidTr="002C623C">
        <w:tc>
          <w:tcPr>
            <w:tcW w:w="2937" w:type="dxa"/>
            <w:shd w:val="clear" w:color="auto" w:fill="auto"/>
            <w:vAlign w:val="center"/>
          </w:tcPr>
          <w:p w:rsidR="00F55B05" w:rsidRPr="00B37BD9" w:rsidRDefault="00F55B05" w:rsidP="000D7CDC">
            <w:pPr>
              <w:pStyle w:val="AAtablecolumn1"/>
              <w:jc w:val="left"/>
              <w:rPr>
                <w:rFonts w:ascii="Century Gothic" w:hAnsi="Century Gothic" w:cs="Arial"/>
              </w:rPr>
            </w:pPr>
            <w:r>
              <w:rPr>
                <w:rFonts w:ascii="Century Gothic" w:hAnsi="Century Gothic" w:cs="Arial"/>
                <w:szCs w:val="18"/>
              </w:rPr>
              <w:t>Return on capital</w:t>
            </w:r>
          </w:p>
        </w:tc>
        <w:tc>
          <w:tcPr>
            <w:tcW w:w="1078"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79.49</w:t>
            </w:r>
          </w:p>
        </w:tc>
        <w:tc>
          <w:tcPr>
            <w:tcW w:w="1079"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84.58</w:t>
            </w:r>
          </w:p>
        </w:tc>
        <w:tc>
          <w:tcPr>
            <w:tcW w:w="1078"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89.11</w:t>
            </w:r>
          </w:p>
        </w:tc>
        <w:tc>
          <w:tcPr>
            <w:tcW w:w="1079" w:type="dxa"/>
            <w:vAlign w:val="center"/>
          </w:tcPr>
          <w:p w:rsidR="00F55B05" w:rsidRPr="008D6C6C" w:rsidRDefault="00F55B05" w:rsidP="002C623C">
            <w:pPr>
              <w:jc w:val="center"/>
              <w:rPr>
                <w:rFonts w:cs="Arial"/>
                <w:sz w:val="18"/>
                <w:szCs w:val="18"/>
              </w:rPr>
            </w:pPr>
            <w:r w:rsidRPr="00AC6EB7">
              <w:rPr>
                <w:rFonts w:cs="Arial"/>
                <w:sz w:val="18"/>
                <w:szCs w:val="22"/>
              </w:rPr>
              <w:t>93.74</w:t>
            </w:r>
          </w:p>
        </w:tc>
        <w:tc>
          <w:tcPr>
            <w:tcW w:w="1079" w:type="dxa"/>
            <w:vAlign w:val="center"/>
          </w:tcPr>
          <w:p w:rsidR="00F55B05" w:rsidRPr="008D6C6C" w:rsidRDefault="00F55B05" w:rsidP="002C623C">
            <w:pPr>
              <w:jc w:val="center"/>
              <w:rPr>
                <w:rFonts w:cs="Arial"/>
                <w:sz w:val="18"/>
                <w:szCs w:val="18"/>
              </w:rPr>
            </w:pPr>
            <w:r w:rsidRPr="00AC6EB7">
              <w:rPr>
                <w:rFonts w:cs="Arial"/>
                <w:sz w:val="18"/>
                <w:szCs w:val="22"/>
              </w:rPr>
              <w:t>93.29</w:t>
            </w:r>
          </w:p>
        </w:tc>
      </w:tr>
      <w:tr w:rsidR="00F55B05" w:rsidRPr="008A4AF0" w:rsidTr="002C623C">
        <w:tc>
          <w:tcPr>
            <w:tcW w:w="2937" w:type="dxa"/>
            <w:shd w:val="clear" w:color="auto" w:fill="auto"/>
            <w:vAlign w:val="center"/>
          </w:tcPr>
          <w:p w:rsidR="00F55B05" w:rsidRPr="00B37BD9" w:rsidRDefault="00F55B05" w:rsidP="000D7CDC">
            <w:pPr>
              <w:pStyle w:val="AAtablecolumn1"/>
              <w:jc w:val="left"/>
              <w:rPr>
                <w:rFonts w:ascii="Century Gothic" w:hAnsi="Century Gothic" w:cs="Arial"/>
              </w:rPr>
            </w:pPr>
            <w:r>
              <w:rPr>
                <w:rFonts w:ascii="Century Gothic" w:hAnsi="Century Gothic" w:cs="Arial"/>
                <w:szCs w:val="18"/>
              </w:rPr>
              <w:t>Return of capital</w:t>
            </w:r>
          </w:p>
        </w:tc>
        <w:tc>
          <w:tcPr>
            <w:tcW w:w="1078"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16.90</w:t>
            </w:r>
          </w:p>
        </w:tc>
        <w:tc>
          <w:tcPr>
            <w:tcW w:w="1079"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19.55</w:t>
            </w:r>
          </w:p>
        </w:tc>
        <w:tc>
          <w:tcPr>
            <w:tcW w:w="1078"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21.65</w:t>
            </w:r>
          </w:p>
        </w:tc>
        <w:tc>
          <w:tcPr>
            <w:tcW w:w="1079" w:type="dxa"/>
            <w:vAlign w:val="center"/>
          </w:tcPr>
          <w:p w:rsidR="00F55B05" w:rsidRPr="008D6C6C" w:rsidRDefault="00F55B05" w:rsidP="002C623C">
            <w:pPr>
              <w:jc w:val="center"/>
              <w:rPr>
                <w:rFonts w:cs="Arial"/>
                <w:sz w:val="18"/>
                <w:szCs w:val="18"/>
              </w:rPr>
            </w:pPr>
            <w:r w:rsidRPr="00AC6EB7">
              <w:rPr>
                <w:rFonts w:cs="Arial"/>
                <w:sz w:val="18"/>
                <w:szCs w:val="22"/>
              </w:rPr>
              <w:t>25.60</w:t>
            </w:r>
          </w:p>
        </w:tc>
        <w:tc>
          <w:tcPr>
            <w:tcW w:w="1079" w:type="dxa"/>
            <w:vAlign w:val="center"/>
          </w:tcPr>
          <w:p w:rsidR="00F55B05" w:rsidRPr="008D6C6C" w:rsidRDefault="00F55B05" w:rsidP="002C623C">
            <w:pPr>
              <w:jc w:val="center"/>
              <w:rPr>
                <w:rFonts w:cs="Arial"/>
                <w:sz w:val="18"/>
                <w:szCs w:val="18"/>
              </w:rPr>
            </w:pPr>
            <w:r w:rsidRPr="00AC6EB7">
              <w:rPr>
                <w:rFonts w:cs="Arial"/>
                <w:sz w:val="18"/>
                <w:szCs w:val="22"/>
              </w:rPr>
              <w:t>23.65</w:t>
            </w:r>
          </w:p>
        </w:tc>
      </w:tr>
      <w:tr w:rsidR="00F55B05" w:rsidRPr="008A4AF0" w:rsidTr="002C623C">
        <w:tc>
          <w:tcPr>
            <w:tcW w:w="2937" w:type="dxa"/>
            <w:shd w:val="clear" w:color="auto" w:fill="auto"/>
            <w:vAlign w:val="center"/>
          </w:tcPr>
          <w:p w:rsidR="00F55B05" w:rsidRPr="00B37BD9" w:rsidRDefault="00F55B05" w:rsidP="000D7CDC">
            <w:pPr>
              <w:pStyle w:val="AAtablecolumn1"/>
              <w:jc w:val="left"/>
              <w:rPr>
                <w:rFonts w:ascii="Century Gothic" w:hAnsi="Century Gothic" w:cs="Arial"/>
              </w:rPr>
            </w:pPr>
            <w:r>
              <w:rPr>
                <w:rFonts w:ascii="Century Gothic" w:hAnsi="Century Gothic" w:cs="Arial"/>
                <w:szCs w:val="18"/>
              </w:rPr>
              <w:t>plus operating and maintenance</w:t>
            </w:r>
          </w:p>
        </w:tc>
        <w:tc>
          <w:tcPr>
            <w:tcW w:w="1078"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34.97</w:t>
            </w:r>
          </w:p>
        </w:tc>
        <w:tc>
          <w:tcPr>
            <w:tcW w:w="1079"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31.46</w:t>
            </w:r>
          </w:p>
        </w:tc>
        <w:tc>
          <w:tcPr>
            <w:tcW w:w="1078"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30.96</w:t>
            </w:r>
          </w:p>
        </w:tc>
        <w:tc>
          <w:tcPr>
            <w:tcW w:w="1079" w:type="dxa"/>
            <w:vAlign w:val="center"/>
          </w:tcPr>
          <w:p w:rsidR="00F55B05" w:rsidRPr="008D6C6C" w:rsidRDefault="00F55B05" w:rsidP="002C623C">
            <w:pPr>
              <w:jc w:val="center"/>
              <w:rPr>
                <w:rFonts w:cs="Arial"/>
                <w:sz w:val="18"/>
                <w:szCs w:val="18"/>
              </w:rPr>
            </w:pPr>
            <w:r w:rsidRPr="00AC6EB7">
              <w:rPr>
                <w:rFonts w:cs="Arial"/>
                <w:sz w:val="18"/>
                <w:szCs w:val="22"/>
              </w:rPr>
              <w:t>31.52</w:t>
            </w:r>
          </w:p>
        </w:tc>
        <w:tc>
          <w:tcPr>
            <w:tcW w:w="1079" w:type="dxa"/>
            <w:vAlign w:val="center"/>
          </w:tcPr>
          <w:p w:rsidR="00F55B05" w:rsidRPr="008D6C6C" w:rsidRDefault="00F55B05" w:rsidP="002C623C">
            <w:pPr>
              <w:jc w:val="center"/>
              <w:rPr>
                <w:rFonts w:cs="Arial"/>
                <w:sz w:val="18"/>
                <w:szCs w:val="18"/>
              </w:rPr>
            </w:pPr>
            <w:r w:rsidRPr="00AC6EB7">
              <w:rPr>
                <w:rFonts w:cs="Arial"/>
                <w:sz w:val="18"/>
                <w:szCs w:val="22"/>
              </w:rPr>
              <w:t>30.10</w:t>
            </w:r>
          </w:p>
        </w:tc>
      </w:tr>
      <w:tr w:rsidR="00F55B05" w:rsidRPr="008A4AF0" w:rsidTr="002C623C">
        <w:tc>
          <w:tcPr>
            <w:tcW w:w="2937" w:type="dxa"/>
            <w:shd w:val="clear" w:color="auto" w:fill="auto"/>
            <w:vAlign w:val="center"/>
          </w:tcPr>
          <w:p w:rsidR="00F55B05" w:rsidRPr="00B37BD9" w:rsidRDefault="00F55B05" w:rsidP="000D7CDC">
            <w:pPr>
              <w:pStyle w:val="AAtablecolumn1"/>
              <w:jc w:val="left"/>
              <w:rPr>
                <w:rFonts w:ascii="Century Gothic" w:hAnsi="Century Gothic" w:cs="Arial"/>
              </w:rPr>
            </w:pPr>
            <w:r>
              <w:rPr>
                <w:rFonts w:ascii="Century Gothic" w:hAnsi="Century Gothic" w:cs="Arial"/>
                <w:szCs w:val="18"/>
              </w:rPr>
              <w:t>plus revenue adjustments</w:t>
            </w:r>
          </w:p>
        </w:tc>
        <w:tc>
          <w:tcPr>
            <w:tcW w:w="1078"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0.00</w:t>
            </w:r>
          </w:p>
        </w:tc>
        <w:tc>
          <w:tcPr>
            <w:tcW w:w="1079"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0.00</w:t>
            </w:r>
          </w:p>
        </w:tc>
        <w:tc>
          <w:tcPr>
            <w:tcW w:w="1078"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0.00</w:t>
            </w:r>
          </w:p>
        </w:tc>
        <w:tc>
          <w:tcPr>
            <w:tcW w:w="1079" w:type="dxa"/>
            <w:vAlign w:val="center"/>
          </w:tcPr>
          <w:p w:rsidR="00F55B05" w:rsidRPr="008D6C6C" w:rsidRDefault="00F55B05" w:rsidP="002C623C">
            <w:pPr>
              <w:jc w:val="center"/>
              <w:rPr>
                <w:rFonts w:cs="Arial"/>
                <w:sz w:val="18"/>
                <w:szCs w:val="18"/>
              </w:rPr>
            </w:pPr>
            <w:r w:rsidRPr="00AC6EB7">
              <w:rPr>
                <w:rFonts w:cs="Arial"/>
                <w:sz w:val="18"/>
                <w:szCs w:val="22"/>
              </w:rPr>
              <w:t>0.00</w:t>
            </w:r>
          </w:p>
        </w:tc>
        <w:tc>
          <w:tcPr>
            <w:tcW w:w="1079" w:type="dxa"/>
            <w:vAlign w:val="center"/>
          </w:tcPr>
          <w:p w:rsidR="00F55B05" w:rsidRPr="008D6C6C" w:rsidRDefault="00F55B05" w:rsidP="002C623C">
            <w:pPr>
              <w:jc w:val="center"/>
              <w:rPr>
                <w:rFonts w:cs="Arial"/>
                <w:sz w:val="18"/>
                <w:szCs w:val="18"/>
              </w:rPr>
            </w:pPr>
            <w:r w:rsidRPr="00AC6EB7">
              <w:rPr>
                <w:rFonts w:cs="Arial"/>
                <w:sz w:val="18"/>
                <w:szCs w:val="22"/>
              </w:rPr>
              <w:t>0.00</w:t>
            </w:r>
          </w:p>
        </w:tc>
      </w:tr>
      <w:tr w:rsidR="00F55B05" w:rsidRPr="008A4AF0" w:rsidTr="002C623C">
        <w:tc>
          <w:tcPr>
            <w:tcW w:w="2937" w:type="dxa"/>
            <w:shd w:val="clear" w:color="auto" w:fill="auto"/>
            <w:vAlign w:val="center"/>
          </w:tcPr>
          <w:p w:rsidR="00F55B05" w:rsidRPr="00B37BD9" w:rsidRDefault="00F55B05" w:rsidP="000D7CDC">
            <w:pPr>
              <w:pStyle w:val="AAtablecolumn1"/>
              <w:jc w:val="left"/>
              <w:rPr>
                <w:rFonts w:ascii="Century Gothic" w:hAnsi="Century Gothic" w:cs="Arial"/>
              </w:rPr>
            </w:pPr>
            <w:r>
              <w:rPr>
                <w:rFonts w:ascii="Century Gothic" w:hAnsi="Century Gothic" w:cs="Arial"/>
                <w:szCs w:val="18"/>
              </w:rPr>
              <w:t>plus net tax allowance</w:t>
            </w:r>
          </w:p>
        </w:tc>
        <w:tc>
          <w:tcPr>
            <w:tcW w:w="1078"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4.47</w:t>
            </w:r>
          </w:p>
        </w:tc>
        <w:tc>
          <w:tcPr>
            <w:tcW w:w="1079"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4.86</w:t>
            </w:r>
          </w:p>
        </w:tc>
        <w:tc>
          <w:tcPr>
            <w:tcW w:w="1078" w:type="dxa"/>
            <w:shd w:val="clear" w:color="auto" w:fill="auto"/>
            <w:vAlign w:val="center"/>
          </w:tcPr>
          <w:p w:rsidR="00F55B05" w:rsidRPr="008D6C6C" w:rsidRDefault="00F55B05" w:rsidP="002C623C">
            <w:pPr>
              <w:jc w:val="center"/>
              <w:rPr>
                <w:rFonts w:cs="Arial"/>
                <w:sz w:val="18"/>
                <w:szCs w:val="18"/>
              </w:rPr>
            </w:pPr>
            <w:r w:rsidRPr="00AC6EB7">
              <w:rPr>
                <w:rFonts w:cs="Arial"/>
                <w:sz w:val="18"/>
                <w:szCs w:val="22"/>
              </w:rPr>
              <w:t>5.27</w:t>
            </w:r>
          </w:p>
        </w:tc>
        <w:tc>
          <w:tcPr>
            <w:tcW w:w="1079" w:type="dxa"/>
            <w:vAlign w:val="center"/>
          </w:tcPr>
          <w:p w:rsidR="00F55B05" w:rsidRPr="008D6C6C" w:rsidRDefault="00F55B05" w:rsidP="002C623C">
            <w:pPr>
              <w:jc w:val="center"/>
              <w:rPr>
                <w:rFonts w:cs="Arial"/>
                <w:sz w:val="18"/>
                <w:szCs w:val="18"/>
              </w:rPr>
            </w:pPr>
            <w:r w:rsidRPr="00AC6EB7">
              <w:rPr>
                <w:rFonts w:cs="Arial"/>
                <w:sz w:val="18"/>
                <w:szCs w:val="22"/>
              </w:rPr>
              <w:t>4.67</w:t>
            </w:r>
          </w:p>
        </w:tc>
        <w:tc>
          <w:tcPr>
            <w:tcW w:w="1079" w:type="dxa"/>
            <w:vAlign w:val="center"/>
          </w:tcPr>
          <w:p w:rsidR="00F55B05" w:rsidRPr="008D6C6C" w:rsidRDefault="00F55B05" w:rsidP="002C623C">
            <w:pPr>
              <w:jc w:val="center"/>
              <w:rPr>
                <w:rFonts w:cs="Arial"/>
                <w:sz w:val="18"/>
                <w:szCs w:val="18"/>
              </w:rPr>
            </w:pPr>
            <w:r w:rsidRPr="00AC6EB7">
              <w:rPr>
                <w:rFonts w:cs="Arial"/>
                <w:sz w:val="18"/>
                <w:szCs w:val="22"/>
              </w:rPr>
              <w:t>3.60</w:t>
            </w:r>
          </w:p>
        </w:tc>
      </w:tr>
      <w:tr w:rsidR="00F55B05" w:rsidRPr="00743DF7" w:rsidTr="002C623C">
        <w:tc>
          <w:tcPr>
            <w:tcW w:w="2937" w:type="dxa"/>
            <w:shd w:val="clear" w:color="auto" w:fill="auto"/>
            <w:vAlign w:val="center"/>
          </w:tcPr>
          <w:p w:rsidR="00F55B05" w:rsidRPr="00B37BD9" w:rsidRDefault="00F55B05" w:rsidP="000D7CDC">
            <w:pPr>
              <w:pStyle w:val="AAtablecolumn1"/>
              <w:jc w:val="left"/>
              <w:rPr>
                <w:rFonts w:ascii="Century Gothic" w:hAnsi="Century Gothic" w:cs="Arial"/>
                <w:b/>
              </w:rPr>
            </w:pPr>
            <w:r>
              <w:rPr>
                <w:rFonts w:ascii="Century Gothic" w:hAnsi="Century Gothic" w:cs="Arial"/>
                <w:b/>
                <w:bCs/>
                <w:szCs w:val="18"/>
              </w:rPr>
              <w:t>Building block revenue requirement</w:t>
            </w:r>
          </w:p>
        </w:tc>
        <w:tc>
          <w:tcPr>
            <w:tcW w:w="1078" w:type="dxa"/>
            <w:shd w:val="clear" w:color="auto" w:fill="auto"/>
            <w:vAlign w:val="center"/>
          </w:tcPr>
          <w:p w:rsidR="00F55B05" w:rsidRPr="008D6C6C" w:rsidRDefault="00F55B05" w:rsidP="002C623C">
            <w:pPr>
              <w:jc w:val="center"/>
              <w:rPr>
                <w:rFonts w:cs="Arial"/>
                <w:b/>
                <w:bCs/>
                <w:sz w:val="18"/>
                <w:szCs w:val="18"/>
              </w:rPr>
            </w:pPr>
            <w:r w:rsidRPr="00AC6EB7">
              <w:rPr>
                <w:rFonts w:cs="Arial"/>
                <w:b/>
                <w:bCs/>
                <w:sz w:val="18"/>
                <w:szCs w:val="22"/>
              </w:rPr>
              <w:t>135.84</w:t>
            </w:r>
          </w:p>
        </w:tc>
        <w:tc>
          <w:tcPr>
            <w:tcW w:w="1079" w:type="dxa"/>
            <w:shd w:val="clear" w:color="auto" w:fill="auto"/>
            <w:vAlign w:val="center"/>
          </w:tcPr>
          <w:p w:rsidR="00F55B05" w:rsidRPr="008D6C6C" w:rsidRDefault="00F55B05" w:rsidP="002C623C">
            <w:pPr>
              <w:jc w:val="center"/>
              <w:rPr>
                <w:rFonts w:cs="Arial"/>
                <w:b/>
                <w:bCs/>
                <w:sz w:val="18"/>
                <w:szCs w:val="18"/>
              </w:rPr>
            </w:pPr>
            <w:r w:rsidRPr="00AC6EB7">
              <w:rPr>
                <w:rFonts w:cs="Arial"/>
                <w:b/>
                <w:bCs/>
                <w:sz w:val="18"/>
                <w:szCs w:val="22"/>
              </w:rPr>
              <w:t>140.45</w:t>
            </w:r>
          </w:p>
        </w:tc>
        <w:tc>
          <w:tcPr>
            <w:tcW w:w="1078" w:type="dxa"/>
            <w:shd w:val="clear" w:color="auto" w:fill="auto"/>
            <w:vAlign w:val="center"/>
          </w:tcPr>
          <w:p w:rsidR="00F55B05" w:rsidRPr="008D6C6C" w:rsidRDefault="00F55B05" w:rsidP="002C623C">
            <w:pPr>
              <w:jc w:val="center"/>
              <w:rPr>
                <w:rFonts w:cs="Arial"/>
                <w:b/>
                <w:bCs/>
                <w:sz w:val="18"/>
                <w:szCs w:val="18"/>
              </w:rPr>
            </w:pPr>
            <w:r w:rsidRPr="00AC6EB7">
              <w:rPr>
                <w:rFonts w:cs="Arial"/>
                <w:b/>
                <w:bCs/>
                <w:sz w:val="18"/>
                <w:szCs w:val="22"/>
              </w:rPr>
              <w:t>146.98</w:t>
            </w:r>
          </w:p>
        </w:tc>
        <w:tc>
          <w:tcPr>
            <w:tcW w:w="1079" w:type="dxa"/>
            <w:vAlign w:val="center"/>
          </w:tcPr>
          <w:p w:rsidR="00F55B05" w:rsidRPr="008D6C6C" w:rsidRDefault="00F55B05" w:rsidP="002C623C">
            <w:pPr>
              <w:jc w:val="center"/>
              <w:rPr>
                <w:rFonts w:cs="Arial"/>
                <w:b/>
                <w:bCs/>
                <w:sz w:val="18"/>
                <w:szCs w:val="18"/>
              </w:rPr>
            </w:pPr>
            <w:r w:rsidRPr="00AC6EB7">
              <w:rPr>
                <w:rFonts w:cs="Arial"/>
                <w:b/>
                <w:bCs/>
                <w:sz w:val="18"/>
                <w:szCs w:val="22"/>
              </w:rPr>
              <w:t>155.54</w:t>
            </w:r>
          </w:p>
        </w:tc>
        <w:tc>
          <w:tcPr>
            <w:tcW w:w="1079" w:type="dxa"/>
            <w:vAlign w:val="center"/>
          </w:tcPr>
          <w:p w:rsidR="00F55B05" w:rsidRPr="008D6C6C" w:rsidRDefault="00F55B05" w:rsidP="002C623C">
            <w:pPr>
              <w:jc w:val="center"/>
              <w:rPr>
                <w:rFonts w:cs="Arial"/>
                <w:b/>
                <w:bCs/>
                <w:sz w:val="18"/>
                <w:szCs w:val="18"/>
              </w:rPr>
            </w:pPr>
            <w:r w:rsidRPr="00AC6EB7">
              <w:rPr>
                <w:rFonts w:cs="Arial"/>
                <w:b/>
                <w:bCs/>
                <w:sz w:val="18"/>
                <w:szCs w:val="22"/>
              </w:rPr>
              <w:t>150.64</w:t>
            </w:r>
          </w:p>
        </w:tc>
      </w:tr>
      <w:tr w:rsidR="0056418E" w:rsidRPr="00743DF7" w:rsidTr="00AC6EB7">
        <w:tc>
          <w:tcPr>
            <w:tcW w:w="2937" w:type="dxa"/>
            <w:shd w:val="clear" w:color="auto" w:fill="auto"/>
            <w:vAlign w:val="center"/>
          </w:tcPr>
          <w:p w:rsidR="0056418E" w:rsidRPr="00B37BD9" w:rsidRDefault="0056418E" w:rsidP="000D7CDC">
            <w:pPr>
              <w:pStyle w:val="AAtablecolumn1"/>
              <w:jc w:val="left"/>
              <w:rPr>
                <w:rFonts w:ascii="Century Gothic" w:hAnsi="Century Gothic" w:cs="Arial"/>
                <w:b/>
              </w:rPr>
            </w:pPr>
            <w:r w:rsidRPr="00B37BD9">
              <w:rPr>
                <w:rFonts w:ascii="Century Gothic" w:hAnsi="Century Gothic" w:cs="Arial"/>
                <w:b/>
              </w:rPr>
              <w:t>Smoothed revenue requirement</w:t>
            </w:r>
          </w:p>
        </w:tc>
        <w:tc>
          <w:tcPr>
            <w:tcW w:w="1078" w:type="dxa"/>
            <w:shd w:val="clear" w:color="auto" w:fill="auto"/>
            <w:vAlign w:val="center"/>
          </w:tcPr>
          <w:p w:rsidR="0056418E" w:rsidRPr="008D6C6C" w:rsidRDefault="0056418E" w:rsidP="008D6C6C">
            <w:pPr>
              <w:jc w:val="center"/>
              <w:rPr>
                <w:rFonts w:cs="Arial"/>
                <w:b/>
                <w:bCs/>
                <w:sz w:val="18"/>
                <w:szCs w:val="22"/>
              </w:rPr>
            </w:pPr>
            <w:r w:rsidRPr="00AC6EB7">
              <w:rPr>
                <w:rFonts w:cs="Arial"/>
                <w:b/>
                <w:bCs/>
                <w:sz w:val="18"/>
                <w:szCs w:val="22"/>
              </w:rPr>
              <w:t>130.89</w:t>
            </w:r>
          </w:p>
        </w:tc>
        <w:tc>
          <w:tcPr>
            <w:tcW w:w="1079" w:type="dxa"/>
            <w:shd w:val="clear" w:color="auto" w:fill="auto"/>
            <w:vAlign w:val="center"/>
          </w:tcPr>
          <w:p w:rsidR="0056418E" w:rsidRPr="008D6C6C" w:rsidRDefault="0056418E">
            <w:pPr>
              <w:jc w:val="center"/>
              <w:rPr>
                <w:rFonts w:cs="Arial"/>
                <w:b/>
                <w:bCs/>
                <w:sz w:val="18"/>
                <w:szCs w:val="22"/>
              </w:rPr>
            </w:pPr>
            <w:r w:rsidRPr="00AC6EB7">
              <w:rPr>
                <w:rFonts w:cs="Arial"/>
                <w:b/>
                <w:bCs/>
                <w:sz w:val="18"/>
                <w:szCs w:val="22"/>
              </w:rPr>
              <w:t>137.42</w:t>
            </w:r>
          </w:p>
        </w:tc>
        <w:tc>
          <w:tcPr>
            <w:tcW w:w="1078" w:type="dxa"/>
            <w:shd w:val="clear" w:color="auto" w:fill="auto"/>
            <w:vAlign w:val="center"/>
          </w:tcPr>
          <w:p w:rsidR="0056418E" w:rsidRPr="008D6C6C" w:rsidRDefault="0056418E">
            <w:pPr>
              <w:jc w:val="center"/>
              <w:rPr>
                <w:rFonts w:cs="Arial"/>
                <w:b/>
                <w:bCs/>
                <w:sz w:val="18"/>
                <w:szCs w:val="22"/>
              </w:rPr>
            </w:pPr>
            <w:r w:rsidRPr="00AC6EB7">
              <w:rPr>
                <w:rFonts w:cs="Arial"/>
                <w:b/>
                <w:bCs/>
                <w:sz w:val="18"/>
                <w:szCs w:val="22"/>
              </w:rPr>
              <w:t>145.62</w:t>
            </w:r>
          </w:p>
        </w:tc>
        <w:tc>
          <w:tcPr>
            <w:tcW w:w="1079" w:type="dxa"/>
            <w:vAlign w:val="center"/>
          </w:tcPr>
          <w:p w:rsidR="0056418E" w:rsidRPr="008D6C6C" w:rsidRDefault="0056418E">
            <w:pPr>
              <w:jc w:val="center"/>
              <w:rPr>
                <w:rFonts w:cs="Arial"/>
                <w:b/>
                <w:bCs/>
                <w:sz w:val="18"/>
                <w:szCs w:val="22"/>
              </w:rPr>
            </w:pPr>
            <w:r w:rsidRPr="00AC6EB7">
              <w:rPr>
                <w:rFonts w:cs="Arial"/>
                <w:b/>
                <w:bCs/>
                <w:sz w:val="18"/>
                <w:szCs w:val="22"/>
              </w:rPr>
              <w:t>154.41</w:t>
            </w:r>
          </w:p>
        </w:tc>
        <w:tc>
          <w:tcPr>
            <w:tcW w:w="1079" w:type="dxa"/>
            <w:vAlign w:val="center"/>
          </w:tcPr>
          <w:p w:rsidR="0056418E" w:rsidRPr="008D6C6C" w:rsidRDefault="0056418E">
            <w:pPr>
              <w:jc w:val="center"/>
              <w:rPr>
                <w:rFonts w:cs="Arial"/>
                <w:b/>
                <w:bCs/>
                <w:sz w:val="18"/>
                <w:szCs w:val="22"/>
              </w:rPr>
            </w:pPr>
            <w:r w:rsidRPr="00AC6EB7">
              <w:rPr>
                <w:rFonts w:cs="Arial"/>
                <w:b/>
                <w:bCs/>
                <w:sz w:val="18"/>
                <w:szCs w:val="22"/>
              </w:rPr>
              <w:t>163.95</w:t>
            </w:r>
          </w:p>
        </w:tc>
      </w:tr>
    </w:tbl>
    <w:p w:rsidR="00B637D0" w:rsidRDefault="00965C82" w:rsidP="00B637D0">
      <w:pPr>
        <w:pStyle w:val="BodyText"/>
      </w:pPr>
      <w:r>
        <w:t>(</w:t>
      </w:r>
      <w:proofErr w:type="gramStart"/>
      <w:r>
        <w:t>smoothed</w:t>
      </w:r>
      <w:proofErr w:type="gramEnd"/>
      <w:r>
        <w:t xml:space="preserve"> revenue requirement from Price Control Model)</w:t>
      </w:r>
    </w:p>
    <w:p w:rsidR="00A64880" w:rsidRDefault="00A64880" w:rsidP="00B637D0">
      <w:pPr>
        <w:pStyle w:val="BodyText"/>
      </w:pPr>
    </w:p>
    <w:p w:rsidR="00A64880" w:rsidRDefault="00A64880" w:rsidP="00B637D0">
      <w:pPr>
        <w:pStyle w:val="BodyText"/>
      </w:pPr>
    </w:p>
    <w:p w:rsidR="00306774" w:rsidRDefault="008266CD" w:rsidP="0055275F">
      <w:pPr>
        <w:pStyle w:val="Heading1"/>
      </w:pPr>
      <w:bookmarkStart w:id="115" w:name="_Ref470073109"/>
      <w:bookmarkStart w:id="116" w:name="_Toc482626085"/>
      <w:r>
        <w:lastRenderedPageBreak/>
        <w:t>Revenue allocation and t</w:t>
      </w:r>
      <w:r w:rsidR="002864A9">
        <w:t>ariffs</w:t>
      </w:r>
      <w:bookmarkEnd w:id="115"/>
      <w:bookmarkEnd w:id="116"/>
    </w:p>
    <w:p w:rsidR="004B699F" w:rsidRDefault="00BB6886" w:rsidP="00F55674">
      <w:pPr>
        <w:pStyle w:val="BodyText"/>
      </w:pPr>
      <w:r>
        <w:t xml:space="preserve">This chapter </w:t>
      </w:r>
      <w:r w:rsidR="00713F79">
        <w:t>describes how the WOR</w:t>
      </w:r>
      <w:r w:rsidR="004B699F">
        <w:t xml:space="preserve">M capital expenditure has been allocated to tariffs, and the overall impact to tariffs. </w:t>
      </w:r>
    </w:p>
    <w:p w:rsidR="00370B6E" w:rsidRDefault="00370B6E" w:rsidP="00370B6E">
      <w:pPr>
        <w:pStyle w:val="Heading2"/>
      </w:pPr>
      <w:bookmarkStart w:id="117" w:name="_Toc482626086"/>
      <w:r>
        <w:t>Cost allocation methodology</w:t>
      </w:r>
      <w:bookmarkEnd w:id="117"/>
    </w:p>
    <w:p w:rsidR="0026660F" w:rsidRDefault="0026660F" w:rsidP="00F55674">
      <w:pPr>
        <w:pStyle w:val="BodyText"/>
      </w:pPr>
      <w:r>
        <w:t xml:space="preserve">Expenditure associated with the WORM project has been included in the tariff model using the same cost allocation methodologies set out in the January AA proposal. </w:t>
      </w:r>
    </w:p>
    <w:p w:rsidR="004B699F" w:rsidRDefault="00713F79" w:rsidP="00F55674">
      <w:pPr>
        <w:pStyle w:val="BodyText"/>
      </w:pPr>
      <w:r>
        <w:t>As the WORM represents a new pipeline, APA VTS established a new asset zone for the WORM in the tariff model for the proposed easement purchase. In this supplementary submission, the easement purchase costs have been replaced in the tariff model with the full costs of WORM construction within the period.</w:t>
      </w:r>
    </w:p>
    <w:p w:rsidR="00370B6E" w:rsidRDefault="000D31E5" w:rsidP="00F55674">
      <w:pPr>
        <w:pStyle w:val="BodyText"/>
      </w:pPr>
      <w:proofErr w:type="gramStart"/>
      <w:r>
        <w:t>Once completed, t</w:t>
      </w:r>
      <w:r w:rsidR="00713F79">
        <w:t xml:space="preserve">he WORM becomes part of the broader system of pipelines and facilities for gas supply from </w:t>
      </w:r>
      <w:r w:rsidR="004D6314">
        <w:t>Iona/</w:t>
      </w:r>
      <w:r w:rsidR="00713F79">
        <w:t>Port Campbell to the Hub</w:t>
      </w:r>
      <w:r>
        <w:t>,</w:t>
      </w:r>
      <w:r w:rsidR="00713F79">
        <w:t xml:space="preserve"> and beyond to Northern Victoria.</w:t>
      </w:r>
      <w:proofErr w:type="gramEnd"/>
      <w:r w:rsidR="00713F79">
        <w:t xml:space="preserve"> In line with the cost allocation methodology described in the January AA proposal, the WORM expenditure is therefore allocated to all withdrawal zones that use the flow path incorporating the WORM, in proportion to volume. This includes the cross system tariff</w:t>
      </w:r>
      <w:r>
        <w:t xml:space="preserve">, as well as withdrawals at Port Campbell (but not, for example, flows to the Western Transmission System that </w:t>
      </w:r>
      <w:proofErr w:type="gramStart"/>
      <w:r>
        <w:t>are</w:t>
      </w:r>
      <w:proofErr w:type="gramEnd"/>
      <w:r>
        <w:t xml:space="preserve"> matched to Port Campbell injections).</w:t>
      </w:r>
      <w:r w:rsidR="00370B6E">
        <w:t xml:space="preserve"> </w:t>
      </w:r>
    </w:p>
    <w:p w:rsidR="00370B6E" w:rsidRDefault="002C5A8D" w:rsidP="00370B6E">
      <w:pPr>
        <w:pStyle w:val="Heading2"/>
      </w:pPr>
      <w:bookmarkStart w:id="118" w:name="_Toc482626087"/>
      <w:r>
        <w:t>Revised tariffs</w:t>
      </w:r>
      <w:bookmarkEnd w:id="118"/>
      <w:r>
        <w:t xml:space="preserve"> </w:t>
      </w:r>
    </w:p>
    <w:p w:rsidR="00370B6E" w:rsidRDefault="006D055F" w:rsidP="00F55674">
      <w:pPr>
        <w:pStyle w:val="BodyText"/>
      </w:pPr>
      <w:r>
        <w:t>The WORM project has an immaterial impact on tariffs, with some falling very slights, and others rising very slightly.</w:t>
      </w:r>
      <w:r w:rsidR="000D31E5">
        <w:t xml:space="preserve"> Some changes to key </w:t>
      </w:r>
      <w:r w:rsidR="001A58E2">
        <w:t xml:space="preserve">2018 </w:t>
      </w:r>
      <w:r w:rsidR="000D31E5">
        <w:t>tariffs compared to the January AA proposal are as follows:</w:t>
      </w:r>
    </w:p>
    <w:tbl>
      <w:tblPr>
        <w:tblStyle w:val="TableGrid"/>
        <w:tblW w:w="0" w:type="auto"/>
        <w:tblLook w:val="04A0" w:firstRow="1" w:lastRow="0" w:firstColumn="1" w:lastColumn="0" w:noHBand="0" w:noVBand="1"/>
      </w:tblPr>
      <w:tblGrid>
        <w:gridCol w:w="2812"/>
        <w:gridCol w:w="2812"/>
        <w:gridCol w:w="2813"/>
      </w:tblGrid>
      <w:tr w:rsidR="0056418E" w:rsidRPr="0056418E" w:rsidTr="00AC6EB7">
        <w:tc>
          <w:tcPr>
            <w:tcW w:w="2812" w:type="dxa"/>
            <w:shd w:val="clear" w:color="auto" w:fill="25282A" w:themeFill="text1"/>
            <w:vAlign w:val="center"/>
          </w:tcPr>
          <w:p w:rsidR="001A79A0" w:rsidRPr="00AC6EB7" w:rsidRDefault="001A79A0" w:rsidP="00AC6EB7">
            <w:pPr>
              <w:pStyle w:val="BodyText"/>
              <w:jc w:val="left"/>
              <w:rPr>
                <w:b/>
                <w:color w:val="FFFFFF" w:themeColor="background1"/>
                <w:sz w:val="18"/>
              </w:rPr>
            </w:pPr>
          </w:p>
        </w:tc>
        <w:tc>
          <w:tcPr>
            <w:tcW w:w="2812" w:type="dxa"/>
            <w:shd w:val="clear" w:color="auto" w:fill="25282A" w:themeFill="text1"/>
            <w:vAlign w:val="center"/>
          </w:tcPr>
          <w:p w:rsidR="001A79A0" w:rsidRPr="00AC6EB7" w:rsidRDefault="001A79A0" w:rsidP="00AC6EB7">
            <w:pPr>
              <w:pStyle w:val="BodyText"/>
              <w:jc w:val="center"/>
              <w:rPr>
                <w:b/>
                <w:color w:val="FFFFFF" w:themeColor="background1"/>
                <w:sz w:val="18"/>
              </w:rPr>
            </w:pPr>
            <w:r w:rsidRPr="00AC6EB7">
              <w:rPr>
                <w:b/>
                <w:color w:val="FFFFFF" w:themeColor="background1"/>
                <w:sz w:val="18"/>
              </w:rPr>
              <w:t xml:space="preserve">Metro South East </w:t>
            </w:r>
            <w:r w:rsidR="00E21A5E" w:rsidRPr="00AC6EB7">
              <w:rPr>
                <w:b/>
                <w:color w:val="FFFFFF" w:themeColor="background1"/>
                <w:sz w:val="18"/>
              </w:rPr>
              <w:br/>
            </w:r>
            <w:r w:rsidRPr="00AC6EB7">
              <w:rPr>
                <w:b/>
                <w:color w:val="FFFFFF" w:themeColor="background1"/>
                <w:sz w:val="18"/>
              </w:rPr>
              <w:t>Metro North West</w:t>
            </w:r>
          </w:p>
        </w:tc>
        <w:tc>
          <w:tcPr>
            <w:tcW w:w="2813" w:type="dxa"/>
            <w:shd w:val="clear" w:color="auto" w:fill="25282A" w:themeFill="text1"/>
            <w:vAlign w:val="center"/>
          </w:tcPr>
          <w:p w:rsidR="001A79A0" w:rsidRPr="00AC6EB7" w:rsidRDefault="001A79A0" w:rsidP="00AC6EB7">
            <w:pPr>
              <w:pStyle w:val="BodyText"/>
              <w:jc w:val="center"/>
              <w:rPr>
                <w:b/>
                <w:color w:val="FFFFFF" w:themeColor="background1"/>
                <w:sz w:val="18"/>
              </w:rPr>
            </w:pPr>
            <w:r w:rsidRPr="00AC6EB7">
              <w:rPr>
                <w:b/>
                <w:color w:val="FFFFFF" w:themeColor="background1"/>
                <w:sz w:val="18"/>
              </w:rPr>
              <w:t>Geelong</w:t>
            </w:r>
          </w:p>
        </w:tc>
      </w:tr>
      <w:tr w:rsidR="001A79A0" w:rsidRPr="0056418E" w:rsidTr="00AC6EB7">
        <w:tc>
          <w:tcPr>
            <w:tcW w:w="2812" w:type="dxa"/>
            <w:vAlign w:val="center"/>
          </w:tcPr>
          <w:p w:rsidR="001A79A0" w:rsidRPr="00AC6EB7" w:rsidRDefault="001A79A0" w:rsidP="00AC6EB7">
            <w:pPr>
              <w:pStyle w:val="BodyText"/>
              <w:jc w:val="left"/>
              <w:rPr>
                <w:sz w:val="18"/>
              </w:rPr>
            </w:pPr>
            <w:r w:rsidRPr="00AC6EB7">
              <w:rPr>
                <w:sz w:val="18"/>
              </w:rPr>
              <w:t>Tariff V</w:t>
            </w:r>
            <w:r w:rsidR="00E21A5E" w:rsidRPr="00AC6EB7">
              <w:rPr>
                <w:sz w:val="18"/>
              </w:rPr>
              <w:t xml:space="preserve"> (60 GJ</w:t>
            </w:r>
            <w:r w:rsidR="009279DA">
              <w:rPr>
                <w:sz w:val="18"/>
              </w:rPr>
              <w:t xml:space="preserve"> </w:t>
            </w:r>
            <w:r w:rsidR="00E21A5E" w:rsidRPr="00AC6EB7">
              <w:rPr>
                <w:sz w:val="18"/>
              </w:rPr>
              <w:t>pa)</w:t>
            </w:r>
          </w:p>
        </w:tc>
        <w:tc>
          <w:tcPr>
            <w:tcW w:w="2812" w:type="dxa"/>
            <w:vAlign w:val="center"/>
          </w:tcPr>
          <w:p w:rsidR="001A79A0" w:rsidRPr="00AC6EB7" w:rsidRDefault="001A79A0" w:rsidP="00AC6EB7">
            <w:pPr>
              <w:pStyle w:val="BodyText"/>
              <w:jc w:val="center"/>
              <w:rPr>
                <w:sz w:val="18"/>
              </w:rPr>
            </w:pPr>
            <w:r w:rsidRPr="00AC6EB7">
              <w:rPr>
                <w:sz w:val="18"/>
              </w:rPr>
              <w:t xml:space="preserve">2.2c/GJ </w:t>
            </w:r>
            <w:r w:rsidRPr="00AC6EB7">
              <w:rPr>
                <w:sz w:val="18"/>
              </w:rPr>
              <w:br/>
              <w:t>$</w:t>
            </w:r>
            <w:r w:rsidR="007101FD" w:rsidRPr="00AC6EB7">
              <w:rPr>
                <w:sz w:val="18"/>
              </w:rPr>
              <w:t>1.33</w:t>
            </w:r>
            <w:r w:rsidRPr="00AC6EB7">
              <w:rPr>
                <w:sz w:val="18"/>
              </w:rPr>
              <w:t xml:space="preserve"> per year</w:t>
            </w:r>
          </w:p>
        </w:tc>
        <w:tc>
          <w:tcPr>
            <w:tcW w:w="2813" w:type="dxa"/>
            <w:vAlign w:val="center"/>
          </w:tcPr>
          <w:p w:rsidR="001A79A0" w:rsidRPr="00AC6EB7" w:rsidRDefault="007101FD" w:rsidP="00AC6EB7">
            <w:pPr>
              <w:pStyle w:val="BodyText"/>
              <w:jc w:val="center"/>
              <w:rPr>
                <w:sz w:val="18"/>
              </w:rPr>
            </w:pPr>
            <w:r w:rsidRPr="00AC6EB7">
              <w:rPr>
                <w:sz w:val="18"/>
              </w:rPr>
              <w:t xml:space="preserve">2.9c/GJ </w:t>
            </w:r>
            <w:r w:rsidRPr="00AC6EB7">
              <w:rPr>
                <w:sz w:val="18"/>
              </w:rPr>
              <w:br/>
              <w:t>$1.75 per year</w:t>
            </w:r>
          </w:p>
        </w:tc>
      </w:tr>
      <w:tr w:rsidR="001A79A0" w:rsidRPr="0056418E" w:rsidTr="00AC6EB7">
        <w:tc>
          <w:tcPr>
            <w:tcW w:w="2812" w:type="dxa"/>
            <w:vAlign w:val="center"/>
          </w:tcPr>
          <w:p w:rsidR="001A79A0" w:rsidRPr="00AC6EB7" w:rsidRDefault="001A79A0" w:rsidP="00AC6EB7">
            <w:pPr>
              <w:pStyle w:val="BodyText"/>
              <w:jc w:val="left"/>
              <w:rPr>
                <w:sz w:val="18"/>
              </w:rPr>
            </w:pPr>
            <w:r w:rsidRPr="00AC6EB7">
              <w:rPr>
                <w:sz w:val="18"/>
              </w:rPr>
              <w:t>Tariff D</w:t>
            </w:r>
            <w:r w:rsidR="00E21A5E" w:rsidRPr="00AC6EB7">
              <w:rPr>
                <w:sz w:val="18"/>
              </w:rPr>
              <w:t xml:space="preserve"> (500 GJ</w:t>
            </w:r>
            <w:r w:rsidR="009279DA">
              <w:rPr>
                <w:sz w:val="18"/>
              </w:rPr>
              <w:t xml:space="preserve"> </w:t>
            </w:r>
            <w:r w:rsidR="00E21A5E" w:rsidRPr="00AC6EB7">
              <w:rPr>
                <w:sz w:val="18"/>
              </w:rPr>
              <w:t>pa)</w:t>
            </w:r>
          </w:p>
        </w:tc>
        <w:tc>
          <w:tcPr>
            <w:tcW w:w="2812" w:type="dxa"/>
            <w:vAlign w:val="center"/>
          </w:tcPr>
          <w:p w:rsidR="001A79A0" w:rsidRPr="00AC6EB7" w:rsidRDefault="001A79A0" w:rsidP="00AC6EB7">
            <w:pPr>
              <w:pStyle w:val="BodyText"/>
              <w:jc w:val="center"/>
              <w:rPr>
                <w:sz w:val="18"/>
              </w:rPr>
            </w:pPr>
            <w:r w:rsidRPr="00AC6EB7">
              <w:rPr>
                <w:sz w:val="18"/>
              </w:rPr>
              <w:t xml:space="preserve">1.9c/GJ </w:t>
            </w:r>
            <w:r w:rsidRPr="00AC6EB7">
              <w:rPr>
                <w:sz w:val="18"/>
              </w:rPr>
              <w:br/>
              <w:t>$9.35 per year</w:t>
            </w:r>
          </w:p>
        </w:tc>
        <w:tc>
          <w:tcPr>
            <w:tcW w:w="2813" w:type="dxa"/>
            <w:vAlign w:val="center"/>
          </w:tcPr>
          <w:p w:rsidR="001A79A0" w:rsidRPr="00AC6EB7" w:rsidRDefault="007101FD" w:rsidP="00AC6EB7">
            <w:pPr>
              <w:pStyle w:val="BodyText"/>
              <w:jc w:val="center"/>
              <w:rPr>
                <w:sz w:val="18"/>
              </w:rPr>
            </w:pPr>
            <w:r w:rsidRPr="00AC6EB7">
              <w:rPr>
                <w:sz w:val="18"/>
              </w:rPr>
              <w:t xml:space="preserve">3.4c/GJ </w:t>
            </w:r>
            <w:r w:rsidR="00E21A5E" w:rsidRPr="00AC6EB7">
              <w:rPr>
                <w:sz w:val="18"/>
              </w:rPr>
              <w:br/>
              <w:t>$16.90 per year</w:t>
            </w:r>
          </w:p>
        </w:tc>
      </w:tr>
    </w:tbl>
    <w:p w:rsidR="004B699F" w:rsidRDefault="004B699F" w:rsidP="00F55674">
      <w:pPr>
        <w:pStyle w:val="BodyText"/>
      </w:pPr>
    </w:p>
    <w:p w:rsidR="00370B6E" w:rsidRDefault="00370B6E" w:rsidP="00F55674">
      <w:pPr>
        <w:pStyle w:val="BodyText"/>
      </w:pPr>
      <w:r>
        <w:lastRenderedPageBreak/>
        <w:t>Tariff tables from the access arrangement are set out below with revised tariff values. The table names and numbers reflect those in the access arrangement.</w:t>
      </w:r>
      <w:bookmarkStart w:id="119" w:name="_GoBack"/>
      <w:bookmarkEnd w:id="119"/>
    </w:p>
    <w:p w:rsidR="00370B6E" w:rsidRDefault="00370B6E" w:rsidP="00370B6E">
      <w:pPr>
        <w:pStyle w:val="nonindextariff"/>
        <w:numPr>
          <w:ilvl w:val="0"/>
          <w:numId w:val="0"/>
        </w:numPr>
      </w:pPr>
      <w:bookmarkStart w:id="120" w:name="_Ref461002792"/>
      <w:bookmarkStart w:id="121" w:name="_Toc471219034"/>
      <w:r>
        <w:t>A. 1 Injection Tariffs</w:t>
      </w:r>
      <w:bookmarkEnd w:id="120"/>
      <w:bookmarkEnd w:id="121"/>
    </w:p>
    <w:p w:rsidR="00370B6E" w:rsidRDefault="00370B6E" w:rsidP="00370B6E">
      <w:pPr>
        <w:pStyle w:val="BodyTextIndent1"/>
      </w:pPr>
      <w:r>
        <w:t>(a)</w:t>
      </w:r>
      <w:r>
        <w:tab/>
        <w:t>Injection at Longford Injection Zone</w:t>
      </w:r>
    </w:p>
    <w:tbl>
      <w:tblPr>
        <w:tblStyle w:val="TableGrid"/>
        <w:tblW w:w="8472" w:type="dxa"/>
        <w:tblBorders>
          <w:left w:val="none" w:sz="0" w:space="0" w:color="auto"/>
          <w:right w:val="none" w:sz="0" w:space="0" w:color="auto"/>
          <w:insideV w:val="none" w:sz="0" w:space="0" w:color="auto"/>
        </w:tblBorders>
        <w:tblLook w:val="04A0" w:firstRow="1" w:lastRow="0" w:firstColumn="1" w:lastColumn="0" w:noHBand="0" w:noVBand="1"/>
      </w:tblPr>
      <w:tblGrid>
        <w:gridCol w:w="2518"/>
        <w:gridCol w:w="3260"/>
        <w:gridCol w:w="2694"/>
      </w:tblGrid>
      <w:tr w:rsidR="00370B6E" w:rsidTr="00370B6E">
        <w:tc>
          <w:tcPr>
            <w:tcW w:w="2518" w:type="dxa"/>
            <w:shd w:val="clear" w:color="auto" w:fill="25282A" w:themeFill="text1"/>
            <w:vAlign w:val="center"/>
          </w:tcPr>
          <w:p w:rsidR="00370B6E" w:rsidRPr="005B5AF4" w:rsidRDefault="00370B6E" w:rsidP="00370B6E">
            <w:pPr>
              <w:pStyle w:val="TableBodyCells"/>
              <w:jc w:val="left"/>
              <w:rPr>
                <w:b/>
                <w:color w:val="FFFFFF" w:themeColor="background1"/>
              </w:rPr>
            </w:pPr>
            <w:r w:rsidRPr="005B5AF4">
              <w:rPr>
                <w:b/>
                <w:color w:val="FFFFFF" w:themeColor="background1"/>
              </w:rPr>
              <w:t>Matched Withdrawal Zone</w:t>
            </w:r>
          </w:p>
        </w:tc>
        <w:tc>
          <w:tcPr>
            <w:tcW w:w="3260" w:type="dxa"/>
            <w:shd w:val="clear" w:color="auto" w:fill="25282A" w:themeFill="text1"/>
            <w:vAlign w:val="center"/>
          </w:tcPr>
          <w:p w:rsidR="00370B6E" w:rsidRPr="005B5AF4" w:rsidRDefault="00370B6E" w:rsidP="00370B6E">
            <w:pPr>
              <w:pStyle w:val="TableBodyCells"/>
              <w:rPr>
                <w:b/>
                <w:color w:val="FFFFFF" w:themeColor="background1"/>
              </w:rPr>
            </w:pPr>
            <w:r w:rsidRPr="005B5AF4">
              <w:rPr>
                <w:b/>
                <w:color w:val="FFFFFF" w:themeColor="background1"/>
              </w:rPr>
              <w:t>Injection Tariff ($/GJ, for the 10 Day Injection Volume)</w:t>
            </w:r>
          </w:p>
        </w:tc>
        <w:tc>
          <w:tcPr>
            <w:tcW w:w="2694" w:type="dxa"/>
            <w:shd w:val="clear" w:color="auto" w:fill="25282A" w:themeFill="text1"/>
            <w:vAlign w:val="center"/>
          </w:tcPr>
          <w:p w:rsidR="00370B6E" w:rsidRPr="001A7737" w:rsidRDefault="00370B6E" w:rsidP="00370B6E">
            <w:pPr>
              <w:pStyle w:val="AAtabletopleft"/>
              <w:jc w:val="center"/>
              <w:rPr>
                <w:b w:val="0"/>
                <w:color w:val="FFFFFF" w:themeColor="background1"/>
              </w:rPr>
            </w:pPr>
            <w:r w:rsidRPr="001A7737">
              <w:rPr>
                <w:rFonts w:ascii="Century Gothic" w:hAnsi="Century Gothic"/>
                <w:color w:val="FFFFFF" w:themeColor="background1"/>
                <w:lang w:val="en-AU"/>
              </w:rPr>
              <w:t xml:space="preserve">2019-2022 </w:t>
            </w:r>
            <w:r>
              <w:rPr>
                <w:rFonts w:ascii="Century Gothic" w:hAnsi="Century Gothic"/>
                <w:color w:val="FFFFFF" w:themeColor="background1"/>
                <w:lang w:val="en-AU"/>
              </w:rPr>
              <w:br/>
              <w:t xml:space="preserve">annual </w:t>
            </w:r>
            <w:r w:rsidRPr="001A7737">
              <w:rPr>
                <w:rFonts w:ascii="Century Gothic" w:hAnsi="Century Gothic"/>
                <w:color w:val="FFFFFF" w:themeColor="background1"/>
                <w:lang w:val="en-AU"/>
              </w:rPr>
              <w:t>X-factor</w:t>
            </w:r>
          </w:p>
        </w:tc>
      </w:tr>
      <w:tr w:rsidR="00370B6E" w:rsidTr="00370B6E">
        <w:tc>
          <w:tcPr>
            <w:tcW w:w="2518" w:type="dxa"/>
            <w:vAlign w:val="center"/>
          </w:tcPr>
          <w:p w:rsidR="00370B6E" w:rsidRPr="004F730B" w:rsidRDefault="00370B6E" w:rsidP="00370B6E">
            <w:pPr>
              <w:pStyle w:val="TableBodyCells"/>
              <w:jc w:val="left"/>
            </w:pPr>
            <w:r w:rsidRPr="004F730B">
              <w:t xml:space="preserve">All Withdrawal Zones except </w:t>
            </w:r>
            <w:proofErr w:type="spellStart"/>
            <w:r w:rsidRPr="004F730B">
              <w:t>LaTrobe</w:t>
            </w:r>
            <w:proofErr w:type="spellEnd"/>
            <w:r w:rsidRPr="004F730B">
              <w:t>, Maryvale, Tyers, West Gippsland and Lurgi</w:t>
            </w:r>
          </w:p>
        </w:tc>
        <w:tc>
          <w:tcPr>
            <w:tcW w:w="3260" w:type="dxa"/>
            <w:vAlign w:val="center"/>
          </w:tcPr>
          <w:p w:rsidR="00370B6E" w:rsidRPr="004F730B" w:rsidRDefault="00370B6E" w:rsidP="00370B6E">
            <w:pPr>
              <w:pStyle w:val="TableBodyCells"/>
            </w:pPr>
            <w:r w:rsidRPr="0068187C">
              <w:t>2.1</w:t>
            </w:r>
            <w:r w:rsidR="00CA1622">
              <w:t>836</w:t>
            </w:r>
          </w:p>
        </w:tc>
        <w:tc>
          <w:tcPr>
            <w:tcW w:w="2694" w:type="dxa"/>
            <w:vAlign w:val="center"/>
          </w:tcPr>
          <w:p w:rsidR="00370B6E" w:rsidRPr="004F730B" w:rsidRDefault="00370B6E" w:rsidP="00370B6E">
            <w:pPr>
              <w:pStyle w:val="TableBodyCells"/>
            </w:pPr>
            <w:r>
              <w:t>6</w:t>
            </w:r>
          </w:p>
        </w:tc>
      </w:tr>
      <w:tr w:rsidR="00370B6E" w:rsidTr="00370B6E">
        <w:tc>
          <w:tcPr>
            <w:tcW w:w="2518" w:type="dxa"/>
            <w:vAlign w:val="center"/>
          </w:tcPr>
          <w:p w:rsidR="00370B6E" w:rsidRPr="004F730B" w:rsidRDefault="00370B6E" w:rsidP="00370B6E">
            <w:pPr>
              <w:pStyle w:val="TableBodyCells"/>
              <w:jc w:val="left"/>
            </w:pPr>
            <w:proofErr w:type="spellStart"/>
            <w:r w:rsidRPr="004F730B">
              <w:t>LaTrobe</w:t>
            </w:r>
            <w:proofErr w:type="spellEnd"/>
            <w:r w:rsidRPr="004F730B">
              <w:t xml:space="preserve"> &amp; Maryvale</w:t>
            </w:r>
          </w:p>
        </w:tc>
        <w:tc>
          <w:tcPr>
            <w:tcW w:w="3260" w:type="dxa"/>
            <w:vAlign w:val="center"/>
          </w:tcPr>
          <w:p w:rsidR="00370B6E" w:rsidRPr="004F730B" w:rsidRDefault="00370B6E" w:rsidP="00370B6E">
            <w:pPr>
              <w:pStyle w:val="TableBodyCells"/>
            </w:pPr>
            <w:r w:rsidRPr="0068187C">
              <w:t>0.4</w:t>
            </w:r>
            <w:r w:rsidR="00CA1622">
              <w:t>344</w:t>
            </w:r>
          </w:p>
        </w:tc>
        <w:tc>
          <w:tcPr>
            <w:tcW w:w="2694" w:type="dxa"/>
            <w:vAlign w:val="center"/>
          </w:tcPr>
          <w:p w:rsidR="00370B6E" w:rsidRPr="004F730B" w:rsidRDefault="00370B6E" w:rsidP="00370B6E">
            <w:pPr>
              <w:pStyle w:val="TableBodyCells"/>
            </w:pPr>
            <w:r>
              <w:t>6</w:t>
            </w:r>
          </w:p>
        </w:tc>
      </w:tr>
      <w:tr w:rsidR="00370B6E" w:rsidTr="00370B6E">
        <w:tc>
          <w:tcPr>
            <w:tcW w:w="2518" w:type="dxa"/>
            <w:vAlign w:val="center"/>
          </w:tcPr>
          <w:p w:rsidR="00370B6E" w:rsidRPr="004F730B" w:rsidRDefault="00370B6E" w:rsidP="00370B6E">
            <w:pPr>
              <w:pStyle w:val="TableBodyCells"/>
              <w:jc w:val="left"/>
            </w:pPr>
            <w:r w:rsidRPr="004F730B">
              <w:t>West Gippsland</w:t>
            </w:r>
          </w:p>
        </w:tc>
        <w:tc>
          <w:tcPr>
            <w:tcW w:w="3260" w:type="dxa"/>
            <w:vAlign w:val="center"/>
          </w:tcPr>
          <w:p w:rsidR="00370B6E" w:rsidRPr="004F730B" w:rsidRDefault="00370B6E" w:rsidP="00370B6E">
            <w:pPr>
              <w:pStyle w:val="TableBodyCells"/>
            </w:pPr>
            <w:r w:rsidRPr="0068187C">
              <w:t>1.</w:t>
            </w:r>
            <w:r w:rsidR="00CA1622">
              <w:t>3101</w:t>
            </w:r>
          </w:p>
        </w:tc>
        <w:tc>
          <w:tcPr>
            <w:tcW w:w="2694" w:type="dxa"/>
            <w:vAlign w:val="center"/>
          </w:tcPr>
          <w:p w:rsidR="00370B6E" w:rsidRPr="004F730B" w:rsidRDefault="00370B6E" w:rsidP="00370B6E">
            <w:pPr>
              <w:pStyle w:val="TableBodyCells"/>
            </w:pPr>
            <w:r>
              <w:t>6</w:t>
            </w:r>
          </w:p>
        </w:tc>
      </w:tr>
      <w:tr w:rsidR="00370B6E" w:rsidTr="00370B6E">
        <w:tc>
          <w:tcPr>
            <w:tcW w:w="2518" w:type="dxa"/>
            <w:vAlign w:val="center"/>
          </w:tcPr>
          <w:p w:rsidR="00370B6E" w:rsidRPr="004F730B" w:rsidRDefault="00370B6E" w:rsidP="00370B6E">
            <w:pPr>
              <w:pStyle w:val="TableBodyCells"/>
              <w:jc w:val="left"/>
            </w:pPr>
            <w:r w:rsidRPr="004F730B">
              <w:t>Tyers &amp; Lurgi</w:t>
            </w:r>
          </w:p>
        </w:tc>
        <w:tc>
          <w:tcPr>
            <w:tcW w:w="3260" w:type="dxa"/>
            <w:vAlign w:val="center"/>
          </w:tcPr>
          <w:p w:rsidR="00370B6E" w:rsidRPr="004F730B" w:rsidRDefault="00370B6E" w:rsidP="00370B6E">
            <w:pPr>
              <w:pStyle w:val="TableBodyCells"/>
            </w:pPr>
            <w:r w:rsidRPr="0068187C">
              <w:t>0.6</w:t>
            </w:r>
            <w:r w:rsidR="00CA1622">
              <w:t>239</w:t>
            </w:r>
          </w:p>
        </w:tc>
        <w:tc>
          <w:tcPr>
            <w:tcW w:w="2694" w:type="dxa"/>
            <w:vAlign w:val="center"/>
          </w:tcPr>
          <w:p w:rsidR="00370B6E" w:rsidRPr="004F730B" w:rsidRDefault="00370B6E" w:rsidP="00370B6E">
            <w:pPr>
              <w:pStyle w:val="TableBodyCells"/>
            </w:pPr>
            <w:r>
              <w:t>6</w:t>
            </w:r>
          </w:p>
        </w:tc>
      </w:tr>
    </w:tbl>
    <w:p w:rsidR="00370B6E" w:rsidRDefault="00370B6E" w:rsidP="00370B6E">
      <w:pPr>
        <w:pStyle w:val="BodyText"/>
      </w:pPr>
    </w:p>
    <w:p w:rsidR="00370B6E" w:rsidRDefault="00370B6E" w:rsidP="00370B6E">
      <w:pPr>
        <w:pStyle w:val="BodyTextIndent1"/>
      </w:pPr>
      <w:r w:rsidRPr="001A2774">
        <w:t>(b)</w:t>
      </w:r>
      <w:r w:rsidRPr="001A2774">
        <w:tab/>
        <w:t>Injection at Culcairn Injection Zone</w:t>
      </w:r>
    </w:p>
    <w:tbl>
      <w:tblPr>
        <w:tblStyle w:val="TableGrid"/>
        <w:tblW w:w="8472" w:type="dxa"/>
        <w:tblBorders>
          <w:left w:val="none" w:sz="0" w:space="0" w:color="auto"/>
          <w:right w:val="none" w:sz="0" w:space="0" w:color="auto"/>
          <w:insideV w:val="none" w:sz="0" w:space="0" w:color="auto"/>
        </w:tblBorders>
        <w:tblLook w:val="04A0" w:firstRow="1" w:lastRow="0" w:firstColumn="1" w:lastColumn="0" w:noHBand="0" w:noVBand="1"/>
      </w:tblPr>
      <w:tblGrid>
        <w:gridCol w:w="2518"/>
        <w:gridCol w:w="3686"/>
        <w:gridCol w:w="2268"/>
      </w:tblGrid>
      <w:tr w:rsidR="00370B6E" w:rsidTr="00370B6E">
        <w:tc>
          <w:tcPr>
            <w:tcW w:w="2518" w:type="dxa"/>
            <w:shd w:val="clear" w:color="auto" w:fill="25282A" w:themeFill="text1"/>
            <w:vAlign w:val="center"/>
          </w:tcPr>
          <w:p w:rsidR="00370B6E" w:rsidRPr="005B5AF4" w:rsidRDefault="00370B6E" w:rsidP="00370B6E">
            <w:pPr>
              <w:pStyle w:val="TableBodyCells"/>
              <w:jc w:val="left"/>
              <w:rPr>
                <w:b/>
                <w:color w:val="FFFFFF" w:themeColor="background1"/>
              </w:rPr>
            </w:pPr>
            <w:r w:rsidRPr="005B5AF4">
              <w:rPr>
                <w:b/>
                <w:color w:val="FFFFFF" w:themeColor="background1"/>
              </w:rPr>
              <w:t>Matched Withdrawal Zone</w:t>
            </w:r>
          </w:p>
        </w:tc>
        <w:tc>
          <w:tcPr>
            <w:tcW w:w="3686" w:type="dxa"/>
            <w:shd w:val="clear" w:color="auto" w:fill="25282A" w:themeFill="text1"/>
            <w:vAlign w:val="center"/>
          </w:tcPr>
          <w:p w:rsidR="00370B6E" w:rsidRPr="005B5AF4" w:rsidRDefault="00370B6E" w:rsidP="00370B6E">
            <w:pPr>
              <w:pStyle w:val="TableBodyCells"/>
              <w:rPr>
                <w:b/>
                <w:color w:val="FFFFFF" w:themeColor="background1"/>
              </w:rPr>
            </w:pPr>
            <w:r w:rsidRPr="005B5AF4">
              <w:rPr>
                <w:b/>
                <w:color w:val="FFFFFF" w:themeColor="background1"/>
              </w:rPr>
              <w:t>Injection Tariff ($/GJ, for the 10 Day Injection Volume)</w:t>
            </w:r>
          </w:p>
        </w:tc>
        <w:tc>
          <w:tcPr>
            <w:tcW w:w="2268" w:type="dxa"/>
            <w:shd w:val="clear" w:color="auto" w:fill="25282A" w:themeFill="text1"/>
            <w:vAlign w:val="center"/>
          </w:tcPr>
          <w:p w:rsidR="00370B6E" w:rsidRPr="001075DF" w:rsidRDefault="00370B6E" w:rsidP="00370B6E">
            <w:pPr>
              <w:pStyle w:val="AAtabletopleft"/>
              <w:jc w:val="center"/>
              <w:rPr>
                <w:b w:val="0"/>
                <w:color w:val="FF0000"/>
              </w:rPr>
            </w:pPr>
            <w:r w:rsidRPr="001A7737">
              <w:rPr>
                <w:rFonts w:ascii="Century Gothic" w:hAnsi="Century Gothic"/>
                <w:color w:val="FFFFFF" w:themeColor="background1"/>
                <w:lang w:val="en-AU"/>
              </w:rPr>
              <w:t xml:space="preserve">2019-2022 </w:t>
            </w:r>
            <w:r>
              <w:rPr>
                <w:rFonts w:ascii="Century Gothic" w:hAnsi="Century Gothic"/>
                <w:color w:val="FFFFFF" w:themeColor="background1"/>
                <w:lang w:val="en-AU"/>
              </w:rPr>
              <w:br/>
              <w:t xml:space="preserve">annual </w:t>
            </w:r>
            <w:r w:rsidRPr="001A7737">
              <w:rPr>
                <w:rFonts w:ascii="Century Gothic" w:hAnsi="Century Gothic"/>
                <w:color w:val="FFFFFF" w:themeColor="background1"/>
                <w:lang w:val="en-AU"/>
              </w:rPr>
              <w:t>X-factor</w:t>
            </w:r>
          </w:p>
        </w:tc>
      </w:tr>
      <w:tr w:rsidR="00370B6E" w:rsidTr="00370B6E">
        <w:tc>
          <w:tcPr>
            <w:tcW w:w="2518" w:type="dxa"/>
            <w:vAlign w:val="center"/>
          </w:tcPr>
          <w:p w:rsidR="00370B6E" w:rsidRPr="004F730B" w:rsidRDefault="00370B6E" w:rsidP="00370B6E">
            <w:pPr>
              <w:pStyle w:val="TableBodyCells"/>
              <w:jc w:val="left"/>
            </w:pPr>
            <w:r w:rsidRPr="001A2774">
              <w:t>All Withdrawal Zones except Interconnect</w:t>
            </w:r>
          </w:p>
        </w:tc>
        <w:tc>
          <w:tcPr>
            <w:tcW w:w="3686" w:type="dxa"/>
            <w:vAlign w:val="center"/>
          </w:tcPr>
          <w:p w:rsidR="00370B6E" w:rsidRPr="004F730B" w:rsidRDefault="00370B6E" w:rsidP="00370B6E">
            <w:pPr>
              <w:pStyle w:val="TableBodyCells"/>
            </w:pPr>
            <w:r w:rsidRPr="0068187C">
              <w:t>1.3</w:t>
            </w:r>
            <w:r w:rsidR="00CA1622">
              <w:t>829</w:t>
            </w:r>
          </w:p>
        </w:tc>
        <w:tc>
          <w:tcPr>
            <w:tcW w:w="2268" w:type="dxa"/>
            <w:vAlign w:val="center"/>
          </w:tcPr>
          <w:p w:rsidR="00370B6E" w:rsidRPr="004F730B" w:rsidRDefault="00370B6E" w:rsidP="00370B6E">
            <w:pPr>
              <w:pStyle w:val="TableBodyCells"/>
            </w:pPr>
            <w:r>
              <w:t>6</w:t>
            </w:r>
          </w:p>
        </w:tc>
      </w:tr>
      <w:tr w:rsidR="00370B6E" w:rsidTr="00370B6E">
        <w:tc>
          <w:tcPr>
            <w:tcW w:w="2518" w:type="dxa"/>
            <w:vAlign w:val="center"/>
          </w:tcPr>
          <w:p w:rsidR="00370B6E" w:rsidRPr="004F730B" w:rsidRDefault="00370B6E" w:rsidP="00370B6E">
            <w:pPr>
              <w:pStyle w:val="TableBodyCells"/>
              <w:jc w:val="left"/>
            </w:pPr>
            <w:r w:rsidRPr="001A2774">
              <w:t>Interconnect</w:t>
            </w:r>
          </w:p>
        </w:tc>
        <w:tc>
          <w:tcPr>
            <w:tcW w:w="3686" w:type="dxa"/>
            <w:vAlign w:val="center"/>
          </w:tcPr>
          <w:p w:rsidR="00370B6E" w:rsidRPr="004F730B" w:rsidRDefault="00370B6E" w:rsidP="00370B6E">
            <w:pPr>
              <w:pStyle w:val="TableBodyCells"/>
            </w:pPr>
            <w:r w:rsidRPr="0068187C">
              <w:t>0.</w:t>
            </w:r>
            <w:r w:rsidR="00CA1622">
              <w:t>3408</w:t>
            </w:r>
          </w:p>
        </w:tc>
        <w:tc>
          <w:tcPr>
            <w:tcW w:w="2268" w:type="dxa"/>
            <w:vAlign w:val="center"/>
          </w:tcPr>
          <w:p w:rsidR="00370B6E" w:rsidRPr="004F730B" w:rsidRDefault="00370B6E" w:rsidP="00370B6E">
            <w:pPr>
              <w:pStyle w:val="TableBodyCells"/>
            </w:pPr>
            <w:r>
              <w:t>6</w:t>
            </w:r>
          </w:p>
        </w:tc>
      </w:tr>
    </w:tbl>
    <w:p w:rsidR="00370B6E" w:rsidRDefault="00370B6E" w:rsidP="00370B6E">
      <w:pPr>
        <w:pStyle w:val="BodyText"/>
      </w:pPr>
    </w:p>
    <w:p w:rsidR="00370B6E" w:rsidRDefault="00370B6E" w:rsidP="00370B6E">
      <w:pPr>
        <w:pStyle w:val="BodyTextIndent1"/>
      </w:pPr>
      <w:r w:rsidRPr="001A2774">
        <w:t>(c)</w:t>
      </w:r>
      <w:r w:rsidRPr="001A2774">
        <w:tab/>
        <w:t>Injection at Port Campbell Injection Zone</w:t>
      </w:r>
    </w:p>
    <w:tbl>
      <w:tblPr>
        <w:tblStyle w:val="TableGrid"/>
        <w:tblW w:w="8472" w:type="dxa"/>
        <w:tblBorders>
          <w:left w:val="none" w:sz="0" w:space="0" w:color="auto"/>
          <w:right w:val="none" w:sz="0" w:space="0" w:color="auto"/>
          <w:insideV w:val="none" w:sz="0" w:space="0" w:color="auto"/>
        </w:tblBorders>
        <w:tblLook w:val="04A0" w:firstRow="1" w:lastRow="0" w:firstColumn="1" w:lastColumn="0" w:noHBand="0" w:noVBand="1"/>
      </w:tblPr>
      <w:tblGrid>
        <w:gridCol w:w="2660"/>
        <w:gridCol w:w="3544"/>
        <w:gridCol w:w="2268"/>
      </w:tblGrid>
      <w:tr w:rsidR="00370B6E" w:rsidTr="00370B6E">
        <w:tc>
          <w:tcPr>
            <w:tcW w:w="2660" w:type="dxa"/>
            <w:shd w:val="clear" w:color="auto" w:fill="25282A" w:themeFill="text1"/>
            <w:vAlign w:val="center"/>
          </w:tcPr>
          <w:p w:rsidR="00370B6E" w:rsidRPr="005B5AF4" w:rsidRDefault="00370B6E" w:rsidP="00370B6E">
            <w:pPr>
              <w:pStyle w:val="TableBodyCells"/>
              <w:jc w:val="left"/>
              <w:rPr>
                <w:b/>
                <w:color w:val="FFFFFF" w:themeColor="background1"/>
              </w:rPr>
            </w:pPr>
            <w:r w:rsidRPr="005B5AF4">
              <w:rPr>
                <w:b/>
                <w:color w:val="FFFFFF" w:themeColor="background1"/>
              </w:rPr>
              <w:t>Matched Withdrawal Zone</w:t>
            </w:r>
          </w:p>
        </w:tc>
        <w:tc>
          <w:tcPr>
            <w:tcW w:w="3544" w:type="dxa"/>
            <w:shd w:val="clear" w:color="auto" w:fill="25282A" w:themeFill="text1"/>
            <w:vAlign w:val="center"/>
          </w:tcPr>
          <w:p w:rsidR="00370B6E" w:rsidRPr="005B5AF4" w:rsidRDefault="00370B6E" w:rsidP="00370B6E">
            <w:pPr>
              <w:pStyle w:val="TableBodyCells"/>
              <w:rPr>
                <w:b/>
                <w:color w:val="FFFFFF" w:themeColor="background1"/>
              </w:rPr>
            </w:pPr>
            <w:r w:rsidRPr="005B5AF4">
              <w:rPr>
                <w:b/>
                <w:color w:val="FFFFFF" w:themeColor="background1"/>
              </w:rPr>
              <w:t>Injection Tariff ($/GJ, for the 10 Day Injection Volume)</w:t>
            </w:r>
          </w:p>
        </w:tc>
        <w:tc>
          <w:tcPr>
            <w:tcW w:w="2268" w:type="dxa"/>
            <w:shd w:val="clear" w:color="auto" w:fill="25282A" w:themeFill="text1"/>
            <w:vAlign w:val="center"/>
          </w:tcPr>
          <w:p w:rsidR="00370B6E" w:rsidRPr="001075DF" w:rsidRDefault="00370B6E" w:rsidP="00370B6E">
            <w:pPr>
              <w:pStyle w:val="AAtabletopleft"/>
              <w:jc w:val="center"/>
              <w:rPr>
                <w:b w:val="0"/>
                <w:color w:val="FF0000"/>
              </w:rPr>
            </w:pPr>
            <w:r w:rsidRPr="001A7737">
              <w:rPr>
                <w:rFonts w:ascii="Century Gothic" w:hAnsi="Century Gothic"/>
                <w:color w:val="FFFFFF" w:themeColor="background1"/>
                <w:lang w:val="en-AU"/>
              </w:rPr>
              <w:t xml:space="preserve">2019-2022 </w:t>
            </w:r>
            <w:r>
              <w:rPr>
                <w:rFonts w:ascii="Century Gothic" w:hAnsi="Century Gothic"/>
                <w:color w:val="FFFFFF" w:themeColor="background1"/>
                <w:lang w:val="en-AU"/>
              </w:rPr>
              <w:br/>
              <w:t xml:space="preserve">annual </w:t>
            </w:r>
            <w:r w:rsidRPr="001A7737">
              <w:rPr>
                <w:rFonts w:ascii="Century Gothic" w:hAnsi="Century Gothic"/>
                <w:color w:val="FFFFFF" w:themeColor="background1"/>
                <w:lang w:val="en-AU"/>
              </w:rPr>
              <w:t>X-factor</w:t>
            </w:r>
          </w:p>
        </w:tc>
      </w:tr>
      <w:tr w:rsidR="00370B6E" w:rsidTr="00370B6E">
        <w:tc>
          <w:tcPr>
            <w:tcW w:w="2660" w:type="dxa"/>
            <w:vAlign w:val="center"/>
          </w:tcPr>
          <w:p w:rsidR="00370B6E" w:rsidRPr="004F730B" w:rsidRDefault="00370B6E" w:rsidP="00370B6E">
            <w:pPr>
              <w:pStyle w:val="TableBodyCells"/>
              <w:jc w:val="left"/>
            </w:pPr>
            <w:r w:rsidRPr="001A2774">
              <w:t xml:space="preserve">All Withdrawal Zones except Western, South West and </w:t>
            </w:r>
            <w:proofErr w:type="spellStart"/>
            <w:r w:rsidRPr="001A2774">
              <w:t>SEAGas</w:t>
            </w:r>
            <w:proofErr w:type="spellEnd"/>
            <w:r w:rsidRPr="001A2774">
              <w:t xml:space="preserve"> Pipeline </w:t>
            </w:r>
          </w:p>
        </w:tc>
        <w:tc>
          <w:tcPr>
            <w:tcW w:w="3544" w:type="dxa"/>
            <w:vAlign w:val="center"/>
          </w:tcPr>
          <w:p w:rsidR="00370B6E" w:rsidRPr="004F730B" w:rsidRDefault="00370B6E" w:rsidP="00370B6E">
            <w:pPr>
              <w:pStyle w:val="TableBodyCells"/>
            </w:pPr>
            <w:r w:rsidRPr="0068187C">
              <w:t>2.1</w:t>
            </w:r>
            <w:r w:rsidR="00CA1622">
              <w:t>841</w:t>
            </w:r>
          </w:p>
        </w:tc>
        <w:tc>
          <w:tcPr>
            <w:tcW w:w="2268" w:type="dxa"/>
            <w:vAlign w:val="center"/>
          </w:tcPr>
          <w:p w:rsidR="00370B6E" w:rsidRPr="004F730B" w:rsidRDefault="00370B6E" w:rsidP="00370B6E">
            <w:pPr>
              <w:pStyle w:val="TableBodyCells"/>
            </w:pPr>
            <w:r>
              <w:t>6</w:t>
            </w:r>
          </w:p>
        </w:tc>
      </w:tr>
      <w:tr w:rsidR="00370B6E" w:rsidTr="00370B6E">
        <w:tc>
          <w:tcPr>
            <w:tcW w:w="2660" w:type="dxa"/>
            <w:vAlign w:val="center"/>
          </w:tcPr>
          <w:p w:rsidR="00370B6E" w:rsidRPr="004F730B" w:rsidRDefault="00370B6E" w:rsidP="00370B6E">
            <w:pPr>
              <w:pStyle w:val="TableBodyCells"/>
              <w:jc w:val="left"/>
            </w:pPr>
            <w:r w:rsidRPr="001A2774">
              <w:t xml:space="preserve">Western and </w:t>
            </w:r>
            <w:proofErr w:type="spellStart"/>
            <w:r w:rsidRPr="001A2774">
              <w:t>SEAGas</w:t>
            </w:r>
            <w:proofErr w:type="spellEnd"/>
            <w:r w:rsidRPr="001A2774">
              <w:t xml:space="preserve"> </w:t>
            </w:r>
            <w:r w:rsidRPr="001A2774">
              <w:lastRenderedPageBreak/>
              <w:t>Pipeline</w:t>
            </w:r>
          </w:p>
        </w:tc>
        <w:tc>
          <w:tcPr>
            <w:tcW w:w="3544" w:type="dxa"/>
            <w:vAlign w:val="center"/>
          </w:tcPr>
          <w:p w:rsidR="00370B6E" w:rsidRPr="004F730B" w:rsidRDefault="00370B6E" w:rsidP="00370B6E">
            <w:pPr>
              <w:pStyle w:val="TableBodyCells"/>
            </w:pPr>
            <w:r>
              <w:lastRenderedPageBreak/>
              <w:t>-</w:t>
            </w:r>
          </w:p>
        </w:tc>
        <w:tc>
          <w:tcPr>
            <w:tcW w:w="2268" w:type="dxa"/>
            <w:vAlign w:val="center"/>
          </w:tcPr>
          <w:p w:rsidR="00370B6E" w:rsidRPr="004F730B" w:rsidRDefault="00370B6E" w:rsidP="00370B6E">
            <w:pPr>
              <w:pStyle w:val="TableBodyCells"/>
            </w:pPr>
            <w:r>
              <w:t>-</w:t>
            </w:r>
          </w:p>
        </w:tc>
      </w:tr>
      <w:tr w:rsidR="00370B6E" w:rsidTr="00370B6E">
        <w:tc>
          <w:tcPr>
            <w:tcW w:w="2660" w:type="dxa"/>
            <w:vAlign w:val="center"/>
          </w:tcPr>
          <w:p w:rsidR="00370B6E" w:rsidRPr="004F730B" w:rsidRDefault="00370B6E" w:rsidP="00370B6E">
            <w:pPr>
              <w:pStyle w:val="TableBodyCells"/>
              <w:jc w:val="left"/>
            </w:pPr>
            <w:r w:rsidRPr="001A2774">
              <w:lastRenderedPageBreak/>
              <w:t>South West</w:t>
            </w:r>
          </w:p>
        </w:tc>
        <w:tc>
          <w:tcPr>
            <w:tcW w:w="3544" w:type="dxa"/>
            <w:vAlign w:val="center"/>
          </w:tcPr>
          <w:p w:rsidR="00370B6E" w:rsidRPr="004F730B" w:rsidRDefault="00370B6E" w:rsidP="00370B6E">
            <w:pPr>
              <w:pStyle w:val="TableBodyCells"/>
            </w:pPr>
            <w:r w:rsidRPr="0068187C">
              <w:t>0.7</w:t>
            </w:r>
            <w:r w:rsidR="00CA1622">
              <w:t>804</w:t>
            </w:r>
          </w:p>
        </w:tc>
        <w:tc>
          <w:tcPr>
            <w:tcW w:w="2268" w:type="dxa"/>
            <w:vAlign w:val="center"/>
          </w:tcPr>
          <w:p w:rsidR="00370B6E" w:rsidRPr="004F730B" w:rsidRDefault="00370B6E" w:rsidP="00370B6E">
            <w:pPr>
              <w:pStyle w:val="TableBodyCells"/>
            </w:pPr>
            <w:r>
              <w:t>6</w:t>
            </w:r>
          </w:p>
        </w:tc>
      </w:tr>
    </w:tbl>
    <w:p w:rsidR="00370B6E" w:rsidRDefault="00370B6E" w:rsidP="00370B6E">
      <w:pPr>
        <w:pStyle w:val="BodyTextIndent1"/>
      </w:pPr>
    </w:p>
    <w:p w:rsidR="00370B6E" w:rsidRDefault="00370B6E" w:rsidP="000D4D36">
      <w:pPr>
        <w:pStyle w:val="BodyTextIndent1"/>
        <w:keepNext/>
      </w:pPr>
      <w:r w:rsidRPr="001A2774">
        <w:t>(d)</w:t>
      </w:r>
      <w:r w:rsidRPr="001A2774">
        <w:tab/>
        <w:t>Injection at Pakenham Injection Zone</w:t>
      </w:r>
    </w:p>
    <w:tbl>
      <w:tblPr>
        <w:tblStyle w:val="TableGrid"/>
        <w:tblW w:w="8472" w:type="dxa"/>
        <w:tblBorders>
          <w:left w:val="none" w:sz="0" w:space="0" w:color="auto"/>
          <w:right w:val="none" w:sz="0" w:space="0" w:color="auto"/>
          <w:insideV w:val="none" w:sz="0" w:space="0" w:color="auto"/>
        </w:tblBorders>
        <w:tblLook w:val="04A0" w:firstRow="1" w:lastRow="0" w:firstColumn="1" w:lastColumn="0" w:noHBand="0" w:noVBand="1"/>
      </w:tblPr>
      <w:tblGrid>
        <w:gridCol w:w="2660"/>
        <w:gridCol w:w="3402"/>
        <w:gridCol w:w="2410"/>
      </w:tblGrid>
      <w:tr w:rsidR="00370B6E" w:rsidTr="00370B6E">
        <w:tc>
          <w:tcPr>
            <w:tcW w:w="2660" w:type="dxa"/>
            <w:shd w:val="clear" w:color="auto" w:fill="25282A" w:themeFill="text1"/>
            <w:vAlign w:val="center"/>
          </w:tcPr>
          <w:p w:rsidR="00370B6E" w:rsidRPr="005B5AF4" w:rsidRDefault="00370B6E" w:rsidP="00370B6E">
            <w:pPr>
              <w:pStyle w:val="TableBodyCells"/>
              <w:jc w:val="left"/>
              <w:rPr>
                <w:b/>
                <w:color w:val="FFFFFF" w:themeColor="background1"/>
              </w:rPr>
            </w:pPr>
            <w:r w:rsidRPr="005B5AF4">
              <w:rPr>
                <w:b/>
                <w:color w:val="FFFFFF" w:themeColor="background1"/>
              </w:rPr>
              <w:t>Matched Withdrawal Zone</w:t>
            </w:r>
          </w:p>
        </w:tc>
        <w:tc>
          <w:tcPr>
            <w:tcW w:w="3402" w:type="dxa"/>
            <w:shd w:val="clear" w:color="auto" w:fill="25282A" w:themeFill="text1"/>
            <w:vAlign w:val="center"/>
          </w:tcPr>
          <w:p w:rsidR="00370B6E" w:rsidRPr="005B5AF4" w:rsidRDefault="00370B6E" w:rsidP="00370B6E">
            <w:pPr>
              <w:pStyle w:val="TableBodyCells"/>
              <w:rPr>
                <w:b/>
                <w:color w:val="FFFFFF" w:themeColor="background1"/>
              </w:rPr>
            </w:pPr>
            <w:r w:rsidRPr="005B5AF4">
              <w:rPr>
                <w:b/>
                <w:color w:val="FFFFFF" w:themeColor="background1"/>
              </w:rPr>
              <w:t>Injection Tariff ($/GJ, for the 10 Day Injection Volume)</w:t>
            </w:r>
          </w:p>
        </w:tc>
        <w:tc>
          <w:tcPr>
            <w:tcW w:w="2410" w:type="dxa"/>
            <w:shd w:val="clear" w:color="auto" w:fill="25282A" w:themeFill="text1"/>
            <w:vAlign w:val="center"/>
          </w:tcPr>
          <w:p w:rsidR="00370B6E" w:rsidRPr="001075DF" w:rsidRDefault="00370B6E" w:rsidP="00370B6E">
            <w:pPr>
              <w:pStyle w:val="AAtabletopleft"/>
              <w:jc w:val="center"/>
              <w:rPr>
                <w:b w:val="0"/>
                <w:color w:val="FF0000"/>
              </w:rPr>
            </w:pPr>
            <w:r w:rsidRPr="001A7737">
              <w:rPr>
                <w:rFonts w:ascii="Century Gothic" w:hAnsi="Century Gothic"/>
                <w:color w:val="FFFFFF" w:themeColor="background1"/>
                <w:lang w:val="en-AU"/>
              </w:rPr>
              <w:t xml:space="preserve">2019-2022 </w:t>
            </w:r>
            <w:r>
              <w:rPr>
                <w:rFonts w:ascii="Century Gothic" w:hAnsi="Century Gothic"/>
                <w:color w:val="FFFFFF" w:themeColor="background1"/>
                <w:lang w:val="en-AU"/>
              </w:rPr>
              <w:br/>
              <w:t xml:space="preserve">annual </w:t>
            </w:r>
            <w:r w:rsidRPr="001A7737">
              <w:rPr>
                <w:rFonts w:ascii="Century Gothic" w:hAnsi="Century Gothic"/>
                <w:color w:val="FFFFFF" w:themeColor="background1"/>
                <w:lang w:val="en-AU"/>
              </w:rPr>
              <w:t>X-factor</w:t>
            </w:r>
          </w:p>
        </w:tc>
      </w:tr>
      <w:tr w:rsidR="00370B6E" w:rsidTr="00370B6E">
        <w:tc>
          <w:tcPr>
            <w:tcW w:w="2660" w:type="dxa"/>
          </w:tcPr>
          <w:p w:rsidR="00370B6E" w:rsidRPr="001A2774" w:rsidRDefault="00370B6E" w:rsidP="00370B6E">
            <w:pPr>
              <w:pStyle w:val="TableBodyCells"/>
              <w:jc w:val="left"/>
            </w:pPr>
            <w:r w:rsidRPr="001A2774">
              <w:t>All Zones</w:t>
            </w:r>
          </w:p>
        </w:tc>
        <w:tc>
          <w:tcPr>
            <w:tcW w:w="3402" w:type="dxa"/>
          </w:tcPr>
          <w:p w:rsidR="00370B6E" w:rsidRPr="001A2774" w:rsidRDefault="00370B6E" w:rsidP="00370B6E">
            <w:pPr>
              <w:pStyle w:val="TableBodyCells"/>
            </w:pPr>
            <w:r w:rsidRPr="0068187C">
              <w:t>0.</w:t>
            </w:r>
            <w:r w:rsidR="00CA1622">
              <w:t>3520</w:t>
            </w:r>
          </w:p>
        </w:tc>
        <w:tc>
          <w:tcPr>
            <w:tcW w:w="2410" w:type="dxa"/>
          </w:tcPr>
          <w:p w:rsidR="00370B6E" w:rsidRPr="001A2774" w:rsidRDefault="00370B6E" w:rsidP="00370B6E">
            <w:pPr>
              <w:pStyle w:val="TableBodyCells"/>
            </w:pPr>
            <w:r>
              <w:t>6</w:t>
            </w:r>
          </w:p>
        </w:tc>
      </w:tr>
    </w:tbl>
    <w:p w:rsidR="00370B6E" w:rsidRDefault="00370B6E" w:rsidP="00370B6E">
      <w:pPr>
        <w:pStyle w:val="BodyText"/>
      </w:pPr>
    </w:p>
    <w:p w:rsidR="00370B6E" w:rsidRDefault="00370B6E" w:rsidP="000D4D36">
      <w:pPr>
        <w:pStyle w:val="BodyText"/>
        <w:keepNext/>
      </w:pPr>
      <w:r w:rsidRPr="001A2774">
        <w:t>(e)</w:t>
      </w:r>
      <w:r w:rsidRPr="001A2774">
        <w:tab/>
        <w:t>Injection at Dandenong Injection Zone</w:t>
      </w:r>
    </w:p>
    <w:tbl>
      <w:tblPr>
        <w:tblStyle w:val="TableGrid"/>
        <w:tblW w:w="8472" w:type="dxa"/>
        <w:tblBorders>
          <w:left w:val="none" w:sz="0" w:space="0" w:color="auto"/>
          <w:right w:val="none" w:sz="0" w:space="0" w:color="auto"/>
          <w:insideV w:val="none" w:sz="0" w:space="0" w:color="auto"/>
        </w:tblBorders>
        <w:tblLook w:val="04A0" w:firstRow="1" w:lastRow="0" w:firstColumn="1" w:lastColumn="0" w:noHBand="0" w:noVBand="1"/>
      </w:tblPr>
      <w:tblGrid>
        <w:gridCol w:w="1687"/>
        <w:gridCol w:w="4091"/>
        <w:gridCol w:w="2694"/>
      </w:tblGrid>
      <w:tr w:rsidR="00370B6E" w:rsidTr="00370B6E">
        <w:tc>
          <w:tcPr>
            <w:tcW w:w="1687" w:type="dxa"/>
            <w:shd w:val="clear" w:color="auto" w:fill="25282A" w:themeFill="text1"/>
            <w:vAlign w:val="center"/>
          </w:tcPr>
          <w:p w:rsidR="00370B6E" w:rsidRPr="005B5AF4" w:rsidRDefault="00370B6E" w:rsidP="00370B6E">
            <w:pPr>
              <w:pStyle w:val="TableBodyCells"/>
              <w:jc w:val="left"/>
              <w:rPr>
                <w:b/>
                <w:color w:val="FFFFFF" w:themeColor="background1"/>
              </w:rPr>
            </w:pPr>
            <w:r w:rsidRPr="005B5AF4">
              <w:rPr>
                <w:b/>
                <w:color w:val="FFFFFF" w:themeColor="background1"/>
              </w:rPr>
              <w:t>Matched Withdrawal Zone</w:t>
            </w:r>
          </w:p>
        </w:tc>
        <w:tc>
          <w:tcPr>
            <w:tcW w:w="4091" w:type="dxa"/>
            <w:shd w:val="clear" w:color="auto" w:fill="25282A" w:themeFill="text1"/>
            <w:vAlign w:val="center"/>
          </w:tcPr>
          <w:p w:rsidR="00370B6E" w:rsidRPr="005B5AF4" w:rsidRDefault="00370B6E" w:rsidP="00370B6E">
            <w:pPr>
              <w:pStyle w:val="TableBodyCells"/>
              <w:rPr>
                <w:b/>
                <w:color w:val="FFFFFF" w:themeColor="background1"/>
              </w:rPr>
            </w:pPr>
            <w:r w:rsidRPr="005B5AF4">
              <w:rPr>
                <w:b/>
                <w:color w:val="FFFFFF" w:themeColor="background1"/>
              </w:rPr>
              <w:t>Injection Tariff ($/GJ, for the 10 Day Injection Volume)</w:t>
            </w:r>
          </w:p>
        </w:tc>
        <w:tc>
          <w:tcPr>
            <w:tcW w:w="2694" w:type="dxa"/>
            <w:shd w:val="clear" w:color="auto" w:fill="25282A" w:themeFill="text1"/>
            <w:vAlign w:val="center"/>
          </w:tcPr>
          <w:p w:rsidR="00370B6E" w:rsidRPr="005B5AF4" w:rsidRDefault="00370B6E" w:rsidP="00370B6E">
            <w:pPr>
              <w:pStyle w:val="AAtabletopleft"/>
              <w:jc w:val="center"/>
              <w:rPr>
                <w:b w:val="0"/>
                <w:color w:val="FFFFFF" w:themeColor="background1"/>
              </w:rPr>
            </w:pPr>
            <w:r w:rsidRPr="001A7737">
              <w:rPr>
                <w:rFonts w:ascii="Century Gothic" w:hAnsi="Century Gothic"/>
                <w:color w:val="FFFFFF" w:themeColor="background1"/>
                <w:lang w:val="en-AU"/>
              </w:rPr>
              <w:t xml:space="preserve">2019-2022 </w:t>
            </w:r>
            <w:r>
              <w:rPr>
                <w:rFonts w:ascii="Century Gothic" w:hAnsi="Century Gothic"/>
                <w:color w:val="FFFFFF" w:themeColor="background1"/>
                <w:lang w:val="en-AU"/>
              </w:rPr>
              <w:br/>
              <w:t xml:space="preserve">annual </w:t>
            </w:r>
            <w:r w:rsidRPr="001A7737">
              <w:rPr>
                <w:rFonts w:ascii="Century Gothic" w:hAnsi="Century Gothic"/>
                <w:color w:val="FFFFFF" w:themeColor="background1"/>
                <w:lang w:val="en-AU"/>
              </w:rPr>
              <w:t>X-factor</w:t>
            </w:r>
          </w:p>
        </w:tc>
      </w:tr>
      <w:tr w:rsidR="00370B6E" w:rsidTr="00370B6E">
        <w:tc>
          <w:tcPr>
            <w:tcW w:w="1687" w:type="dxa"/>
          </w:tcPr>
          <w:p w:rsidR="00370B6E" w:rsidRPr="00F30FDF" w:rsidRDefault="00370B6E" w:rsidP="00370B6E">
            <w:pPr>
              <w:pStyle w:val="AABody0"/>
              <w:spacing w:before="60" w:after="60"/>
              <w:rPr>
                <w:rFonts w:ascii="Century Gothic" w:hAnsi="Century Gothic"/>
                <w:color w:val="25282A"/>
                <w:sz w:val="18"/>
                <w:szCs w:val="18"/>
                <w:lang w:val="en-AU"/>
              </w:rPr>
            </w:pPr>
            <w:r w:rsidRPr="00F30FDF">
              <w:rPr>
                <w:rFonts w:ascii="Century Gothic" w:hAnsi="Century Gothic"/>
                <w:color w:val="25282A"/>
                <w:sz w:val="18"/>
                <w:szCs w:val="18"/>
                <w:lang w:val="en-AU"/>
              </w:rPr>
              <w:t>All Zones</w:t>
            </w:r>
          </w:p>
        </w:tc>
        <w:tc>
          <w:tcPr>
            <w:tcW w:w="4091" w:type="dxa"/>
          </w:tcPr>
          <w:p w:rsidR="00370B6E" w:rsidRPr="00F30FDF" w:rsidRDefault="00370B6E" w:rsidP="00370B6E">
            <w:pPr>
              <w:pStyle w:val="AABody0"/>
              <w:spacing w:before="60" w:after="60"/>
              <w:jc w:val="center"/>
              <w:rPr>
                <w:rFonts w:ascii="Century Gothic" w:hAnsi="Century Gothic"/>
                <w:color w:val="25282A"/>
                <w:sz w:val="18"/>
                <w:szCs w:val="18"/>
                <w:lang w:val="en-AU"/>
              </w:rPr>
            </w:pPr>
            <w:r w:rsidRPr="00F30FDF">
              <w:rPr>
                <w:rFonts w:ascii="Century Gothic" w:hAnsi="Century Gothic"/>
                <w:color w:val="25282A"/>
                <w:sz w:val="18"/>
                <w:szCs w:val="18"/>
                <w:lang w:val="en-AU"/>
              </w:rPr>
              <w:t>-</w:t>
            </w:r>
          </w:p>
        </w:tc>
        <w:tc>
          <w:tcPr>
            <w:tcW w:w="2694" w:type="dxa"/>
          </w:tcPr>
          <w:p w:rsidR="00370B6E" w:rsidRPr="00F30FDF" w:rsidRDefault="00370B6E" w:rsidP="00370B6E">
            <w:pPr>
              <w:pStyle w:val="AABody0"/>
              <w:spacing w:before="60" w:after="60"/>
              <w:jc w:val="center"/>
              <w:rPr>
                <w:rFonts w:ascii="Century Gothic" w:hAnsi="Century Gothic"/>
                <w:color w:val="25282A"/>
                <w:sz w:val="18"/>
                <w:szCs w:val="18"/>
                <w:lang w:val="en-AU"/>
              </w:rPr>
            </w:pPr>
            <w:r w:rsidRPr="00F30FDF">
              <w:rPr>
                <w:rFonts w:ascii="Century Gothic" w:hAnsi="Century Gothic"/>
                <w:color w:val="25282A"/>
                <w:sz w:val="18"/>
                <w:szCs w:val="18"/>
                <w:lang w:val="en-AU"/>
              </w:rPr>
              <w:t>-</w:t>
            </w:r>
          </w:p>
        </w:tc>
      </w:tr>
    </w:tbl>
    <w:p w:rsidR="00370B6E" w:rsidRDefault="00370B6E" w:rsidP="00370B6E">
      <w:pPr>
        <w:pStyle w:val="BodyText"/>
      </w:pPr>
    </w:p>
    <w:p w:rsidR="00370B6E" w:rsidRDefault="00370B6E" w:rsidP="00370B6E">
      <w:pPr>
        <w:pStyle w:val="nonindextariff"/>
        <w:numPr>
          <w:ilvl w:val="0"/>
          <w:numId w:val="0"/>
        </w:numPr>
      </w:pPr>
      <w:bookmarkStart w:id="122" w:name="_Toc471219035"/>
      <w:bookmarkStart w:id="123" w:name="_Toc471219036"/>
      <w:bookmarkStart w:id="124" w:name="_Toc471219045"/>
      <w:bookmarkStart w:id="125" w:name="_Ref461002607"/>
      <w:bookmarkStart w:id="126" w:name="_Ref461002639"/>
      <w:bookmarkStart w:id="127" w:name="_Ref461003106"/>
      <w:bookmarkStart w:id="128" w:name="_Ref461003217"/>
      <w:bookmarkStart w:id="129" w:name="_Ref461003237"/>
      <w:bookmarkStart w:id="130" w:name="_Ref461003259"/>
      <w:bookmarkStart w:id="131" w:name="_Ref461003343"/>
      <w:bookmarkStart w:id="132" w:name="_Toc471219046"/>
      <w:bookmarkEnd w:id="122"/>
      <w:bookmarkEnd w:id="123"/>
      <w:bookmarkEnd w:id="124"/>
      <w:proofErr w:type="gramStart"/>
      <w:r>
        <w:t>A.2  Withdrawal</w:t>
      </w:r>
      <w:proofErr w:type="gramEnd"/>
      <w:r>
        <w:t xml:space="preserve"> Tariffs</w:t>
      </w:r>
      <w:bookmarkEnd w:id="125"/>
      <w:bookmarkEnd w:id="126"/>
      <w:bookmarkEnd w:id="127"/>
      <w:bookmarkEnd w:id="128"/>
      <w:bookmarkEnd w:id="129"/>
      <w:bookmarkEnd w:id="130"/>
      <w:bookmarkEnd w:id="131"/>
      <w:bookmarkEnd w:id="132"/>
    </w:p>
    <w:p w:rsidR="00370B6E" w:rsidRDefault="00370B6E" w:rsidP="00370B6E">
      <w:pPr>
        <w:pStyle w:val="BodyTextIndent1"/>
      </w:pPr>
      <w:r>
        <w:t>(a)</w:t>
      </w:r>
      <w:r>
        <w:tab/>
        <w:t>Transmission Delivery Tariff</w:t>
      </w:r>
    </w:p>
    <w:p w:rsidR="00370B6E" w:rsidRDefault="00370B6E" w:rsidP="000D4D36">
      <w:pPr>
        <w:pStyle w:val="BodyText"/>
      </w:pPr>
      <w:r>
        <w:t xml:space="preserve">Subject to the exceptions in clauses </w:t>
      </w:r>
      <w:proofErr w:type="gramStart"/>
      <w:r>
        <w:t>A.3(</w:t>
      </w:r>
      <w:proofErr w:type="gramEnd"/>
      <w:r>
        <w:t>b), A.3(c), A.3(d), A.3(e) and A.3(f) of this Schedule, the Withdrawal Tariffs are as follows:</w:t>
      </w:r>
    </w:p>
    <w:tbl>
      <w:tblPr>
        <w:tblStyle w:val="TableGrid"/>
        <w:tblW w:w="8472" w:type="dxa"/>
        <w:tblBorders>
          <w:left w:val="none" w:sz="0" w:space="0" w:color="auto"/>
          <w:right w:val="none" w:sz="0" w:space="0" w:color="auto"/>
          <w:insideV w:val="none" w:sz="0" w:space="0" w:color="auto"/>
        </w:tblBorders>
        <w:tblLook w:val="04A0" w:firstRow="1" w:lastRow="0" w:firstColumn="1" w:lastColumn="0" w:noHBand="0" w:noVBand="1"/>
      </w:tblPr>
      <w:tblGrid>
        <w:gridCol w:w="1199"/>
        <w:gridCol w:w="1417"/>
        <w:gridCol w:w="1603"/>
        <w:gridCol w:w="2268"/>
        <w:gridCol w:w="1985"/>
      </w:tblGrid>
      <w:tr w:rsidR="00370B6E" w:rsidTr="00370B6E">
        <w:tc>
          <w:tcPr>
            <w:tcW w:w="1199" w:type="dxa"/>
            <w:shd w:val="clear" w:color="auto" w:fill="25282A" w:themeFill="text1"/>
            <w:vAlign w:val="center"/>
          </w:tcPr>
          <w:p w:rsidR="00370B6E" w:rsidRPr="00121490" w:rsidRDefault="00370B6E" w:rsidP="00370B6E">
            <w:pPr>
              <w:pStyle w:val="TableBodyCells"/>
              <w:jc w:val="left"/>
              <w:rPr>
                <w:b/>
                <w:color w:val="FFFFFF" w:themeColor="background1"/>
              </w:rPr>
            </w:pPr>
            <w:r w:rsidRPr="00121490">
              <w:rPr>
                <w:b/>
                <w:color w:val="FFFFFF" w:themeColor="background1"/>
              </w:rPr>
              <w:t>Withdrawal</w:t>
            </w:r>
            <w:r>
              <w:rPr>
                <w:b/>
                <w:color w:val="FFFFFF" w:themeColor="background1"/>
              </w:rPr>
              <w:t xml:space="preserve"> </w:t>
            </w:r>
            <w:r w:rsidRPr="00121490">
              <w:rPr>
                <w:b/>
                <w:color w:val="FFFFFF" w:themeColor="background1"/>
              </w:rPr>
              <w:t>Zone Number</w:t>
            </w:r>
          </w:p>
        </w:tc>
        <w:tc>
          <w:tcPr>
            <w:tcW w:w="1417" w:type="dxa"/>
            <w:shd w:val="clear" w:color="auto" w:fill="25282A" w:themeFill="text1"/>
            <w:vAlign w:val="center"/>
          </w:tcPr>
          <w:p w:rsidR="00370B6E" w:rsidRPr="00121490" w:rsidRDefault="00370B6E" w:rsidP="00370B6E">
            <w:pPr>
              <w:pStyle w:val="TableBodyCells"/>
              <w:rPr>
                <w:b/>
                <w:color w:val="FFFFFF" w:themeColor="background1"/>
              </w:rPr>
            </w:pPr>
            <w:r w:rsidRPr="00121490">
              <w:rPr>
                <w:b/>
                <w:color w:val="FFFFFF" w:themeColor="background1"/>
              </w:rPr>
              <w:t>Withdrawal Zone Name</w:t>
            </w:r>
          </w:p>
        </w:tc>
        <w:tc>
          <w:tcPr>
            <w:tcW w:w="1603" w:type="dxa"/>
            <w:shd w:val="clear" w:color="auto" w:fill="25282A" w:themeFill="text1"/>
            <w:vAlign w:val="center"/>
          </w:tcPr>
          <w:p w:rsidR="00370B6E" w:rsidRPr="00121490" w:rsidRDefault="00370B6E" w:rsidP="00370B6E">
            <w:pPr>
              <w:pStyle w:val="TableBodyCells"/>
              <w:rPr>
                <w:b/>
                <w:color w:val="FFFFFF" w:themeColor="background1"/>
              </w:rPr>
            </w:pPr>
            <w:r w:rsidRPr="00121490">
              <w:rPr>
                <w:b/>
                <w:color w:val="FFFFFF" w:themeColor="background1"/>
              </w:rPr>
              <w:t>Transmission delivery tariff D ($/GJ)</w:t>
            </w:r>
          </w:p>
        </w:tc>
        <w:tc>
          <w:tcPr>
            <w:tcW w:w="2268" w:type="dxa"/>
            <w:shd w:val="clear" w:color="auto" w:fill="25282A" w:themeFill="text1"/>
            <w:vAlign w:val="center"/>
          </w:tcPr>
          <w:p w:rsidR="00370B6E" w:rsidRPr="00121490" w:rsidRDefault="00370B6E" w:rsidP="00370B6E">
            <w:pPr>
              <w:pStyle w:val="TableBodyCells"/>
              <w:rPr>
                <w:b/>
                <w:color w:val="FFFFFF" w:themeColor="background1"/>
              </w:rPr>
            </w:pPr>
            <w:r w:rsidRPr="00121490">
              <w:rPr>
                <w:b/>
                <w:color w:val="FFFFFF" w:themeColor="background1"/>
              </w:rPr>
              <w:t>Transmission delivery tariff V ($/GJ)</w:t>
            </w:r>
          </w:p>
        </w:tc>
        <w:tc>
          <w:tcPr>
            <w:tcW w:w="1985" w:type="dxa"/>
            <w:shd w:val="clear" w:color="auto" w:fill="25282A" w:themeFill="text1"/>
            <w:vAlign w:val="center"/>
          </w:tcPr>
          <w:p w:rsidR="00370B6E" w:rsidRPr="001075DF" w:rsidRDefault="00370B6E" w:rsidP="00370B6E">
            <w:pPr>
              <w:pStyle w:val="AAtabletopleft"/>
              <w:jc w:val="center"/>
              <w:rPr>
                <w:b w:val="0"/>
                <w:color w:val="FF0000"/>
              </w:rPr>
            </w:pPr>
            <w:r w:rsidRPr="001A7737">
              <w:rPr>
                <w:rFonts w:ascii="Century Gothic" w:hAnsi="Century Gothic"/>
                <w:color w:val="FFFFFF" w:themeColor="background1"/>
                <w:lang w:val="en-AU"/>
              </w:rPr>
              <w:t xml:space="preserve">2019-2022 </w:t>
            </w:r>
            <w:r>
              <w:rPr>
                <w:rFonts w:ascii="Century Gothic" w:hAnsi="Century Gothic"/>
                <w:color w:val="FFFFFF" w:themeColor="background1"/>
                <w:lang w:val="en-AU"/>
              </w:rPr>
              <w:br/>
              <w:t xml:space="preserve">annual </w:t>
            </w:r>
            <w:r w:rsidRPr="001A7737">
              <w:rPr>
                <w:rFonts w:ascii="Century Gothic" w:hAnsi="Century Gothic"/>
                <w:color w:val="FFFFFF" w:themeColor="background1"/>
                <w:lang w:val="en-AU"/>
              </w:rPr>
              <w:t>X-factor</w:t>
            </w:r>
          </w:p>
        </w:tc>
      </w:tr>
      <w:tr w:rsidR="00CA1622" w:rsidTr="004C7286">
        <w:tc>
          <w:tcPr>
            <w:tcW w:w="1199" w:type="dxa"/>
            <w:vAlign w:val="center"/>
          </w:tcPr>
          <w:p w:rsidR="00CA1622" w:rsidRPr="00121490" w:rsidRDefault="00CA1622"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1</w:t>
            </w:r>
          </w:p>
        </w:tc>
        <w:tc>
          <w:tcPr>
            <w:tcW w:w="1417" w:type="dxa"/>
            <w:vAlign w:val="center"/>
          </w:tcPr>
          <w:p w:rsidR="00CA1622" w:rsidRPr="00121490" w:rsidRDefault="00CA1622" w:rsidP="00370B6E">
            <w:pPr>
              <w:pStyle w:val="AABody0"/>
              <w:spacing w:before="60" w:after="60"/>
              <w:jc w:val="center"/>
              <w:rPr>
                <w:rFonts w:ascii="Century Gothic" w:hAnsi="Century Gothic"/>
                <w:color w:val="25282A"/>
                <w:sz w:val="18"/>
                <w:szCs w:val="18"/>
                <w:lang w:val="en-AU"/>
              </w:rPr>
            </w:pPr>
            <w:proofErr w:type="spellStart"/>
            <w:r w:rsidRPr="00121490">
              <w:rPr>
                <w:rFonts w:ascii="Century Gothic" w:hAnsi="Century Gothic"/>
                <w:color w:val="25282A"/>
                <w:sz w:val="18"/>
                <w:szCs w:val="18"/>
                <w:lang w:val="en-AU"/>
              </w:rPr>
              <w:t>LaTrobe</w:t>
            </w:r>
            <w:proofErr w:type="spellEnd"/>
          </w:p>
        </w:tc>
        <w:tc>
          <w:tcPr>
            <w:tcW w:w="1603" w:type="dxa"/>
            <w:vAlign w:val="bottom"/>
          </w:tcPr>
          <w:p w:rsidR="00CA1622" w:rsidRPr="00A10BD0" w:rsidRDefault="00CA1622" w:rsidP="00A10BD0">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0.1552</w:t>
            </w:r>
          </w:p>
        </w:tc>
        <w:tc>
          <w:tcPr>
            <w:tcW w:w="2268" w:type="dxa"/>
            <w:vAlign w:val="bottom"/>
          </w:tcPr>
          <w:p w:rsidR="00CA1622" w:rsidRPr="00A10BD0" w:rsidRDefault="00CA1622" w:rsidP="00A10BD0">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0.1524</w:t>
            </w:r>
          </w:p>
        </w:tc>
        <w:tc>
          <w:tcPr>
            <w:tcW w:w="1985" w:type="dxa"/>
            <w:vAlign w:val="center"/>
          </w:tcPr>
          <w:p w:rsidR="00CA1622" w:rsidRPr="00121490" w:rsidRDefault="00CA1622"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CA1622" w:rsidTr="004C7286">
        <w:tc>
          <w:tcPr>
            <w:tcW w:w="1199" w:type="dxa"/>
            <w:vAlign w:val="center"/>
          </w:tcPr>
          <w:p w:rsidR="00CA1622" w:rsidRPr="00121490" w:rsidRDefault="00CA1622"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2</w:t>
            </w:r>
          </w:p>
        </w:tc>
        <w:tc>
          <w:tcPr>
            <w:tcW w:w="1417" w:type="dxa"/>
            <w:vAlign w:val="center"/>
          </w:tcPr>
          <w:p w:rsidR="00CA1622" w:rsidRPr="00121490" w:rsidRDefault="00CA1622"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West Gippsland</w:t>
            </w:r>
          </w:p>
        </w:tc>
        <w:tc>
          <w:tcPr>
            <w:tcW w:w="1603" w:type="dxa"/>
            <w:vAlign w:val="bottom"/>
          </w:tcPr>
          <w:p w:rsidR="00CA1622" w:rsidRPr="00A10BD0" w:rsidRDefault="00CA1622" w:rsidP="00A10BD0">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0.1925</w:t>
            </w:r>
          </w:p>
        </w:tc>
        <w:tc>
          <w:tcPr>
            <w:tcW w:w="2268" w:type="dxa"/>
            <w:vAlign w:val="bottom"/>
          </w:tcPr>
          <w:p w:rsidR="00CA1622" w:rsidRPr="00A10BD0" w:rsidRDefault="00CA1622" w:rsidP="00A10BD0">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0.2153</w:t>
            </w:r>
          </w:p>
        </w:tc>
        <w:tc>
          <w:tcPr>
            <w:tcW w:w="1985" w:type="dxa"/>
            <w:vAlign w:val="center"/>
          </w:tcPr>
          <w:p w:rsidR="00CA1622" w:rsidRPr="00121490" w:rsidRDefault="00CA1622"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A10BD0" w:rsidTr="004C7286">
        <w:tc>
          <w:tcPr>
            <w:tcW w:w="1199" w:type="dxa"/>
            <w:vAlign w:val="center"/>
          </w:tcPr>
          <w:p w:rsidR="00A10BD0" w:rsidRPr="00121490" w:rsidRDefault="00A10BD0"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3</w:t>
            </w:r>
          </w:p>
        </w:tc>
        <w:tc>
          <w:tcPr>
            <w:tcW w:w="1417" w:type="dxa"/>
            <w:vAlign w:val="center"/>
          </w:tcPr>
          <w:p w:rsidR="00A10BD0" w:rsidRPr="00121490" w:rsidRDefault="00A10BD0"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Lurgi</w:t>
            </w:r>
          </w:p>
        </w:tc>
        <w:tc>
          <w:tcPr>
            <w:tcW w:w="1603" w:type="dxa"/>
          </w:tcPr>
          <w:p w:rsidR="00A10BD0" w:rsidRPr="00A10BD0" w:rsidRDefault="00A10BD0" w:rsidP="00A10BD0">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0.2298</w:t>
            </w:r>
          </w:p>
        </w:tc>
        <w:tc>
          <w:tcPr>
            <w:tcW w:w="2268" w:type="dxa"/>
          </w:tcPr>
          <w:p w:rsidR="00A10BD0" w:rsidRPr="00A10BD0" w:rsidRDefault="00A10BD0" w:rsidP="00A10BD0">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0.2782</w:t>
            </w:r>
          </w:p>
        </w:tc>
        <w:tc>
          <w:tcPr>
            <w:tcW w:w="1985" w:type="dxa"/>
            <w:vAlign w:val="center"/>
          </w:tcPr>
          <w:p w:rsidR="00A10BD0" w:rsidRPr="00121490" w:rsidRDefault="00A10BD0"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A10BD0" w:rsidTr="00FC138C">
        <w:tc>
          <w:tcPr>
            <w:tcW w:w="1199" w:type="dxa"/>
            <w:vAlign w:val="center"/>
          </w:tcPr>
          <w:p w:rsidR="00A10BD0" w:rsidRPr="00121490" w:rsidRDefault="00A10BD0"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4</w:t>
            </w:r>
          </w:p>
        </w:tc>
        <w:tc>
          <w:tcPr>
            <w:tcW w:w="1417" w:type="dxa"/>
            <w:vAlign w:val="center"/>
          </w:tcPr>
          <w:p w:rsidR="00A10BD0" w:rsidRPr="00121490" w:rsidRDefault="00A10BD0"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Metro North West</w:t>
            </w:r>
          </w:p>
        </w:tc>
        <w:tc>
          <w:tcPr>
            <w:tcW w:w="1603" w:type="dxa"/>
            <w:vAlign w:val="center"/>
          </w:tcPr>
          <w:p w:rsidR="00A10BD0" w:rsidRPr="00A10BD0" w:rsidRDefault="00A10BD0" w:rsidP="00FC138C">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0.3506</w:t>
            </w:r>
          </w:p>
        </w:tc>
        <w:tc>
          <w:tcPr>
            <w:tcW w:w="2268" w:type="dxa"/>
            <w:vAlign w:val="center"/>
          </w:tcPr>
          <w:p w:rsidR="00A10BD0" w:rsidRPr="00A10BD0" w:rsidRDefault="00A10BD0" w:rsidP="00FC138C">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0.3811</w:t>
            </w:r>
          </w:p>
        </w:tc>
        <w:tc>
          <w:tcPr>
            <w:tcW w:w="1985" w:type="dxa"/>
            <w:vAlign w:val="center"/>
          </w:tcPr>
          <w:p w:rsidR="00A10BD0" w:rsidRPr="00121490" w:rsidRDefault="00A10BD0"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A10BD0" w:rsidTr="004C7286">
        <w:tc>
          <w:tcPr>
            <w:tcW w:w="1199" w:type="dxa"/>
            <w:vAlign w:val="center"/>
          </w:tcPr>
          <w:p w:rsidR="00A10BD0" w:rsidRPr="00121490" w:rsidRDefault="00A10BD0"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5</w:t>
            </w:r>
          </w:p>
        </w:tc>
        <w:tc>
          <w:tcPr>
            <w:tcW w:w="1417" w:type="dxa"/>
            <w:vAlign w:val="center"/>
          </w:tcPr>
          <w:p w:rsidR="00A10BD0" w:rsidRPr="00121490" w:rsidRDefault="00A10BD0"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Calder</w:t>
            </w:r>
          </w:p>
        </w:tc>
        <w:tc>
          <w:tcPr>
            <w:tcW w:w="1603" w:type="dxa"/>
          </w:tcPr>
          <w:p w:rsidR="00A10BD0" w:rsidRPr="00A10BD0" w:rsidRDefault="00A10BD0" w:rsidP="00A10BD0">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0.8009</w:t>
            </w:r>
          </w:p>
        </w:tc>
        <w:tc>
          <w:tcPr>
            <w:tcW w:w="2268" w:type="dxa"/>
          </w:tcPr>
          <w:p w:rsidR="00A10BD0" w:rsidRPr="00A10BD0" w:rsidRDefault="00A10BD0" w:rsidP="00A10BD0">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1.0123</w:t>
            </w:r>
          </w:p>
        </w:tc>
        <w:tc>
          <w:tcPr>
            <w:tcW w:w="1985" w:type="dxa"/>
            <w:vAlign w:val="center"/>
          </w:tcPr>
          <w:p w:rsidR="00A10BD0" w:rsidRPr="00121490" w:rsidRDefault="00A10BD0"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A10BD0" w:rsidTr="004C7286">
        <w:tc>
          <w:tcPr>
            <w:tcW w:w="1199" w:type="dxa"/>
            <w:vAlign w:val="center"/>
          </w:tcPr>
          <w:p w:rsidR="00A10BD0" w:rsidRPr="00121490" w:rsidRDefault="00A10BD0"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6</w:t>
            </w:r>
          </w:p>
        </w:tc>
        <w:tc>
          <w:tcPr>
            <w:tcW w:w="1417" w:type="dxa"/>
            <w:vAlign w:val="center"/>
          </w:tcPr>
          <w:p w:rsidR="00A10BD0" w:rsidRPr="00121490" w:rsidRDefault="00A10BD0"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South Hume</w:t>
            </w:r>
          </w:p>
        </w:tc>
        <w:tc>
          <w:tcPr>
            <w:tcW w:w="1603" w:type="dxa"/>
          </w:tcPr>
          <w:p w:rsidR="00A10BD0" w:rsidRPr="00A10BD0" w:rsidRDefault="00A10BD0" w:rsidP="00A10BD0">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0.3048</w:t>
            </w:r>
          </w:p>
        </w:tc>
        <w:tc>
          <w:tcPr>
            <w:tcW w:w="2268" w:type="dxa"/>
          </w:tcPr>
          <w:p w:rsidR="00A10BD0" w:rsidRPr="00A10BD0" w:rsidRDefault="00A10BD0" w:rsidP="00A10BD0">
            <w:pPr>
              <w:pStyle w:val="AABody0"/>
              <w:spacing w:before="60" w:after="60"/>
              <w:jc w:val="center"/>
              <w:rPr>
                <w:rFonts w:ascii="Century Gothic" w:hAnsi="Century Gothic"/>
                <w:color w:val="25282A"/>
                <w:sz w:val="18"/>
                <w:szCs w:val="18"/>
                <w:lang w:val="en-AU"/>
              </w:rPr>
            </w:pPr>
            <w:r w:rsidRPr="00A10BD0">
              <w:rPr>
                <w:rFonts w:ascii="Century Gothic" w:hAnsi="Century Gothic"/>
                <w:color w:val="25282A"/>
                <w:sz w:val="18"/>
                <w:szCs w:val="18"/>
                <w:lang w:val="en-AU"/>
              </w:rPr>
              <w:t>0.3714</w:t>
            </w:r>
          </w:p>
        </w:tc>
        <w:tc>
          <w:tcPr>
            <w:tcW w:w="1985" w:type="dxa"/>
            <w:vAlign w:val="center"/>
          </w:tcPr>
          <w:p w:rsidR="00A10BD0" w:rsidRPr="00121490" w:rsidRDefault="00A10BD0"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A10BD0" w:rsidTr="004C7286">
        <w:tc>
          <w:tcPr>
            <w:tcW w:w="1199" w:type="dxa"/>
            <w:vAlign w:val="center"/>
          </w:tcPr>
          <w:p w:rsidR="00A10BD0" w:rsidRPr="00121490" w:rsidRDefault="00A10BD0"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7</w:t>
            </w:r>
          </w:p>
        </w:tc>
        <w:tc>
          <w:tcPr>
            <w:tcW w:w="1417" w:type="dxa"/>
            <w:vAlign w:val="center"/>
          </w:tcPr>
          <w:p w:rsidR="00A10BD0" w:rsidRPr="00121490" w:rsidRDefault="00A10BD0"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Echuca</w:t>
            </w:r>
          </w:p>
        </w:tc>
        <w:tc>
          <w:tcPr>
            <w:tcW w:w="1603" w:type="dxa"/>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0.6595</w:t>
            </w:r>
          </w:p>
        </w:tc>
        <w:tc>
          <w:tcPr>
            <w:tcW w:w="2268" w:type="dxa"/>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1.1417</w:t>
            </w:r>
          </w:p>
        </w:tc>
        <w:tc>
          <w:tcPr>
            <w:tcW w:w="1985" w:type="dxa"/>
            <w:vAlign w:val="center"/>
          </w:tcPr>
          <w:p w:rsidR="00A10BD0" w:rsidRPr="00121490" w:rsidRDefault="00A10BD0"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A10BD0" w:rsidTr="00370B6E">
        <w:tc>
          <w:tcPr>
            <w:tcW w:w="1199" w:type="dxa"/>
          </w:tcPr>
          <w:p w:rsidR="00A10BD0" w:rsidRPr="00121490" w:rsidRDefault="00A10BD0"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lastRenderedPageBreak/>
              <w:t>8</w:t>
            </w:r>
          </w:p>
        </w:tc>
        <w:tc>
          <w:tcPr>
            <w:tcW w:w="1417"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North Hume</w:t>
            </w:r>
          </w:p>
        </w:tc>
        <w:tc>
          <w:tcPr>
            <w:tcW w:w="1603" w:type="dxa"/>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0.8219</w:t>
            </w:r>
          </w:p>
        </w:tc>
        <w:tc>
          <w:tcPr>
            <w:tcW w:w="2268" w:type="dxa"/>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1.2488</w:t>
            </w:r>
          </w:p>
        </w:tc>
        <w:tc>
          <w:tcPr>
            <w:tcW w:w="1985"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A10BD0" w:rsidTr="004C7286">
        <w:tc>
          <w:tcPr>
            <w:tcW w:w="1199" w:type="dxa"/>
          </w:tcPr>
          <w:p w:rsidR="00A10BD0" w:rsidRPr="00121490" w:rsidRDefault="00A10BD0"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9</w:t>
            </w:r>
          </w:p>
        </w:tc>
        <w:tc>
          <w:tcPr>
            <w:tcW w:w="1417"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Western</w:t>
            </w:r>
          </w:p>
        </w:tc>
        <w:tc>
          <w:tcPr>
            <w:tcW w:w="1603" w:type="dxa"/>
            <w:vAlign w:val="bottom"/>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0.6537</w:t>
            </w:r>
          </w:p>
        </w:tc>
        <w:tc>
          <w:tcPr>
            <w:tcW w:w="2268" w:type="dxa"/>
            <w:vAlign w:val="bottom"/>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0.9157</w:t>
            </w:r>
          </w:p>
        </w:tc>
        <w:tc>
          <w:tcPr>
            <w:tcW w:w="1985"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A10BD0" w:rsidTr="004C7286">
        <w:tc>
          <w:tcPr>
            <w:tcW w:w="1199" w:type="dxa"/>
          </w:tcPr>
          <w:p w:rsidR="00A10BD0" w:rsidRPr="00121490" w:rsidRDefault="00A10BD0"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21</w:t>
            </w:r>
          </w:p>
        </w:tc>
        <w:tc>
          <w:tcPr>
            <w:tcW w:w="1417"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Warrnambool</w:t>
            </w:r>
          </w:p>
        </w:tc>
        <w:tc>
          <w:tcPr>
            <w:tcW w:w="1603" w:type="dxa"/>
            <w:vAlign w:val="bottom"/>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0.1024</w:t>
            </w:r>
          </w:p>
        </w:tc>
        <w:tc>
          <w:tcPr>
            <w:tcW w:w="2268" w:type="dxa"/>
            <w:vAlign w:val="bottom"/>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0.1725</w:t>
            </w:r>
          </w:p>
        </w:tc>
        <w:tc>
          <w:tcPr>
            <w:tcW w:w="1985"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0</w:t>
            </w:r>
          </w:p>
        </w:tc>
      </w:tr>
      <w:tr w:rsidR="00A10BD0" w:rsidTr="004C7286">
        <w:tc>
          <w:tcPr>
            <w:tcW w:w="1199" w:type="dxa"/>
          </w:tcPr>
          <w:p w:rsidR="00A10BD0" w:rsidRPr="00121490" w:rsidRDefault="00A10BD0"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22</w:t>
            </w:r>
          </w:p>
        </w:tc>
        <w:tc>
          <w:tcPr>
            <w:tcW w:w="1417"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Koroit</w:t>
            </w:r>
          </w:p>
        </w:tc>
        <w:tc>
          <w:tcPr>
            <w:tcW w:w="1603" w:type="dxa"/>
            <w:vAlign w:val="bottom"/>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0.2157</w:t>
            </w:r>
          </w:p>
        </w:tc>
        <w:tc>
          <w:tcPr>
            <w:tcW w:w="2268" w:type="dxa"/>
            <w:vAlign w:val="bottom"/>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0.6470</w:t>
            </w:r>
          </w:p>
        </w:tc>
        <w:tc>
          <w:tcPr>
            <w:tcW w:w="1985"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0</w:t>
            </w:r>
          </w:p>
        </w:tc>
      </w:tr>
      <w:tr w:rsidR="00A10BD0" w:rsidTr="004C7286">
        <w:tc>
          <w:tcPr>
            <w:tcW w:w="1199" w:type="dxa"/>
          </w:tcPr>
          <w:p w:rsidR="00A10BD0" w:rsidRPr="00121490" w:rsidRDefault="00A10BD0"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10</w:t>
            </w:r>
          </w:p>
        </w:tc>
        <w:tc>
          <w:tcPr>
            <w:tcW w:w="1417"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Murray Valley</w:t>
            </w:r>
          </w:p>
        </w:tc>
        <w:tc>
          <w:tcPr>
            <w:tcW w:w="1603" w:type="dxa"/>
            <w:vAlign w:val="bottom"/>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0.6900</w:t>
            </w:r>
          </w:p>
        </w:tc>
        <w:tc>
          <w:tcPr>
            <w:tcW w:w="2268" w:type="dxa"/>
            <w:vAlign w:val="bottom"/>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1.0430</w:t>
            </w:r>
          </w:p>
        </w:tc>
        <w:tc>
          <w:tcPr>
            <w:tcW w:w="1985"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A10BD0" w:rsidTr="004C7286">
        <w:tc>
          <w:tcPr>
            <w:tcW w:w="1199" w:type="dxa"/>
          </w:tcPr>
          <w:p w:rsidR="00A10BD0" w:rsidRPr="00121490" w:rsidRDefault="00A10BD0"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11</w:t>
            </w:r>
          </w:p>
        </w:tc>
        <w:tc>
          <w:tcPr>
            <w:tcW w:w="1417"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Interconnect</w:t>
            </w:r>
          </w:p>
        </w:tc>
        <w:tc>
          <w:tcPr>
            <w:tcW w:w="1603" w:type="dxa"/>
            <w:vAlign w:val="bottom"/>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0.8432</w:t>
            </w:r>
          </w:p>
        </w:tc>
        <w:tc>
          <w:tcPr>
            <w:tcW w:w="2268" w:type="dxa"/>
            <w:vAlign w:val="bottom"/>
          </w:tcPr>
          <w:p w:rsidR="00A10BD0" w:rsidRPr="002A3AB8" w:rsidRDefault="00A10BD0"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0.8432</w:t>
            </w:r>
          </w:p>
        </w:tc>
        <w:tc>
          <w:tcPr>
            <w:tcW w:w="1985" w:type="dxa"/>
          </w:tcPr>
          <w:p w:rsidR="00A10BD0" w:rsidRPr="00121490" w:rsidRDefault="00A10BD0"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2A3AB8" w:rsidTr="004C7286">
        <w:tc>
          <w:tcPr>
            <w:tcW w:w="1199" w:type="dxa"/>
            <w:vAlign w:val="center"/>
          </w:tcPr>
          <w:p w:rsidR="002A3AB8" w:rsidRPr="00121490" w:rsidRDefault="002A3AB8"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13</w:t>
            </w:r>
          </w:p>
        </w:tc>
        <w:tc>
          <w:tcPr>
            <w:tcW w:w="1417" w:type="dxa"/>
            <w:vAlign w:val="center"/>
          </w:tcPr>
          <w:p w:rsidR="002A3AB8" w:rsidRPr="00121490" w:rsidRDefault="002A3AB8"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South West</w:t>
            </w:r>
          </w:p>
        </w:tc>
        <w:tc>
          <w:tcPr>
            <w:tcW w:w="1603" w:type="dxa"/>
            <w:vAlign w:val="bottom"/>
          </w:tcPr>
          <w:p w:rsidR="002A3AB8" w:rsidRPr="002A3AB8" w:rsidRDefault="002A3AB8"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0.1527</w:t>
            </w:r>
          </w:p>
        </w:tc>
        <w:tc>
          <w:tcPr>
            <w:tcW w:w="2268" w:type="dxa"/>
            <w:vAlign w:val="bottom"/>
          </w:tcPr>
          <w:p w:rsidR="002A3AB8" w:rsidRPr="002A3AB8" w:rsidRDefault="002A3AB8"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0.1522</w:t>
            </w:r>
          </w:p>
        </w:tc>
        <w:tc>
          <w:tcPr>
            <w:tcW w:w="1985" w:type="dxa"/>
            <w:vAlign w:val="center"/>
          </w:tcPr>
          <w:p w:rsidR="002A3AB8" w:rsidRPr="00121490" w:rsidRDefault="002A3AB8"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2A3AB8" w:rsidTr="004C7286">
        <w:tc>
          <w:tcPr>
            <w:tcW w:w="1199" w:type="dxa"/>
            <w:vAlign w:val="center"/>
          </w:tcPr>
          <w:p w:rsidR="002A3AB8" w:rsidRPr="00121490" w:rsidRDefault="002A3AB8"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17</w:t>
            </w:r>
          </w:p>
        </w:tc>
        <w:tc>
          <w:tcPr>
            <w:tcW w:w="1417" w:type="dxa"/>
            <w:vAlign w:val="center"/>
          </w:tcPr>
          <w:p w:rsidR="002A3AB8" w:rsidRPr="00121490" w:rsidRDefault="002A3AB8"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Wodonga</w:t>
            </w:r>
          </w:p>
        </w:tc>
        <w:tc>
          <w:tcPr>
            <w:tcW w:w="1603" w:type="dxa"/>
            <w:vAlign w:val="bottom"/>
          </w:tcPr>
          <w:p w:rsidR="002A3AB8" w:rsidRPr="002A3AB8" w:rsidRDefault="002A3AB8"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0.9306</w:t>
            </w:r>
          </w:p>
        </w:tc>
        <w:tc>
          <w:tcPr>
            <w:tcW w:w="2268" w:type="dxa"/>
            <w:vAlign w:val="bottom"/>
          </w:tcPr>
          <w:p w:rsidR="002A3AB8" w:rsidRPr="002A3AB8" w:rsidRDefault="002A3AB8"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1.6246</w:t>
            </w:r>
          </w:p>
        </w:tc>
        <w:tc>
          <w:tcPr>
            <w:tcW w:w="1985" w:type="dxa"/>
            <w:vAlign w:val="center"/>
          </w:tcPr>
          <w:p w:rsidR="002A3AB8" w:rsidRPr="00121490" w:rsidRDefault="002A3AB8"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2A3AB8" w:rsidTr="004C7286">
        <w:tc>
          <w:tcPr>
            <w:tcW w:w="1199" w:type="dxa"/>
            <w:vAlign w:val="center"/>
          </w:tcPr>
          <w:p w:rsidR="002A3AB8" w:rsidRPr="00121490" w:rsidRDefault="002A3AB8"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18</w:t>
            </w:r>
          </w:p>
        </w:tc>
        <w:tc>
          <w:tcPr>
            <w:tcW w:w="1417" w:type="dxa"/>
            <w:vAlign w:val="center"/>
          </w:tcPr>
          <w:p w:rsidR="002A3AB8" w:rsidRPr="00121490" w:rsidRDefault="002A3AB8"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Tyers</w:t>
            </w:r>
          </w:p>
        </w:tc>
        <w:tc>
          <w:tcPr>
            <w:tcW w:w="1603" w:type="dxa"/>
            <w:vAlign w:val="bottom"/>
          </w:tcPr>
          <w:p w:rsidR="002A3AB8" w:rsidRPr="002A3AB8" w:rsidRDefault="002A3AB8"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0.2009</w:t>
            </w:r>
          </w:p>
        </w:tc>
        <w:tc>
          <w:tcPr>
            <w:tcW w:w="2268" w:type="dxa"/>
            <w:vAlign w:val="bottom"/>
          </w:tcPr>
          <w:p w:rsidR="002A3AB8" w:rsidRPr="002A3AB8" w:rsidRDefault="002A3AB8"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0.2022</w:t>
            </w:r>
          </w:p>
        </w:tc>
        <w:tc>
          <w:tcPr>
            <w:tcW w:w="1985" w:type="dxa"/>
            <w:vAlign w:val="center"/>
          </w:tcPr>
          <w:p w:rsidR="002A3AB8" w:rsidRPr="00121490" w:rsidRDefault="002A3AB8"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370B6E" w:rsidTr="00370B6E">
        <w:tc>
          <w:tcPr>
            <w:tcW w:w="1199" w:type="dxa"/>
            <w:vAlign w:val="center"/>
          </w:tcPr>
          <w:p w:rsidR="00370B6E" w:rsidRPr="00121490" w:rsidRDefault="00370B6E"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19</w:t>
            </w:r>
          </w:p>
        </w:tc>
        <w:tc>
          <w:tcPr>
            <w:tcW w:w="1417" w:type="dxa"/>
            <w:vAlign w:val="center"/>
          </w:tcPr>
          <w:p w:rsidR="00370B6E" w:rsidRPr="00121490" w:rsidRDefault="00370B6E"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Culcairn</w:t>
            </w:r>
          </w:p>
        </w:tc>
        <w:tc>
          <w:tcPr>
            <w:tcW w:w="1603" w:type="dxa"/>
            <w:vAlign w:val="center"/>
          </w:tcPr>
          <w:p w:rsidR="00370B6E" w:rsidRPr="002A3AB8" w:rsidRDefault="002A3AB8"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1.0634</w:t>
            </w:r>
          </w:p>
        </w:tc>
        <w:tc>
          <w:tcPr>
            <w:tcW w:w="2268" w:type="dxa"/>
            <w:vAlign w:val="center"/>
          </w:tcPr>
          <w:p w:rsidR="00370B6E" w:rsidRPr="00121490" w:rsidRDefault="00370B6E" w:rsidP="002A3AB8">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NA</w:t>
            </w:r>
          </w:p>
        </w:tc>
        <w:tc>
          <w:tcPr>
            <w:tcW w:w="1985" w:type="dxa"/>
            <w:vAlign w:val="center"/>
          </w:tcPr>
          <w:p w:rsidR="00370B6E" w:rsidRPr="00121490" w:rsidRDefault="00370B6E"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0</w:t>
            </w:r>
          </w:p>
        </w:tc>
      </w:tr>
      <w:tr w:rsidR="002A3AB8" w:rsidTr="00FC138C">
        <w:tc>
          <w:tcPr>
            <w:tcW w:w="1199" w:type="dxa"/>
            <w:vAlign w:val="center"/>
          </w:tcPr>
          <w:p w:rsidR="002A3AB8" w:rsidRPr="00121490" w:rsidRDefault="002A3AB8"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20</w:t>
            </w:r>
          </w:p>
        </w:tc>
        <w:tc>
          <w:tcPr>
            <w:tcW w:w="1417" w:type="dxa"/>
            <w:vAlign w:val="center"/>
          </w:tcPr>
          <w:p w:rsidR="002A3AB8" w:rsidRPr="00121490" w:rsidRDefault="002A3AB8"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Metro South East</w:t>
            </w:r>
          </w:p>
        </w:tc>
        <w:tc>
          <w:tcPr>
            <w:tcW w:w="1603" w:type="dxa"/>
            <w:vAlign w:val="center"/>
          </w:tcPr>
          <w:p w:rsidR="002A3AB8" w:rsidRPr="002A3AB8" w:rsidRDefault="002A3AB8" w:rsidP="00FC138C">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0.3506</w:t>
            </w:r>
          </w:p>
        </w:tc>
        <w:tc>
          <w:tcPr>
            <w:tcW w:w="2268" w:type="dxa"/>
            <w:vAlign w:val="center"/>
          </w:tcPr>
          <w:p w:rsidR="002A3AB8" w:rsidRPr="002A3AB8" w:rsidRDefault="002A3AB8" w:rsidP="00FC138C">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0.3811</w:t>
            </w:r>
          </w:p>
        </w:tc>
        <w:tc>
          <w:tcPr>
            <w:tcW w:w="1985" w:type="dxa"/>
            <w:vAlign w:val="center"/>
          </w:tcPr>
          <w:p w:rsidR="002A3AB8" w:rsidRPr="00121490" w:rsidRDefault="002A3AB8"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2A3AB8" w:rsidTr="004C7286">
        <w:tc>
          <w:tcPr>
            <w:tcW w:w="1199" w:type="dxa"/>
            <w:vAlign w:val="center"/>
          </w:tcPr>
          <w:p w:rsidR="002A3AB8" w:rsidRPr="00121490" w:rsidRDefault="002A3AB8"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24</w:t>
            </w:r>
          </w:p>
        </w:tc>
        <w:tc>
          <w:tcPr>
            <w:tcW w:w="1417" w:type="dxa"/>
            <w:vAlign w:val="center"/>
          </w:tcPr>
          <w:p w:rsidR="002A3AB8" w:rsidRPr="00121490" w:rsidRDefault="002A3AB8"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Geelong</w:t>
            </w:r>
          </w:p>
        </w:tc>
        <w:tc>
          <w:tcPr>
            <w:tcW w:w="1603" w:type="dxa"/>
            <w:vAlign w:val="bottom"/>
          </w:tcPr>
          <w:p w:rsidR="002A3AB8" w:rsidRPr="002A3AB8" w:rsidRDefault="002A3AB8"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0.2592</w:t>
            </w:r>
          </w:p>
        </w:tc>
        <w:tc>
          <w:tcPr>
            <w:tcW w:w="2268" w:type="dxa"/>
            <w:vAlign w:val="bottom"/>
          </w:tcPr>
          <w:p w:rsidR="002A3AB8" w:rsidRPr="002A3AB8" w:rsidRDefault="002A3AB8"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0.3105</w:t>
            </w:r>
          </w:p>
        </w:tc>
        <w:tc>
          <w:tcPr>
            <w:tcW w:w="1985" w:type="dxa"/>
            <w:vAlign w:val="center"/>
          </w:tcPr>
          <w:p w:rsidR="002A3AB8" w:rsidRPr="00121490" w:rsidRDefault="002A3AB8"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370B6E" w:rsidTr="00370B6E">
        <w:tc>
          <w:tcPr>
            <w:tcW w:w="1199" w:type="dxa"/>
            <w:vAlign w:val="center"/>
          </w:tcPr>
          <w:p w:rsidR="00370B6E" w:rsidRPr="00121490" w:rsidRDefault="00370B6E" w:rsidP="00370B6E">
            <w:pPr>
              <w:pStyle w:val="AABody0"/>
              <w:spacing w:before="60" w:after="60"/>
              <w:rPr>
                <w:rFonts w:ascii="Century Gothic" w:hAnsi="Century Gothic"/>
                <w:color w:val="25282A"/>
                <w:sz w:val="18"/>
                <w:szCs w:val="18"/>
                <w:lang w:val="en-AU"/>
              </w:rPr>
            </w:pPr>
            <w:r w:rsidRPr="00121490">
              <w:rPr>
                <w:rFonts w:ascii="Century Gothic" w:hAnsi="Century Gothic"/>
                <w:color w:val="25282A"/>
                <w:sz w:val="18"/>
                <w:szCs w:val="18"/>
                <w:lang w:val="en-AU"/>
              </w:rPr>
              <w:t>25</w:t>
            </w:r>
          </w:p>
        </w:tc>
        <w:tc>
          <w:tcPr>
            <w:tcW w:w="1417" w:type="dxa"/>
            <w:vAlign w:val="center"/>
          </w:tcPr>
          <w:p w:rsidR="00370B6E" w:rsidRPr="00121490" w:rsidRDefault="00370B6E" w:rsidP="00370B6E">
            <w:pPr>
              <w:pStyle w:val="AABody0"/>
              <w:spacing w:before="60" w:after="60"/>
              <w:jc w:val="center"/>
              <w:rPr>
                <w:rFonts w:ascii="Century Gothic" w:hAnsi="Century Gothic"/>
                <w:color w:val="25282A"/>
                <w:sz w:val="18"/>
                <w:szCs w:val="18"/>
                <w:lang w:val="en-AU"/>
              </w:rPr>
            </w:pPr>
            <w:r w:rsidRPr="00121490">
              <w:rPr>
                <w:rFonts w:ascii="Century Gothic" w:hAnsi="Century Gothic"/>
                <w:color w:val="25282A"/>
                <w:sz w:val="18"/>
                <w:szCs w:val="18"/>
                <w:lang w:val="en-AU"/>
              </w:rPr>
              <w:t>Maryvale</w:t>
            </w:r>
          </w:p>
        </w:tc>
        <w:tc>
          <w:tcPr>
            <w:tcW w:w="1603" w:type="dxa"/>
            <w:vAlign w:val="center"/>
          </w:tcPr>
          <w:p w:rsidR="00370B6E" w:rsidRPr="002A3AB8" w:rsidRDefault="002A3AB8" w:rsidP="002A3AB8">
            <w:pPr>
              <w:pStyle w:val="AABody0"/>
              <w:spacing w:before="60" w:after="60"/>
              <w:jc w:val="center"/>
              <w:rPr>
                <w:rFonts w:ascii="Century Gothic" w:hAnsi="Century Gothic"/>
                <w:color w:val="25282A"/>
                <w:sz w:val="18"/>
                <w:szCs w:val="18"/>
                <w:lang w:val="en-AU"/>
              </w:rPr>
            </w:pPr>
            <w:r w:rsidRPr="002A3AB8">
              <w:rPr>
                <w:rFonts w:ascii="Century Gothic" w:hAnsi="Century Gothic"/>
                <w:color w:val="25282A"/>
                <w:sz w:val="18"/>
                <w:szCs w:val="18"/>
                <w:lang w:val="en-AU"/>
              </w:rPr>
              <w:t>0.0593</w:t>
            </w:r>
          </w:p>
        </w:tc>
        <w:tc>
          <w:tcPr>
            <w:tcW w:w="2268" w:type="dxa"/>
            <w:vAlign w:val="center"/>
          </w:tcPr>
          <w:p w:rsidR="00370B6E" w:rsidRPr="00121490" w:rsidRDefault="00370B6E" w:rsidP="002A3AB8">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NA</w:t>
            </w:r>
          </w:p>
        </w:tc>
        <w:tc>
          <w:tcPr>
            <w:tcW w:w="1985" w:type="dxa"/>
            <w:vAlign w:val="center"/>
          </w:tcPr>
          <w:p w:rsidR="00370B6E" w:rsidRPr="00121490" w:rsidRDefault="00370B6E"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0</w:t>
            </w:r>
          </w:p>
        </w:tc>
      </w:tr>
    </w:tbl>
    <w:p w:rsidR="00370B6E" w:rsidRDefault="00370B6E" w:rsidP="00370B6E">
      <w:pPr>
        <w:pStyle w:val="BodyTextIndent1"/>
      </w:pPr>
    </w:p>
    <w:p w:rsidR="00370B6E" w:rsidRDefault="00370B6E" w:rsidP="00370B6E">
      <w:pPr>
        <w:pStyle w:val="BodyTextIndent1"/>
      </w:pPr>
      <w:r>
        <w:t>(b)</w:t>
      </w:r>
      <w:r>
        <w:tab/>
        <w:t>System Export Tariff</w:t>
      </w:r>
    </w:p>
    <w:p w:rsidR="00370B6E" w:rsidRDefault="00370B6E" w:rsidP="00370B6E">
      <w:pPr>
        <w:pStyle w:val="BodyText"/>
      </w:pPr>
      <w:r>
        <w:t xml:space="preserve">Where a Connection Point in an Injection Zone services an export of gas from the VTS to a Connected Transmission Pipeline, gas Injected at that Injection Zone and Withdrawn through that Connection Point is subject to the System Export Tariff specified below, instead of the Withdrawal Tariff specified in clause </w:t>
      </w:r>
      <w:proofErr w:type="gramStart"/>
      <w:r>
        <w:t>A.3(</w:t>
      </w:r>
      <w:proofErr w:type="gramEnd"/>
      <w:r>
        <w:t>a) of this Schedule.</w:t>
      </w:r>
    </w:p>
    <w:p w:rsidR="004E38EA" w:rsidRDefault="004E38EA" w:rsidP="00370B6E">
      <w:pPr>
        <w:pStyle w:val="BodyText"/>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09"/>
        <w:gridCol w:w="2109"/>
        <w:gridCol w:w="2109"/>
        <w:gridCol w:w="2110"/>
      </w:tblGrid>
      <w:tr w:rsidR="00370B6E" w:rsidTr="00370B6E">
        <w:tc>
          <w:tcPr>
            <w:tcW w:w="2109" w:type="dxa"/>
            <w:shd w:val="clear" w:color="auto" w:fill="25282A" w:themeFill="text1"/>
            <w:vAlign w:val="center"/>
          </w:tcPr>
          <w:p w:rsidR="00370B6E" w:rsidRPr="00E06AD3" w:rsidRDefault="00370B6E" w:rsidP="00370B6E">
            <w:pPr>
              <w:pStyle w:val="TableBodyCells"/>
              <w:jc w:val="left"/>
              <w:rPr>
                <w:b/>
                <w:color w:val="FFFFFF" w:themeColor="background1"/>
              </w:rPr>
            </w:pPr>
            <w:r w:rsidRPr="00E06AD3">
              <w:rPr>
                <w:b/>
                <w:color w:val="FFFFFF" w:themeColor="background1"/>
              </w:rPr>
              <w:t>Withdrawal Zone Number</w:t>
            </w:r>
          </w:p>
        </w:tc>
        <w:tc>
          <w:tcPr>
            <w:tcW w:w="2109" w:type="dxa"/>
            <w:shd w:val="clear" w:color="auto" w:fill="25282A" w:themeFill="text1"/>
            <w:vAlign w:val="center"/>
          </w:tcPr>
          <w:p w:rsidR="00370B6E" w:rsidRPr="00E06AD3" w:rsidRDefault="00370B6E" w:rsidP="00370B6E">
            <w:pPr>
              <w:pStyle w:val="TableBodyCells"/>
              <w:rPr>
                <w:b/>
                <w:color w:val="FFFFFF" w:themeColor="background1"/>
              </w:rPr>
            </w:pPr>
            <w:r w:rsidRPr="00E06AD3">
              <w:rPr>
                <w:b/>
                <w:color w:val="FFFFFF" w:themeColor="background1"/>
              </w:rPr>
              <w:t>Connected Transmission Pipeline Name</w:t>
            </w:r>
          </w:p>
        </w:tc>
        <w:tc>
          <w:tcPr>
            <w:tcW w:w="2109" w:type="dxa"/>
            <w:shd w:val="clear" w:color="auto" w:fill="25282A" w:themeFill="text1"/>
            <w:vAlign w:val="center"/>
          </w:tcPr>
          <w:p w:rsidR="00370B6E" w:rsidRPr="00E06AD3" w:rsidRDefault="00370B6E" w:rsidP="00370B6E">
            <w:pPr>
              <w:pStyle w:val="TableBodyCells"/>
              <w:rPr>
                <w:b/>
                <w:color w:val="FFFFFF" w:themeColor="background1"/>
              </w:rPr>
            </w:pPr>
            <w:r w:rsidRPr="00E06AD3">
              <w:rPr>
                <w:b/>
                <w:color w:val="FFFFFF" w:themeColor="background1"/>
              </w:rPr>
              <w:t>System Export Tariff ($/GJ)</w:t>
            </w:r>
          </w:p>
        </w:tc>
        <w:tc>
          <w:tcPr>
            <w:tcW w:w="2110" w:type="dxa"/>
            <w:shd w:val="clear" w:color="auto" w:fill="25282A" w:themeFill="text1"/>
            <w:vAlign w:val="center"/>
          </w:tcPr>
          <w:p w:rsidR="00370B6E" w:rsidRPr="0068187C" w:rsidRDefault="00370B6E" w:rsidP="00370B6E">
            <w:pPr>
              <w:pStyle w:val="TableBodyCells"/>
              <w:rPr>
                <w:b/>
                <w:color w:val="FFFFFF" w:themeColor="background1"/>
              </w:rPr>
            </w:pPr>
            <w:r w:rsidRPr="0068187C">
              <w:rPr>
                <w:b/>
                <w:color w:val="FFFFFF" w:themeColor="background1"/>
              </w:rPr>
              <w:t xml:space="preserve">2019-2022 </w:t>
            </w:r>
            <w:r w:rsidRPr="0068187C">
              <w:rPr>
                <w:b/>
                <w:color w:val="FFFFFF" w:themeColor="background1"/>
              </w:rPr>
              <w:br/>
              <w:t>annual X-factor</w:t>
            </w:r>
          </w:p>
        </w:tc>
      </w:tr>
      <w:tr w:rsidR="00370B6E" w:rsidTr="00370B6E">
        <w:tc>
          <w:tcPr>
            <w:tcW w:w="2109" w:type="dxa"/>
          </w:tcPr>
          <w:p w:rsidR="00370B6E" w:rsidRPr="00E06AD3" w:rsidRDefault="00370B6E" w:rsidP="00370B6E">
            <w:pPr>
              <w:pStyle w:val="AABody0"/>
              <w:spacing w:before="60" w:after="60"/>
              <w:rPr>
                <w:rFonts w:ascii="Century Gothic" w:hAnsi="Century Gothic"/>
                <w:color w:val="25282A"/>
                <w:sz w:val="18"/>
                <w:szCs w:val="18"/>
                <w:lang w:val="en-AU"/>
              </w:rPr>
            </w:pPr>
            <w:r w:rsidRPr="00E06AD3">
              <w:rPr>
                <w:rFonts w:ascii="Century Gothic" w:hAnsi="Century Gothic"/>
                <w:color w:val="25282A"/>
                <w:sz w:val="18"/>
                <w:szCs w:val="18"/>
                <w:lang w:val="en-AU"/>
              </w:rPr>
              <w:t>31</w:t>
            </w:r>
          </w:p>
        </w:tc>
        <w:tc>
          <w:tcPr>
            <w:tcW w:w="2109" w:type="dxa"/>
          </w:tcPr>
          <w:p w:rsidR="00370B6E" w:rsidRPr="00E06AD3" w:rsidRDefault="00370B6E" w:rsidP="00370B6E">
            <w:pPr>
              <w:pStyle w:val="AABody0"/>
              <w:spacing w:before="60" w:after="60"/>
              <w:jc w:val="center"/>
              <w:rPr>
                <w:rFonts w:ascii="Century Gothic" w:hAnsi="Century Gothic"/>
                <w:color w:val="25282A"/>
                <w:sz w:val="18"/>
                <w:szCs w:val="18"/>
                <w:lang w:val="en-AU"/>
              </w:rPr>
            </w:pPr>
            <w:proofErr w:type="spellStart"/>
            <w:r>
              <w:rPr>
                <w:rFonts w:ascii="Century Gothic" w:hAnsi="Century Gothic"/>
                <w:color w:val="25282A"/>
                <w:sz w:val="18"/>
                <w:szCs w:val="18"/>
                <w:lang w:val="en-AU"/>
              </w:rPr>
              <w:t>VicHub</w:t>
            </w:r>
            <w:proofErr w:type="spellEnd"/>
          </w:p>
        </w:tc>
        <w:tc>
          <w:tcPr>
            <w:tcW w:w="2109" w:type="dxa"/>
          </w:tcPr>
          <w:p w:rsidR="00370B6E" w:rsidRPr="00E06AD3" w:rsidRDefault="00370B6E" w:rsidP="00370B6E">
            <w:pPr>
              <w:pStyle w:val="AABody0"/>
              <w:spacing w:before="60" w:after="60"/>
              <w:jc w:val="center"/>
              <w:rPr>
                <w:rFonts w:ascii="Century Gothic" w:hAnsi="Century Gothic"/>
                <w:color w:val="25282A"/>
                <w:sz w:val="18"/>
                <w:szCs w:val="18"/>
                <w:lang w:val="en-AU"/>
              </w:rPr>
            </w:pPr>
            <w:r w:rsidRPr="008A3C84">
              <w:rPr>
                <w:rFonts w:ascii="Century Gothic" w:hAnsi="Century Gothic"/>
                <w:color w:val="25282A"/>
                <w:sz w:val="18"/>
                <w:szCs w:val="18"/>
                <w:lang w:val="en-AU"/>
              </w:rPr>
              <w:t>0.0000</w:t>
            </w:r>
          </w:p>
        </w:tc>
        <w:tc>
          <w:tcPr>
            <w:tcW w:w="2110" w:type="dxa"/>
          </w:tcPr>
          <w:p w:rsidR="00370B6E" w:rsidRPr="00E06AD3" w:rsidRDefault="00370B6E"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r w:rsidR="00370B6E" w:rsidTr="00370B6E">
        <w:tc>
          <w:tcPr>
            <w:tcW w:w="2109" w:type="dxa"/>
            <w:tcBorders>
              <w:bottom w:val="single" w:sz="4" w:space="0" w:color="auto"/>
            </w:tcBorders>
          </w:tcPr>
          <w:p w:rsidR="00370B6E" w:rsidRPr="00E06AD3" w:rsidRDefault="00370B6E" w:rsidP="00370B6E">
            <w:pPr>
              <w:pStyle w:val="AABody0"/>
              <w:spacing w:before="60" w:after="60"/>
              <w:rPr>
                <w:rFonts w:ascii="Century Gothic" w:hAnsi="Century Gothic"/>
                <w:color w:val="25282A"/>
                <w:sz w:val="18"/>
                <w:szCs w:val="18"/>
                <w:lang w:val="en-AU"/>
              </w:rPr>
            </w:pPr>
            <w:r w:rsidRPr="00E06AD3">
              <w:rPr>
                <w:rFonts w:ascii="Century Gothic" w:hAnsi="Century Gothic"/>
                <w:color w:val="25282A"/>
                <w:sz w:val="18"/>
                <w:szCs w:val="18"/>
                <w:lang w:val="en-AU"/>
              </w:rPr>
              <w:t>33</w:t>
            </w:r>
          </w:p>
        </w:tc>
        <w:tc>
          <w:tcPr>
            <w:tcW w:w="2109" w:type="dxa"/>
            <w:tcBorders>
              <w:bottom w:val="single" w:sz="4" w:space="0" w:color="auto"/>
            </w:tcBorders>
          </w:tcPr>
          <w:p w:rsidR="00370B6E" w:rsidRPr="00E06AD3" w:rsidRDefault="00370B6E"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SEA Gas Pipeline</w:t>
            </w:r>
          </w:p>
        </w:tc>
        <w:tc>
          <w:tcPr>
            <w:tcW w:w="2109" w:type="dxa"/>
            <w:tcBorders>
              <w:bottom w:val="single" w:sz="4" w:space="0" w:color="auto"/>
            </w:tcBorders>
          </w:tcPr>
          <w:p w:rsidR="00370B6E" w:rsidRPr="00E06AD3" w:rsidRDefault="00370B6E" w:rsidP="00370B6E">
            <w:pPr>
              <w:pStyle w:val="AABody0"/>
              <w:spacing w:before="60" w:after="60"/>
              <w:jc w:val="center"/>
              <w:rPr>
                <w:rFonts w:ascii="Century Gothic" w:hAnsi="Century Gothic"/>
                <w:color w:val="25282A"/>
                <w:sz w:val="18"/>
                <w:szCs w:val="18"/>
                <w:lang w:val="en-AU"/>
              </w:rPr>
            </w:pPr>
            <w:r w:rsidRPr="008A3C84">
              <w:rPr>
                <w:rFonts w:ascii="Century Gothic" w:hAnsi="Century Gothic"/>
                <w:color w:val="25282A"/>
                <w:sz w:val="18"/>
                <w:szCs w:val="18"/>
                <w:lang w:val="en-AU"/>
              </w:rPr>
              <w:t>0.0205</w:t>
            </w:r>
          </w:p>
        </w:tc>
        <w:tc>
          <w:tcPr>
            <w:tcW w:w="2110" w:type="dxa"/>
            <w:tcBorders>
              <w:bottom w:val="single" w:sz="4" w:space="0" w:color="auto"/>
            </w:tcBorders>
          </w:tcPr>
          <w:p w:rsidR="00370B6E" w:rsidRPr="00E06AD3" w:rsidRDefault="00370B6E" w:rsidP="00370B6E">
            <w:pPr>
              <w:pStyle w:val="AABody0"/>
              <w:spacing w:before="60" w:after="60"/>
              <w:jc w:val="center"/>
              <w:rPr>
                <w:rFonts w:ascii="Century Gothic" w:hAnsi="Century Gothic"/>
                <w:color w:val="25282A"/>
                <w:sz w:val="18"/>
                <w:szCs w:val="18"/>
                <w:lang w:val="en-AU"/>
              </w:rPr>
            </w:pPr>
            <w:r>
              <w:rPr>
                <w:rFonts w:ascii="Century Gothic" w:hAnsi="Century Gothic"/>
                <w:color w:val="25282A"/>
                <w:sz w:val="18"/>
                <w:szCs w:val="18"/>
                <w:lang w:val="en-AU"/>
              </w:rPr>
              <w:t>6</w:t>
            </w:r>
          </w:p>
        </w:tc>
      </w:tr>
    </w:tbl>
    <w:p w:rsidR="004E38EA" w:rsidRDefault="004E38EA" w:rsidP="00370B6E">
      <w:pPr>
        <w:pStyle w:val="BodyTextIndent1"/>
      </w:pPr>
    </w:p>
    <w:p w:rsidR="00370B6E" w:rsidRPr="00C04B3A" w:rsidRDefault="00370B6E" w:rsidP="00370B6E">
      <w:pPr>
        <w:pStyle w:val="BodyTextIndent1"/>
      </w:pPr>
      <w:r w:rsidRPr="00C04B3A">
        <w:t>(c)</w:t>
      </w:r>
      <w:r w:rsidRPr="00C04B3A">
        <w:tab/>
        <w:t>Transmission Refill Tariff</w:t>
      </w:r>
    </w:p>
    <w:p w:rsidR="00370B6E" w:rsidRDefault="00370B6E" w:rsidP="00370B6E">
      <w:pPr>
        <w:pStyle w:val="BodyText"/>
      </w:pPr>
      <w:r w:rsidRPr="00C04B3A">
        <w:rPr>
          <w:lang w:val="x-none"/>
        </w:rPr>
        <w:t xml:space="preserve">Where a Connection Point services a Storage Facility, all gas Withdrawn through that Connection Point is subject to the Transmission Refill Tariff </w:t>
      </w:r>
      <w:r w:rsidRPr="00C04B3A">
        <w:rPr>
          <w:lang w:val="x-none"/>
        </w:rPr>
        <w:lastRenderedPageBreak/>
        <w:t>specified below, instead of the Withdrawal Tariff specified in clause A.3(a) of this Schedule.</w:t>
      </w:r>
    </w:p>
    <w:p w:rsidR="004E38EA" w:rsidRPr="004E38EA" w:rsidRDefault="004E38EA" w:rsidP="00370B6E">
      <w:pPr>
        <w:pStyle w:val="BodyText"/>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09"/>
        <w:gridCol w:w="2109"/>
        <w:gridCol w:w="2109"/>
        <w:gridCol w:w="2110"/>
      </w:tblGrid>
      <w:tr w:rsidR="00370B6E" w:rsidTr="00370B6E">
        <w:tc>
          <w:tcPr>
            <w:tcW w:w="2109" w:type="dxa"/>
            <w:shd w:val="clear" w:color="auto" w:fill="25282A" w:themeFill="text1"/>
            <w:vAlign w:val="center"/>
          </w:tcPr>
          <w:p w:rsidR="00370B6E" w:rsidRPr="00C04B3A" w:rsidRDefault="00370B6E" w:rsidP="00370B6E">
            <w:pPr>
              <w:pStyle w:val="AAtabletopleft"/>
              <w:rPr>
                <w:rFonts w:ascii="Century Gothic" w:hAnsi="Century Gothic"/>
                <w:color w:val="FFFFFF" w:themeColor="background1"/>
                <w:lang w:val="en-AU"/>
              </w:rPr>
            </w:pPr>
            <w:r w:rsidRPr="00C04B3A">
              <w:rPr>
                <w:rFonts w:ascii="Century Gothic" w:hAnsi="Century Gothic"/>
                <w:color w:val="FFFFFF" w:themeColor="background1"/>
                <w:lang w:val="en-AU"/>
              </w:rPr>
              <w:t>Withdrawal Zone Number</w:t>
            </w:r>
          </w:p>
        </w:tc>
        <w:tc>
          <w:tcPr>
            <w:tcW w:w="2109" w:type="dxa"/>
            <w:shd w:val="clear" w:color="auto" w:fill="25282A" w:themeFill="text1"/>
            <w:vAlign w:val="center"/>
          </w:tcPr>
          <w:p w:rsidR="00370B6E" w:rsidRPr="00C04B3A" w:rsidRDefault="00370B6E" w:rsidP="00370B6E">
            <w:pPr>
              <w:pStyle w:val="AAtabletopleft"/>
              <w:jc w:val="center"/>
              <w:rPr>
                <w:rFonts w:ascii="Century Gothic" w:hAnsi="Century Gothic"/>
                <w:color w:val="FFFFFF" w:themeColor="background1"/>
                <w:lang w:val="en-AU"/>
              </w:rPr>
            </w:pPr>
            <w:r w:rsidRPr="00C04B3A">
              <w:rPr>
                <w:rFonts w:ascii="Century Gothic" w:hAnsi="Century Gothic"/>
                <w:color w:val="FFFFFF" w:themeColor="background1"/>
                <w:lang w:val="en-AU"/>
              </w:rPr>
              <w:t>Storage Facility Name</w:t>
            </w:r>
          </w:p>
        </w:tc>
        <w:tc>
          <w:tcPr>
            <w:tcW w:w="2109" w:type="dxa"/>
            <w:shd w:val="clear" w:color="auto" w:fill="25282A" w:themeFill="text1"/>
            <w:vAlign w:val="center"/>
          </w:tcPr>
          <w:p w:rsidR="00370B6E" w:rsidRPr="00C04B3A" w:rsidRDefault="00370B6E" w:rsidP="00370B6E">
            <w:pPr>
              <w:pStyle w:val="AAtabletopleft"/>
              <w:jc w:val="center"/>
              <w:rPr>
                <w:rFonts w:ascii="Century Gothic" w:hAnsi="Century Gothic"/>
                <w:color w:val="FFFFFF" w:themeColor="background1"/>
                <w:lang w:val="en-AU"/>
              </w:rPr>
            </w:pPr>
            <w:r w:rsidRPr="00C04B3A">
              <w:rPr>
                <w:rFonts w:ascii="Century Gothic" w:hAnsi="Century Gothic"/>
                <w:color w:val="FFFFFF" w:themeColor="background1"/>
                <w:lang w:val="en-AU"/>
              </w:rPr>
              <w:t>Transmission Refill tariff ($/GJ)</w:t>
            </w:r>
          </w:p>
        </w:tc>
        <w:tc>
          <w:tcPr>
            <w:tcW w:w="2110" w:type="dxa"/>
            <w:shd w:val="clear" w:color="auto" w:fill="25282A" w:themeFill="text1"/>
            <w:vAlign w:val="center"/>
          </w:tcPr>
          <w:p w:rsidR="00370B6E" w:rsidRPr="00C04B3A" w:rsidRDefault="00370B6E" w:rsidP="00370B6E">
            <w:pPr>
              <w:pStyle w:val="AAtabletopleft"/>
              <w:jc w:val="center"/>
              <w:rPr>
                <w:rFonts w:ascii="Century Gothic" w:hAnsi="Century Gothic"/>
                <w:color w:val="FFFFFF" w:themeColor="background1"/>
                <w:lang w:val="en-AU"/>
              </w:rPr>
            </w:pPr>
            <w:r w:rsidRPr="001A7737">
              <w:rPr>
                <w:rFonts w:ascii="Century Gothic" w:hAnsi="Century Gothic"/>
                <w:color w:val="FFFFFF" w:themeColor="background1"/>
                <w:lang w:val="en-AU"/>
              </w:rPr>
              <w:t xml:space="preserve">2019-2022 </w:t>
            </w:r>
            <w:r>
              <w:rPr>
                <w:rFonts w:ascii="Century Gothic" w:hAnsi="Century Gothic"/>
                <w:color w:val="FFFFFF" w:themeColor="background1"/>
                <w:lang w:val="en-AU"/>
              </w:rPr>
              <w:br/>
              <w:t xml:space="preserve">annual </w:t>
            </w:r>
            <w:r w:rsidRPr="001A7737">
              <w:rPr>
                <w:rFonts w:ascii="Century Gothic" w:hAnsi="Century Gothic"/>
                <w:color w:val="FFFFFF" w:themeColor="background1"/>
                <w:lang w:val="en-AU"/>
              </w:rPr>
              <w:t>X-factor</w:t>
            </w:r>
          </w:p>
        </w:tc>
      </w:tr>
      <w:tr w:rsidR="00370B6E" w:rsidTr="00370B6E">
        <w:tc>
          <w:tcPr>
            <w:tcW w:w="2109" w:type="dxa"/>
            <w:shd w:val="clear" w:color="auto" w:fill="auto"/>
          </w:tcPr>
          <w:p w:rsidR="00370B6E" w:rsidRPr="00C04B3A" w:rsidRDefault="00370B6E" w:rsidP="00370B6E">
            <w:pPr>
              <w:pStyle w:val="AAtablecolumn1"/>
              <w:rPr>
                <w:rFonts w:ascii="Century Gothic" w:hAnsi="Century Gothic"/>
                <w:color w:val="25282A"/>
                <w:szCs w:val="18"/>
              </w:rPr>
            </w:pPr>
            <w:r w:rsidRPr="00C04B3A">
              <w:rPr>
                <w:rFonts w:ascii="Century Gothic" w:hAnsi="Century Gothic"/>
                <w:color w:val="25282A"/>
                <w:szCs w:val="18"/>
              </w:rPr>
              <w:t>23</w:t>
            </w:r>
          </w:p>
        </w:tc>
        <w:tc>
          <w:tcPr>
            <w:tcW w:w="2109" w:type="dxa"/>
            <w:shd w:val="clear" w:color="auto" w:fill="auto"/>
          </w:tcPr>
          <w:p w:rsidR="00370B6E" w:rsidRPr="00C04B3A" w:rsidRDefault="00370B6E" w:rsidP="00370B6E">
            <w:pPr>
              <w:pStyle w:val="AAtablecolumn1"/>
              <w:jc w:val="center"/>
              <w:rPr>
                <w:rFonts w:ascii="Century Gothic" w:hAnsi="Century Gothic"/>
                <w:color w:val="25282A"/>
                <w:szCs w:val="18"/>
              </w:rPr>
            </w:pPr>
            <w:r w:rsidRPr="00C04B3A">
              <w:rPr>
                <w:rFonts w:ascii="Century Gothic" w:hAnsi="Century Gothic"/>
                <w:color w:val="25282A"/>
                <w:szCs w:val="18"/>
              </w:rPr>
              <w:t>LNG</w:t>
            </w:r>
          </w:p>
        </w:tc>
        <w:tc>
          <w:tcPr>
            <w:tcW w:w="2109" w:type="dxa"/>
            <w:shd w:val="clear" w:color="auto" w:fill="auto"/>
          </w:tcPr>
          <w:p w:rsidR="00370B6E" w:rsidRPr="00C04B3A" w:rsidRDefault="00370B6E" w:rsidP="00370B6E">
            <w:pPr>
              <w:pStyle w:val="AAtablecolumn1"/>
              <w:jc w:val="center"/>
              <w:rPr>
                <w:rFonts w:ascii="Century Gothic" w:hAnsi="Century Gothic"/>
                <w:color w:val="25282A"/>
                <w:szCs w:val="18"/>
              </w:rPr>
            </w:pPr>
            <w:r w:rsidRPr="00F30FDF">
              <w:rPr>
                <w:rFonts w:ascii="Century Gothic" w:hAnsi="Century Gothic"/>
                <w:color w:val="25282A"/>
                <w:szCs w:val="18"/>
              </w:rPr>
              <w:t>0.0539</w:t>
            </w:r>
          </w:p>
        </w:tc>
        <w:tc>
          <w:tcPr>
            <w:tcW w:w="2110" w:type="dxa"/>
            <w:shd w:val="clear" w:color="auto" w:fill="auto"/>
          </w:tcPr>
          <w:p w:rsidR="00370B6E" w:rsidRPr="00C04B3A" w:rsidRDefault="00370B6E" w:rsidP="00370B6E">
            <w:pPr>
              <w:pStyle w:val="AAtablecolumn1"/>
              <w:jc w:val="center"/>
              <w:rPr>
                <w:rFonts w:ascii="Century Gothic" w:hAnsi="Century Gothic"/>
                <w:color w:val="25282A"/>
                <w:szCs w:val="18"/>
              </w:rPr>
            </w:pPr>
            <w:r>
              <w:rPr>
                <w:rFonts w:ascii="Century Gothic" w:hAnsi="Century Gothic"/>
                <w:color w:val="25282A"/>
                <w:szCs w:val="18"/>
              </w:rPr>
              <w:t>0</w:t>
            </w:r>
          </w:p>
        </w:tc>
      </w:tr>
      <w:tr w:rsidR="00370B6E" w:rsidTr="00370B6E">
        <w:tc>
          <w:tcPr>
            <w:tcW w:w="2109" w:type="dxa"/>
            <w:shd w:val="clear" w:color="auto" w:fill="auto"/>
          </w:tcPr>
          <w:p w:rsidR="00370B6E" w:rsidRPr="00C04B3A" w:rsidRDefault="00370B6E" w:rsidP="00370B6E">
            <w:pPr>
              <w:pStyle w:val="AAtablecolumn1"/>
              <w:rPr>
                <w:rFonts w:ascii="Century Gothic" w:hAnsi="Century Gothic"/>
                <w:color w:val="25282A"/>
                <w:szCs w:val="18"/>
              </w:rPr>
            </w:pPr>
            <w:r w:rsidRPr="00C04B3A">
              <w:rPr>
                <w:rFonts w:ascii="Century Gothic" w:hAnsi="Century Gothic"/>
                <w:color w:val="25282A"/>
                <w:szCs w:val="18"/>
              </w:rPr>
              <w:t>32</w:t>
            </w:r>
          </w:p>
        </w:tc>
        <w:tc>
          <w:tcPr>
            <w:tcW w:w="2109" w:type="dxa"/>
            <w:shd w:val="clear" w:color="auto" w:fill="auto"/>
          </w:tcPr>
          <w:p w:rsidR="00370B6E" w:rsidRPr="00C04B3A" w:rsidRDefault="00370B6E" w:rsidP="00370B6E">
            <w:pPr>
              <w:pStyle w:val="AAtablecolumn1"/>
              <w:jc w:val="center"/>
              <w:rPr>
                <w:rFonts w:ascii="Century Gothic" w:hAnsi="Century Gothic"/>
                <w:color w:val="25282A"/>
                <w:szCs w:val="18"/>
              </w:rPr>
            </w:pPr>
            <w:r w:rsidRPr="00C04B3A">
              <w:rPr>
                <w:rFonts w:ascii="Century Gothic" w:hAnsi="Century Gothic"/>
                <w:color w:val="25282A"/>
                <w:szCs w:val="18"/>
              </w:rPr>
              <w:t>WUGS</w:t>
            </w:r>
          </w:p>
        </w:tc>
        <w:tc>
          <w:tcPr>
            <w:tcW w:w="2109" w:type="dxa"/>
            <w:shd w:val="clear" w:color="auto" w:fill="auto"/>
          </w:tcPr>
          <w:p w:rsidR="00370B6E" w:rsidRPr="00C04B3A" w:rsidRDefault="00370B6E" w:rsidP="00370B6E">
            <w:pPr>
              <w:pStyle w:val="AAtablecolumn1"/>
              <w:jc w:val="center"/>
              <w:rPr>
                <w:rFonts w:ascii="Century Gothic" w:hAnsi="Century Gothic"/>
                <w:color w:val="25282A"/>
                <w:szCs w:val="18"/>
              </w:rPr>
            </w:pPr>
            <w:r w:rsidRPr="00F30FDF">
              <w:rPr>
                <w:rFonts w:ascii="Century Gothic" w:hAnsi="Century Gothic"/>
                <w:color w:val="25282A"/>
                <w:szCs w:val="18"/>
              </w:rPr>
              <w:t>0.0789</w:t>
            </w:r>
          </w:p>
        </w:tc>
        <w:tc>
          <w:tcPr>
            <w:tcW w:w="2110" w:type="dxa"/>
            <w:shd w:val="clear" w:color="auto" w:fill="auto"/>
          </w:tcPr>
          <w:p w:rsidR="00370B6E" w:rsidRPr="00C04B3A" w:rsidRDefault="00370B6E" w:rsidP="00370B6E">
            <w:pPr>
              <w:pStyle w:val="AAtablecolumn1"/>
              <w:jc w:val="center"/>
              <w:rPr>
                <w:rFonts w:ascii="Century Gothic" w:hAnsi="Century Gothic"/>
                <w:color w:val="25282A"/>
                <w:szCs w:val="18"/>
              </w:rPr>
            </w:pPr>
            <w:r>
              <w:rPr>
                <w:rFonts w:ascii="Century Gothic" w:hAnsi="Century Gothic"/>
                <w:color w:val="25282A"/>
                <w:szCs w:val="18"/>
              </w:rPr>
              <w:t>0</w:t>
            </w:r>
          </w:p>
        </w:tc>
      </w:tr>
    </w:tbl>
    <w:p w:rsidR="00370B6E" w:rsidRDefault="00370B6E" w:rsidP="00370B6E">
      <w:pPr>
        <w:pStyle w:val="BodyText"/>
      </w:pPr>
    </w:p>
    <w:p w:rsidR="00370B6E" w:rsidRDefault="00370B6E" w:rsidP="00370B6E">
      <w:pPr>
        <w:pStyle w:val="BodyTextIndent1"/>
      </w:pPr>
      <w:r>
        <w:t>(d)</w:t>
      </w:r>
      <w:r>
        <w:tab/>
        <w:t>Cross System Withdrawal Tariff</w:t>
      </w:r>
    </w:p>
    <w:p w:rsidR="00370B6E" w:rsidRDefault="00370B6E" w:rsidP="00370B6E">
      <w:pPr>
        <w:pStyle w:val="BodyText"/>
      </w:pPr>
      <w:r>
        <w:t>If:</w:t>
      </w:r>
    </w:p>
    <w:p w:rsidR="00370B6E" w:rsidRDefault="00370B6E" w:rsidP="00370B6E">
      <w:pPr>
        <w:pStyle w:val="BodyTextIndent2"/>
      </w:pPr>
      <w:r>
        <w:t>(</w:t>
      </w:r>
      <w:proofErr w:type="spellStart"/>
      <w:r>
        <w:t>i</w:t>
      </w:r>
      <w:proofErr w:type="spellEnd"/>
      <w:r>
        <w:t>)</w:t>
      </w:r>
      <w:r>
        <w:tab/>
        <w:t>gas is Withdrawn at a Connection Point, other than a Connection Point servicing a Storage Facility, located on an Injection Pipeline other than the Interconnect Pipeline; and</w:t>
      </w:r>
    </w:p>
    <w:p w:rsidR="00370B6E" w:rsidRDefault="00370B6E" w:rsidP="00370B6E">
      <w:pPr>
        <w:pStyle w:val="BodyTextIndent2"/>
      </w:pPr>
      <w:r>
        <w:t>(ii)</w:t>
      </w:r>
      <w:r>
        <w:tab/>
      </w:r>
      <w:proofErr w:type="gramStart"/>
      <w:r>
        <w:t>that</w:t>
      </w:r>
      <w:proofErr w:type="gramEnd"/>
      <w:r>
        <w:t xml:space="preserve"> Withdrawal is a Matched Withdrawal with respect to an Injection Zone other than the Injection Zone for that Injection Pipeline,</w:t>
      </w:r>
    </w:p>
    <w:p w:rsidR="00370B6E" w:rsidRDefault="00370B6E" w:rsidP="000D4D36">
      <w:pPr>
        <w:pStyle w:val="BodyTextIndent1"/>
        <w:ind w:firstLine="0"/>
      </w:pPr>
      <w:proofErr w:type="gramStart"/>
      <w:r>
        <w:t>then</w:t>
      </w:r>
      <w:proofErr w:type="gramEnd"/>
      <w:r>
        <w:t xml:space="preserve"> the Withdrawal is subject to the following Cross System Withdrawal Tariff in addition to the applicable Injection Tariff and Withdrawal Tariff.</w:t>
      </w:r>
    </w:p>
    <w:p w:rsidR="000D4D36" w:rsidRDefault="000D4D36" w:rsidP="000D4D36">
      <w:pPr>
        <w:pStyle w:val="BodyTextIndent1"/>
        <w:ind w:firstLine="0"/>
      </w:pPr>
    </w:p>
    <w:tbl>
      <w:tblPr>
        <w:tblStyle w:val="TableGrid"/>
        <w:tblW w:w="8472" w:type="dxa"/>
        <w:tblBorders>
          <w:left w:val="none" w:sz="0" w:space="0" w:color="auto"/>
          <w:right w:val="none" w:sz="0" w:space="0" w:color="auto"/>
          <w:insideV w:val="none" w:sz="0" w:space="0" w:color="auto"/>
        </w:tblBorders>
        <w:tblLook w:val="04A0" w:firstRow="1" w:lastRow="0" w:firstColumn="1" w:lastColumn="0" w:noHBand="0" w:noVBand="1"/>
      </w:tblPr>
      <w:tblGrid>
        <w:gridCol w:w="1406"/>
        <w:gridCol w:w="2388"/>
        <w:gridCol w:w="2551"/>
        <w:gridCol w:w="2127"/>
      </w:tblGrid>
      <w:tr w:rsidR="00370B6E" w:rsidTr="00370B6E">
        <w:tc>
          <w:tcPr>
            <w:tcW w:w="1406" w:type="dxa"/>
            <w:shd w:val="clear" w:color="auto" w:fill="25282A" w:themeFill="text1"/>
            <w:vAlign w:val="center"/>
          </w:tcPr>
          <w:p w:rsidR="00370B6E" w:rsidRPr="006C7F92" w:rsidRDefault="00370B6E" w:rsidP="00370B6E">
            <w:pPr>
              <w:pStyle w:val="AAtabletopleft"/>
              <w:rPr>
                <w:rFonts w:ascii="Century Gothic" w:hAnsi="Century Gothic"/>
                <w:color w:val="FFFFFF" w:themeColor="background1"/>
                <w:lang w:val="en-AU"/>
              </w:rPr>
            </w:pPr>
            <w:r w:rsidRPr="006C7F92">
              <w:rPr>
                <w:rFonts w:ascii="Century Gothic" w:hAnsi="Century Gothic"/>
                <w:color w:val="FFFFFF" w:themeColor="background1"/>
                <w:lang w:val="en-AU"/>
              </w:rPr>
              <w:t>Injection Pipeline</w:t>
            </w:r>
          </w:p>
        </w:tc>
        <w:tc>
          <w:tcPr>
            <w:tcW w:w="2388" w:type="dxa"/>
            <w:shd w:val="clear" w:color="auto" w:fill="25282A" w:themeFill="text1"/>
            <w:vAlign w:val="center"/>
          </w:tcPr>
          <w:p w:rsidR="00370B6E" w:rsidRPr="006C7F92" w:rsidRDefault="00370B6E" w:rsidP="00370B6E">
            <w:pPr>
              <w:pStyle w:val="AAtabletopleft"/>
              <w:jc w:val="center"/>
              <w:rPr>
                <w:rFonts w:ascii="Century Gothic" w:hAnsi="Century Gothic"/>
                <w:color w:val="FFFFFF" w:themeColor="background1"/>
                <w:lang w:val="en-AU"/>
              </w:rPr>
            </w:pPr>
            <w:r w:rsidRPr="006C7F92">
              <w:rPr>
                <w:rFonts w:ascii="Century Gothic" w:hAnsi="Century Gothic"/>
                <w:color w:val="FFFFFF" w:themeColor="background1"/>
                <w:lang w:val="en-AU"/>
              </w:rPr>
              <w:t>Cross System Withdrawal Tariff D ($/GJ)</w:t>
            </w:r>
          </w:p>
        </w:tc>
        <w:tc>
          <w:tcPr>
            <w:tcW w:w="2551" w:type="dxa"/>
            <w:shd w:val="clear" w:color="auto" w:fill="25282A" w:themeFill="text1"/>
            <w:vAlign w:val="center"/>
          </w:tcPr>
          <w:p w:rsidR="00370B6E" w:rsidRPr="006C7F92" w:rsidRDefault="00370B6E" w:rsidP="00370B6E">
            <w:pPr>
              <w:pStyle w:val="AAtabletopleft"/>
              <w:jc w:val="center"/>
              <w:rPr>
                <w:rFonts w:ascii="Century Gothic" w:hAnsi="Century Gothic"/>
                <w:color w:val="FFFFFF" w:themeColor="background1"/>
                <w:lang w:val="en-AU"/>
              </w:rPr>
            </w:pPr>
            <w:r w:rsidRPr="006C7F92">
              <w:rPr>
                <w:rFonts w:ascii="Century Gothic" w:hAnsi="Century Gothic"/>
                <w:color w:val="FFFFFF" w:themeColor="background1"/>
                <w:lang w:val="en-AU"/>
              </w:rPr>
              <w:t>Transmission delivery tariff V ($/GJ)</w:t>
            </w:r>
          </w:p>
        </w:tc>
        <w:tc>
          <w:tcPr>
            <w:tcW w:w="2127" w:type="dxa"/>
            <w:shd w:val="clear" w:color="auto" w:fill="25282A" w:themeFill="text1"/>
            <w:vAlign w:val="center"/>
          </w:tcPr>
          <w:p w:rsidR="00370B6E" w:rsidRPr="001075DF" w:rsidRDefault="00370B6E" w:rsidP="00370B6E">
            <w:pPr>
              <w:pStyle w:val="AAtabletopleft"/>
              <w:jc w:val="center"/>
              <w:rPr>
                <w:b w:val="0"/>
                <w:color w:val="FF0000"/>
              </w:rPr>
            </w:pPr>
            <w:r w:rsidRPr="001A7737">
              <w:rPr>
                <w:rFonts w:ascii="Century Gothic" w:hAnsi="Century Gothic"/>
                <w:color w:val="FFFFFF" w:themeColor="background1"/>
                <w:lang w:val="en-AU"/>
              </w:rPr>
              <w:t xml:space="preserve">2019-2022 </w:t>
            </w:r>
            <w:r>
              <w:rPr>
                <w:rFonts w:ascii="Century Gothic" w:hAnsi="Century Gothic"/>
                <w:color w:val="FFFFFF" w:themeColor="background1"/>
                <w:lang w:val="en-AU"/>
              </w:rPr>
              <w:br/>
              <w:t xml:space="preserve">annual </w:t>
            </w:r>
            <w:r w:rsidRPr="001A7737">
              <w:rPr>
                <w:rFonts w:ascii="Century Gothic" w:hAnsi="Century Gothic"/>
                <w:color w:val="FFFFFF" w:themeColor="background1"/>
                <w:lang w:val="en-AU"/>
              </w:rPr>
              <w:t>X-factor</w:t>
            </w:r>
          </w:p>
        </w:tc>
      </w:tr>
      <w:tr w:rsidR="00FC138C" w:rsidTr="004C7286">
        <w:tc>
          <w:tcPr>
            <w:tcW w:w="1406" w:type="dxa"/>
            <w:vAlign w:val="center"/>
          </w:tcPr>
          <w:p w:rsidR="00FC138C" w:rsidRPr="006C7F92" w:rsidRDefault="00FC138C" w:rsidP="00370B6E">
            <w:pPr>
              <w:pStyle w:val="AAtablecolumn1"/>
              <w:rPr>
                <w:rFonts w:ascii="Century Gothic" w:hAnsi="Century Gothic"/>
                <w:color w:val="25282A"/>
                <w:szCs w:val="18"/>
              </w:rPr>
            </w:pPr>
            <w:r w:rsidRPr="006C7F92">
              <w:rPr>
                <w:rFonts w:ascii="Century Gothic" w:hAnsi="Century Gothic"/>
                <w:color w:val="25282A"/>
                <w:szCs w:val="18"/>
              </w:rPr>
              <w:t>All</w:t>
            </w:r>
          </w:p>
        </w:tc>
        <w:tc>
          <w:tcPr>
            <w:tcW w:w="2388" w:type="dxa"/>
          </w:tcPr>
          <w:p w:rsidR="00FC138C" w:rsidRPr="00FC138C" w:rsidRDefault="00FC138C" w:rsidP="00FC138C">
            <w:pPr>
              <w:pStyle w:val="AAtablecolumn1"/>
              <w:jc w:val="center"/>
              <w:rPr>
                <w:rFonts w:ascii="Century Gothic" w:hAnsi="Century Gothic"/>
                <w:color w:val="25282A"/>
                <w:szCs w:val="18"/>
              </w:rPr>
            </w:pPr>
            <w:r w:rsidRPr="00FC138C">
              <w:rPr>
                <w:rFonts w:ascii="Century Gothic" w:hAnsi="Century Gothic"/>
                <w:color w:val="25282A"/>
                <w:szCs w:val="18"/>
              </w:rPr>
              <w:t>0.1979</w:t>
            </w:r>
          </w:p>
        </w:tc>
        <w:tc>
          <w:tcPr>
            <w:tcW w:w="2551" w:type="dxa"/>
          </w:tcPr>
          <w:p w:rsidR="00FC138C" w:rsidRDefault="00FC138C" w:rsidP="00FC138C">
            <w:pPr>
              <w:pStyle w:val="AAtablecolumn1"/>
              <w:jc w:val="center"/>
            </w:pPr>
            <w:r w:rsidRPr="00FC138C">
              <w:rPr>
                <w:rFonts w:ascii="Century Gothic" w:hAnsi="Century Gothic"/>
                <w:color w:val="25282A"/>
                <w:szCs w:val="18"/>
              </w:rPr>
              <w:t>0.2288</w:t>
            </w:r>
          </w:p>
        </w:tc>
        <w:tc>
          <w:tcPr>
            <w:tcW w:w="2127" w:type="dxa"/>
            <w:vAlign w:val="center"/>
          </w:tcPr>
          <w:p w:rsidR="00FC138C" w:rsidRPr="006C7F92" w:rsidRDefault="00FC138C" w:rsidP="00370B6E">
            <w:pPr>
              <w:pStyle w:val="AAtablecolumn1"/>
              <w:jc w:val="center"/>
              <w:rPr>
                <w:rFonts w:ascii="Century Gothic" w:hAnsi="Century Gothic"/>
                <w:color w:val="25282A"/>
                <w:szCs w:val="18"/>
              </w:rPr>
            </w:pPr>
            <w:r>
              <w:rPr>
                <w:rFonts w:ascii="Century Gothic" w:hAnsi="Century Gothic"/>
                <w:color w:val="25282A"/>
                <w:szCs w:val="18"/>
              </w:rPr>
              <w:t>6</w:t>
            </w:r>
          </w:p>
        </w:tc>
      </w:tr>
    </w:tbl>
    <w:p w:rsidR="00370B6E" w:rsidRDefault="00370B6E" w:rsidP="00370B6E">
      <w:pPr>
        <w:pStyle w:val="BodyText"/>
      </w:pPr>
    </w:p>
    <w:p w:rsidR="00370B6E" w:rsidRDefault="00370B6E" w:rsidP="00370B6E">
      <w:pPr>
        <w:pStyle w:val="BodyTextIndent1"/>
      </w:pPr>
      <w:r>
        <w:t>(e)</w:t>
      </w:r>
      <w:r>
        <w:tab/>
        <w:t>Matched Withdrawals - Culcairn</w:t>
      </w:r>
    </w:p>
    <w:p w:rsidR="00370B6E" w:rsidRDefault="00370B6E" w:rsidP="00370B6E">
      <w:pPr>
        <w:pStyle w:val="BodyText"/>
      </w:pPr>
      <w:r>
        <w:t>If a Withdrawal in one of the following Zones is a Matched Withdrawal relating to Injections in the Culcairn Zone, then the following Matched Withdrawal Tariffs apply instead of the tariffs described in clause A.3(a) of this Schedule:</w:t>
      </w:r>
    </w:p>
    <w:tbl>
      <w:tblPr>
        <w:tblStyle w:val="TableGrid"/>
        <w:tblW w:w="8472" w:type="dxa"/>
        <w:tblBorders>
          <w:left w:val="none" w:sz="0" w:space="0" w:color="auto"/>
          <w:right w:val="none" w:sz="0" w:space="0" w:color="auto"/>
          <w:insideV w:val="none" w:sz="0" w:space="0" w:color="auto"/>
        </w:tblBorders>
        <w:tblLook w:val="04A0" w:firstRow="1" w:lastRow="0" w:firstColumn="1" w:lastColumn="0" w:noHBand="0" w:noVBand="1"/>
      </w:tblPr>
      <w:tblGrid>
        <w:gridCol w:w="1201"/>
        <w:gridCol w:w="1347"/>
        <w:gridCol w:w="1955"/>
        <w:gridCol w:w="1842"/>
        <w:gridCol w:w="2127"/>
      </w:tblGrid>
      <w:tr w:rsidR="00370B6E" w:rsidTr="00370B6E">
        <w:tc>
          <w:tcPr>
            <w:tcW w:w="1201" w:type="dxa"/>
            <w:shd w:val="clear" w:color="auto" w:fill="25282A" w:themeFill="text1"/>
            <w:vAlign w:val="center"/>
          </w:tcPr>
          <w:p w:rsidR="00370B6E" w:rsidRPr="005F1AB4" w:rsidRDefault="00370B6E" w:rsidP="00370B6E">
            <w:pPr>
              <w:pStyle w:val="AAtabletopleft"/>
              <w:rPr>
                <w:rFonts w:ascii="Century Gothic" w:hAnsi="Century Gothic"/>
                <w:color w:val="FFFFFF" w:themeColor="background1"/>
                <w:lang w:val="en-AU"/>
              </w:rPr>
            </w:pPr>
            <w:r w:rsidRPr="005F1AB4">
              <w:rPr>
                <w:rFonts w:ascii="Century Gothic" w:hAnsi="Century Gothic"/>
                <w:color w:val="FFFFFF" w:themeColor="background1"/>
                <w:lang w:val="en-AU"/>
              </w:rPr>
              <w:t>Withdrawal Zone Number</w:t>
            </w:r>
          </w:p>
        </w:tc>
        <w:tc>
          <w:tcPr>
            <w:tcW w:w="1347" w:type="dxa"/>
            <w:shd w:val="clear" w:color="auto" w:fill="25282A" w:themeFill="text1"/>
            <w:vAlign w:val="center"/>
          </w:tcPr>
          <w:p w:rsidR="00370B6E" w:rsidRPr="005F1AB4" w:rsidRDefault="00370B6E" w:rsidP="00370B6E">
            <w:pPr>
              <w:pStyle w:val="AAtabletopleft"/>
              <w:jc w:val="center"/>
              <w:rPr>
                <w:rFonts w:ascii="Century Gothic" w:hAnsi="Century Gothic"/>
                <w:color w:val="FFFFFF" w:themeColor="background1"/>
                <w:lang w:val="en-AU"/>
              </w:rPr>
            </w:pPr>
            <w:r w:rsidRPr="005F1AB4">
              <w:rPr>
                <w:rFonts w:ascii="Century Gothic" w:hAnsi="Century Gothic"/>
                <w:color w:val="FFFFFF" w:themeColor="background1"/>
                <w:lang w:val="en-AU"/>
              </w:rPr>
              <w:t>Withdrawal Zone Name</w:t>
            </w:r>
          </w:p>
        </w:tc>
        <w:tc>
          <w:tcPr>
            <w:tcW w:w="1955" w:type="dxa"/>
            <w:shd w:val="clear" w:color="auto" w:fill="25282A" w:themeFill="text1"/>
            <w:vAlign w:val="center"/>
          </w:tcPr>
          <w:p w:rsidR="00370B6E" w:rsidRPr="005F1AB4" w:rsidRDefault="00370B6E" w:rsidP="00370B6E">
            <w:pPr>
              <w:pStyle w:val="AAtabletopleft"/>
              <w:jc w:val="center"/>
              <w:rPr>
                <w:rFonts w:ascii="Century Gothic" w:hAnsi="Century Gothic"/>
                <w:color w:val="FFFFFF" w:themeColor="background1"/>
                <w:lang w:val="en-AU"/>
              </w:rPr>
            </w:pPr>
            <w:r w:rsidRPr="005F1AB4">
              <w:rPr>
                <w:rFonts w:ascii="Century Gothic" w:hAnsi="Century Gothic"/>
                <w:color w:val="FFFFFF" w:themeColor="background1"/>
                <w:lang w:val="en-AU"/>
              </w:rPr>
              <w:t>Transmission delivery tariff D ($/GJ)</w:t>
            </w:r>
          </w:p>
        </w:tc>
        <w:tc>
          <w:tcPr>
            <w:tcW w:w="1842" w:type="dxa"/>
            <w:shd w:val="clear" w:color="auto" w:fill="25282A" w:themeFill="text1"/>
            <w:vAlign w:val="center"/>
          </w:tcPr>
          <w:p w:rsidR="00370B6E" w:rsidRPr="005F1AB4" w:rsidRDefault="00370B6E" w:rsidP="00370B6E">
            <w:pPr>
              <w:pStyle w:val="AAtabletopleft"/>
              <w:jc w:val="center"/>
              <w:rPr>
                <w:rFonts w:ascii="Century Gothic" w:hAnsi="Century Gothic"/>
                <w:color w:val="FFFFFF" w:themeColor="background1"/>
                <w:lang w:val="en-AU"/>
              </w:rPr>
            </w:pPr>
            <w:r w:rsidRPr="005F1AB4">
              <w:rPr>
                <w:rFonts w:ascii="Century Gothic" w:hAnsi="Century Gothic"/>
                <w:color w:val="FFFFFF" w:themeColor="background1"/>
                <w:lang w:val="en-AU"/>
              </w:rPr>
              <w:t>Transmission delivery tariff V ($/GJ)</w:t>
            </w:r>
          </w:p>
        </w:tc>
        <w:tc>
          <w:tcPr>
            <w:tcW w:w="2127" w:type="dxa"/>
            <w:shd w:val="clear" w:color="auto" w:fill="25282A" w:themeFill="text1"/>
            <w:vAlign w:val="center"/>
          </w:tcPr>
          <w:p w:rsidR="00370B6E" w:rsidRPr="001075DF" w:rsidRDefault="00370B6E" w:rsidP="00370B6E">
            <w:pPr>
              <w:pStyle w:val="AAtabletopleft"/>
              <w:jc w:val="center"/>
              <w:rPr>
                <w:b w:val="0"/>
                <w:color w:val="FF0000"/>
              </w:rPr>
            </w:pPr>
            <w:r w:rsidRPr="001A7737">
              <w:rPr>
                <w:rFonts w:ascii="Century Gothic" w:hAnsi="Century Gothic"/>
                <w:color w:val="FFFFFF" w:themeColor="background1"/>
                <w:lang w:val="en-AU"/>
              </w:rPr>
              <w:t xml:space="preserve">2019-2022 </w:t>
            </w:r>
            <w:r>
              <w:rPr>
                <w:rFonts w:ascii="Century Gothic" w:hAnsi="Century Gothic"/>
                <w:color w:val="FFFFFF" w:themeColor="background1"/>
                <w:lang w:val="en-AU"/>
              </w:rPr>
              <w:br/>
              <w:t xml:space="preserve">annual </w:t>
            </w:r>
            <w:r w:rsidRPr="001A7737">
              <w:rPr>
                <w:rFonts w:ascii="Century Gothic" w:hAnsi="Century Gothic"/>
                <w:color w:val="FFFFFF" w:themeColor="background1"/>
                <w:lang w:val="en-AU"/>
              </w:rPr>
              <w:t>X-factor</w:t>
            </w:r>
          </w:p>
        </w:tc>
      </w:tr>
      <w:tr w:rsidR="00FC138C" w:rsidTr="00370B6E">
        <w:tc>
          <w:tcPr>
            <w:tcW w:w="1201" w:type="dxa"/>
          </w:tcPr>
          <w:p w:rsidR="00FC138C" w:rsidRPr="005F1AB4" w:rsidRDefault="00FC138C" w:rsidP="00370B6E">
            <w:pPr>
              <w:pStyle w:val="AAtablecolumn1"/>
              <w:rPr>
                <w:rFonts w:ascii="Century Gothic" w:hAnsi="Century Gothic"/>
                <w:color w:val="25282A"/>
                <w:szCs w:val="18"/>
              </w:rPr>
            </w:pPr>
            <w:r w:rsidRPr="005F1AB4">
              <w:rPr>
                <w:rFonts w:ascii="Century Gothic" w:hAnsi="Century Gothic"/>
                <w:color w:val="25282A"/>
                <w:szCs w:val="18"/>
              </w:rPr>
              <w:t>8</w:t>
            </w:r>
          </w:p>
        </w:tc>
        <w:tc>
          <w:tcPr>
            <w:tcW w:w="1347" w:type="dxa"/>
          </w:tcPr>
          <w:p w:rsidR="00FC138C" w:rsidRPr="005F1AB4" w:rsidRDefault="00FC138C" w:rsidP="00370B6E">
            <w:pPr>
              <w:pStyle w:val="AAtablecolumn1"/>
              <w:jc w:val="center"/>
              <w:rPr>
                <w:rFonts w:ascii="Century Gothic" w:hAnsi="Century Gothic"/>
                <w:color w:val="25282A"/>
                <w:szCs w:val="18"/>
              </w:rPr>
            </w:pPr>
            <w:r w:rsidRPr="005F1AB4">
              <w:rPr>
                <w:rFonts w:ascii="Century Gothic" w:hAnsi="Century Gothic"/>
                <w:color w:val="25282A"/>
                <w:szCs w:val="18"/>
              </w:rPr>
              <w:t>North Hume</w:t>
            </w:r>
          </w:p>
        </w:tc>
        <w:tc>
          <w:tcPr>
            <w:tcW w:w="1955" w:type="dxa"/>
          </w:tcPr>
          <w:p w:rsidR="00FC138C" w:rsidRPr="00FC138C" w:rsidRDefault="00FC138C" w:rsidP="00FC138C">
            <w:pPr>
              <w:pStyle w:val="AAtablecolumn1"/>
              <w:jc w:val="center"/>
              <w:rPr>
                <w:rFonts w:ascii="Century Gothic" w:hAnsi="Century Gothic"/>
                <w:color w:val="25282A"/>
                <w:szCs w:val="18"/>
              </w:rPr>
            </w:pPr>
            <w:r w:rsidRPr="00FC138C">
              <w:rPr>
                <w:rFonts w:ascii="Century Gothic" w:hAnsi="Century Gothic"/>
                <w:color w:val="25282A"/>
                <w:szCs w:val="18"/>
              </w:rPr>
              <w:t>0.3317</w:t>
            </w:r>
          </w:p>
        </w:tc>
        <w:tc>
          <w:tcPr>
            <w:tcW w:w="1842" w:type="dxa"/>
          </w:tcPr>
          <w:p w:rsidR="00FC138C" w:rsidRPr="00FC138C" w:rsidRDefault="00FC138C" w:rsidP="00FC138C">
            <w:pPr>
              <w:pStyle w:val="AAtablecolumn1"/>
              <w:jc w:val="center"/>
              <w:rPr>
                <w:rFonts w:ascii="Century Gothic" w:hAnsi="Century Gothic"/>
                <w:color w:val="25282A"/>
                <w:szCs w:val="18"/>
              </w:rPr>
            </w:pPr>
            <w:r w:rsidRPr="00FC138C">
              <w:rPr>
                <w:rFonts w:ascii="Century Gothic" w:hAnsi="Century Gothic"/>
                <w:color w:val="25282A"/>
                <w:szCs w:val="18"/>
              </w:rPr>
              <w:t>0.4504</w:t>
            </w:r>
          </w:p>
        </w:tc>
        <w:tc>
          <w:tcPr>
            <w:tcW w:w="2127" w:type="dxa"/>
          </w:tcPr>
          <w:p w:rsidR="00FC138C" w:rsidRPr="005F1AB4" w:rsidRDefault="00FC138C" w:rsidP="00370B6E">
            <w:pPr>
              <w:pStyle w:val="AAtablecolumn1"/>
              <w:jc w:val="center"/>
              <w:rPr>
                <w:rFonts w:ascii="Century Gothic" w:hAnsi="Century Gothic"/>
                <w:color w:val="25282A"/>
                <w:szCs w:val="18"/>
              </w:rPr>
            </w:pPr>
            <w:r>
              <w:rPr>
                <w:rFonts w:ascii="Century Gothic" w:hAnsi="Century Gothic"/>
                <w:color w:val="25282A"/>
                <w:szCs w:val="18"/>
              </w:rPr>
              <w:t>6</w:t>
            </w:r>
          </w:p>
        </w:tc>
      </w:tr>
      <w:tr w:rsidR="00370B6E" w:rsidTr="00370B6E">
        <w:tc>
          <w:tcPr>
            <w:tcW w:w="1201" w:type="dxa"/>
            <w:shd w:val="clear" w:color="auto" w:fill="auto"/>
          </w:tcPr>
          <w:p w:rsidR="00370B6E" w:rsidRPr="005F1AB4" w:rsidRDefault="00370B6E" w:rsidP="00370B6E">
            <w:pPr>
              <w:pStyle w:val="AAtablecolumn1"/>
              <w:rPr>
                <w:rFonts w:ascii="Century Gothic" w:hAnsi="Century Gothic"/>
                <w:color w:val="25282A"/>
                <w:szCs w:val="18"/>
              </w:rPr>
            </w:pPr>
            <w:r w:rsidRPr="005F1AB4">
              <w:rPr>
                <w:rFonts w:ascii="Century Gothic" w:hAnsi="Century Gothic"/>
                <w:color w:val="25282A"/>
                <w:szCs w:val="18"/>
              </w:rPr>
              <w:lastRenderedPageBreak/>
              <w:t>11</w:t>
            </w:r>
          </w:p>
        </w:tc>
        <w:tc>
          <w:tcPr>
            <w:tcW w:w="1347" w:type="dxa"/>
            <w:shd w:val="clear" w:color="auto" w:fill="auto"/>
          </w:tcPr>
          <w:p w:rsidR="00370B6E" w:rsidRPr="005F1AB4" w:rsidRDefault="00370B6E" w:rsidP="00370B6E">
            <w:pPr>
              <w:pStyle w:val="AAtablecolumn1"/>
              <w:jc w:val="center"/>
              <w:rPr>
                <w:rFonts w:ascii="Century Gothic" w:hAnsi="Century Gothic"/>
                <w:color w:val="25282A"/>
                <w:szCs w:val="18"/>
              </w:rPr>
            </w:pPr>
            <w:r w:rsidRPr="005F1AB4">
              <w:rPr>
                <w:rFonts w:ascii="Century Gothic" w:hAnsi="Century Gothic"/>
                <w:color w:val="25282A"/>
                <w:szCs w:val="18"/>
              </w:rPr>
              <w:t>Interconnect</w:t>
            </w:r>
          </w:p>
        </w:tc>
        <w:tc>
          <w:tcPr>
            <w:tcW w:w="1955" w:type="dxa"/>
            <w:shd w:val="clear" w:color="auto" w:fill="auto"/>
          </w:tcPr>
          <w:p w:rsidR="00370B6E" w:rsidRPr="005F1AB4" w:rsidRDefault="00FC138C" w:rsidP="00FC138C">
            <w:pPr>
              <w:pStyle w:val="AAtablecolumn1"/>
              <w:jc w:val="center"/>
              <w:rPr>
                <w:rFonts w:ascii="Century Gothic" w:hAnsi="Century Gothic"/>
                <w:color w:val="25282A"/>
                <w:szCs w:val="18"/>
              </w:rPr>
            </w:pPr>
            <w:r>
              <w:rPr>
                <w:rFonts w:ascii="Century Gothic" w:hAnsi="Century Gothic"/>
                <w:color w:val="25282A"/>
                <w:szCs w:val="18"/>
              </w:rPr>
              <w:t>0.000</w:t>
            </w:r>
          </w:p>
        </w:tc>
        <w:tc>
          <w:tcPr>
            <w:tcW w:w="1842" w:type="dxa"/>
            <w:shd w:val="clear" w:color="auto" w:fill="auto"/>
          </w:tcPr>
          <w:p w:rsidR="00370B6E" w:rsidRPr="005F1AB4" w:rsidRDefault="00370B6E" w:rsidP="00FC138C">
            <w:pPr>
              <w:pStyle w:val="AAtablecolumn1"/>
              <w:jc w:val="center"/>
              <w:rPr>
                <w:rFonts w:ascii="Century Gothic" w:hAnsi="Century Gothic"/>
                <w:color w:val="25282A"/>
                <w:szCs w:val="18"/>
              </w:rPr>
            </w:pPr>
            <w:r>
              <w:rPr>
                <w:rFonts w:ascii="Century Gothic" w:hAnsi="Century Gothic"/>
                <w:color w:val="25282A"/>
                <w:szCs w:val="18"/>
              </w:rPr>
              <w:t>NA</w:t>
            </w:r>
          </w:p>
        </w:tc>
        <w:tc>
          <w:tcPr>
            <w:tcW w:w="2127" w:type="dxa"/>
            <w:shd w:val="clear" w:color="auto" w:fill="auto"/>
          </w:tcPr>
          <w:p w:rsidR="00370B6E" w:rsidRPr="005F1AB4" w:rsidRDefault="00370B6E" w:rsidP="00370B6E">
            <w:pPr>
              <w:pStyle w:val="AAtablecolumn1"/>
              <w:jc w:val="center"/>
              <w:rPr>
                <w:rFonts w:ascii="Century Gothic" w:hAnsi="Century Gothic"/>
                <w:color w:val="25282A"/>
                <w:szCs w:val="18"/>
              </w:rPr>
            </w:pPr>
            <w:r>
              <w:rPr>
                <w:rFonts w:ascii="Century Gothic" w:hAnsi="Century Gothic"/>
                <w:color w:val="25282A"/>
                <w:szCs w:val="18"/>
              </w:rPr>
              <w:t>6</w:t>
            </w:r>
          </w:p>
        </w:tc>
      </w:tr>
      <w:tr w:rsidR="00FC138C" w:rsidTr="004C7286">
        <w:tc>
          <w:tcPr>
            <w:tcW w:w="1201" w:type="dxa"/>
          </w:tcPr>
          <w:p w:rsidR="00FC138C" w:rsidRPr="005F1AB4" w:rsidRDefault="00FC138C" w:rsidP="00370B6E">
            <w:pPr>
              <w:pStyle w:val="AAtablecolumn1"/>
              <w:rPr>
                <w:rFonts w:ascii="Century Gothic" w:hAnsi="Century Gothic"/>
                <w:color w:val="25282A"/>
                <w:szCs w:val="18"/>
              </w:rPr>
            </w:pPr>
            <w:r w:rsidRPr="005F1AB4">
              <w:rPr>
                <w:rFonts w:ascii="Century Gothic" w:hAnsi="Century Gothic"/>
                <w:color w:val="25282A"/>
                <w:szCs w:val="18"/>
              </w:rPr>
              <w:t>17</w:t>
            </w:r>
          </w:p>
        </w:tc>
        <w:tc>
          <w:tcPr>
            <w:tcW w:w="1347" w:type="dxa"/>
          </w:tcPr>
          <w:p w:rsidR="00FC138C" w:rsidRPr="005F1AB4" w:rsidRDefault="00FC138C" w:rsidP="00370B6E">
            <w:pPr>
              <w:pStyle w:val="AAtablecolumn1"/>
              <w:jc w:val="center"/>
              <w:rPr>
                <w:rFonts w:ascii="Century Gothic" w:hAnsi="Century Gothic"/>
                <w:color w:val="25282A"/>
                <w:szCs w:val="18"/>
              </w:rPr>
            </w:pPr>
            <w:r w:rsidRPr="005F1AB4">
              <w:rPr>
                <w:rFonts w:ascii="Century Gothic" w:hAnsi="Century Gothic"/>
                <w:color w:val="25282A"/>
                <w:szCs w:val="18"/>
              </w:rPr>
              <w:t>Wodonga</w:t>
            </w:r>
          </w:p>
        </w:tc>
        <w:tc>
          <w:tcPr>
            <w:tcW w:w="1955" w:type="dxa"/>
            <w:vAlign w:val="bottom"/>
          </w:tcPr>
          <w:p w:rsidR="00FC138C" w:rsidRPr="00FC138C" w:rsidRDefault="00FC138C" w:rsidP="00FC138C">
            <w:pPr>
              <w:pStyle w:val="AAtablecolumn1"/>
              <w:jc w:val="center"/>
              <w:rPr>
                <w:rFonts w:ascii="Century Gothic" w:hAnsi="Century Gothic"/>
                <w:color w:val="25282A"/>
                <w:szCs w:val="18"/>
              </w:rPr>
            </w:pPr>
            <w:r w:rsidRPr="00FC138C">
              <w:rPr>
                <w:rFonts w:ascii="Century Gothic" w:hAnsi="Century Gothic"/>
                <w:color w:val="25282A"/>
                <w:szCs w:val="18"/>
              </w:rPr>
              <w:t>0.1813</w:t>
            </w:r>
          </w:p>
        </w:tc>
        <w:tc>
          <w:tcPr>
            <w:tcW w:w="1842" w:type="dxa"/>
            <w:vAlign w:val="bottom"/>
          </w:tcPr>
          <w:p w:rsidR="00FC138C" w:rsidRPr="00FC138C" w:rsidRDefault="00FC138C" w:rsidP="00FC138C">
            <w:pPr>
              <w:pStyle w:val="AAtablecolumn1"/>
              <w:jc w:val="center"/>
              <w:rPr>
                <w:rFonts w:ascii="Century Gothic" w:hAnsi="Century Gothic"/>
                <w:color w:val="25282A"/>
                <w:szCs w:val="18"/>
              </w:rPr>
            </w:pPr>
            <w:r w:rsidRPr="00FC138C">
              <w:rPr>
                <w:rFonts w:ascii="Century Gothic" w:hAnsi="Century Gothic"/>
                <w:color w:val="25282A"/>
                <w:szCs w:val="18"/>
              </w:rPr>
              <w:t>0.2077</w:t>
            </w:r>
          </w:p>
        </w:tc>
        <w:tc>
          <w:tcPr>
            <w:tcW w:w="2127" w:type="dxa"/>
          </w:tcPr>
          <w:p w:rsidR="00FC138C" w:rsidRPr="005F1AB4" w:rsidRDefault="00FC138C" w:rsidP="00370B6E">
            <w:pPr>
              <w:pStyle w:val="AAtablecolumn1"/>
              <w:jc w:val="center"/>
              <w:rPr>
                <w:rFonts w:ascii="Century Gothic" w:hAnsi="Century Gothic"/>
                <w:color w:val="25282A"/>
                <w:szCs w:val="18"/>
              </w:rPr>
            </w:pPr>
            <w:r>
              <w:rPr>
                <w:rFonts w:ascii="Century Gothic" w:hAnsi="Century Gothic"/>
                <w:color w:val="25282A"/>
                <w:szCs w:val="18"/>
              </w:rPr>
              <w:t>6</w:t>
            </w:r>
          </w:p>
        </w:tc>
      </w:tr>
    </w:tbl>
    <w:p w:rsidR="00370B6E" w:rsidRDefault="00370B6E" w:rsidP="00370B6E">
      <w:pPr>
        <w:pStyle w:val="BodyText"/>
      </w:pPr>
    </w:p>
    <w:p w:rsidR="00370B6E" w:rsidRPr="005F1AB4" w:rsidRDefault="00370B6E" w:rsidP="00370B6E">
      <w:pPr>
        <w:pStyle w:val="BodyTextIndent1"/>
      </w:pPr>
      <w:r w:rsidRPr="005F1AB4">
        <w:t>(f)</w:t>
      </w:r>
      <w:r w:rsidRPr="005F1AB4">
        <w:tab/>
        <w:t>Matched Withdrawals - Metro (South East)</w:t>
      </w:r>
    </w:p>
    <w:p w:rsidR="00370B6E" w:rsidRPr="004824D0" w:rsidRDefault="00370B6E" w:rsidP="00370B6E">
      <w:pPr>
        <w:pStyle w:val="BodyText"/>
      </w:pPr>
      <w:r w:rsidRPr="005F1AB4">
        <w:rPr>
          <w:lang w:val="x-none"/>
        </w:rPr>
        <w:t>If a Withdrawal in the Metro South East Zone is a Matched Withdrawal relating to Injections in the Pakenham Zone, then the following Matched Withdrawal Tariffs apply instead of the tariffs described in clause 1.3(a) of this Schedule:</w:t>
      </w:r>
    </w:p>
    <w:tbl>
      <w:tblPr>
        <w:tblStyle w:val="TableGrid"/>
        <w:tblW w:w="8472" w:type="dxa"/>
        <w:tblBorders>
          <w:left w:val="none" w:sz="0" w:space="0" w:color="auto"/>
          <w:right w:val="none" w:sz="0" w:space="0" w:color="auto"/>
          <w:insideV w:val="none" w:sz="0" w:space="0" w:color="auto"/>
        </w:tblBorders>
        <w:tblLook w:val="04A0" w:firstRow="1" w:lastRow="0" w:firstColumn="1" w:lastColumn="0" w:noHBand="0" w:noVBand="1"/>
      </w:tblPr>
      <w:tblGrid>
        <w:gridCol w:w="1201"/>
        <w:gridCol w:w="1347"/>
        <w:gridCol w:w="1955"/>
        <w:gridCol w:w="1984"/>
        <w:gridCol w:w="1985"/>
      </w:tblGrid>
      <w:tr w:rsidR="00370B6E" w:rsidTr="00370B6E">
        <w:tc>
          <w:tcPr>
            <w:tcW w:w="1201" w:type="dxa"/>
            <w:shd w:val="clear" w:color="auto" w:fill="25282A" w:themeFill="text1"/>
            <w:vAlign w:val="center"/>
          </w:tcPr>
          <w:p w:rsidR="00370B6E" w:rsidRPr="005F1AB4" w:rsidRDefault="00370B6E" w:rsidP="00370B6E">
            <w:pPr>
              <w:pStyle w:val="AAtabletopleft"/>
              <w:rPr>
                <w:rFonts w:ascii="Century Gothic" w:hAnsi="Century Gothic"/>
                <w:color w:val="FFFFFF" w:themeColor="background1"/>
                <w:lang w:val="en-AU"/>
              </w:rPr>
            </w:pPr>
            <w:r w:rsidRPr="005F1AB4">
              <w:rPr>
                <w:rFonts w:ascii="Century Gothic" w:hAnsi="Century Gothic"/>
                <w:color w:val="FFFFFF" w:themeColor="background1"/>
                <w:lang w:val="en-AU"/>
              </w:rPr>
              <w:t>Withdrawal Zone Number</w:t>
            </w:r>
          </w:p>
        </w:tc>
        <w:tc>
          <w:tcPr>
            <w:tcW w:w="1347" w:type="dxa"/>
            <w:shd w:val="clear" w:color="auto" w:fill="25282A" w:themeFill="text1"/>
            <w:vAlign w:val="center"/>
          </w:tcPr>
          <w:p w:rsidR="00370B6E" w:rsidRPr="005F1AB4" w:rsidRDefault="00370B6E" w:rsidP="00370B6E">
            <w:pPr>
              <w:pStyle w:val="AAtabletopleft"/>
              <w:jc w:val="center"/>
              <w:rPr>
                <w:rFonts w:ascii="Century Gothic" w:hAnsi="Century Gothic"/>
                <w:color w:val="FFFFFF" w:themeColor="background1"/>
                <w:lang w:val="en-AU"/>
              </w:rPr>
            </w:pPr>
            <w:r w:rsidRPr="005F1AB4">
              <w:rPr>
                <w:rFonts w:ascii="Century Gothic" w:hAnsi="Century Gothic"/>
                <w:color w:val="FFFFFF" w:themeColor="background1"/>
                <w:lang w:val="en-AU"/>
              </w:rPr>
              <w:t>Withdrawal Zone Name</w:t>
            </w:r>
          </w:p>
        </w:tc>
        <w:tc>
          <w:tcPr>
            <w:tcW w:w="1955" w:type="dxa"/>
            <w:shd w:val="clear" w:color="auto" w:fill="25282A" w:themeFill="text1"/>
            <w:vAlign w:val="center"/>
          </w:tcPr>
          <w:p w:rsidR="00370B6E" w:rsidRPr="005F1AB4" w:rsidRDefault="00370B6E" w:rsidP="00370B6E">
            <w:pPr>
              <w:pStyle w:val="AAtabletopleft"/>
              <w:jc w:val="center"/>
              <w:rPr>
                <w:rFonts w:ascii="Century Gothic" w:hAnsi="Century Gothic"/>
                <w:color w:val="FFFFFF" w:themeColor="background1"/>
                <w:lang w:val="en-AU"/>
              </w:rPr>
            </w:pPr>
            <w:r w:rsidRPr="005F1AB4">
              <w:rPr>
                <w:rFonts w:ascii="Century Gothic" w:hAnsi="Century Gothic"/>
                <w:color w:val="FFFFFF" w:themeColor="background1"/>
                <w:lang w:val="en-AU"/>
              </w:rPr>
              <w:t>Transmission delivery tariff D ($/GJ)</w:t>
            </w:r>
          </w:p>
        </w:tc>
        <w:tc>
          <w:tcPr>
            <w:tcW w:w="1984" w:type="dxa"/>
            <w:shd w:val="clear" w:color="auto" w:fill="25282A" w:themeFill="text1"/>
            <w:vAlign w:val="center"/>
          </w:tcPr>
          <w:p w:rsidR="00370B6E" w:rsidRPr="005F1AB4" w:rsidRDefault="00370B6E" w:rsidP="00370B6E">
            <w:pPr>
              <w:pStyle w:val="AAtabletopleft"/>
              <w:jc w:val="center"/>
              <w:rPr>
                <w:rFonts w:ascii="Century Gothic" w:hAnsi="Century Gothic"/>
                <w:color w:val="FFFFFF" w:themeColor="background1"/>
                <w:lang w:val="en-AU"/>
              </w:rPr>
            </w:pPr>
            <w:r w:rsidRPr="005F1AB4">
              <w:rPr>
                <w:rFonts w:ascii="Century Gothic" w:hAnsi="Century Gothic"/>
                <w:color w:val="FFFFFF" w:themeColor="background1"/>
                <w:lang w:val="en-AU"/>
              </w:rPr>
              <w:t>Transmission delivery tariff V ($/GJ)</w:t>
            </w:r>
          </w:p>
        </w:tc>
        <w:tc>
          <w:tcPr>
            <w:tcW w:w="1985" w:type="dxa"/>
            <w:shd w:val="clear" w:color="auto" w:fill="25282A" w:themeFill="text1"/>
            <w:vAlign w:val="center"/>
          </w:tcPr>
          <w:p w:rsidR="00370B6E" w:rsidRPr="001075DF" w:rsidRDefault="00370B6E" w:rsidP="00370B6E">
            <w:pPr>
              <w:pStyle w:val="AAtabletopleft"/>
              <w:jc w:val="center"/>
              <w:rPr>
                <w:b w:val="0"/>
                <w:color w:val="FF0000"/>
              </w:rPr>
            </w:pPr>
            <w:r w:rsidRPr="001A7737">
              <w:rPr>
                <w:rFonts w:ascii="Century Gothic" w:hAnsi="Century Gothic"/>
                <w:color w:val="FFFFFF" w:themeColor="background1"/>
                <w:lang w:val="en-AU"/>
              </w:rPr>
              <w:t xml:space="preserve">2019-2022 </w:t>
            </w:r>
            <w:r>
              <w:rPr>
                <w:rFonts w:ascii="Century Gothic" w:hAnsi="Century Gothic"/>
                <w:color w:val="FFFFFF" w:themeColor="background1"/>
                <w:lang w:val="en-AU"/>
              </w:rPr>
              <w:br/>
              <w:t xml:space="preserve">annual </w:t>
            </w:r>
            <w:r w:rsidRPr="001A7737">
              <w:rPr>
                <w:rFonts w:ascii="Century Gothic" w:hAnsi="Century Gothic"/>
                <w:color w:val="FFFFFF" w:themeColor="background1"/>
                <w:lang w:val="en-AU"/>
              </w:rPr>
              <w:t>X-factor</w:t>
            </w:r>
          </w:p>
        </w:tc>
      </w:tr>
      <w:tr w:rsidR="00FC138C" w:rsidTr="00FC138C">
        <w:tc>
          <w:tcPr>
            <w:tcW w:w="1201" w:type="dxa"/>
          </w:tcPr>
          <w:p w:rsidR="00FC138C" w:rsidRPr="005F1AB4" w:rsidRDefault="00FC138C" w:rsidP="00370B6E">
            <w:pPr>
              <w:pStyle w:val="AAtablecolumn1"/>
              <w:rPr>
                <w:rFonts w:ascii="Century Gothic" w:hAnsi="Century Gothic"/>
                <w:color w:val="25282A"/>
                <w:szCs w:val="18"/>
              </w:rPr>
            </w:pPr>
            <w:r w:rsidRPr="005F1AB4">
              <w:rPr>
                <w:rFonts w:ascii="Century Gothic" w:hAnsi="Century Gothic"/>
                <w:color w:val="25282A"/>
                <w:szCs w:val="18"/>
              </w:rPr>
              <w:t>20</w:t>
            </w:r>
          </w:p>
        </w:tc>
        <w:tc>
          <w:tcPr>
            <w:tcW w:w="1347" w:type="dxa"/>
          </w:tcPr>
          <w:p w:rsidR="00FC138C" w:rsidRPr="005F1AB4" w:rsidRDefault="00FC138C" w:rsidP="00370B6E">
            <w:pPr>
              <w:pStyle w:val="AAtablecolumn1"/>
              <w:jc w:val="center"/>
              <w:rPr>
                <w:rFonts w:ascii="Century Gothic" w:hAnsi="Century Gothic"/>
                <w:color w:val="25282A"/>
                <w:szCs w:val="18"/>
              </w:rPr>
            </w:pPr>
            <w:r>
              <w:rPr>
                <w:rFonts w:ascii="Century Gothic" w:hAnsi="Century Gothic"/>
                <w:color w:val="25282A"/>
                <w:szCs w:val="18"/>
              </w:rPr>
              <w:t xml:space="preserve">Metro South </w:t>
            </w:r>
            <w:r w:rsidRPr="005F1AB4">
              <w:rPr>
                <w:rFonts w:ascii="Century Gothic" w:hAnsi="Century Gothic"/>
                <w:color w:val="25282A"/>
                <w:szCs w:val="18"/>
              </w:rPr>
              <w:t>East</w:t>
            </w:r>
          </w:p>
        </w:tc>
        <w:tc>
          <w:tcPr>
            <w:tcW w:w="1955" w:type="dxa"/>
            <w:vAlign w:val="center"/>
          </w:tcPr>
          <w:p w:rsidR="00FC138C" w:rsidRPr="00FC138C" w:rsidRDefault="00FC138C" w:rsidP="00FC138C">
            <w:pPr>
              <w:pStyle w:val="AAtablecolumn1"/>
              <w:jc w:val="center"/>
              <w:rPr>
                <w:rFonts w:ascii="Century Gothic" w:hAnsi="Century Gothic"/>
                <w:color w:val="25282A"/>
                <w:szCs w:val="18"/>
              </w:rPr>
            </w:pPr>
            <w:r w:rsidRPr="00FC138C">
              <w:rPr>
                <w:rFonts w:ascii="Century Gothic" w:hAnsi="Century Gothic"/>
                <w:color w:val="25282A"/>
                <w:szCs w:val="18"/>
              </w:rPr>
              <w:t>0.1654</w:t>
            </w:r>
          </w:p>
        </w:tc>
        <w:tc>
          <w:tcPr>
            <w:tcW w:w="1984" w:type="dxa"/>
            <w:vAlign w:val="center"/>
          </w:tcPr>
          <w:p w:rsidR="00FC138C" w:rsidRPr="00FC138C" w:rsidRDefault="00FC138C" w:rsidP="00FC138C">
            <w:pPr>
              <w:pStyle w:val="AAtablecolumn1"/>
              <w:jc w:val="center"/>
              <w:rPr>
                <w:rFonts w:ascii="Century Gothic" w:hAnsi="Century Gothic"/>
                <w:color w:val="25282A"/>
                <w:szCs w:val="18"/>
              </w:rPr>
            </w:pPr>
            <w:r w:rsidRPr="00FC138C">
              <w:rPr>
                <w:rFonts w:ascii="Century Gothic" w:hAnsi="Century Gothic"/>
                <w:color w:val="25282A"/>
                <w:szCs w:val="18"/>
              </w:rPr>
              <w:t>0.1858</w:t>
            </w:r>
          </w:p>
        </w:tc>
        <w:tc>
          <w:tcPr>
            <w:tcW w:w="1985" w:type="dxa"/>
          </w:tcPr>
          <w:p w:rsidR="00FC138C" w:rsidRPr="005F1AB4" w:rsidRDefault="00FC138C" w:rsidP="00370B6E">
            <w:pPr>
              <w:pStyle w:val="AAtablecolumn1"/>
              <w:jc w:val="center"/>
              <w:rPr>
                <w:rFonts w:ascii="Century Gothic" w:hAnsi="Century Gothic"/>
                <w:color w:val="25282A"/>
                <w:szCs w:val="18"/>
              </w:rPr>
            </w:pPr>
            <w:r>
              <w:rPr>
                <w:rFonts w:ascii="Century Gothic" w:hAnsi="Century Gothic"/>
                <w:color w:val="25282A"/>
                <w:szCs w:val="18"/>
              </w:rPr>
              <w:t>6</w:t>
            </w:r>
          </w:p>
        </w:tc>
      </w:tr>
    </w:tbl>
    <w:p w:rsidR="00370B6E" w:rsidRDefault="00370B6E" w:rsidP="00F55674">
      <w:pPr>
        <w:pStyle w:val="BodyText"/>
      </w:pPr>
    </w:p>
    <w:p w:rsidR="00370B6E" w:rsidRDefault="00370B6E" w:rsidP="00F55674">
      <w:pPr>
        <w:pStyle w:val="BodyText"/>
      </w:pPr>
    </w:p>
    <w:p w:rsidR="00370B6E" w:rsidRDefault="00370B6E" w:rsidP="00F55674">
      <w:pPr>
        <w:pStyle w:val="BodyText"/>
      </w:pPr>
    </w:p>
    <w:p w:rsidR="00370B6E" w:rsidRDefault="00370B6E" w:rsidP="00F55674">
      <w:pPr>
        <w:pStyle w:val="BodyText"/>
      </w:pPr>
    </w:p>
    <w:p w:rsidR="00A105C2" w:rsidRDefault="003B1AAA" w:rsidP="0055275F">
      <w:pPr>
        <w:pStyle w:val="AppendixHeading"/>
      </w:pPr>
      <w:bookmarkStart w:id="133" w:name="_Ref482027383"/>
      <w:bookmarkStart w:id="134" w:name="_Toc482626088"/>
      <w:bookmarkStart w:id="135" w:name="_Ref468183372"/>
      <w:bookmarkStart w:id="136" w:name="_Ref468183375"/>
      <w:r>
        <w:lastRenderedPageBreak/>
        <w:t>AER Requests for information</w:t>
      </w:r>
      <w:bookmarkEnd w:id="133"/>
      <w:bookmarkEnd w:id="134"/>
      <w:r>
        <w:t xml:space="preserve"> </w:t>
      </w:r>
      <w:bookmarkEnd w:id="135"/>
      <w:bookmarkEnd w:id="136"/>
    </w:p>
    <w:p w:rsidR="00791CF1" w:rsidRDefault="003B1AAA" w:rsidP="004D0306">
      <w:pPr>
        <w:pStyle w:val="BodyText"/>
      </w:pPr>
      <w:bookmarkStart w:id="137" w:name="B1"/>
      <w:r>
        <w:t>This supplementary submission is lodged explicitly in response to two information requests from the AER as set out below.</w:t>
      </w:r>
    </w:p>
    <w:p w:rsidR="005A25B3" w:rsidRDefault="005A25B3" w:rsidP="004D0306">
      <w:pPr>
        <w:pStyle w:val="AppendixHeading2"/>
      </w:pPr>
      <w:bookmarkStart w:id="138" w:name="_Toc482626089"/>
      <w:r>
        <w:t>AER Information request 9</w:t>
      </w:r>
      <w:bookmarkEnd w:id="138"/>
    </w:p>
    <w:p w:rsidR="003B1AAA" w:rsidRDefault="003B1AAA" w:rsidP="004D0306">
      <w:pPr>
        <w:pStyle w:val="BodyText"/>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34"/>
        <w:gridCol w:w="6103"/>
      </w:tblGrid>
      <w:tr w:rsidR="005A25B3" w:rsidRPr="00A106A9" w:rsidTr="00286C92">
        <w:tc>
          <w:tcPr>
            <w:tcW w:w="2376" w:type="dxa"/>
          </w:tcPr>
          <w:p w:rsidR="005A25B3" w:rsidRPr="00C17FE4" w:rsidRDefault="005A25B3" w:rsidP="00286C92">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AER Reference</w:t>
            </w:r>
          </w:p>
        </w:tc>
        <w:tc>
          <w:tcPr>
            <w:tcW w:w="6866" w:type="dxa"/>
          </w:tcPr>
          <w:p w:rsidR="005A25B3" w:rsidRPr="00A106A9" w:rsidRDefault="005A25B3" w:rsidP="00286C92">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IR009</w:t>
            </w:r>
          </w:p>
        </w:tc>
      </w:tr>
      <w:tr w:rsidR="005A25B3" w:rsidRPr="00A106A9" w:rsidTr="00286C92">
        <w:tc>
          <w:tcPr>
            <w:tcW w:w="2376" w:type="dxa"/>
          </w:tcPr>
          <w:p w:rsidR="005A25B3" w:rsidRPr="00C17FE4" w:rsidRDefault="005A25B3" w:rsidP="00286C92">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Topic</w:t>
            </w:r>
          </w:p>
        </w:tc>
        <w:tc>
          <w:tcPr>
            <w:tcW w:w="6866" w:type="dxa"/>
          </w:tcPr>
          <w:p w:rsidR="005A25B3" w:rsidRPr="00A106A9" w:rsidRDefault="005A25B3" w:rsidP="00286C92">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Integration of WORM into access arrangement proposal</w:t>
            </w:r>
          </w:p>
        </w:tc>
      </w:tr>
      <w:tr w:rsidR="005A25B3" w:rsidRPr="00A106A9" w:rsidTr="00286C92">
        <w:tc>
          <w:tcPr>
            <w:tcW w:w="2376" w:type="dxa"/>
          </w:tcPr>
          <w:p w:rsidR="005A25B3" w:rsidRPr="00C17FE4" w:rsidRDefault="005A25B3" w:rsidP="00286C92">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Date of response</w:t>
            </w:r>
          </w:p>
        </w:tc>
        <w:tc>
          <w:tcPr>
            <w:tcW w:w="6866" w:type="dxa"/>
          </w:tcPr>
          <w:p w:rsidR="005A25B3" w:rsidRPr="00A106A9" w:rsidRDefault="00A52D58" w:rsidP="00286C92">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15</w:t>
            </w:r>
            <w:r w:rsidR="005A25B3">
              <w:rPr>
                <w:rFonts w:ascii="Century Gothic" w:hAnsi="Century Gothic" w:cs="Arial"/>
                <w:color w:val="333333"/>
                <w:sz w:val="20"/>
                <w:szCs w:val="20"/>
              </w:rPr>
              <w:t xml:space="preserve"> May 2017</w:t>
            </w:r>
          </w:p>
        </w:tc>
      </w:tr>
      <w:tr w:rsidR="005A25B3" w:rsidRPr="00A106A9" w:rsidTr="00286C92">
        <w:tc>
          <w:tcPr>
            <w:tcW w:w="2376" w:type="dxa"/>
          </w:tcPr>
          <w:p w:rsidR="005A25B3" w:rsidRPr="00C17FE4" w:rsidRDefault="005A25B3" w:rsidP="00286C92">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Public/Confidential</w:t>
            </w:r>
          </w:p>
        </w:tc>
        <w:tc>
          <w:tcPr>
            <w:tcW w:w="6866" w:type="dxa"/>
          </w:tcPr>
          <w:p w:rsidR="005A25B3" w:rsidRDefault="005A25B3" w:rsidP="00286C92">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Public</w:t>
            </w:r>
          </w:p>
        </w:tc>
      </w:tr>
    </w:tbl>
    <w:p w:rsidR="004279A0" w:rsidRPr="00575180" w:rsidRDefault="004279A0" w:rsidP="005A25B3">
      <w:pPr>
        <w:rPr>
          <w: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tblGrid>
      <w:tr w:rsidR="005A25B3" w:rsidTr="005A25B3">
        <w:tc>
          <w:tcPr>
            <w:tcW w:w="9242" w:type="dxa"/>
            <w:shd w:val="clear" w:color="auto" w:fill="D9D9D9" w:themeFill="background1" w:themeFillShade="D9"/>
            <w:vAlign w:val="center"/>
          </w:tcPr>
          <w:p w:rsidR="005A25B3" w:rsidRDefault="005A25B3" w:rsidP="00286C92">
            <w:pPr>
              <w:spacing w:before="120" w:after="120"/>
              <w:rPr>
                <w:lang w:val="en-GB"/>
              </w:rPr>
            </w:pPr>
            <w:r>
              <w:rPr>
                <w:b/>
                <w:lang w:val="en-GB"/>
              </w:rPr>
              <w:t xml:space="preserve">9.1  Capex and </w:t>
            </w:r>
            <w:proofErr w:type="spellStart"/>
            <w:r>
              <w:rPr>
                <w:b/>
                <w:lang w:val="en-GB"/>
              </w:rPr>
              <w:t>opex</w:t>
            </w:r>
            <w:proofErr w:type="spellEnd"/>
            <w:r>
              <w:rPr>
                <w:b/>
                <w:lang w:val="en-GB"/>
              </w:rPr>
              <w:t xml:space="preserve"> savings</w:t>
            </w:r>
          </w:p>
          <w:p w:rsidR="005A25B3" w:rsidRPr="00916C16" w:rsidRDefault="005A25B3" w:rsidP="005A25B3">
            <w:pPr>
              <w:rPr>
                <w:lang w:val="en-GB"/>
              </w:rPr>
            </w:pPr>
            <w:r w:rsidRPr="00575180">
              <w:rPr>
                <w:lang w:val="en-GB"/>
              </w:rPr>
              <w:t xml:space="preserve">Please identify all the potential savings (i.e. reduction in both capex and </w:t>
            </w:r>
            <w:proofErr w:type="spellStart"/>
            <w:r w:rsidRPr="00575180">
              <w:rPr>
                <w:lang w:val="en-GB"/>
              </w:rPr>
              <w:t>opex</w:t>
            </w:r>
            <w:proofErr w:type="spellEnd"/>
            <w:r w:rsidRPr="00575180">
              <w:rPr>
                <w:lang w:val="en-GB"/>
              </w:rPr>
              <w:t xml:space="preserve"> in the 2018-22 AA)  and other efficiencies  that can be achieved if the WORM project proceeds</w:t>
            </w:r>
          </w:p>
        </w:tc>
      </w:tr>
    </w:tbl>
    <w:p w:rsidR="005A25B3" w:rsidRDefault="00634981" w:rsidP="005A25B3">
      <w:pPr>
        <w:rPr>
          <w:lang w:val="en-GB"/>
        </w:rPr>
      </w:pPr>
      <w:r>
        <w:rPr>
          <w:lang w:val="en-GB"/>
        </w:rPr>
        <w:t xml:space="preserve">Please refer to details provided in sections </w:t>
      </w:r>
      <w:r>
        <w:rPr>
          <w:lang w:val="en-GB"/>
        </w:rPr>
        <w:fldChar w:fldCharType="begin"/>
      </w:r>
      <w:r>
        <w:rPr>
          <w:lang w:val="en-GB"/>
        </w:rPr>
        <w:instrText xml:space="preserve"> REF _Ref482107583 \r \h </w:instrText>
      </w:r>
      <w:r>
        <w:rPr>
          <w:lang w:val="en-GB"/>
        </w:rPr>
      </w:r>
      <w:r>
        <w:rPr>
          <w:lang w:val="en-GB"/>
        </w:rPr>
        <w:fldChar w:fldCharType="separate"/>
      </w:r>
      <w:r w:rsidR="006D055F">
        <w:rPr>
          <w:lang w:val="en-GB"/>
        </w:rPr>
        <w:t>5.2</w:t>
      </w:r>
      <w:r>
        <w:rPr>
          <w:lang w:val="en-GB"/>
        </w:rPr>
        <w:fldChar w:fldCharType="end"/>
      </w:r>
      <w:r>
        <w:rPr>
          <w:lang w:val="en-GB"/>
        </w:rPr>
        <w:t xml:space="preserve"> and </w:t>
      </w:r>
      <w:r>
        <w:rPr>
          <w:lang w:val="en-GB"/>
        </w:rPr>
        <w:fldChar w:fldCharType="begin"/>
      </w:r>
      <w:r>
        <w:rPr>
          <w:lang w:val="en-GB"/>
        </w:rPr>
        <w:instrText xml:space="preserve"> REF _Ref482107595 \r \h </w:instrText>
      </w:r>
      <w:r>
        <w:rPr>
          <w:lang w:val="en-GB"/>
        </w:rPr>
      </w:r>
      <w:r>
        <w:rPr>
          <w:lang w:val="en-GB"/>
        </w:rPr>
        <w:fldChar w:fldCharType="separate"/>
      </w:r>
      <w:r w:rsidR="006D055F">
        <w:rPr>
          <w:lang w:val="en-GB"/>
        </w:rPr>
        <w:t>8.1</w:t>
      </w:r>
      <w:r>
        <w:rPr>
          <w:lang w:val="en-GB"/>
        </w:rPr>
        <w:fldChar w:fldCharType="end"/>
      </w:r>
      <w:r>
        <w:rPr>
          <w:lang w:val="en-GB"/>
        </w:rPr>
        <w:t xml:space="preserve"> of this supplementary submission.</w:t>
      </w:r>
    </w:p>
    <w:p w:rsidR="005A25B3" w:rsidRDefault="005A25B3" w:rsidP="005A25B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tblGrid>
      <w:tr w:rsidR="005A25B3" w:rsidTr="005A25B3">
        <w:tc>
          <w:tcPr>
            <w:tcW w:w="9242" w:type="dxa"/>
            <w:shd w:val="clear" w:color="auto" w:fill="D9D9D9" w:themeFill="background1" w:themeFillShade="D9"/>
            <w:vAlign w:val="center"/>
          </w:tcPr>
          <w:p w:rsidR="005A25B3" w:rsidRDefault="005A25B3" w:rsidP="00286C92">
            <w:pPr>
              <w:spacing w:before="120" w:after="120"/>
              <w:rPr>
                <w:lang w:val="en-GB"/>
              </w:rPr>
            </w:pPr>
            <w:r>
              <w:rPr>
                <w:b/>
                <w:lang w:val="en-GB"/>
              </w:rPr>
              <w:t>9.2  Implications for BCS projects</w:t>
            </w:r>
          </w:p>
          <w:p w:rsidR="005A25B3" w:rsidRPr="00575180" w:rsidRDefault="005A25B3" w:rsidP="00286C92">
            <w:pPr>
              <w:spacing w:before="120" w:after="120"/>
              <w:rPr>
                <w:lang w:val="en-GB"/>
              </w:rPr>
            </w:pPr>
            <w:r w:rsidRPr="00575180">
              <w:rPr>
                <w:lang w:val="en-GB"/>
              </w:rPr>
              <w:t>Please specifically address:</w:t>
            </w:r>
          </w:p>
          <w:p w:rsidR="005A25B3" w:rsidRPr="00575180" w:rsidRDefault="005A25B3" w:rsidP="005A25B3">
            <w:pPr>
              <w:pStyle w:val="ListParagraph"/>
              <w:numPr>
                <w:ilvl w:val="0"/>
                <w:numId w:val="21"/>
              </w:numPr>
              <w:spacing w:before="120" w:after="120" w:line="240" w:lineRule="auto"/>
              <w:rPr>
                <w:lang w:val="en-GB"/>
              </w:rPr>
            </w:pPr>
            <w:proofErr w:type="gramStart"/>
            <w:r w:rsidRPr="00575180">
              <w:rPr>
                <w:lang w:val="en-GB"/>
              </w:rPr>
              <w:t>whether</w:t>
            </w:r>
            <w:proofErr w:type="gramEnd"/>
            <w:r w:rsidRPr="00575180">
              <w:rPr>
                <w:lang w:val="en-GB"/>
              </w:rPr>
              <w:t xml:space="preserve"> the proposed Brooklyn compressor station upgrade in the 2018-22 AA is still necessary – if so why/what portion?</w:t>
            </w:r>
          </w:p>
          <w:p w:rsidR="005A25B3" w:rsidRPr="00575180" w:rsidRDefault="005A25B3" w:rsidP="005A25B3">
            <w:pPr>
              <w:pStyle w:val="ListParagraph"/>
              <w:numPr>
                <w:ilvl w:val="0"/>
                <w:numId w:val="21"/>
              </w:numPr>
              <w:spacing w:before="120" w:after="120" w:line="240" w:lineRule="auto"/>
              <w:rPr>
                <w:lang w:val="en-GB"/>
              </w:rPr>
            </w:pPr>
            <w:proofErr w:type="gramStart"/>
            <w:r w:rsidRPr="00575180">
              <w:rPr>
                <w:lang w:val="en-GB"/>
              </w:rPr>
              <w:t>can</w:t>
            </w:r>
            <w:proofErr w:type="gramEnd"/>
            <w:r w:rsidRPr="00575180">
              <w:rPr>
                <w:lang w:val="en-GB"/>
              </w:rPr>
              <w:t xml:space="preserve"> parts of the Brooklyn compressor station be decommissioned – if not, please provide specific detail of why not?</w:t>
            </w:r>
          </w:p>
          <w:p w:rsidR="005A25B3" w:rsidRPr="00916C16" w:rsidRDefault="005A25B3" w:rsidP="005A25B3">
            <w:pPr>
              <w:pStyle w:val="ListParagraph"/>
              <w:numPr>
                <w:ilvl w:val="0"/>
                <w:numId w:val="21"/>
              </w:numPr>
              <w:spacing w:before="120" w:after="120" w:line="240" w:lineRule="auto"/>
              <w:rPr>
                <w:lang w:val="en-GB"/>
              </w:rPr>
            </w:pPr>
            <w:r w:rsidRPr="00575180">
              <w:rPr>
                <w:lang w:val="en-GB"/>
              </w:rPr>
              <w:t>Please explain divergence in views between now and 2012.</w:t>
            </w:r>
          </w:p>
        </w:tc>
      </w:tr>
    </w:tbl>
    <w:p w:rsidR="00634981" w:rsidRDefault="00634981" w:rsidP="00634981">
      <w:pPr>
        <w:rPr>
          <w:lang w:val="en-GB"/>
        </w:rPr>
      </w:pPr>
      <w:r>
        <w:rPr>
          <w:lang w:val="en-GB"/>
        </w:rPr>
        <w:t>Please refer to details provided in section</w:t>
      </w:r>
      <w:r w:rsidR="00A52D58">
        <w:rPr>
          <w:lang w:val="en-GB"/>
        </w:rPr>
        <w:t>s</w:t>
      </w:r>
      <w:r>
        <w:rPr>
          <w:lang w:val="en-GB"/>
        </w:rPr>
        <w:t xml:space="preserve"> </w:t>
      </w:r>
      <w:r>
        <w:rPr>
          <w:lang w:val="en-GB"/>
        </w:rPr>
        <w:fldChar w:fldCharType="begin"/>
      </w:r>
      <w:r>
        <w:rPr>
          <w:lang w:val="en-GB"/>
        </w:rPr>
        <w:instrText xml:space="preserve"> REF _Ref482107583 \r \h </w:instrText>
      </w:r>
      <w:r>
        <w:rPr>
          <w:lang w:val="en-GB"/>
        </w:rPr>
      </w:r>
      <w:r>
        <w:rPr>
          <w:lang w:val="en-GB"/>
        </w:rPr>
        <w:fldChar w:fldCharType="separate"/>
      </w:r>
      <w:r w:rsidR="006D055F">
        <w:rPr>
          <w:lang w:val="en-GB"/>
        </w:rPr>
        <w:t>5.2</w:t>
      </w:r>
      <w:r>
        <w:rPr>
          <w:lang w:val="en-GB"/>
        </w:rPr>
        <w:fldChar w:fldCharType="end"/>
      </w:r>
      <w:r w:rsidR="00A52D58">
        <w:rPr>
          <w:lang w:val="en-GB"/>
        </w:rPr>
        <w:t xml:space="preserve"> and </w:t>
      </w:r>
      <w:r w:rsidR="00A52D58">
        <w:rPr>
          <w:lang w:val="en-GB"/>
        </w:rPr>
        <w:fldChar w:fldCharType="begin"/>
      </w:r>
      <w:r w:rsidR="00A52D58">
        <w:rPr>
          <w:lang w:val="en-GB"/>
        </w:rPr>
        <w:instrText xml:space="preserve"> REF _Ref482622694 \r \h </w:instrText>
      </w:r>
      <w:r w:rsidR="00A52D58">
        <w:rPr>
          <w:lang w:val="en-GB"/>
        </w:rPr>
      </w:r>
      <w:r w:rsidR="00A52D58">
        <w:rPr>
          <w:lang w:val="en-GB"/>
        </w:rPr>
        <w:fldChar w:fldCharType="separate"/>
      </w:r>
      <w:r w:rsidR="006D055F">
        <w:rPr>
          <w:lang w:val="en-GB"/>
        </w:rPr>
        <w:t>5.3</w:t>
      </w:r>
      <w:r w:rsidR="00A52D58">
        <w:rPr>
          <w:lang w:val="en-GB"/>
        </w:rPr>
        <w:fldChar w:fldCharType="end"/>
      </w:r>
      <w:r>
        <w:rPr>
          <w:lang w:val="en-GB"/>
        </w:rPr>
        <w:t>.</w:t>
      </w:r>
    </w:p>
    <w:p w:rsidR="005A25B3" w:rsidRDefault="005A25B3" w:rsidP="005A25B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tblGrid>
      <w:tr w:rsidR="005A25B3" w:rsidTr="00634981">
        <w:tc>
          <w:tcPr>
            <w:tcW w:w="8437" w:type="dxa"/>
            <w:shd w:val="clear" w:color="auto" w:fill="D9D9D9" w:themeFill="background1" w:themeFillShade="D9"/>
            <w:vAlign w:val="center"/>
          </w:tcPr>
          <w:p w:rsidR="005A25B3" w:rsidRDefault="005A25B3" w:rsidP="00286C92">
            <w:pPr>
              <w:spacing w:before="120" w:after="120"/>
              <w:rPr>
                <w:lang w:val="en-GB"/>
              </w:rPr>
            </w:pPr>
            <w:r>
              <w:rPr>
                <w:b/>
                <w:lang w:val="en-GB"/>
              </w:rPr>
              <w:t xml:space="preserve">9.3  Modelling to reflect revised capex and </w:t>
            </w:r>
            <w:proofErr w:type="spellStart"/>
            <w:r>
              <w:rPr>
                <w:b/>
                <w:lang w:val="en-GB"/>
              </w:rPr>
              <w:t>opex</w:t>
            </w:r>
            <w:proofErr w:type="spellEnd"/>
          </w:p>
          <w:p w:rsidR="005A25B3" w:rsidRPr="00916C16" w:rsidRDefault="005A25B3" w:rsidP="00286C92">
            <w:pPr>
              <w:spacing w:before="120" w:after="120"/>
              <w:rPr>
                <w:lang w:val="en-GB"/>
              </w:rPr>
            </w:pPr>
            <w:r w:rsidRPr="00575180">
              <w:rPr>
                <w:lang w:val="en-GB"/>
              </w:rPr>
              <w:lastRenderedPageBreak/>
              <w:t xml:space="preserve">Please provide revised capex and </w:t>
            </w:r>
            <w:proofErr w:type="spellStart"/>
            <w:r w:rsidRPr="00575180">
              <w:rPr>
                <w:lang w:val="en-GB"/>
              </w:rPr>
              <w:t>opex</w:t>
            </w:r>
            <w:proofErr w:type="spellEnd"/>
            <w:r w:rsidRPr="00575180">
              <w:rPr>
                <w:lang w:val="en-GB"/>
              </w:rPr>
              <w:t xml:space="preserve"> models, including the WORM and these savings and efficiencies</w:t>
            </w:r>
          </w:p>
        </w:tc>
      </w:tr>
    </w:tbl>
    <w:p w:rsidR="005A25B3" w:rsidRDefault="00CF1CB8" w:rsidP="005A25B3">
      <w:pPr>
        <w:rPr>
          <w:lang w:val="en-GB"/>
        </w:rPr>
      </w:pPr>
      <w:r>
        <w:rPr>
          <w:lang w:val="en-GB"/>
        </w:rPr>
        <w:lastRenderedPageBreak/>
        <w:t xml:space="preserve">See models provided at </w:t>
      </w:r>
      <w:proofErr w:type="gramStart"/>
      <w:r>
        <w:rPr>
          <w:lang w:val="en-GB"/>
        </w:rPr>
        <w:t xml:space="preserve">Attachments  </w:t>
      </w:r>
      <w:proofErr w:type="gramEnd"/>
      <w:r>
        <w:rPr>
          <w:lang w:val="en-GB"/>
        </w:rPr>
        <w:fldChar w:fldCharType="begin"/>
      </w:r>
      <w:r>
        <w:rPr>
          <w:lang w:val="en-GB"/>
        </w:rPr>
        <w:instrText xml:space="preserve"> REF _Ref482018266 \r \h </w:instrText>
      </w:r>
      <w:r>
        <w:rPr>
          <w:lang w:val="en-GB"/>
        </w:rPr>
      </w:r>
      <w:r>
        <w:rPr>
          <w:lang w:val="en-GB"/>
        </w:rPr>
        <w:fldChar w:fldCharType="separate"/>
      </w:r>
      <w:r w:rsidR="006D055F">
        <w:rPr>
          <w:lang w:val="en-GB"/>
        </w:rPr>
        <w:t>B.1</w:t>
      </w:r>
      <w:r>
        <w:rPr>
          <w:lang w:val="en-GB"/>
        </w:rPr>
        <w:fldChar w:fldCharType="end"/>
      </w:r>
      <w:r>
        <w:rPr>
          <w:lang w:val="en-GB"/>
        </w:rPr>
        <w:t xml:space="preserve"> and </w:t>
      </w:r>
      <w:r>
        <w:rPr>
          <w:lang w:val="en-GB"/>
        </w:rPr>
        <w:fldChar w:fldCharType="begin"/>
      </w:r>
      <w:r>
        <w:rPr>
          <w:lang w:val="en-GB"/>
        </w:rPr>
        <w:instrText xml:space="preserve"> REF _Ref482018268 \r \h </w:instrText>
      </w:r>
      <w:r>
        <w:rPr>
          <w:lang w:val="en-GB"/>
        </w:rPr>
      </w:r>
      <w:r>
        <w:rPr>
          <w:lang w:val="en-GB"/>
        </w:rPr>
        <w:fldChar w:fldCharType="separate"/>
      </w:r>
      <w:r w:rsidR="006D055F">
        <w:rPr>
          <w:lang w:val="en-GB"/>
        </w:rPr>
        <w:t>B.2</w:t>
      </w:r>
      <w:r>
        <w:rPr>
          <w:lang w:val="en-GB"/>
        </w:rPr>
        <w:fldChar w:fldCharType="end"/>
      </w:r>
    </w:p>
    <w:p w:rsidR="005A25B3" w:rsidRDefault="005A25B3" w:rsidP="005A25B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tblGrid>
      <w:tr w:rsidR="005A25B3" w:rsidTr="005A25B3">
        <w:tc>
          <w:tcPr>
            <w:tcW w:w="9242" w:type="dxa"/>
            <w:shd w:val="clear" w:color="auto" w:fill="D9D9D9" w:themeFill="background1" w:themeFillShade="D9"/>
            <w:vAlign w:val="center"/>
          </w:tcPr>
          <w:p w:rsidR="005A25B3" w:rsidRDefault="005A25B3" w:rsidP="00286C92">
            <w:pPr>
              <w:spacing w:before="120" w:after="120"/>
              <w:rPr>
                <w:lang w:val="en-GB"/>
              </w:rPr>
            </w:pPr>
            <w:r>
              <w:rPr>
                <w:b/>
                <w:lang w:val="en-GB"/>
              </w:rPr>
              <w:t>9.4  Revised PTRM</w:t>
            </w:r>
          </w:p>
          <w:p w:rsidR="005A25B3" w:rsidRPr="00916C16" w:rsidRDefault="005A25B3" w:rsidP="00286C92">
            <w:pPr>
              <w:spacing w:before="120" w:after="120"/>
              <w:rPr>
                <w:lang w:val="en-GB"/>
              </w:rPr>
            </w:pPr>
            <w:r w:rsidRPr="00575180">
              <w:rPr>
                <w:lang w:val="en-GB"/>
              </w:rPr>
              <w:t>Please provide a revision to your proposed post-tax revenue model (PTRM) incorporating the new capex/</w:t>
            </w:r>
            <w:proofErr w:type="spellStart"/>
            <w:r w:rsidRPr="00575180">
              <w:rPr>
                <w:lang w:val="en-GB"/>
              </w:rPr>
              <w:t>opex</w:t>
            </w:r>
            <w:proofErr w:type="spellEnd"/>
          </w:p>
        </w:tc>
      </w:tr>
    </w:tbl>
    <w:p w:rsidR="005A25B3" w:rsidRDefault="00CF1CB8" w:rsidP="005A25B3">
      <w:pPr>
        <w:rPr>
          <w:lang w:val="en-GB"/>
        </w:rPr>
      </w:pPr>
      <w:r>
        <w:rPr>
          <w:lang w:val="en-GB"/>
        </w:rPr>
        <w:t xml:space="preserve">See </w:t>
      </w:r>
      <w:r w:rsidR="004279A0">
        <w:rPr>
          <w:lang w:val="en-GB"/>
        </w:rPr>
        <w:t>P</w:t>
      </w:r>
      <w:r w:rsidR="00A52D58">
        <w:rPr>
          <w:lang w:val="en-GB"/>
        </w:rPr>
        <w:t>ost Tax Revenue Model</w:t>
      </w:r>
      <w:r>
        <w:rPr>
          <w:lang w:val="en-GB"/>
        </w:rPr>
        <w:t xml:space="preserve"> provided at Attachment </w:t>
      </w:r>
      <w:r>
        <w:rPr>
          <w:lang w:val="en-GB"/>
        </w:rPr>
        <w:fldChar w:fldCharType="begin"/>
      </w:r>
      <w:r>
        <w:rPr>
          <w:lang w:val="en-GB"/>
        </w:rPr>
        <w:instrText xml:space="preserve"> REF _Ref482018311 \r \h </w:instrText>
      </w:r>
      <w:r>
        <w:rPr>
          <w:lang w:val="en-GB"/>
        </w:rPr>
      </w:r>
      <w:r>
        <w:rPr>
          <w:lang w:val="en-GB"/>
        </w:rPr>
        <w:fldChar w:fldCharType="separate"/>
      </w:r>
      <w:r w:rsidR="006D055F">
        <w:rPr>
          <w:lang w:val="en-GB"/>
        </w:rPr>
        <w:t>B.4</w:t>
      </w:r>
      <w:r>
        <w:rPr>
          <w:lang w:val="en-GB"/>
        </w:rPr>
        <w:fldChar w:fldCharType="end"/>
      </w:r>
    </w:p>
    <w:p w:rsidR="005A25B3" w:rsidRDefault="005A25B3" w:rsidP="005A25B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tblGrid>
      <w:tr w:rsidR="005A25B3" w:rsidTr="005A25B3">
        <w:tc>
          <w:tcPr>
            <w:tcW w:w="9242" w:type="dxa"/>
            <w:shd w:val="clear" w:color="auto" w:fill="D9D9D9" w:themeFill="background1" w:themeFillShade="D9"/>
            <w:vAlign w:val="center"/>
          </w:tcPr>
          <w:p w:rsidR="005A25B3" w:rsidRDefault="005A25B3" w:rsidP="00286C92">
            <w:pPr>
              <w:spacing w:before="120" w:after="120"/>
              <w:rPr>
                <w:lang w:val="en-GB"/>
              </w:rPr>
            </w:pPr>
            <w:r>
              <w:rPr>
                <w:b/>
                <w:lang w:val="en-GB"/>
              </w:rPr>
              <w:t>9.5  Revised tariff model</w:t>
            </w:r>
          </w:p>
          <w:p w:rsidR="005A25B3" w:rsidRPr="00916C16" w:rsidRDefault="005A25B3" w:rsidP="00286C92">
            <w:pPr>
              <w:spacing w:before="120" w:after="120"/>
              <w:rPr>
                <w:lang w:val="en-GB"/>
              </w:rPr>
            </w:pPr>
            <w:r w:rsidRPr="00575180">
              <w:rPr>
                <w:lang w:val="en-GB"/>
              </w:rPr>
              <w:t xml:space="preserve">Please provide a revised tariff model, explaining which zones (tariffs) are recovering the </w:t>
            </w:r>
            <w:proofErr w:type="spellStart"/>
            <w:r w:rsidRPr="00575180">
              <w:rPr>
                <w:lang w:val="en-GB"/>
              </w:rPr>
              <w:t>opex</w:t>
            </w:r>
            <w:proofErr w:type="spellEnd"/>
            <w:r w:rsidRPr="00575180">
              <w:rPr>
                <w:lang w:val="en-GB"/>
              </w:rPr>
              <w:t>/capex associated with the WORM</w:t>
            </w:r>
          </w:p>
        </w:tc>
      </w:tr>
    </w:tbl>
    <w:p w:rsidR="00CF1CB8" w:rsidRDefault="00CF1CB8" w:rsidP="00CF1CB8">
      <w:pPr>
        <w:rPr>
          <w:lang w:val="en-GB"/>
        </w:rPr>
      </w:pPr>
      <w:proofErr w:type="gramStart"/>
      <w:r>
        <w:rPr>
          <w:lang w:val="en-GB"/>
        </w:rPr>
        <w:t xml:space="preserve">See </w:t>
      </w:r>
      <w:r w:rsidR="004279A0">
        <w:rPr>
          <w:lang w:val="en-GB"/>
        </w:rPr>
        <w:t>Tariff and Price Control M</w:t>
      </w:r>
      <w:r>
        <w:rPr>
          <w:lang w:val="en-GB"/>
        </w:rPr>
        <w:t>odel</w:t>
      </w:r>
      <w:r w:rsidR="004279A0">
        <w:rPr>
          <w:lang w:val="en-GB"/>
        </w:rPr>
        <w:t>s</w:t>
      </w:r>
      <w:r>
        <w:rPr>
          <w:lang w:val="en-GB"/>
        </w:rPr>
        <w:t xml:space="preserve"> provided at Attachment</w:t>
      </w:r>
      <w:r w:rsidR="004279A0">
        <w:rPr>
          <w:lang w:val="en-GB"/>
        </w:rPr>
        <w:t>s</w:t>
      </w:r>
      <w:r>
        <w:rPr>
          <w:lang w:val="en-GB"/>
        </w:rPr>
        <w:t xml:space="preserve"> </w:t>
      </w:r>
      <w:r>
        <w:rPr>
          <w:lang w:val="en-GB"/>
        </w:rPr>
        <w:fldChar w:fldCharType="begin"/>
      </w:r>
      <w:r>
        <w:rPr>
          <w:lang w:val="en-GB"/>
        </w:rPr>
        <w:instrText xml:space="preserve"> REF _Ref482018331 \r \h </w:instrText>
      </w:r>
      <w:r>
        <w:rPr>
          <w:lang w:val="en-GB"/>
        </w:rPr>
      </w:r>
      <w:r>
        <w:rPr>
          <w:lang w:val="en-GB"/>
        </w:rPr>
        <w:fldChar w:fldCharType="separate"/>
      </w:r>
      <w:r w:rsidR="006D055F">
        <w:rPr>
          <w:lang w:val="en-GB"/>
        </w:rPr>
        <w:t>B.5</w:t>
      </w:r>
      <w:r>
        <w:rPr>
          <w:lang w:val="en-GB"/>
        </w:rPr>
        <w:fldChar w:fldCharType="end"/>
      </w:r>
      <w:r w:rsidR="004279A0">
        <w:rPr>
          <w:lang w:val="en-GB"/>
        </w:rPr>
        <w:t xml:space="preserve"> and </w:t>
      </w:r>
      <w:r w:rsidR="004279A0">
        <w:rPr>
          <w:lang w:val="en-GB"/>
        </w:rPr>
        <w:fldChar w:fldCharType="begin"/>
      </w:r>
      <w:r w:rsidR="004279A0">
        <w:rPr>
          <w:lang w:val="en-GB"/>
        </w:rPr>
        <w:instrText xml:space="preserve"> REF _Ref482018508 \r \h </w:instrText>
      </w:r>
      <w:r w:rsidR="004279A0">
        <w:rPr>
          <w:lang w:val="en-GB"/>
        </w:rPr>
      </w:r>
      <w:r w:rsidR="004279A0">
        <w:rPr>
          <w:lang w:val="en-GB"/>
        </w:rPr>
        <w:fldChar w:fldCharType="separate"/>
      </w:r>
      <w:r w:rsidR="006D055F">
        <w:rPr>
          <w:lang w:val="en-GB"/>
        </w:rPr>
        <w:t>B.6</w:t>
      </w:r>
      <w:r w:rsidR="004279A0">
        <w:rPr>
          <w:lang w:val="en-GB"/>
        </w:rPr>
        <w:fldChar w:fldCharType="end"/>
      </w:r>
      <w:r w:rsidR="004279A0">
        <w:rPr>
          <w:lang w:val="en-GB"/>
        </w:rPr>
        <w:t>.</w:t>
      </w:r>
      <w:proofErr w:type="gramEnd"/>
    </w:p>
    <w:p w:rsidR="00CF1CB8" w:rsidRDefault="00CF1CB8" w:rsidP="005A25B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tblGrid>
      <w:tr w:rsidR="00CF1CB8" w:rsidTr="00286C92">
        <w:tc>
          <w:tcPr>
            <w:tcW w:w="9242" w:type="dxa"/>
            <w:shd w:val="clear" w:color="auto" w:fill="D9D9D9" w:themeFill="background1" w:themeFillShade="D9"/>
            <w:vAlign w:val="center"/>
          </w:tcPr>
          <w:p w:rsidR="00CF1CB8" w:rsidRDefault="00CF1CB8" w:rsidP="00286C92">
            <w:pPr>
              <w:spacing w:before="120" w:after="120"/>
              <w:rPr>
                <w:lang w:val="en-GB"/>
              </w:rPr>
            </w:pPr>
            <w:r>
              <w:rPr>
                <w:b/>
                <w:lang w:val="en-GB"/>
              </w:rPr>
              <w:t>Latest versions of models</w:t>
            </w:r>
          </w:p>
          <w:p w:rsidR="00CF1CB8" w:rsidRPr="00916C16" w:rsidRDefault="00CF1CB8" w:rsidP="00286C92">
            <w:pPr>
              <w:rPr>
                <w:lang w:val="en-GB"/>
              </w:rPr>
            </w:pPr>
            <w:r w:rsidRPr="00CF1CB8">
              <w:rPr>
                <w:lang w:val="en-GB"/>
              </w:rPr>
              <w:t>We confirm that we would like the WORM incorporated into the latest version of the models that we have been provided with.</w:t>
            </w:r>
          </w:p>
        </w:tc>
      </w:tr>
    </w:tbl>
    <w:p w:rsidR="00CF1CB8" w:rsidRDefault="00CF1CB8" w:rsidP="005A25B3">
      <w:pPr>
        <w:rPr>
          <w:lang w:val="en-GB"/>
        </w:rPr>
      </w:pPr>
      <w:r>
        <w:rPr>
          <w:lang w:val="en-GB"/>
        </w:rPr>
        <w:t xml:space="preserve">See Roll forward model provided at Attachment </w:t>
      </w:r>
      <w:r>
        <w:rPr>
          <w:lang w:val="en-GB"/>
        </w:rPr>
        <w:fldChar w:fldCharType="begin"/>
      </w:r>
      <w:r>
        <w:rPr>
          <w:lang w:val="en-GB"/>
        </w:rPr>
        <w:instrText xml:space="preserve"> REF _Ref482018407 \r \h </w:instrText>
      </w:r>
      <w:r>
        <w:rPr>
          <w:lang w:val="en-GB"/>
        </w:rPr>
      </w:r>
      <w:r>
        <w:rPr>
          <w:lang w:val="en-GB"/>
        </w:rPr>
        <w:fldChar w:fldCharType="separate"/>
      </w:r>
      <w:r w:rsidR="006D055F">
        <w:rPr>
          <w:lang w:val="en-GB"/>
        </w:rPr>
        <w:t>B.3</w:t>
      </w:r>
      <w:r>
        <w:rPr>
          <w:lang w:val="en-GB"/>
        </w:rPr>
        <w:fldChar w:fldCharType="end"/>
      </w:r>
      <w:r w:rsidR="004279A0">
        <w:rPr>
          <w:lang w:val="en-GB"/>
        </w:rPr>
        <w:t>.</w:t>
      </w:r>
    </w:p>
    <w:p w:rsidR="00CF1CB8" w:rsidRDefault="00CF1CB8" w:rsidP="005A25B3">
      <w:pPr>
        <w:rPr>
          <w:lang w:val="en-GB"/>
        </w:rPr>
      </w:pPr>
    </w:p>
    <w:p w:rsidR="00634981" w:rsidRDefault="00634981">
      <w:pPr>
        <w:spacing w:before="0" w:line="240" w:lineRule="auto"/>
        <w:rPr>
          <w:b/>
          <w:color w:val="C8102E"/>
        </w:rPr>
      </w:pPr>
      <w:r>
        <w:br w:type="page"/>
      </w:r>
    </w:p>
    <w:p w:rsidR="005A25B3" w:rsidRDefault="005A25B3" w:rsidP="005A25B3">
      <w:pPr>
        <w:pStyle w:val="AppendixHeading2"/>
      </w:pPr>
      <w:bookmarkStart w:id="139" w:name="_Toc482626090"/>
      <w:r>
        <w:lastRenderedPageBreak/>
        <w:t xml:space="preserve">AER Information request </w:t>
      </w:r>
      <w:r w:rsidR="00FB3FFB">
        <w:t>10</w:t>
      </w:r>
      <w:bookmarkEnd w:id="139"/>
    </w:p>
    <w:p w:rsidR="005A25B3" w:rsidRPr="00A106A9" w:rsidRDefault="005A25B3" w:rsidP="005A25B3">
      <w:pPr>
        <w:rPr>
          <w:lang w:val="en-G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37"/>
        <w:gridCol w:w="6100"/>
      </w:tblGrid>
      <w:tr w:rsidR="005A25B3" w:rsidRPr="00A106A9" w:rsidTr="00286C92">
        <w:tc>
          <w:tcPr>
            <w:tcW w:w="2376" w:type="dxa"/>
          </w:tcPr>
          <w:p w:rsidR="005A25B3" w:rsidRPr="00C17FE4" w:rsidRDefault="005A25B3" w:rsidP="00286C92">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AER Reference</w:t>
            </w:r>
          </w:p>
        </w:tc>
        <w:tc>
          <w:tcPr>
            <w:tcW w:w="6866" w:type="dxa"/>
          </w:tcPr>
          <w:p w:rsidR="005A25B3" w:rsidRPr="00A106A9" w:rsidRDefault="005A25B3" w:rsidP="00286C92">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IR010</w:t>
            </w:r>
          </w:p>
        </w:tc>
      </w:tr>
      <w:tr w:rsidR="005A25B3" w:rsidRPr="00A106A9" w:rsidTr="00286C92">
        <w:tc>
          <w:tcPr>
            <w:tcW w:w="2376" w:type="dxa"/>
          </w:tcPr>
          <w:p w:rsidR="005A25B3" w:rsidRPr="00C17FE4" w:rsidRDefault="005A25B3" w:rsidP="00286C92">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Topic</w:t>
            </w:r>
          </w:p>
        </w:tc>
        <w:tc>
          <w:tcPr>
            <w:tcW w:w="6866" w:type="dxa"/>
          </w:tcPr>
          <w:p w:rsidR="005A25B3" w:rsidRPr="00A106A9" w:rsidRDefault="005A25B3" w:rsidP="00286C92">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Revisions to demand forecast arising from the WORM project</w:t>
            </w:r>
          </w:p>
        </w:tc>
      </w:tr>
      <w:tr w:rsidR="005A25B3" w:rsidRPr="00A106A9" w:rsidTr="00286C92">
        <w:tc>
          <w:tcPr>
            <w:tcW w:w="2376" w:type="dxa"/>
          </w:tcPr>
          <w:p w:rsidR="005A25B3" w:rsidRPr="00C17FE4" w:rsidRDefault="005A25B3" w:rsidP="00286C92">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Date of response</w:t>
            </w:r>
          </w:p>
        </w:tc>
        <w:tc>
          <w:tcPr>
            <w:tcW w:w="6866" w:type="dxa"/>
          </w:tcPr>
          <w:p w:rsidR="005A25B3" w:rsidRPr="00A106A9" w:rsidRDefault="00A52D58" w:rsidP="00286C92">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 xml:space="preserve">15 </w:t>
            </w:r>
            <w:r w:rsidR="005A25B3">
              <w:rPr>
                <w:rFonts w:ascii="Century Gothic" w:hAnsi="Century Gothic" w:cs="Arial"/>
                <w:color w:val="333333"/>
                <w:sz w:val="20"/>
                <w:szCs w:val="20"/>
              </w:rPr>
              <w:t>May 2017</w:t>
            </w:r>
          </w:p>
        </w:tc>
      </w:tr>
      <w:tr w:rsidR="005A25B3" w:rsidRPr="00A106A9" w:rsidTr="00286C92">
        <w:tc>
          <w:tcPr>
            <w:tcW w:w="2376" w:type="dxa"/>
          </w:tcPr>
          <w:p w:rsidR="005A25B3" w:rsidRPr="00C17FE4" w:rsidRDefault="005A25B3" w:rsidP="00286C92">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Public/Confidential</w:t>
            </w:r>
          </w:p>
        </w:tc>
        <w:tc>
          <w:tcPr>
            <w:tcW w:w="6866" w:type="dxa"/>
          </w:tcPr>
          <w:p w:rsidR="005A25B3" w:rsidRDefault="005A25B3" w:rsidP="00286C92">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Public</w:t>
            </w:r>
          </w:p>
        </w:tc>
      </w:tr>
    </w:tbl>
    <w:p w:rsidR="004279A0" w:rsidRDefault="004279A0" w:rsidP="005A25B3">
      <w:pPr>
        <w:rPr>
          <w: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tblGrid>
      <w:tr w:rsidR="005A25B3" w:rsidTr="004279A0">
        <w:tc>
          <w:tcPr>
            <w:tcW w:w="8437" w:type="dxa"/>
            <w:shd w:val="clear" w:color="auto" w:fill="D9D9D9" w:themeFill="background1" w:themeFillShade="D9"/>
            <w:vAlign w:val="center"/>
          </w:tcPr>
          <w:p w:rsidR="005A25B3" w:rsidRDefault="005A25B3" w:rsidP="00286C92">
            <w:pPr>
              <w:spacing w:before="120" w:after="120"/>
              <w:rPr>
                <w:lang w:val="en-GB"/>
              </w:rPr>
            </w:pPr>
            <w:r>
              <w:rPr>
                <w:b/>
                <w:lang w:val="en-GB"/>
              </w:rPr>
              <w:t xml:space="preserve">10.1  Impact of WORM on VTS demand </w:t>
            </w:r>
          </w:p>
          <w:p w:rsidR="005A25B3" w:rsidRPr="00916C16" w:rsidRDefault="005A25B3" w:rsidP="00286C92">
            <w:pPr>
              <w:spacing w:before="120" w:after="120"/>
              <w:rPr>
                <w:lang w:val="en-GB"/>
              </w:rPr>
            </w:pPr>
            <w:r w:rsidRPr="00B4417B">
              <w:rPr>
                <w:lang w:val="en-GB"/>
              </w:rPr>
              <w:t>Please discuss the impact APA expects construction of the WORM to have on forecast VTS pipeline capacity, average flows, and peak flows for the 2018-22 AA period. In this discussion, please include comment on how APA expects the WORM to affect its forecast of Iona UGS refill volumes.</w:t>
            </w:r>
          </w:p>
        </w:tc>
      </w:tr>
    </w:tbl>
    <w:p w:rsidR="00634981" w:rsidRDefault="00634981" w:rsidP="00634981">
      <w:pPr>
        <w:rPr>
          <w:lang w:val="en-GB"/>
        </w:rPr>
      </w:pPr>
      <w:r>
        <w:rPr>
          <w:lang w:val="en-GB"/>
        </w:rPr>
        <w:t xml:space="preserve">Please refer to details provided in chapter </w:t>
      </w:r>
      <w:r>
        <w:rPr>
          <w:lang w:val="en-GB"/>
        </w:rPr>
        <w:fldChar w:fldCharType="begin"/>
      </w:r>
      <w:r>
        <w:rPr>
          <w:lang w:val="en-GB"/>
        </w:rPr>
        <w:instrText xml:space="preserve"> REF _Ref482107708 \r \h </w:instrText>
      </w:r>
      <w:r>
        <w:rPr>
          <w:lang w:val="en-GB"/>
        </w:rPr>
      </w:r>
      <w:r>
        <w:rPr>
          <w:lang w:val="en-GB"/>
        </w:rPr>
        <w:fldChar w:fldCharType="separate"/>
      </w:r>
      <w:r w:rsidR="006D055F">
        <w:rPr>
          <w:lang w:val="en-GB"/>
        </w:rPr>
        <w:t>3</w:t>
      </w:r>
      <w:r>
        <w:rPr>
          <w:lang w:val="en-GB"/>
        </w:rPr>
        <w:fldChar w:fldCharType="end"/>
      </w:r>
      <w:r>
        <w:rPr>
          <w:lang w:val="en-GB"/>
        </w:rPr>
        <w:t xml:space="preserve"> of this supplementary submission.</w:t>
      </w:r>
    </w:p>
    <w:p w:rsidR="005A25B3" w:rsidRDefault="005A25B3" w:rsidP="005A25B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tblGrid>
      <w:tr w:rsidR="005A25B3" w:rsidTr="00634981">
        <w:tc>
          <w:tcPr>
            <w:tcW w:w="8437" w:type="dxa"/>
            <w:shd w:val="clear" w:color="auto" w:fill="D9D9D9" w:themeFill="background1" w:themeFillShade="D9"/>
            <w:vAlign w:val="center"/>
          </w:tcPr>
          <w:p w:rsidR="005A25B3" w:rsidRDefault="005A25B3" w:rsidP="00286C92">
            <w:pPr>
              <w:spacing w:before="120" w:after="120"/>
              <w:rPr>
                <w:lang w:val="en-GB"/>
              </w:rPr>
            </w:pPr>
            <w:r>
              <w:rPr>
                <w:b/>
                <w:lang w:val="en-GB"/>
              </w:rPr>
              <w:t>10.2  Revised forecast</w:t>
            </w:r>
          </w:p>
          <w:p w:rsidR="005A25B3" w:rsidRPr="00B4417B" w:rsidRDefault="005A25B3" w:rsidP="00286C92">
            <w:pPr>
              <w:spacing w:before="120" w:after="120" w:line="240" w:lineRule="auto"/>
              <w:rPr>
                <w:lang w:val="en-GB"/>
              </w:rPr>
            </w:pPr>
            <w:r w:rsidRPr="00B4417B">
              <w:rPr>
                <w:lang w:val="en-GB"/>
              </w:rPr>
              <w:t>Please provide a revised forecast on VTS pipeline capacity, average flows, and peak flows for the 2018-22 AA period.</w:t>
            </w:r>
          </w:p>
        </w:tc>
      </w:tr>
    </w:tbl>
    <w:p w:rsidR="00634981" w:rsidRDefault="00634981" w:rsidP="00634981">
      <w:pPr>
        <w:rPr>
          <w:lang w:val="en-GB"/>
        </w:rPr>
      </w:pPr>
      <w:r>
        <w:rPr>
          <w:lang w:val="en-GB"/>
        </w:rPr>
        <w:t xml:space="preserve">Please refer to discussion provided in chapter </w:t>
      </w:r>
      <w:r>
        <w:rPr>
          <w:lang w:val="en-GB"/>
        </w:rPr>
        <w:fldChar w:fldCharType="begin"/>
      </w:r>
      <w:r>
        <w:rPr>
          <w:lang w:val="en-GB"/>
        </w:rPr>
        <w:instrText xml:space="preserve"> REF _Ref482107708 \r \h </w:instrText>
      </w:r>
      <w:r>
        <w:rPr>
          <w:lang w:val="en-GB"/>
        </w:rPr>
      </w:r>
      <w:r>
        <w:rPr>
          <w:lang w:val="en-GB"/>
        </w:rPr>
        <w:fldChar w:fldCharType="separate"/>
      </w:r>
      <w:r w:rsidR="006D055F">
        <w:rPr>
          <w:lang w:val="en-GB"/>
        </w:rPr>
        <w:t>3</w:t>
      </w:r>
      <w:r>
        <w:rPr>
          <w:lang w:val="en-GB"/>
        </w:rPr>
        <w:fldChar w:fldCharType="end"/>
      </w:r>
      <w:r>
        <w:rPr>
          <w:lang w:val="en-GB"/>
        </w:rPr>
        <w:t xml:space="preserve"> of this supplementary submission.</w:t>
      </w:r>
    </w:p>
    <w:p w:rsidR="005A25B3" w:rsidRDefault="005A25B3" w:rsidP="005A25B3">
      <w:pPr>
        <w:rPr>
          <w:lang w:val="en-GB"/>
        </w:rPr>
      </w:pPr>
    </w:p>
    <w:p w:rsidR="00CF1CB8" w:rsidRDefault="00CF1CB8" w:rsidP="00CF1CB8">
      <w:pPr>
        <w:pStyle w:val="AppendixHeading"/>
      </w:pPr>
      <w:bookmarkStart w:id="140" w:name="_Ref482018902"/>
      <w:bookmarkStart w:id="141" w:name="_Toc482626091"/>
      <w:r>
        <w:lastRenderedPageBreak/>
        <w:t>Supporting financial models</w:t>
      </w:r>
      <w:bookmarkEnd w:id="140"/>
      <w:bookmarkEnd w:id="141"/>
      <w:r>
        <w:t xml:space="preserve"> </w:t>
      </w:r>
    </w:p>
    <w:p w:rsidR="00CF1CB8" w:rsidRPr="00CF1CB8" w:rsidRDefault="00CF1CB8" w:rsidP="00CF1CB8">
      <w:pPr>
        <w:pStyle w:val="BodyText"/>
      </w:pPr>
    </w:p>
    <w:p w:rsidR="00CF1CB8" w:rsidRDefault="00CF1CB8" w:rsidP="00CF1CB8">
      <w:pPr>
        <w:pStyle w:val="AppendixHeading2"/>
      </w:pPr>
      <w:bookmarkStart w:id="142" w:name="_Ref470189287"/>
      <w:bookmarkStart w:id="143" w:name="_Ref470189635"/>
      <w:bookmarkStart w:id="144" w:name="_Toc471224833"/>
      <w:bookmarkStart w:id="145" w:name="_Ref482018266"/>
      <w:bookmarkStart w:id="146" w:name="_Toc482626092"/>
      <w:bookmarkStart w:id="147" w:name="_Ref470873397"/>
      <w:bookmarkStart w:id="148" w:name="_Ref470873497"/>
      <w:bookmarkStart w:id="149" w:name="_Toc471224831"/>
      <w:r>
        <w:t>Capital expenditure model</w:t>
      </w:r>
      <w:bookmarkEnd w:id="142"/>
      <w:bookmarkEnd w:id="143"/>
      <w:r>
        <w:t xml:space="preserve"> – Public</w:t>
      </w:r>
      <w:bookmarkEnd w:id="144"/>
      <w:bookmarkEnd w:id="145"/>
      <w:bookmarkEnd w:id="146"/>
      <w:r>
        <w:t xml:space="preserve"> </w:t>
      </w:r>
    </w:p>
    <w:p w:rsidR="00CF1CB8" w:rsidRDefault="00CF1CB8" w:rsidP="00CF1CB8">
      <w:pPr>
        <w:pStyle w:val="AppendixHeading2"/>
      </w:pPr>
      <w:bookmarkStart w:id="150" w:name="_Ref470189298"/>
      <w:bookmarkStart w:id="151" w:name="_Ref470190237"/>
      <w:bookmarkStart w:id="152" w:name="_Ref470190307"/>
      <w:bookmarkStart w:id="153" w:name="_Ref470190440"/>
      <w:bookmarkStart w:id="154" w:name="_Toc471224835"/>
      <w:bookmarkStart w:id="155" w:name="_Ref482018268"/>
      <w:bookmarkStart w:id="156" w:name="_Toc482626093"/>
      <w:r>
        <w:t>Operating expenditure model</w:t>
      </w:r>
      <w:bookmarkEnd w:id="150"/>
      <w:bookmarkEnd w:id="151"/>
      <w:bookmarkEnd w:id="152"/>
      <w:bookmarkEnd w:id="153"/>
      <w:r>
        <w:t xml:space="preserve"> – Public</w:t>
      </w:r>
      <w:bookmarkEnd w:id="154"/>
      <w:bookmarkEnd w:id="155"/>
      <w:bookmarkEnd w:id="156"/>
    </w:p>
    <w:p w:rsidR="00CF1CB8" w:rsidRDefault="00CF1CB8" w:rsidP="00CF1CB8">
      <w:pPr>
        <w:pStyle w:val="AppendixHeading2"/>
      </w:pPr>
      <w:bookmarkStart w:id="157" w:name="_Toc471224832"/>
      <w:bookmarkStart w:id="158" w:name="_Ref482018304"/>
      <w:bookmarkStart w:id="159" w:name="_Ref482018407"/>
      <w:bookmarkStart w:id="160" w:name="_Ref482020082"/>
      <w:bookmarkStart w:id="161" w:name="_Toc482626094"/>
      <w:r>
        <w:t>Roll Forward Model – Public</w:t>
      </w:r>
      <w:bookmarkEnd w:id="157"/>
      <w:bookmarkEnd w:id="158"/>
      <w:bookmarkEnd w:id="159"/>
      <w:bookmarkEnd w:id="160"/>
      <w:bookmarkEnd w:id="161"/>
    </w:p>
    <w:p w:rsidR="00CF1CB8" w:rsidRDefault="00CF1CB8" w:rsidP="00CF1CB8">
      <w:pPr>
        <w:pStyle w:val="AppendixHeading2"/>
      </w:pPr>
      <w:bookmarkStart w:id="162" w:name="_Ref482018311"/>
      <w:bookmarkStart w:id="163" w:name="_Toc482626095"/>
      <w:r>
        <w:t>Post Tax Revenue Model</w:t>
      </w:r>
      <w:bookmarkEnd w:id="147"/>
      <w:bookmarkEnd w:id="148"/>
      <w:r>
        <w:t xml:space="preserve"> – Public</w:t>
      </w:r>
      <w:bookmarkEnd w:id="149"/>
      <w:bookmarkEnd w:id="162"/>
      <w:bookmarkEnd w:id="163"/>
    </w:p>
    <w:p w:rsidR="00CF1CB8" w:rsidRDefault="00CF1CB8" w:rsidP="00CF1CB8">
      <w:pPr>
        <w:pStyle w:val="AppendixHeading2"/>
      </w:pPr>
      <w:bookmarkStart w:id="164" w:name="_Toc471224836"/>
      <w:bookmarkStart w:id="165" w:name="_Ref482018331"/>
      <w:bookmarkStart w:id="166" w:name="_Toc482626096"/>
      <w:r>
        <w:t>Tariff model – Confidential</w:t>
      </w:r>
      <w:bookmarkEnd w:id="164"/>
      <w:bookmarkEnd w:id="165"/>
      <w:bookmarkEnd w:id="166"/>
    </w:p>
    <w:p w:rsidR="00CF1CB8" w:rsidRPr="009A372A" w:rsidRDefault="00CF1CB8" w:rsidP="00CF1CB8">
      <w:pPr>
        <w:pStyle w:val="AppendixHeading2"/>
      </w:pPr>
      <w:bookmarkStart w:id="167" w:name="_Toc471224837"/>
      <w:bookmarkStart w:id="168" w:name="_Ref482018508"/>
      <w:bookmarkStart w:id="169" w:name="_Toc482626097"/>
      <w:r w:rsidRPr="009A372A">
        <w:t>Price Control Model – Confidential</w:t>
      </w:r>
      <w:bookmarkEnd w:id="167"/>
      <w:bookmarkEnd w:id="168"/>
      <w:bookmarkEnd w:id="169"/>
      <w:r w:rsidRPr="009A372A">
        <w:t xml:space="preserve"> </w:t>
      </w:r>
    </w:p>
    <w:p w:rsidR="005A25B3" w:rsidRDefault="005A25B3" w:rsidP="005A25B3">
      <w:pPr>
        <w:rPr>
          <w:lang w:val="en-GB"/>
        </w:rPr>
      </w:pPr>
    </w:p>
    <w:bookmarkEnd w:id="137"/>
    <w:p w:rsidR="005A25B3" w:rsidRDefault="005A25B3" w:rsidP="005A25B3">
      <w:pPr>
        <w:rPr>
          <w:lang w:val="en-GB"/>
        </w:rPr>
      </w:pPr>
    </w:p>
    <w:sectPr w:rsidR="005A25B3" w:rsidSect="003D42B3">
      <w:headerReference w:type="default" r:id="rId19"/>
      <w:footerReference w:type="default" r:id="rId20"/>
      <w:pgSz w:w="11907" w:h="16840" w:code="9"/>
      <w:pgMar w:top="2835" w:right="1616" w:bottom="1985" w:left="1616" w:header="737" w:footer="737" w:gutter="454"/>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6F" w:rsidRDefault="00225B6F">
      <w:r>
        <w:separator/>
      </w:r>
    </w:p>
  </w:endnote>
  <w:endnote w:type="continuationSeparator" w:id="0">
    <w:p w:rsidR="00225B6F" w:rsidRDefault="0022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EYInterstate Light">
    <w:altName w:val="Times New Roman"/>
    <w:charset w:val="00"/>
    <w:family w:val="auto"/>
    <w:pitch w:val="variable"/>
    <w:sig w:usb0="00000001"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6F" w:rsidRDefault="006D055F">
    <w:pPr>
      <w:pStyle w:val="Footer"/>
      <w:framePr w:hSpace="181" w:wrap="around" w:vAnchor="text" w:hAnchor="text" w:xAlign="right" w:y="1"/>
    </w:pPr>
    <w:r>
      <w:fldChar w:fldCharType="begin"/>
    </w:r>
    <w:r>
      <w:instrText xml:space="preserve"> FILENAME </w:instrText>
    </w:r>
    <w:r>
      <w:fldChar w:fldCharType="separate"/>
    </w:r>
    <w:r>
      <w:rPr>
        <w:noProof/>
      </w:rPr>
      <w:t>APA VTS-VTS Supplementary AA submission revised for WORM-20170515-Public</w:t>
    </w:r>
    <w:r>
      <w:rPr>
        <w:noProof/>
      </w:rPr>
      <w:fldChar w:fldCharType="end"/>
    </w:r>
    <w:r w:rsidR="00225B6F">
      <w:t xml:space="preserve"> - </w:t>
    </w:r>
    <w:r w:rsidR="00225B6F">
      <w:fldChar w:fldCharType="begin"/>
    </w:r>
    <w:r w:rsidR="00225B6F">
      <w:instrText xml:space="preserve"> SAVEDATE  \@ </w:instrText>
    </w:r>
    <w:r w:rsidR="00225B6F">
      <w:fldChar w:fldCharType="begin"/>
    </w:r>
    <w:r w:rsidR="00225B6F">
      <w:instrText xml:space="preserve"> DOCPROPERTY "KISDateFmt" </w:instrText>
    </w:r>
    <w:r w:rsidR="00225B6F">
      <w:fldChar w:fldCharType="separate"/>
    </w:r>
    <w:r>
      <w:rPr>
        <w:b/>
        <w:bCs/>
        <w:lang w:val="en-US"/>
      </w:rPr>
      <w:instrText>Error! Unknown document property name.</w:instrText>
    </w:r>
    <w:r w:rsidR="00225B6F">
      <w:fldChar w:fldCharType="end"/>
    </w:r>
    <w:r w:rsidR="00225B6F">
      <w:instrText xml:space="preserve"> </w:instrText>
    </w:r>
    <w:r w:rsidR="00225B6F">
      <w:fldChar w:fldCharType="separate"/>
    </w:r>
    <w:r>
      <w:rPr>
        <w:b/>
        <w:bCs/>
        <w:noProof/>
        <w:lang w:val="en-US"/>
      </w:rPr>
      <w:t>Error! Unknown character in picture string.</w:t>
    </w:r>
    <w:r w:rsidR="00225B6F">
      <w:fldChar w:fldCharType="end"/>
    </w:r>
  </w:p>
  <w:p w:rsidR="00225B6F" w:rsidRDefault="00225B6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6F" w:rsidRDefault="00225B6F">
    <w:pPr>
      <w:pStyle w:val="Footer"/>
    </w:pPr>
    <w:r w:rsidRPr="00F21E89">
      <w:rPr>
        <w:noProof/>
        <w:lang w:eastAsia="en-AU"/>
      </w:rPr>
      <w:drawing>
        <wp:anchor distT="0" distB="0" distL="114300" distR="114300" simplePos="0" relativeHeight="251683840" behindDoc="0" locked="0" layoutInCell="1" allowOverlap="1" wp14:anchorId="544F4962" wp14:editId="00BF16B0">
          <wp:simplePos x="0" y="0"/>
          <wp:positionH relativeFrom="column">
            <wp:posOffset>3150235</wp:posOffset>
          </wp:positionH>
          <wp:positionV relativeFrom="paragraph">
            <wp:posOffset>60960</wp:posOffset>
          </wp:positionV>
          <wp:extent cx="1843200" cy="219600"/>
          <wp:effectExtent l="0" t="0" r="5080" b="9525"/>
          <wp:wrapThrough wrapText="bothSides">
            <wp:wrapPolygon edited="0">
              <wp:start x="16747" y="0"/>
              <wp:lineTo x="0" y="1878"/>
              <wp:lineTo x="0" y="16904"/>
              <wp:lineTo x="4689" y="20661"/>
              <wp:lineTo x="7592" y="20661"/>
              <wp:lineTo x="21436" y="16904"/>
              <wp:lineTo x="21436" y="11270"/>
              <wp:lineTo x="21213" y="0"/>
              <wp:lineTo x="16747"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843200" cy="2196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6F" w:rsidRDefault="00225B6F">
    <w:pPr>
      <w:pStyle w:val="Footer"/>
    </w:pPr>
    <w:r w:rsidRPr="00F21E89">
      <w:rPr>
        <w:noProof/>
        <w:lang w:eastAsia="en-AU"/>
      </w:rPr>
      <w:drawing>
        <wp:anchor distT="0" distB="0" distL="114300" distR="114300" simplePos="0" relativeHeight="251661312" behindDoc="0" locked="0" layoutInCell="1" allowOverlap="1" wp14:anchorId="62AB5899" wp14:editId="6272C14B">
          <wp:simplePos x="0" y="0"/>
          <wp:positionH relativeFrom="column">
            <wp:posOffset>3851910</wp:posOffset>
          </wp:positionH>
          <wp:positionV relativeFrom="paragraph">
            <wp:posOffset>10795</wp:posOffset>
          </wp:positionV>
          <wp:extent cx="1386840" cy="163830"/>
          <wp:effectExtent l="0" t="0" r="3810" b="7620"/>
          <wp:wrapThrough wrapText="bothSides">
            <wp:wrapPolygon edited="0">
              <wp:start x="16615" y="0"/>
              <wp:lineTo x="0" y="0"/>
              <wp:lineTo x="0" y="17581"/>
              <wp:lineTo x="4451" y="20093"/>
              <wp:lineTo x="7714" y="20093"/>
              <wp:lineTo x="21363" y="17581"/>
              <wp:lineTo x="21363" y="0"/>
              <wp:lineTo x="16615"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386840" cy="163830"/>
                  </a:xfrm>
                  <a:prstGeom prst="rect">
                    <a:avLst/>
                  </a:prstGeom>
                </pic:spPr>
              </pic:pic>
            </a:graphicData>
          </a:graphic>
          <wp14:sizeRelH relativeFrom="page">
            <wp14:pctWidth>0</wp14:pctWidth>
          </wp14:sizeRelH>
          <wp14:sizeRelV relativeFrom="page">
            <wp14:pctHeight>0</wp14:pctHeight>
          </wp14:sizeRelV>
        </wp:anchor>
      </w:drawing>
    </w:r>
    <w:sdt>
      <w:sdtPr>
        <w:id w:val="6679075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055F">
          <w:rPr>
            <w:noProof/>
          </w:rPr>
          <w:t>iv</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91240"/>
      <w:docPartObj>
        <w:docPartGallery w:val="Page Numbers (Bottom of Page)"/>
        <w:docPartUnique/>
      </w:docPartObj>
    </w:sdtPr>
    <w:sdtEndPr>
      <w:rPr>
        <w:noProof/>
      </w:rPr>
    </w:sdtEndPr>
    <w:sdtContent>
      <w:p w:rsidR="00225B6F" w:rsidRDefault="00225B6F" w:rsidP="00E5542C">
        <w:pPr>
          <w:pStyle w:val="Footer"/>
          <w:tabs>
            <w:tab w:val="clear" w:pos="8222"/>
          </w:tabs>
        </w:pPr>
        <w:r>
          <w:fldChar w:fldCharType="begin"/>
        </w:r>
        <w:r>
          <w:instrText xml:space="preserve"> PAGE   \* MERGEFORMAT </w:instrText>
        </w:r>
        <w:r>
          <w:fldChar w:fldCharType="separate"/>
        </w:r>
        <w:r w:rsidR="006D055F">
          <w:rPr>
            <w:noProof/>
          </w:rPr>
          <w:t>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735201"/>
      <w:docPartObj>
        <w:docPartGallery w:val="Page Numbers (Bottom of Page)"/>
        <w:docPartUnique/>
      </w:docPartObj>
    </w:sdtPr>
    <w:sdtEndPr>
      <w:rPr>
        <w:noProof/>
      </w:rPr>
    </w:sdtEndPr>
    <w:sdtContent>
      <w:p w:rsidR="00225B6F" w:rsidRDefault="00225B6F" w:rsidP="00E5542C">
        <w:pPr>
          <w:pStyle w:val="Footer"/>
          <w:tabs>
            <w:tab w:val="clear" w:pos="8222"/>
          </w:tabs>
        </w:pPr>
        <w:r w:rsidRPr="00F21E89">
          <w:rPr>
            <w:noProof/>
            <w:lang w:eastAsia="en-AU"/>
          </w:rPr>
          <w:drawing>
            <wp:anchor distT="0" distB="0" distL="114300" distR="114300" simplePos="0" relativeHeight="251671552" behindDoc="0" locked="0" layoutInCell="1" allowOverlap="1" wp14:anchorId="4514A577" wp14:editId="441C9641">
              <wp:simplePos x="0" y="0"/>
              <wp:positionH relativeFrom="column">
                <wp:posOffset>3852545</wp:posOffset>
              </wp:positionH>
              <wp:positionV relativeFrom="paragraph">
                <wp:posOffset>0</wp:posOffset>
              </wp:positionV>
              <wp:extent cx="1386000" cy="165600"/>
              <wp:effectExtent l="0" t="0" r="5080" b="6350"/>
              <wp:wrapThrough wrapText="bothSides">
                <wp:wrapPolygon edited="0">
                  <wp:start x="16631" y="0"/>
                  <wp:lineTo x="0" y="0"/>
                  <wp:lineTo x="0" y="17446"/>
                  <wp:lineTo x="4455" y="19938"/>
                  <wp:lineTo x="7721" y="19938"/>
                  <wp:lineTo x="21382" y="17446"/>
                  <wp:lineTo x="21382" y="0"/>
                  <wp:lineTo x="16631"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386000" cy="1656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D055F">
          <w:rPr>
            <w:noProof/>
          </w:rPr>
          <w:t>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6F" w:rsidRDefault="00225B6F">
      <w:r>
        <w:separator/>
      </w:r>
    </w:p>
  </w:footnote>
  <w:footnote w:type="continuationSeparator" w:id="0">
    <w:p w:rsidR="00225B6F" w:rsidRDefault="00225B6F">
      <w:r>
        <w:continuationSeparator/>
      </w:r>
    </w:p>
  </w:footnote>
  <w:footnote w:id="1">
    <w:p w:rsidR="00225B6F" w:rsidRDefault="00225B6F" w:rsidP="00261E37">
      <w:pPr>
        <w:pStyle w:val="FootnoteText"/>
      </w:pPr>
      <w:r>
        <w:rPr>
          <w:rStyle w:val="FootnoteReference"/>
        </w:rPr>
        <w:footnoteRef/>
      </w:r>
      <w:r>
        <w:t xml:space="preserve"> Consortium of VTS Users 2017, </w:t>
      </w:r>
      <w:r w:rsidRPr="00E948A0">
        <w:rPr>
          <w:i/>
        </w:rPr>
        <w:t>Submission to the Australian Energy Regulator re APA VTS Access Arrangement 2018-2022</w:t>
      </w:r>
      <w:r>
        <w:t>, 3 March, p 7</w:t>
      </w:r>
    </w:p>
  </w:footnote>
  <w:footnote w:id="2">
    <w:p w:rsidR="00225B6F" w:rsidRDefault="00225B6F">
      <w:pPr>
        <w:pStyle w:val="FootnoteText"/>
      </w:pPr>
      <w:r>
        <w:rPr>
          <w:rStyle w:val="FootnoteReference"/>
        </w:rPr>
        <w:footnoteRef/>
      </w:r>
      <w:r>
        <w:t xml:space="preserve"> AEMO 2016, VGPR Update, p 18</w:t>
      </w:r>
    </w:p>
  </w:footnote>
  <w:footnote w:id="3">
    <w:p w:rsidR="00225B6F" w:rsidRDefault="00225B6F" w:rsidP="00D65A88">
      <w:pPr>
        <w:pStyle w:val="FootnoteText"/>
      </w:pPr>
      <w:r>
        <w:rPr>
          <w:rStyle w:val="FootnoteReference"/>
        </w:rPr>
        <w:footnoteRef/>
      </w:r>
      <w:r>
        <w:t xml:space="preserve"> </w:t>
      </w:r>
      <w:r w:rsidRPr="00D65A88">
        <w:t xml:space="preserve">APA VTS has sought </w:t>
      </w:r>
      <w:r>
        <w:t xml:space="preserve">and received </w:t>
      </w:r>
      <w:r w:rsidRPr="00D65A88">
        <w:t xml:space="preserve">direct confirmation </w:t>
      </w:r>
      <w:r>
        <w:t>o</w:t>
      </w:r>
      <w:r w:rsidRPr="00D65A88">
        <w:t xml:space="preserve">f this from </w:t>
      </w:r>
      <w:r>
        <w:t>Lochard Energy.</w:t>
      </w:r>
    </w:p>
  </w:footnote>
  <w:footnote w:id="4">
    <w:p w:rsidR="00225B6F" w:rsidRDefault="00225B6F" w:rsidP="008D09C7">
      <w:pPr>
        <w:pStyle w:val="FootnoteText"/>
      </w:pPr>
      <w:r>
        <w:rPr>
          <w:rStyle w:val="FootnoteReference"/>
        </w:rPr>
        <w:footnoteRef/>
      </w:r>
      <w:r>
        <w:t xml:space="preserve"> APA VTS’s January AA proposal included an anticipated SWP westbound capacity to be achieved by the Brooklyn Compressor Station reconfiguration and Winchelsea bidirectionality works of a total of 150TJ/day. This number has subsequently been revised downward as a result of AEMO modelling of capacity to 147TJ/day, assuming a concurrent reduction in Winchelsea compressor station inlet pressure to 4000 </w:t>
      </w:r>
      <w:proofErr w:type="spellStart"/>
      <w:r>
        <w:t>kPa</w:t>
      </w:r>
      <w:proofErr w:type="spellEnd"/>
      <w:r>
        <w:t>.</w:t>
      </w:r>
    </w:p>
  </w:footnote>
  <w:footnote w:id="5">
    <w:p w:rsidR="00225B6F" w:rsidRDefault="00225B6F">
      <w:pPr>
        <w:pStyle w:val="FootnoteText"/>
      </w:pPr>
      <w:r>
        <w:rPr>
          <w:rStyle w:val="FootnoteReference"/>
        </w:rPr>
        <w:footnoteRef/>
      </w:r>
      <w:r>
        <w:t xml:space="preserve"> While this was known at the time of the AEMO and APA VTS forecasts, the compounding impacts of other factors are also relevant to how this change will impact GPG demand.</w:t>
      </w:r>
    </w:p>
  </w:footnote>
  <w:footnote w:id="6">
    <w:p w:rsidR="00225B6F" w:rsidRDefault="00225B6F" w:rsidP="00E71A25">
      <w:pPr>
        <w:pStyle w:val="FootnoteText"/>
      </w:pPr>
      <w:r>
        <w:rPr>
          <w:rStyle w:val="FootnoteReference"/>
        </w:rPr>
        <w:footnoteRef/>
      </w:r>
      <w:r>
        <w:t xml:space="preserve"> The capacity of the SWP towards Melbourne was listed in the January AA proposal as 102TJ/day. AEMO has since revised its forecast of 1-in-20 demand in the VTS and subsequently increased the current available withdrawal capacity of the SWP to 104TJ/day. The incremental capacity delivered by the </w:t>
      </w:r>
      <w:r w:rsidRPr="00F46F7E">
        <w:t>Brooklyn Compressor Station reconfiguration and Winchelsea bidirectionality work</w:t>
      </w:r>
      <w:r>
        <w:t>, and the WORM is therefore added to this revised capacity number to achieve a total withdrawal capacity of 220TJ/day.</w:t>
      </w:r>
    </w:p>
  </w:footnote>
  <w:footnote w:id="7">
    <w:p w:rsidR="00225B6F" w:rsidRDefault="00225B6F" w:rsidP="00E71A25">
      <w:pPr>
        <w:pStyle w:val="FootnoteText"/>
      </w:pPr>
      <w:r>
        <w:rPr>
          <w:rStyle w:val="FootnoteReference"/>
        </w:rPr>
        <w:footnoteRef/>
      </w:r>
      <w:r>
        <w:t xml:space="preserve"> The capacity of the SWP towards Melbourne was listed in the January AA proposal as 429TJ/day. AEMO has since revised its forecast of 1-in-20 demand in the VTS and subsequently reduced the current available injection capacity of the SWP to 413TJ/day. The incremental capacity delivered by the WORM is therefore added to this revised capacity number to achieve a total injection capacity of 435TJ/day. </w:t>
      </w:r>
    </w:p>
  </w:footnote>
  <w:footnote w:id="8">
    <w:p w:rsidR="00225B6F" w:rsidRDefault="00225B6F" w:rsidP="00DD1554">
      <w:pPr>
        <w:pStyle w:val="FootnoteText"/>
      </w:pPr>
      <w:r>
        <w:rPr>
          <w:rStyle w:val="FootnoteReference"/>
        </w:rPr>
        <w:footnoteRef/>
      </w:r>
      <w:r>
        <w:t xml:space="preserve"> AEMO </w:t>
      </w:r>
      <w:r w:rsidRPr="00E866B2">
        <w:t>2016</w:t>
      </w:r>
      <w:r>
        <w:t xml:space="preserve">, </w:t>
      </w:r>
      <w:r>
        <w:rPr>
          <w:i/>
        </w:rPr>
        <w:t>NGFR</w:t>
      </w:r>
      <w:r>
        <w:t>, pp 8, 25</w:t>
      </w:r>
    </w:p>
  </w:footnote>
  <w:footnote w:id="9">
    <w:p w:rsidR="00225B6F" w:rsidRDefault="00225B6F" w:rsidP="00DD1554">
      <w:pPr>
        <w:pStyle w:val="FootnoteText"/>
      </w:pPr>
      <w:r>
        <w:rPr>
          <w:rStyle w:val="FootnoteReference"/>
        </w:rPr>
        <w:footnoteRef/>
      </w:r>
      <w:r>
        <w:t xml:space="preserve"> Note that AEMO considers the Neutral, Weak and Strong scenarios are all credible [NGFR p 8]</w:t>
      </w:r>
    </w:p>
  </w:footnote>
  <w:footnote w:id="10">
    <w:p w:rsidR="00225B6F" w:rsidRDefault="00225B6F">
      <w:pPr>
        <w:pStyle w:val="FootnoteText"/>
      </w:pPr>
      <w:r>
        <w:rPr>
          <w:rStyle w:val="FootnoteReference"/>
        </w:rPr>
        <w:footnoteRef/>
      </w:r>
      <w:r>
        <w:t xml:space="preserve"> </w:t>
      </w:r>
      <w:proofErr w:type="gramStart"/>
      <w:r>
        <w:t>Caused by the cascading impact on both electricity and gas pricing, driven by the continuation of the Portland Aluminium smelter and the Hazelwood closure, with the combined electricity production shortfall and increased demand being at least partially met by GPG in tight gas supply conditions.</w:t>
      </w:r>
      <w:proofErr w:type="gramEnd"/>
    </w:p>
  </w:footnote>
  <w:footnote w:id="11">
    <w:p w:rsidR="00225B6F" w:rsidRDefault="00225B6F">
      <w:pPr>
        <w:pStyle w:val="FootnoteText"/>
      </w:pPr>
      <w:r>
        <w:rPr>
          <w:rStyle w:val="FootnoteReference"/>
        </w:rPr>
        <w:footnoteRef/>
      </w:r>
      <w:r>
        <w:t xml:space="preserve"> APA VTS 2017, </w:t>
      </w:r>
      <w:r w:rsidRPr="00DD1554">
        <w:rPr>
          <w:i/>
        </w:rPr>
        <w:t>Victorian Transmission System: Access arrangement submission</w:t>
      </w:r>
      <w:r>
        <w:t>; 3 January, p 31</w:t>
      </w:r>
    </w:p>
  </w:footnote>
  <w:footnote w:id="12">
    <w:p w:rsidR="00225B6F" w:rsidRDefault="00225B6F">
      <w:pPr>
        <w:pStyle w:val="FootnoteText"/>
      </w:pPr>
      <w:r>
        <w:rPr>
          <w:rStyle w:val="FootnoteReference"/>
        </w:rPr>
        <w:footnoteRef/>
      </w:r>
      <w:r>
        <w:t xml:space="preserve"> It is noteworthy that, in contrast to AEMO’s VGPR forecasts, the APA VTS GPG forecast features 1) the Hazelwood closure; 2) the Portland Aluminium continuation; and 3) dispatch of VTS-connected GPG in preference to non VTS-connected GPG.</w:t>
      </w:r>
    </w:p>
  </w:footnote>
  <w:footnote w:id="13">
    <w:p w:rsidR="00225B6F" w:rsidRDefault="00225B6F" w:rsidP="00BE4026">
      <w:pPr>
        <w:pStyle w:val="FootnoteText"/>
      </w:pPr>
      <w:r>
        <w:rPr>
          <w:rStyle w:val="FootnoteReference"/>
        </w:rPr>
        <w:footnoteRef/>
      </w:r>
      <w:r>
        <w:t xml:space="preserve"> Australian Energy Regulator 2012, </w:t>
      </w:r>
      <w:r w:rsidRPr="00BE4026">
        <w:rPr>
          <w:i/>
        </w:rPr>
        <w:t>Access arrangement draft decision: APA GasNet Australia (Operations) Pty Ltd 2013-17, Part 2</w:t>
      </w:r>
      <w:r>
        <w:t>, September, p 59</w:t>
      </w:r>
    </w:p>
  </w:footnote>
  <w:footnote w:id="14">
    <w:p w:rsidR="00225B6F" w:rsidRDefault="00225B6F">
      <w:pPr>
        <w:pStyle w:val="FootnoteText"/>
      </w:pPr>
      <w:r>
        <w:rPr>
          <w:rStyle w:val="FootnoteReference"/>
        </w:rPr>
        <w:footnoteRef/>
      </w:r>
      <w:r>
        <w:t xml:space="preserve"> Australian Energy Regulatory 2013, </w:t>
      </w:r>
      <w:r w:rsidRPr="000B69BB">
        <w:rPr>
          <w:i/>
        </w:rPr>
        <w:t>Access arrangement draft decision: APA GasNet Australia (Operations) Pty Ltd</w:t>
      </w:r>
      <w:r>
        <w:rPr>
          <w:i/>
        </w:rPr>
        <w:t>,</w:t>
      </w:r>
      <w:r w:rsidRPr="000B69BB">
        <w:rPr>
          <w:i/>
        </w:rPr>
        <w:t xml:space="preserve"> 2013-17</w:t>
      </w:r>
      <w:r>
        <w:rPr>
          <w:i/>
        </w:rPr>
        <w:t>,</w:t>
      </w:r>
      <w:r w:rsidRPr="000B69BB">
        <w:rPr>
          <w:i/>
        </w:rPr>
        <w:t xml:space="preserve"> Part 2: Attachments</w:t>
      </w:r>
      <w:r>
        <w:t>, March, p 56</w:t>
      </w:r>
    </w:p>
  </w:footnote>
  <w:footnote w:id="15">
    <w:p w:rsidR="00225B6F" w:rsidRDefault="00225B6F" w:rsidP="00151C3A">
      <w:pPr>
        <w:pStyle w:val="FootnoteText"/>
      </w:pPr>
      <w:r>
        <w:rPr>
          <w:rStyle w:val="FootnoteReference"/>
        </w:rPr>
        <w:footnoteRef/>
      </w:r>
      <w:r>
        <w:t xml:space="preserve"> Australian Energy Market Operator 2017, Gas Statement of Opportunities, March, p7</w:t>
      </w:r>
    </w:p>
  </w:footnote>
  <w:footnote w:id="16">
    <w:p w:rsidR="00225B6F" w:rsidRDefault="00225B6F">
      <w:pPr>
        <w:pStyle w:val="FootnoteText"/>
      </w:pPr>
      <w:r>
        <w:rPr>
          <w:rStyle w:val="FootnoteReference"/>
        </w:rPr>
        <w:footnoteRef/>
      </w:r>
      <w:r>
        <w:t xml:space="preserve"> The eastbound capacity of the SWP was projected to be 429TJ/day in 2018. Changes to the AEMO peak day forecast have reduced this to 413TJ/day.</w:t>
      </w:r>
    </w:p>
  </w:footnote>
  <w:footnote w:id="17">
    <w:p w:rsidR="00225B6F" w:rsidRDefault="00225B6F">
      <w:pPr>
        <w:pStyle w:val="FootnoteText"/>
      </w:pPr>
      <w:r>
        <w:rPr>
          <w:rStyle w:val="FootnoteReference"/>
        </w:rPr>
        <w:footnoteRef/>
      </w:r>
      <w:r>
        <w:t xml:space="preserve"> Note that fuel gas is charged directly to Market Participants by AEMO. While this is a saving for market participants, that saving will not be reflected in VTS tariffs. More detail on this is at section </w:t>
      </w:r>
      <w:r>
        <w:fldChar w:fldCharType="begin"/>
      </w:r>
      <w:r>
        <w:instrText xml:space="preserve"> REF _Ref482344170 \r \h </w:instrText>
      </w:r>
      <w:r>
        <w:fldChar w:fldCharType="separate"/>
      </w:r>
      <w:r w:rsidR="006D055F">
        <w:t>8.1.2</w:t>
      </w:r>
      <w:r>
        <w:fldChar w:fldCharType="end"/>
      </w:r>
      <w:r>
        <w:t xml:space="preserve"> of this submission.</w:t>
      </w:r>
    </w:p>
  </w:footnote>
  <w:footnote w:id="18">
    <w:p w:rsidR="00225B6F" w:rsidRDefault="00225B6F" w:rsidP="00AC6EB7">
      <w:pPr>
        <w:pStyle w:val="FootnoteText"/>
      </w:pPr>
      <w:r>
        <w:rPr>
          <w:rStyle w:val="FootnoteReference"/>
        </w:rPr>
        <w:footnoteRef/>
      </w:r>
      <w:r>
        <w:t xml:space="preserve"> </w:t>
      </w:r>
      <w:proofErr w:type="gramStart"/>
      <w:r>
        <w:t>AEMO, Victorian Gas Planning Report, March 2017, p 85.</w:t>
      </w:r>
      <w:proofErr w:type="gramEnd"/>
    </w:p>
  </w:footnote>
  <w:footnote w:id="19">
    <w:p w:rsidR="00225B6F" w:rsidRDefault="00225B6F">
      <w:pPr>
        <w:pStyle w:val="FootnoteText"/>
      </w:pPr>
      <w:r>
        <w:rPr>
          <w:rStyle w:val="FootnoteReference"/>
        </w:rPr>
        <w:footnoteRef/>
      </w:r>
      <w:r>
        <w:t xml:space="preserve"> AEMO 2017, </w:t>
      </w:r>
      <w:r w:rsidRPr="000D606A">
        <w:rPr>
          <w:i/>
        </w:rPr>
        <w:t>Victorian Gas Planning Report</w:t>
      </w:r>
      <w:r>
        <w:t>, March, p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4111"/>
    </w:tblGrid>
    <w:tr w:rsidR="00225B6F">
      <w:trPr>
        <w:trHeight w:hRule="exact" w:val="220"/>
      </w:trPr>
      <w:tc>
        <w:tcPr>
          <w:tcW w:w="4111" w:type="dxa"/>
        </w:tcPr>
        <w:p w:rsidR="00225B6F" w:rsidRDefault="00225B6F">
          <w:pPr>
            <w:pStyle w:val="Header"/>
            <w:framePr w:hSpace="181" w:wrap="around" w:vAnchor="text" w:hAnchor="text" w:xAlign="right" w:y="1"/>
            <w:rPr>
              <w:b/>
            </w:rPr>
          </w:pPr>
          <w:r>
            <w:rPr>
              <w:b/>
            </w:rPr>
            <w:fldChar w:fldCharType="begin"/>
          </w:r>
          <w:r>
            <w:rPr>
              <w:b/>
            </w:rPr>
            <w:instrText xml:space="preserve"> DocProperty KISClient \* charformat </w:instrText>
          </w:r>
          <w:r>
            <w:rPr>
              <w:b/>
            </w:rPr>
            <w:fldChar w:fldCharType="separate"/>
          </w:r>
          <w:r w:rsidR="006D055F">
            <w:rPr>
              <w:b/>
            </w:rPr>
            <w:t>Client name</w:t>
          </w:r>
          <w:r>
            <w:rPr>
              <w:b/>
            </w:rPr>
            <w:fldChar w:fldCharType="end"/>
          </w:r>
        </w:p>
      </w:tc>
    </w:tr>
    <w:tr w:rsidR="00225B6F">
      <w:trPr>
        <w:trHeight w:hRule="exact" w:val="220"/>
      </w:trPr>
      <w:tc>
        <w:tcPr>
          <w:tcW w:w="4111" w:type="dxa"/>
        </w:tcPr>
        <w:p w:rsidR="00225B6F" w:rsidRDefault="006D055F">
          <w:pPr>
            <w:pStyle w:val="Header"/>
            <w:framePr w:hSpace="181" w:wrap="around" w:vAnchor="text" w:hAnchor="text" w:xAlign="right" w:y="1"/>
          </w:pPr>
          <w:r>
            <w:fldChar w:fldCharType="begin"/>
          </w:r>
          <w:r>
            <w:instrText xml:space="preserve"> DocProperty KISSubject  \* charformat </w:instrText>
          </w:r>
          <w:r>
            <w:fldChar w:fldCharType="separate"/>
          </w:r>
          <w:r>
            <w:t>Report title</w:t>
          </w:r>
          <w:r>
            <w:fldChar w:fldCharType="end"/>
          </w:r>
        </w:p>
      </w:tc>
    </w:tr>
    <w:tr w:rsidR="00225B6F">
      <w:tc>
        <w:tcPr>
          <w:tcW w:w="4111" w:type="dxa"/>
        </w:tcPr>
        <w:p w:rsidR="006D055F" w:rsidRDefault="00225B6F">
          <w:pPr>
            <w:pStyle w:val="Header"/>
            <w:framePr w:hSpace="181" w:wrap="around" w:vAnchor="text" w:hAnchor="text" w:xAlign="right" w:y="1"/>
          </w:pPr>
          <w:r>
            <w:fldChar w:fldCharType="begin"/>
          </w:r>
          <w:r>
            <w:instrText xml:space="preserve"> DocProperty KISHdrInfo \* charformat </w:instrText>
          </w:r>
          <w:r>
            <w:fldChar w:fldCharType="separate"/>
          </w:r>
          <w:r w:rsidR="006D055F">
            <w:t>Core service or market</w:t>
          </w:r>
        </w:p>
        <w:p w:rsidR="00225B6F" w:rsidRDefault="006D055F">
          <w:pPr>
            <w:pStyle w:val="Header"/>
            <w:framePr w:hSpace="181" w:wrap="around" w:vAnchor="text" w:hAnchor="text" w:xAlign="right" w:y="1"/>
          </w:pPr>
          <w:r>
            <w:t>Date of issue</w:t>
          </w:r>
          <w:r w:rsidR="00225B6F">
            <w:fldChar w:fldCharType="end"/>
          </w:r>
        </w:p>
      </w:tc>
    </w:tr>
  </w:tbl>
  <w:p w:rsidR="00225B6F" w:rsidRDefault="006D055F">
    <w:pPr>
      <w:pStyle w:val="Header"/>
    </w:pPr>
    <w:r>
      <w:rPr>
        <w:noProof/>
        <w:lang w:val="en-US"/>
      </w:rPr>
      <w:pict>
        <v:group id="_x0000_s2055" style="position:absolute;left:0;text-align:left;margin-left:0;margin-top:0;width:54pt;height:45.2pt;z-index:251656704;mso-position-horizontal-relative:text;mso-position-vertical-relative:text" coordorigin="8361,885" coordsize="2431,2036">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6" type="#_x0000_t147" style="position:absolute;left:8592;top:885;width:1938;height:2017" adj="9173056,10800" fillcolor="blue" strokecolor="blue">
            <v:shadow color="#868686"/>
            <v:textpath style="font-family:&quot;Verdana&quot;;font-size:12pt" fitshape="t" trim="t" string="INFRASTRUCTURE AND REGULATION &#10;&#10;SERVICES"/>
          </v:shape>
          <v:oval id="_x0000_s2057" style="position:absolute;left:8361;top:1084;width:2431;height:1837;flip:y" filled="f" stroked="f">
            <v:textbox style="mso-next-textbox:#_x0000_s2057">
              <w:txbxContent>
                <w:p w:rsidR="00225B6F" w:rsidRPr="005458A4" w:rsidRDefault="00225B6F" w:rsidP="005A1209">
                  <w:pPr>
                    <w:jc w:val="center"/>
                    <w:rPr>
                      <w:b/>
                      <w:color w:val="FF6600"/>
                      <w:sz w:val="32"/>
                      <w:szCs w:val="32"/>
                    </w:rPr>
                  </w:pPr>
                  <w:r w:rsidRPr="005458A4">
                    <w:rPr>
                      <w:b/>
                      <w:color w:val="FF6600"/>
                      <w:sz w:val="32"/>
                      <w:szCs w:val="32"/>
                    </w:rPr>
                    <w:t>IRS</w:t>
                  </w:r>
                </w:p>
              </w:txbxContent>
            </v:textbox>
          </v:oval>
          <w10:wrap type="topAndBottom"/>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6F" w:rsidRDefault="00225B6F">
    <w:pPr>
      <w:pStyle w:val="Header"/>
      <w:tabs>
        <w:tab w:val="left" w:pos="284"/>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6F" w:rsidRDefault="00225B6F">
    <w:pPr>
      <w:pStyle w:val="Header"/>
      <w:rPr>
        <w:noProof/>
        <w:lang w:eastAsia="en-AU"/>
      </w:rPr>
    </w:pPr>
    <w:r w:rsidRPr="00F21E89">
      <w:rPr>
        <w:noProof/>
        <w:lang w:eastAsia="en-AU"/>
      </w:rPr>
      <w:drawing>
        <wp:anchor distT="0" distB="0" distL="114300" distR="114300" simplePos="0" relativeHeight="251679744" behindDoc="0" locked="0" layoutInCell="1" allowOverlap="1" wp14:anchorId="037DC3C8" wp14:editId="0ACC70B4">
          <wp:simplePos x="0" y="0"/>
          <wp:positionH relativeFrom="column">
            <wp:posOffset>3150235</wp:posOffset>
          </wp:positionH>
          <wp:positionV relativeFrom="paragraph">
            <wp:posOffset>176530</wp:posOffset>
          </wp:positionV>
          <wp:extent cx="2075815" cy="902970"/>
          <wp:effectExtent l="0" t="0" r="635" b="0"/>
          <wp:wrapThrough wrapText="bothSides">
            <wp:wrapPolygon edited="0">
              <wp:start x="595" y="0"/>
              <wp:lineTo x="0" y="1823"/>
              <wp:lineTo x="0" y="15038"/>
              <wp:lineTo x="15858" y="20506"/>
              <wp:lineTo x="17246" y="20506"/>
              <wp:lineTo x="17642" y="19595"/>
              <wp:lineTo x="21408" y="14582"/>
              <wp:lineTo x="21408" y="11392"/>
              <wp:lineTo x="18435" y="7291"/>
              <wp:lineTo x="14470" y="0"/>
              <wp:lineTo x="595" y="0"/>
            </wp:wrapPolygon>
          </wp:wrapThrough>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email">
                    <a:extLst>
                      <a:ext uri="{28A0092B-C50C-407E-A947-70E740481C1C}">
                        <a14:useLocalDpi xmlns:a14="http://schemas.microsoft.com/office/drawing/2010/main" val="0"/>
                      </a:ext>
                    </a:extLst>
                  </a:blip>
                  <a:srcRect b="-9211"/>
                  <a:stretch/>
                </pic:blipFill>
                <pic:spPr bwMode="auto">
                  <a:xfrm>
                    <a:off x="0" y="0"/>
                    <a:ext cx="2075815" cy="902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5B6F" w:rsidRDefault="00225B6F">
    <w:pPr>
      <w:pStyle w:val="Header"/>
      <w:rPr>
        <w:noProof/>
        <w:lang w:eastAsia="en-AU"/>
      </w:rPr>
    </w:pPr>
  </w:p>
  <w:p w:rsidR="00225B6F" w:rsidRDefault="00225B6F">
    <w:pPr>
      <w:pStyle w:val="Header"/>
    </w:pPr>
    <w:r>
      <w:rPr>
        <w:noProof/>
        <w:lang w:eastAsia="en-AU"/>
      </w:rPr>
      <mc:AlternateContent>
        <mc:Choice Requires="wpg">
          <w:drawing>
            <wp:anchor distT="0" distB="0" distL="114300" distR="114300" simplePos="0" relativeHeight="251686912" behindDoc="1" locked="0" layoutInCell="1" allowOverlap="1" wp14:anchorId="600C60D6" wp14:editId="55EBDB77">
              <wp:simplePos x="0" y="0"/>
              <wp:positionH relativeFrom="column">
                <wp:posOffset>3148693</wp:posOffset>
              </wp:positionH>
              <wp:positionV relativeFrom="paragraph">
                <wp:posOffset>4561840</wp:posOffset>
              </wp:positionV>
              <wp:extent cx="1800214" cy="4011476"/>
              <wp:effectExtent l="0" t="0" r="0" b="8255"/>
              <wp:wrapNone/>
              <wp:docPr id="3" name="Group 3"/>
              <wp:cNvGraphicFramePr/>
              <a:graphic xmlns:a="http://schemas.openxmlformats.org/drawingml/2006/main">
                <a:graphicData uri="http://schemas.microsoft.com/office/word/2010/wordprocessingGroup">
                  <wpg:wgp>
                    <wpg:cNvGrpSpPr/>
                    <wpg:grpSpPr>
                      <a:xfrm>
                        <a:off x="0" y="0"/>
                        <a:ext cx="1800214" cy="4011476"/>
                        <a:chOff x="0" y="0"/>
                        <a:chExt cx="1905000" cy="4245429"/>
                      </a:xfrm>
                    </wpg:grpSpPr>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51857" cy="4245429"/>
                        </a:xfrm>
                        <a:prstGeom prst="rect">
                          <a:avLst/>
                        </a:prstGeom>
                      </pic:spPr>
                    </pic:pic>
                    <pic:pic xmlns:pic="http://schemas.openxmlformats.org/drawingml/2006/picture">
                      <pic:nvPicPr>
                        <pic:cNvPr id="2" name="Picture 2"/>
                        <pic:cNvPicPr>
                          <a:picLocks noChangeAspect="1"/>
                        </pic:cNvPicPr>
                      </pic:nvPicPr>
                      <pic:blipFill rotWithShape="1">
                        <a:blip r:embed="rId2">
                          <a:extLst>
                            <a:ext uri="{28A0092B-C50C-407E-A947-70E740481C1C}">
                              <a14:useLocalDpi xmlns:a14="http://schemas.microsoft.com/office/drawing/2010/main" val="0"/>
                            </a:ext>
                          </a:extLst>
                        </a:blip>
                        <a:srcRect r="49505"/>
                        <a:stretch/>
                      </pic:blipFill>
                      <pic:spPr bwMode="auto">
                        <a:xfrm>
                          <a:off x="1273628" y="0"/>
                          <a:ext cx="631372" cy="424542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47.95pt;margin-top:359.2pt;width:141.75pt;height:315.85pt;z-index:-251629568;mso-width-relative:margin;mso-height-relative:margin" coordsize="19050,42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2518;height:42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PAAAAA2gAAAA8AAABkcnMvZG93bnJldi54bWxET01rwkAQvRf8D8sI3ppNSykas0oRCtae&#10;qhHa25Adk5DsbNhdk/Tfd4WCp+HxPiffTqYTAznfWFbwlKQgiEurG64UFKf3xyUIH5A1dpZJwS95&#10;2G5mDzlm2o78RcMxVCKGsM9QQR1Cn0npy5oM+sT2xJG7WGcwROgqqR2OMdx08jlNX6XBhmNDjT3t&#10;airb49Uo+Dz8tKt2GF/s1BX48W1pd9ak1GI+va1BBJrCXfzv3us4H26v3K7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5Ur88AAAADaAAAADwAAAAAAAAAAAAAAAACfAgAA&#10;ZHJzL2Rvd25yZXYueG1sUEsFBgAAAAAEAAQA9wAAAIwDAAAAAA==&#10;">
                <v:imagedata r:id="rId3" o:title=""/>
                <v:path arrowok="t"/>
              </v:shape>
              <v:shape id="Picture 2" o:spid="_x0000_s1028" type="#_x0000_t75" style="position:absolute;left:12736;width:6314;height:42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H18XFAAAA2gAAAA8AAABkcnMvZG93bnJldi54bWxEj0FrwkAUhO+C/2F5hd7Mph5EUlcpqYIX&#10;pdUKentkn0k0+zZmN5r667sFweMwM98wk1lnKnGlxpWWFbxFMQjizOqScwU/28VgDMJ5ZI2VZVLw&#10;Sw5m035vgom2N/6m68bnIkDYJaig8L5OpHRZQQZdZGvi4B1tY9AH2eRSN3gLcFPJYRyPpMGSw0KB&#10;NaUFZedNaxSsT+f1aDw/3fe7tL2k7df9kK8+lXp96T7eQXjq/DP8aC+1giH8Xwk3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R9fFxQAAANoAAAAPAAAAAAAAAAAAAAAA&#10;AJ8CAABkcnMvZG93bnJldi54bWxQSwUGAAAAAAQABAD3AAAAkQMAAAAA&#10;">
                <v:imagedata r:id="rId3" o:title="" cropright="32444f"/>
                <v:path arrowok="t"/>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6F" w:rsidRDefault="00225B6F">
    <w:pPr>
      <w:pStyle w:val="Header"/>
    </w:pPr>
    <w:r>
      <w:rPr>
        <w:noProof/>
        <w:lang w:eastAsia="en-AU"/>
      </w:rPr>
      <mc:AlternateContent>
        <mc:Choice Requires="wps">
          <w:drawing>
            <wp:anchor distT="0" distB="0" distL="114300" distR="114300" simplePos="0" relativeHeight="251673600" behindDoc="0" locked="0" layoutInCell="1" allowOverlap="1" wp14:anchorId="3DD6087F" wp14:editId="5710D092">
              <wp:simplePos x="0" y="0"/>
              <wp:positionH relativeFrom="column">
                <wp:posOffset>-117475</wp:posOffset>
              </wp:positionH>
              <wp:positionV relativeFrom="paragraph">
                <wp:posOffset>304800</wp:posOffset>
              </wp:positionV>
              <wp:extent cx="4478020" cy="716915"/>
              <wp:effectExtent l="0" t="0" r="0" b="6985"/>
              <wp:wrapThrough wrapText="bothSides">
                <wp:wrapPolygon edited="0">
                  <wp:start x="184" y="0"/>
                  <wp:lineTo x="184" y="21236"/>
                  <wp:lineTo x="21318" y="21236"/>
                  <wp:lineTo x="21318" y="0"/>
                  <wp:lineTo x="184" y="0"/>
                </wp:wrapPolygon>
              </wp:wrapThrough>
              <wp:docPr id="9" name="Text Box 9"/>
              <wp:cNvGraphicFramePr/>
              <a:graphic xmlns:a="http://schemas.openxmlformats.org/drawingml/2006/main">
                <a:graphicData uri="http://schemas.microsoft.com/office/word/2010/wordprocessingShape">
                  <wps:wsp>
                    <wps:cNvSpPr txBox="1"/>
                    <wps:spPr>
                      <a:xfrm>
                        <a:off x="0" y="0"/>
                        <a:ext cx="4478020" cy="71691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D055F" w:rsidRDefault="00225B6F" w:rsidP="006D055F">
                          <w:pPr>
                            <w:pStyle w:val="header-title"/>
                          </w:pPr>
                          <w:r>
                            <w:fldChar w:fldCharType="begin"/>
                          </w:r>
                          <w:r>
                            <w:instrText xml:space="preserve"> REF  Title  \* MERGEFORMAT </w:instrText>
                          </w:r>
                          <w:r>
                            <w:fldChar w:fldCharType="separate"/>
                          </w:r>
                          <w:proofErr w:type="spellStart"/>
                          <w:proofErr w:type="gramStart"/>
                          <w:r w:rsidR="006D055F">
                            <w:t>victorian</w:t>
                          </w:r>
                          <w:proofErr w:type="spellEnd"/>
                          <w:proofErr w:type="gramEnd"/>
                          <w:r w:rsidR="006D055F">
                            <w:t xml:space="preserve"> transmission system</w:t>
                          </w:r>
                        </w:p>
                        <w:p w:rsidR="00225B6F" w:rsidRPr="000A53EB" w:rsidRDefault="00225B6F" w:rsidP="009A07B3">
                          <w:pPr>
                            <w:pStyle w:val="header-title"/>
                          </w:pPr>
                          <w:r>
                            <w:fldChar w:fldCharType="end"/>
                          </w:r>
                          <w:r>
                            <w:rPr>
                              <w:rStyle w:val="red"/>
                            </w:rPr>
                            <w:fldChar w:fldCharType="begin"/>
                          </w:r>
                          <w:r>
                            <w:rPr>
                              <w:rStyle w:val="red"/>
                            </w:rPr>
                            <w:instrText xml:space="preserve"> REF  Subtitle  \* MERGEFORMAT </w:instrText>
                          </w:r>
                          <w:r>
                            <w:rPr>
                              <w:rStyle w:val="red"/>
                            </w:rPr>
                            <w:fldChar w:fldCharType="separate"/>
                          </w:r>
                          <w:proofErr w:type="gramStart"/>
                          <w:r w:rsidR="006D055F" w:rsidRPr="006D055F">
                            <w:rPr>
                              <w:rStyle w:val="red"/>
                            </w:rPr>
                            <w:t>supplementary</w:t>
                          </w:r>
                          <w:proofErr w:type="gramEnd"/>
                          <w:r w:rsidR="006D055F" w:rsidRPr="006D055F">
                            <w:rPr>
                              <w:rStyle w:val="red"/>
                            </w:rPr>
                            <w:t xml:space="preserve"> capital</w:t>
                          </w:r>
                          <w:r w:rsidR="006D055F" w:rsidRPr="006D055F">
                            <w:rPr>
                              <w:color w:val="C8102E"/>
                            </w:rPr>
                            <w:t xml:space="preserve"> </w:t>
                          </w:r>
                          <w:r w:rsidR="006D055F" w:rsidRPr="006D055F">
                            <w:rPr>
                              <w:rStyle w:val="red"/>
                            </w:rPr>
                            <w:t xml:space="preserve">expenditure </w:t>
                          </w:r>
                          <w:r w:rsidR="006D055F" w:rsidRPr="006D055F">
                            <w:t>submission</w:t>
                          </w:r>
                          <w:r>
                            <w:rPr>
                              <w:rStyle w:val="red"/>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9.25pt;margin-top:24pt;width:352.6pt;height:5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aPqwIAAKo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" filled="f" stroked="f">
              <v:textbox>
                <w:txbxContent>
                  <w:p w:rsidR="006D055F" w:rsidRDefault="00225B6F" w:rsidP="006D055F">
                    <w:pPr>
                      <w:pStyle w:val="header-title"/>
                    </w:pPr>
                    <w:r>
                      <w:fldChar w:fldCharType="begin"/>
                    </w:r>
                    <w:r>
                      <w:instrText xml:space="preserve"> REF  Title  \* MERGEFORMAT </w:instrText>
                    </w:r>
                    <w:r>
                      <w:fldChar w:fldCharType="separate"/>
                    </w:r>
                    <w:proofErr w:type="spellStart"/>
                    <w:proofErr w:type="gramStart"/>
                    <w:r w:rsidR="006D055F">
                      <w:t>victorian</w:t>
                    </w:r>
                    <w:proofErr w:type="spellEnd"/>
                    <w:proofErr w:type="gramEnd"/>
                    <w:r w:rsidR="006D055F">
                      <w:t xml:space="preserve"> transmission system</w:t>
                    </w:r>
                  </w:p>
                  <w:p w:rsidR="00225B6F" w:rsidRPr="000A53EB" w:rsidRDefault="00225B6F" w:rsidP="009A07B3">
                    <w:pPr>
                      <w:pStyle w:val="header-title"/>
                    </w:pPr>
                    <w:r>
                      <w:fldChar w:fldCharType="end"/>
                    </w:r>
                    <w:r>
                      <w:rPr>
                        <w:rStyle w:val="red"/>
                      </w:rPr>
                      <w:fldChar w:fldCharType="begin"/>
                    </w:r>
                    <w:r>
                      <w:rPr>
                        <w:rStyle w:val="red"/>
                      </w:rPr>
                      <w:instrText xml:space="preserve"> REF  Subtitle  \* MERGEFORMAT </w:instrText>
                    </w:r>
                    <w:r>
                      <w:rPr>
                        <w:rStyle w:val="red"/>
                      </w:rPr>
                      <w:fldChar w:fldCharType="separate"/>
                    </w:r>
                    <w:proofErr w:type="gramStart"/>
                    <w:r w:rsidR="006D055F" w:rsidRPr="006D055F">
                      <w:rPr>
                        <w:rStyle w:val="red"/>
                      </w:rPr>
                      <w:t>supplementary</w:t>
                    </w:r>
                    <w:proofErr w:type="gramEnd"/>
                    <w:r w:rsidR="006D055F" w:rsidRPr="006D055F">
                      <w:rPr>
                        <w:rStyle w:val="red"/>
                      </w:rPr>
                      <w:t xml:space="preserve"> capital</w:t>
                    </w:r>
                    <w:r w:rsidR="006D055F" w:rsidRPr="006D055F">
                      <w:rPr>
                        <w:color w:val="C8102E"/>
                      </w:rPr>
                      <w:t xml:space="preserve"> </w:t>
                    </w:r>
                    <w:r w:rsidR="006D055F" w:rsidRPr="006D055F">
                      <w:rPr>
                        <w:rStyle w:val="red"/>
                      </w:rPr>
                      <w:t xml:space="preserve">expenditure </w:t>
                    </w:r>
                    <w:r w:rsidR="006D055F" w:rsidRPr="006D055F">
                      <w:t>submission</w:t>
                    </w:r>
                    <w:r>
                      <w:rPr>
                        <w:rStyle w:val="red"/>
                      </w:rPr>
                      <w:fldChar w:fldCharType="end"/>
                    </w:r>
                  </w:p>
                </w:txbxContent>
              </v:textbox>
              <w10:wrap type="through"/>
            </v:shape>
          </w:pict>
        </mc:Fallback>
      </mc:AlternateContent>
    </w:r>
    <w:r w:rsidRPr="00F21E89">
      <w:rPr>
        <w:noProof/>
        <w:lang w:eastAsia="en-AU"/>
      </w:rPr>
      <w:drawing>
        <wp:anchor distT="0" distB="0" distL="114300" distR="114300" simplePos="0" relativeHeight="251659264" behindDoc="0" locked="0" layoutInCell="1" allowOverlap="1" wp14:anchorId="3B1E4D93" wp14:editId="1492E6C2">
          <wp:simplePos x="0" y="0"/>
          <wp:positionH relativeFrom="column">
            <wp:posOffset>3855720</wp:posOffset>
          </wp:positionH>
          <wp:positionV relativeFrom="page">
            <wp:posOffset>362585</wp:posOffset>
          </wp:positionV>
          <wp:extent cx="1656080" cy="660400"/>
          <wp:effectExtent l="0" t="0" r="1270" b="6350"/>
          <wp:wrapThrough wrapText="bothSides">
            <wp:wrapPolygon edited="0">
              <wp:start x="745" y="0"/>
              <wp:lineTo x="0" y="1869"/>
              <wp:lineTo x="0" y="16200"/>
              <wp:lineTo x="14411" y="19938"/>
              <wp:lineTo x="15156" y="21185"/>
              <wp:lineTo x="15405" y="21185"/>
              <wp:lineTo x="17641" y="21185"/>
              <wp:lineTo x="17890" y="21185"/>
              <wp:lineTo x="21368" y="15577"/>
              <wp:lineTo x="21368" y="13085"/>
              <wp:lineTo x="19132" y="9969"/>
              <wp:lineTo x="14411" y="0"/>
              <wp:lineTo x="745"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656080" cy="6604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6F" w:rsidRDefault="00225B6F">
    <w:pPr>
      <w:pStyle w:val="Header"/>
    </w:pPr>
    <w:r>
      <w:rPr>
        <w:noProof/>
        <w:lang w:eastAsia="en-AU"/>
      </w:rPr>
      <mc:AlternateContent>
        <mc:Choice Requires="wps">
          <w:drawing>
            <wp:anchor distT="0" distB="0" distL="114300" distR="114300" simplePos="0" relativeHeight="251677696" behindDoc="0" locked="0" layoutInCell="1" allowOverlap="1" wp14:anchorId="4E313B0A" wp14:editId="51B2CF4A">
              <wp:simplePos x="0" y="0"/>
              <wp:positionH relativeFrom="column">
                <wp:posOffset>-114935</wp:posOffset>
              </wp:positionH>
              <wp:positionV relativeFrom="paragraph">
                <wp:posOffset>302260</wp:posOffset>
              </wp:positionV>
              <wp:extent cx="4478400" cy="572400"/>
              <wp:effectExtent l="0" t="0" r="0" b="0"/>
              <wp:wrapThrough wrapText="bothSides">
                <wp:wrapPolygon edited="0">
                  <wp:start x="184" y="0"/>
                  <wp:lineTo x="184" y="20857"/>
                  <wp:lineTo x="21318" y="20857"/>
                  <wp:lineTo x="21318" y="0"/>
                  <wp:lineTo x="184" y="0"/>
                </wp:wrapPolygon>
              </wp:wrapThrough>
              <wp:docPr id="30" name="Text Box 30"/>
              <wp:cNvGraphicFramePr/>
              <a:graphic xmlns:a="http://schemas.openxmlformats.org/drawingml/2006/main">
                <a:graphicData uri="http://schemas.microsoft.com/office/word/2010/wordprocessingShape">
                  <wps:wsp>
                    <wps:cNvSpPr txBox="1"/>
                    <wps:spPr>
                      <a:xfrm>
                        <a:off x="0" y="0"/>
                        <a:ext cx="4478400" cy="5724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D055F" w:rsidRDefault="00225B6F" w:rsidP="006D055F">
                          <w:pPr>
                            <w:pStyle w:val="header-title"/>
                          </w:pPr>
                          <w:r>
                            <w:fldChar w:fldCharType="begin"/>
                          </w:r>
                          <w:r>
                            <w:instrText xml:space="preserve"> REF  Title  \* MERGEFORMAT </w:instrText>
                          </w:r>
                          <w:r>
                            <w:fldChar w:fldCharType="separate"/>
                          </w:r>
                          <w:proofErr w:type="spellStart"/>
                          <w:proofErr w:type="gramStart"/>
                          <w:r w:rsidR="006D055F">
                            <w:t>victorian</w:t>
                          </w:r>
                          <w:proofErr w:type="spellEnd"/>
                          <w:proofErr w:type="gramEnd"/>
                          <w:r w:rsidR="006D055F">
                            <w:t xml:space="preserve"> transmission system</w:t>
                          </w:r>
                        </w:p>
                        <w:p w:rsidR="000820D1" w:rsidRPr="000A53EB" w:rsidRDefault="00225B6F" w:rsidP="000820D1">
                          <w:pPr>
                            <w:pStyle w:val="header-title"/>
                          </w:pPr>
                          <w:r>
                            <w:fldChar w:fldCharType="end"/>
                          </w:r>
                          <w:r w:rsidR="000820D1">
                            <w:rPr>
                              <w:rStyle w:val="red"/>
                            </w:rPr>
                            <w:fldChar w:fldCharType="begin"/>
                          </w:r>
                          <w:r w:rsidR="000820D1">
                            <w:rPr>
                              <w:rStyle w:val="red"/>
                            </w:rPr>
                            <w:instrText xml:space="preserve"> REF  Subtitle  \* MERGEFORMAT </w:instrText>
                          </w:r>
                          <w:r w:rsidR="000820D1">
                            <w:rPr>
                              <w:rStyle w:val="red"/>
                            </w:rPr>
                            <w:fldChar w:fldCharType="separate"/>
                          </w:r>
                          <w:proofErr w:type="gramStart"/>
                          <w:r w:rsidR="006D055F" w:rsidRPr="006D055F">
                            <w:rPr>
                              <w:rStyle w:val="red"/>
                            </w:rPr>
                            <w:t>supplementary</w:t>
                          </w:r>
                          <w:proofErr w:type="gramEnd"/>
                          <w:r w:rsidR="006D055F" w:rsidRPr="006D055F">
                            <w:rPr>
                              <w:rStyle w:val="red"/>
                            </w:rPr>
                            <w:t xml:space="preserve"> capital</w:t>
                          </w:r>
                          <w:r w:rsidR="006D055F" w:rsidRPr="006D055F">
                            <w:rPr>
                              <w:color w:val="C8102E"/>
                            </w:rPr>
                            <w:t xml:space="preserve"> </w:t>
                          </w:r>
                          <w:r w:rsidR="006D055F" w:rsidRPr="006D055F">
                            <w:rPr>
                              <w:rStyle w:val="red"/>
                            </w:rPr>
                            <w:t xml:space="preserve">expenditure </w:t>
                          </w:r>
                          <w:r w:rsidR="006D055F" w:rsidRPr="006D055F">
                            <w:t>submission</w:t>
                          </w:r>
                          <w:r w:rsidR="000820D1">
                            <w:rPr>
                              <w:rStyle w:val="red"/>
                            </w:rPr>
                            <w:fldChar w:fldCharType="end"/>
                          </w:r>
                        </w:p>
                        <w:p w:rsidR="00225B6F" w:rsidRPr="000A53EB" w:rsidRDefault="00225B6F" w:rsidP="009A0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9" type="#_x0000_t202" style="position:absolute;left:0;text-align:left;margin-left:-9.05pt;margin-top:23.8pt;width:352.65pt;height:4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" filled="f" stroked="f">
              <v:textbox>
                <w:txbxContent>
                  <w:p w:rsidR="006D055F" w:rsidRDefault="00225B6F" w:rsidP="006D055F">
                    <w:pPr>
                      <w:pStyle w:val="header-title"/>
                    </w:pPr>
                    <w:r>
                      <w:fldChar w:fldCharType="begin"/>
                    </w:r>
                    <w:r>
                      <w:instrText xml:space="preserve"> REF  Title  \* MERGEFORMAT </w:instrText>
                    </w:r>
                    <w:r>
                      <w:fldChar w:fldCharType="separate"/>
                    </w:r>
                    <w:proofErr w:type="spellStart"/>
                    <w:proofErr w:type="gramStart"/>
                    <w:r w:rsidR="006D055F">
                      <w:t>victorian</w:t>
                    </w:r>
                    <w:proofErr w:type="spellEnd"/>
                    <w:proofErr w:type="gramEnd"/>
                    <w:r w:rsidR="006D055F">
                      <w:t xml:space="preserve"> transmission system</w:t>
                    </w:r>
                  </w:p>
                  <w:p w:rsidR="000820D1" w:rsidRPr="000A53EB" w:rsidRDefault="00225B6F" w:rsidP="000820D1">
                    <w:pPr>
                      <w:pStyle w:val="header-title"/>
                    </w:pPr>
                    <w:r>
                      <w:fldChar w:fldCharType="end"/>
                    </w:r>
                    <w:r w:rsidR="000820D1">
                      <w:rPr>
                        <w:rStyle w:val="red"/>
                      </w:rPr>
                      <w:fldChar w:fldCharType="begin"/>
                    </w:r>
                    <w:r w:rsidR="000820D1">
                      <w:rPr>
                        <w:rStyle w:val="red"/>
                      </w:rPr>
                      <w:instrText xml:space="preserve"> REF  Subtitle  \* MERGEFORMAT </w:instrText>
                    </w:r>
                    <w:r w:rsidR="000820D1">
                      <w:rPr>
                        <w:rStyle w:val="red"/>
                      </w:rPr>
                      <w:fldChar w:fldCharType="separate"/>
                    </w:r>
                    <w:proofErr w:type="gramStart"/>
                    <w:r w:rsidR="006D055F" w:rsidRPr="006D055F">
                      <w:rPr>
                        <w:rStyle w:val="red"/>
                      </w:rPr>
                      <w:t>supplementary</w:t>
                    </w:r>
                    <w:proofErr w:type="gramEnd"/>
                    <w:r w:rsidR="006D055F" w:rsidRPr="006D055F">
                      <w:rPr>
                        <w:rStyle w:val="red"/>
                      </w:rPr>
                      <w:t xml:space="preserve"> capital</w:t>
                    </w:r>
                    <w:r w:rsidR="006D055F" w:rsidRPr="006D055F">
                      <w:rPr>
                        <w:color w:val="C8102E"/>
                      </w:rPr>
                      <w:t xml:space="preserve"> </w:t>
                    </w:r>
                    <w:r w:rsidR="006D055F" w:rsidRPr="006D055F">
                      <w:rPr>
                        <w:rStyle w:val="red"/>
                      </w:rPr>
                      <w:t xml:space="preserve">expenditure </w:t>
                    </w:r>
                    <w:r w:rsidR="006D055F" w:rsidRPr="006D055F">
                      <w:t>submission</w:t>
                    </w:r>
                    <w:r w:rsidR="000820D1">
                      <w:rPr>
                        <w:rStyle w:val="red"/>
                      </w:rPr>
                      <w:fldChar w:fldCharType="end"/>
                    </w:r>
                  </w:p>
                  <w:p w:rsidR="00225B6F" w:rsidRPr="000A53EB" w:rsidRDefault="00225B6F" w:rsidP="009A07B3"/>
                </w:txbxContent>
              </v:textbox>
              <w10:wrap type="through"/>
            </v:shape>
          </w:pict>
        </mc:Fallback>
      </mc:AlternateContent>
    </w:r>
    <w:r w:rsidRPr="00F21E89">
      <w:rPr>
        <w:noProof/>
        <w:lang w:eastAsia="en-AU"/>
      </w:rPr>
      <w:drawing>
        <wp:anchor distT="0" distB="0" distL="114300" distR="114300" simplePos="0" relativeHeight="251688960" behindDoc="0" locked="0" layoutInCell="1" allowOverlap="1" wp14:anchorId="320D6AD1" wp14:editId="47C79065">
          <wp:simplePos x="0" y="0"/>
          <wp:positionH relativeFrom="column">
            <wp:posOffset>3954145</wp:posOffset>
          </wp:positionH>
          <wp:positionV relativeFrom="page">
            <wp:posOffset>514985</wp:posOffset>
          </wp:positionV>
          <wp:extent cx="1656080" cy="660400"/>
          <wp:effectExtent l="0" t="0" r="1270" b="6350"/>
          <wp:wrapThrough wrapText="bothSides">
            <wp:wrapPolygon edited="0">
              <wp:start x="745" y="0"/>
              <wp:lineTo x="0" y="1869"/>
              <wp:lineTo x="0" y="16200"/>
              <wp:lineTo x="14411" y="19938"/>
              <wp:lineTo x="15156" y="21185"/>
              <wp:lineTo x="15405" y="21185"/>
              <wp:lineTo x="17641" y="21185"/>
              <wp:lineTo x="17890" y="21185"/>
              <wp:lineTo x="21368" y="15577"/>
              <wp:lineTo x="21368" y="13085"/>
              <wp:lineTo x="19132" y="9969"/>
              <wp:lineTo x="14411" y="0"/>
              <wp:lineTo x="745"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656080" cy="66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728"/>
    <w:multiLevelType w:val="hybridMultilevel"/>
    <w:tmpl w:val="A6603B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2237F01"/>
    <w:multiLevelType w:val="hybridMultilevel"/>
    <w:tmpl w:val="F7B8EC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4A07144"/>
    <w:multiLevelType w:val="hybridMultilevel"/>
    <w:tmpl w:val="9AAC5AB0"/>
    <w:lvl w:ilvl="0" w:tplc="979CCFCC">
      <w:start w:val="1"/>
      <w:numFmt w:val="bullet"/>
      <w:pStyle w:val="ListBullet"/>
      <w:lvlText w:val=""/>
      <w:lvlJc w:val="left"/>
      <w:pPr>
        <w:ind w:left="360" w:hanging="360"/>
      </w:pPr>
      <w:rPr>
        <w:rFonts w:ascii="Symbol" w:hAnsi="Symbol" w:hint="default"/>
        <w:color w:val="C70F2E"/>
        <w:sz w:val="22"/>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9F7437"/>
    <w:multiLevelType w:val="hybridMultilevel"/>
    <w:tmpl w:val="62DC27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B332DA0"/>
    <w:multiLevelType w:val="hybridMultilevel"/>
    <w:tmpl w:val="094A9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493B15"/>
    <w:multiLevelType w:val="hybridMultilevel"/>
    <w:tmpl w:val="4B2A0EEE"/>
    <w:lvl w:ilvl="0" w:tplc="18EA42A2">
      <w:start w:val="1"/>
      <w:numFmt w:val="bullet"/>
      <w:pStyle w:val="AAdotpoint1"/>
      <w:lvlText w:val=""/>
      <w:lvlJc w:val="left"/>
      <w:pPr>
        <w:ind w:left="720" w:hanging="360"/>
      </w:pPr>
      <w:rPr>
        <w:rFonts w:ascii="Symbol" w:hAnsi="Symbol" w:hint="default"/>
      </w:rPr>
    </w:lvl>
    <w:lvl w:ilvl="1" w:tplc="427E2A88">
      <w:start w:val="1"/>
      <w:numFmt w:val="bullet"/>
      <w:pStyle w:val="AAdotpoin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AE3DD1"/>
    <w:multiLevelType w:val="singleLevel"/>
    <w:tmpl w:val="79B0F126"/>
    <w:lvl w:ilvl="0">
      <w:start w:val="1"/>
      <w:numFmt w:val="decimal"/>
      <w:lvlRestart w:val="0"/>
      <w:pStyle w:val="ParaNumbering"/>
      <w:lvlText w:val="%1"/>
      <w:lvlJc w:val="left"/>
      <w:pPr>
        <w:tabs>
          <w:tab w:val="num" w:pos="720"/>
        </w:tabs>
        <w:ind w:left="0" w:hanging="720"/>
      </w:pPr>
      <w:rPr>
        <w:rFonts w:hint="default"/>
        <w:b w:val="0"/>
        <w:sz w:val="20"/>
      </w:rPr>
    </w:lvl>
  </w:abstractNum>
  <w:abstractNum w:abstractNumId="7">
    <w:nsid w:val="3C3B60EA"/>
    <w:multiLevelType w:val="multilevel"/>
    <w:tmpl w:val="AE268E2C"/>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F501C49"/>
    <w:multiLevelType w:val="multilevel"/>
    <w:tmpl w:val="D3D6394A"/>
    <w:lvl w:ilvl="0">
      <w:start w:val="1"/>
      <w:numFmt w:val="upperLetter"/>
      <w:lvlText w:val="%1"/>
      <w:lvlJc w:val="left"/>
      <w:pPr>
        <w:tabs>
          <w:tab w:val="num" w:pos="0"/>
        </w:tabs>
        <w:ind w:left="0" w:hanging="964"/>
      </w:pPr>
      <w:rPr>
        <w:rFonts w:hint="default"/>
      </w:rPr>
    </w:lvl>
    <w:lvl w:ilvl="1">
      <w:start w:val="1"/>
      <w:numFmt w:val="decimal"/>
      <w:pStyle w:val="Heading2appendix2"/>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94817A7"/>
    <w:multiLevelType w:val="multilevel"/>
    <w:tmpl w:val="AE52EF9A"/>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nsid w:val="4ACB07A5"/>
    <w:multiLevelType w:val="hybridMultilevel"/>
    <w:tmpl w:val="8C0C4EBE"/>
    <w:lvl w:ilvl="0" w:tplc="691CBBFC">
      <w:start w:val="1"/>
      <w:numFmt w:val="decimal"/>
      <w:pStyle w:val="NumberList1"/>
      <w:lvlText w:val="%1."/>
      <w:lvlJc w:val="left"/>
      <w:pPr>
        <w:ind w:left="360" w:hanging="360"/>
      </w:pPr>
      <w:rPr>
        <w:rFonts w:ascii="Century Gothic" w:hAnsi="Century Gothic" w:hint="default"/>
        <w:b w:val="0"/>
        <w:i w:val="0"/>
        <w:color w:val="C70F2E"/>
        <w:sz w:val="20"/>
      </w:rPr>
    </w:lvl>
    <w:lvl w:ilvl="1" w:tplc="790E9B4A">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BF52D58"/>
    <w:multiLevelType w:val="multilevel"/>
    <w:tmpl w:val="9DD221BA"/>
    <w:name w:val="ParaNumbering"/>
    <w:styleLink w:val="ParaNumberingArial"/>
    <w:lvl w:ilvl="0">
      <w:start w:val="1"/>
      <w:numFmt w:val="decimal"/>
      <w:lvlRestart w:val="0"/>
      <w:lvlText w:val=""/>
      <w:lvlJc w:val="left"/>
      <w:pPr>
        <w:tabs>
          <w:tab w:val="num" w:pos="0"/>
        </w:tabs>
        <w:ind w:left="0" w:firstLine="0"/>
      </w:pPr>
      <w:rPr>
        <w:rFonts w:ascii="Arial" w:hAnsi="Arial"/>
        <w:b/>
        <w:color w:val="7F7E82"/>
        <w:sz w:val="32"/>
      </w:rPr>
    </w:lvl>
    <w:lvl w:ilvl="1">
      <w:start w:val="1"/>
      <w:numFmt w:val="decimal"/>
      <w:lvlText w:val=""/>
      <w:lvlJc w:val="left"/>
      <w:pPr>
        <w:tabs>
          <w:tab w:val="num" w:pos="0"/>
        </w:tabs>
        <w:ind w:left="0" w:firstLine="0"/>
      </w:pPr>
      <w:rPr>
        <w:rFonts w:ascii="Arial" w:hAnsi="Arial" w:hint="default"/>
        <w:b/>
        <w:color w:val="000000"/>
        <w:sz w:val="28"/>
      </w:rPr>
    </w:lvl>
    <w:lvl w:ilvl="2">
      <w:start w:val="1"/>
      <w:numFmt w:val="decimal"/>
      <w:lvlRestart w:val="1"/>
      <w:lvlText w:val=""/>
      <w:lvlJc w:val="left"/>
      <w:pPr>
        <w:tabs>
          <w:tab w:val="num" w:pos="0"/>
        </w:tabs>
        <w:ind w:left="0" w:firstLine="0"/>
      </w:pPr>
      <w:rPr>
        <w:rFonts w:ascii="Arial" w:hAnsi="Arial" w:hint="default"/>
        <w:b/>
        <w:color w:val="000000"/>
        <w:sz w:val="24"/>
      </w:rPr>
    </w:lvl>
    <w:lvl w:ilvl="3">
      <w:start w:val="1"/>
      <w:numFmt w:val="decimal"/>
      <w:lvlRestart w:val="1"/>
      <w:lvlText w:val=""/>
      <w:lvlJc w:val="left"/>
      <w:pPr>
        <w:tabs>
          <w:tab w:val="num" w:pos="0"/>
        </w:tabs>
        <w:ind w:left="0" w:firstLine="0"/>
      </w:pPr>
      <w:rPr>
        <w:rFonts w:ascii="Arial" w:hAnsi="Arial" w:hint="default"/>
        <w:b/>
        <w:color w:val="000000"/>
        <w:sz w:val="20"/>
      </w:rPr>
    </w:lvl>
    <w:lvl w:ilvl="4">
      <w:start w:val="1"/>
      <w:numFmt w:val="decimal"/>
      <w:lvlRestart w:val="1"/>
      <w:pStyle w:val="EYBodytextwithparaspace"/>
      <w:lvlText w:val=""/>
      <w:lvlJc w:val="left"/>
      <w:pPr>
        <w:tabs>
          <w:tab w:val="num" w:pos="0"/>
        </w:tabs>
        <w:ind w:left="0" w:firstLine="0"/>
      </w:pPr>
      <w:rPr>
        <w:rFonts w:ascii="Arial" w:hAnsi="Arial" w:hint="default"/>
        <w:b w:val="0"/>
        <w:color w:val="000000"/>
        <w:sz w:val="20"/>
      </w:rPr>
    </w:lvl>
    <w:lvl w:ilvl="5">
      <w:start w:val="1"/>
      <w:numFmt w:val="none"/>
      <w:lvlText w:val=""/>
      <w:lvlJc w:val="left"/>
      <w:pPr>
        <w:tabs>
          <w:tab w:val="num" w:pos="0"/>
        </w:tabs>
        <w:ind w:left="0" w:firstLine="0"/>
      </w:pPr>
      <w:rPr>
        <w:rFonts w:ascii="Arial" w:hAnsi="Arial" w:hint="default"/>
      </w:rPr>
    </w:lvl>
    <w:lvl w:ilvl="6">
      <w:start w:val="1"/>
      <w:numFmt w:val="none"/>
      <w:lvlText w:val=""/>
      <w:lvlJc w:val="left"/>
      <w:pPr>
        <w:tabs>
          <w:tab w:val="num" w:pos="0"/>
        </w:tabs>
        <w:ind w:left="0" w:firstLine="0"/>
      </w:pPr>
      <w:rPr>
        <w:rFonts w:ascii="Arial" w:hAnsi="Arial" w:hint="default"/>
      </w:rPr>
    </w:lvl>
    <w:lvl w:ilvl="7">
      <w:start w:val="1"/>
      <w:numFmt w:val="none"/>
      <w:lvlText w:val=""/>
      <w:lvlJc w:val="left"/>
      <w:pPr>
        <w:tabs>
          <w:tab w:val="num" w:pos="0"/>
        </w:tabs>
        <w:ind w:left="0" w:firstLine="0"/>
      </w:pPr>
      <w:rPr>
        <w:rFonts w:ascii="Arial" w:hAnsi="Arial" w:hint="default"/>
      </w:rPr>
    </w:lvl>
    <w:lvl w:ilvl="8">
      <w:start w:val="1"/>
      <w:numFmt w:val="none"/>
      <w:lvlText w:val=""/>
      <w:lvlJc w:val="left"/>
      <w:pPr>
        <w:tabs>
          <w:tab w:val="num" w:pos="0"/>
        </w:tabs>
        <w:ind w:left="0" w:firstLine="0"/>
      </w:pPr>
      <w:rPr>
        <w:rFonts w:ascii="Arial" w:hAnsi="Arial" w:hint="default"/>
      </w:rPr>
    </w:lvl>
  </w:abstractNum>
  <w:abstractNum w:abstractNumId="12">
    <w:nsid w:val="4CD9582A"/>
    <w:multiLevelType w:val="hybridMultilevel"/>
    <w:tmpl w:val="0F302172"/>
    <w:lvl w:ilvl="0" w:tplc="DD6E63DE">
      <w:start w:val="1"/>
      <w:numFmt w:val="lowerLetter"/>
      <w:pStyle w:val="NumberList2"/>
      <w:lvlText w:val="%1."/>
      <w:lvlJc w:val="left"/>
      <w:pPr>
        <w:ind w:left="1211" w:hanging="360"/>
      </w:pPr>
      <w:rPr>
        <w:rFonts w:ascii="Century Gothic" w:hAnsi="Century Gothic" w:hint="default"/>
        <w:b w:val="0"/>
        <w:i w:val="0"/>
        <w:color w:val="C70F2E"/>
        <w:sz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70B65200"/>
    <w:multiLevelType w:val="hybridMultilevel"/>
    <w:tmpl w:val="9AF63A96"/>
    <w:lvl w:ilvl="0" w:tplc="DC682098">
      <w:start w:val="1"/>
      <w:numFmt w:val="bullet"/>
      <w:pStyle w:val="ListBullet2"/>
      <w:lvlText w:val=""/>
      <w:lvlJc w:val="left"/>
      <w:pPr>
        <w:ind w:left="927" w:hanging="360"/>
      </w:pPr>
      <w:rPr>
        <w:rFonts w:ascii="Wingdings" w:hAnsi="Wingdings" w:cs="Times New Roman" w:hint="default"/>
        <w:b/>
        <w:i w:val="0"/>
        <w:color w:val="C70F2E"/>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59C3C40"/>
    <w:multiLevelType w:val="hybridMultilevel"/>
    <w:tmpl w:val="075CA722"/>
    <w:lvl w:ilvl="0" w:tplc="F4EA6DF6">
      <w:start w:val="1"/>
      <w:numFmt w:val="lowerLetter"/>
      <w:pStyle w:val="BoardPaperLetterList1"/>
      <w:lvlText w:val="%1)"/>
      <w:lvlJc w:val="left"/>
      <w:pPr>
        <w:tabs>
          <w:tab w:val="num" w:pos="454"/>
        </w:tabs>
        <w:ind w:left="454" w:hanging="454"/>
      </w:pPr>
      <w:rPr>
        <w:rFonts w:ascii="Arial" w:hAnsi="Arial" w:hint="default"/>
        <w:b w:val="0"/>
        <w:i w:val="0"/>
        <w:sz w:val="24"/>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77E5F97"/>
    <w:multiLevelType w:val="multilevel"/>
    <w:tmpl w:val="0B808D70"/>
    <w:lvl w:ilvl="0">
      <w:start w:val="1"/>
      <w:numFmt w:val="upperLetter"/>
      <w:pStyle w:val="AppendixHeading"/>
      <w:lvlText w:val="%1"/>
      <w:lvlJc w:val="left"/>
      <w:pPr>
        <w:tabs>
          <w:tab w:val="num" w:pos="964"/>
        </w:tabs>
        <w:ind w:left="964" w:hanging="964"/>
      </w:pPr>
    </w:lvl>
    <w:lvl w:ilvl="1">
      <w:start w:val="1"/>
      <w:numFmt w:val="decimal"/>
      <w:pStyle w:val="AppendixHeading2"/>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tabs>
          <w:tab w:val="num" w:pos="4204"/>
        </w:tabs>
        <w:ind w:left="3844" w:firstLine="0"/>
      </w:pPr>
    </w:lvl>
    <w:lvl w:ilvl="5">
      <w:start w:val="1"/>
      <w:numFmt w:val="lowerLetter"/>
      <w:lvlText w:val="(%6)"/>
      <w:lvlJc w:val="left"/>
      <w:pPr>
        <w:tabs>
          <w:tab w:val="num" w:pos="4924"/>
        </w:tabs>
        <w:ind w:left="4564" w:firstLine="0"/>
      </w:pPr>
    </w:lvl>
    <w:lvl w:ilvl="6">
      <w:start w:val="1"/>
      <w:numFmt w:val="lowerRoman"/>
      <w:lvlText w:val="(%7)"/>
      <w:lvlJc w:val="left"/>
      <w:pPr>
        <w:tabs>
          <w:tab w:val="num" w:pos="5644"/>
        </w:tabs>
        <w:ind w:left="5284" w:firstLine="0"/>
      </w:pPr>
    </w:lvl>
    <w:lvl w:ilvl="7">
      <w:start w:val="1"/>
      <w:numFmt w:val="lowerLetter"/>
      <w:lvlText w:val="(%8)"/>
      <w:lvlJc w:val="left"/>
      <w:pPr>
        <w:tabs>
          <w:tab w:val="num" w:pos="6364"/>
        </w:tabs>
        <w:ind w:left="6004" w:firstLine="0"/>
      </w:pPr>
    </w:lvl>
    <w:lvl w:ilvl="8">
      <w:start w:val="1"/>
      <w:numFmt w:val="lowerRoman"/>
      <w:lvlText w:val="(%9)"/>
      <w:lvlJc w:val="left"/>
      <w:pPr>
        <w:tabs>
          <w:tab w:val="num" w:pos="7084"/>
        </w:tabs>
        <w:ind w:left="6724" w:firstLine="0"/>
      </w:pPr>
    </w:lvl>
  </w:abstractNum>
  <w:abstractNum w:abstractNumId="16">
    <w:nsid w:val="7B5E1071"/>
    <w:multiLevelType w:val="hybridMultilevel"/>
    <w:tmpl w:val="76AAFA3C"/>
    <w:lvl w:ilvl="0" w:tplc="7BF4A0E8">
      <w:start w:val="1"/>
      <w:numFmt w:val="lowerLetter"/>
      <w:lvlText w:val="(%1)"/>
      <w:lvlJc w:val="left"/>
      <w:pPr>
        <w:ind w:left="942" w:hanging="37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7"/>
  </w:num>
  <w:num w:numId="2">
    <w:abstractNumId w:val="15"/>
  </w:num>
  <w:num w:numId="3">
    <w:abstractNumId w:val="2"/>
  </w:num>
  <w:num w:numId="4">
    <w:abstractNumId w:val="13"/>
  </w:num>
  <w:num w:numId="5">
    <w:abstractNumId w:val="10"/>
  </w:num>
  <w:num w:numId="6">
    <w:abstractNumId w:val="12"/>
  </w:num>
  <w:num w:numId="7">
    <w:abstractNumId w:val="14"/>
  </w:num>
  <w:num w:numId="8">
    <w:abstractNumId w:val="8"/>
  </w:num>
  <w:num w:numId="9">
    <w:abstractNumId w:val="5"/>
  </w:num>
  <w:num w:numId="10">
    <w:abstractNumId w:val="11"/>
  </w:num>
  <w:num w:numId="11">
    <w:abstractNumId w:val="6"/>
  </w:num>
  <w:num w:numId="12">
    <w:abstractNumId w:val="9"/>
  </w:num>
  <w:num w:numId="13">
    <w:abstractNumId w:val="1"/>
  </w:num>
  <w:num w:numId="14">
    <w:abstractNumId w:val="3"/>
  </w:num>
  <w:num w:numId="15">
    <w:abstractNumId w:val="0"/>
  </w:num>
  <w:num w:numId="16">
    <w:abstractNumId w:val="16"/>
  </w:num>
  <w:num w:numId="17">
    <w:abstractNumId w:val="15"/>
  </w:num>
  <w:num w:numId="18">
    <w:abstractNumId w:val="15"/>
  </w:num>
  <w:num w:numId="19">
    <w:abstractNumId w:val="15"/>
  </w:num>
  <w:num w:numId="20">
    <w:abstractNumId w:val="7"/>
  </w:num>
  <w:num w:numId="21">
    <w:abstractNumId w:val="4"/>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oNotHyphenateCaps/>
  <w:drawingGridHorizontalSpacing w:val="181"/>
  <w:drawingGridVerticalSpacing w:val="181"/>
  <w:doNotUseMarginsForDrawingGridOrigin/>
  <w:drawingGridVerticalOrigin w:val="1985"/>
  <w:doNotShadeFormData/>
  <w:noPunctuationKerning/>
  <w:characterSpacingControl w:val="doNotCompress"/>
  <w:hdrShapeDefaults>
    <o:shapedefaults v:ext="edit" spidmax="2059">
      <o:colormru v:ext="edit" colors="#beafa8"/>
      <o:colormenu v:ext="edit" fillcolor="#beafa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3Paras" w:val="No"/>
    <w:docVar w:name="Orientation" w:val="Portrait"/>
    <w:docVar w:name="ReptStyle" w:val=" 0"/>
  </w:docVars>
  <w:rsids>
    <w:rsidRoot w:val="00B93F88"/>
    <w:rsid w:val="00001C7F"/>
    <w:rsid w:val="00002E3B"/>
    <w:rsid w:val="000036A7"/>
    <w:rsid w:val="00006712"/>
    <w:rsid w:val="00011191"/>
    <w:rsid w:val="000130BE"/>
    <w:rsid w:val="00015E31"/>
    <w:rsid w:val="00021BDD"/>
    <w:rsid w:val="00023543"/>
    <w:rsid w:val="00030038"/>
    <w:rsid w:val="000307DA"/>
    <w:rsid w:val="00034817"/>
    <w:rsid w:val="0003490A"/>
    <w:rsid w:val="0003548A"/>
    <w:rsid w:val="000354B5"/>
    <w:rsid w:val="00035608"/>
    <w:rsid w:val="000457ED"/>
    <w:rsid w:val="00046800"/>
    <w:rsid w:val="00047E3C"/>
    <w:rsid w:val="000510BB"/>
    <w:rsid w:val="00051372"/>
    <w:rsid w:val="00052B11"/>
    <w:rsid w:val="00053585"/>
    <w:rsid w:val="0005590E"/>
    <w:rsid w:val="00055D8D"/>
    <w:rsid w:val="00060171"/>
    <w:rsid w:val="0006105B"/>
    <w:rsid w:val="000627FF"/>
    <w:rsid w:val="0006384F"/>
    <w:rsid w:val="00065725"/>
    <w:rsid w:val="000657F0"/>
    <w:rsid w:val="0006582C"/>
    <w:rsid w:val="00066BCE"/>
    <w:rsid w:val="0007353F"/>
    <w:rsid w:val="00074638"/>
    <w:rsid w:val="00075F60"/>
    <w:rsid w:val="00080BFC"/>
    <w:rsid w:val="00081504"/>
    <w:rsid w:val="000820D1"/>
    <w:rsid w:val="0008250E"/>
    <w:rsid w:val="00084DB4"/>
    <w:rsid w:val="00084E6D"/>
    <w:rsid w:val="000864CD"/>
    <w:rsid w:val="0008651B"/>
    <w:rsid w:val="00086A99"/>
    <w:rsid w:val="0008731B"/>
    <w:rsid w:val="00087671"/>
    <w:rsid w:val="0009131F"/>
    <w:rsid w:val="000914B1"/>
    <w:rsid w:val="000A1014"/>
    <w:rsid w:val="000A3E9C"/>
    <w:rsid w:val="000A4D62"/>
    <w:rsid w:val="000A618A"/>
    <w:rsid w:val="000A7A2A"/>
    <w:rsid w:val="000A7CC0"/>
    <w:rsid w:val="000B204E"/>
    <w:rsid w:val="000B303F"/>
    <w:rsid w:val="000B39E9"/>
    <w:rsid w:val="000B609F"/>
    <w:rsid w:val="000B69BB"/>
    <w:rsid w:val="000C4D7C"/>
    <w:rsid w:val="000C7F39"/>
    <w:rsid w:val="000D31E5"/>
    <w:rsid w:val="000D4984"/>
    <w:rsid w:val="000D4D36"/>
    <w:rsid w:val="000D606A"/>
    <w:rsid w:val="000D7CDC"/>
    <w:rsid w:val="000E024D"/>
    <w:rsid w:val="000E11F6"/>
    <w:rsid w:val="000E1834"/>
    <w:rsid w:val="000E3591"/>
    <w:rsid w:val="000E4746"/>
    <w:rsid w:val="000E4BF3"/>
    <w:rsid w:val="000E796B"/>
    <w:rsid w:val="000F193F"/>
    <w:rsid w:val="000F37AA"/>
    <w:rsid w:val="000F3D7F"/>
    <w:rsid w:val="000F515A"/>
    <w:rsid w:val="00102FCF"/>
    <w:rsid w:val="001034D7"/>
    <w:rsid w:val="00105A25"/>
    <w:rsid w:val="00110FE7"/>
    <w:rsid w:val="001133C9"/>
    <w:rsid w:val="00115151"/>
    <w:rsid w:val="00117C95"/>
    <w:rsid w:val="0012029E"/>
    <w:rsid w:val="001202B9"/>
    <w:rsid w:val="00120EEA"/>
    <w:rsid w:val="00123CCC"/>
    <w:rsid w:val="00123E16"/>
    <w:rsid w:val="00123EB5"/>
    <w:rsid w:val="0012477B"/>
    <w:rsid w:val="0012679B"/>
    <w:rsid w:val="00133839"/>
    <w:rsid w:val="00134ECD"/>
    <w:rsid w:val="00137AAF"/>
    <w:rsid w:val="00141FED"/>
    <w:rsid w:val="001423B0"/>
    <w:rsid w:val="00142AC5"/>
    <w:rsid w:val="00142B0C"/>
    <w:rsid w:val="001436E4"/>
    <w:rsid w:val="0014532C"/>
    <w:rsid w:val="00147746"/>
    <w:rsid w:val="00151B7F"/>
    <w:rsid w:val="00151C3A"/>
    <w:rsid w:val="001522AE"/>
    <w:rsid w:val="00153601"/>
    <w:rsid w:val="00153844"/>
    <w:rsid w:val="00153DA9"/>
    <w:rsid w:val="00156A87"/>
    <w:rsid w:val="00156B9B"/>
    <w:rsid w:val="00157089"/>
    <w:rsid w:val="00162A5A"/>
    <w:rsid w:val="00163258"/>
    <w:rsid w:val="00163437"/>
    <w:rsid w:val="0016543C"/>
    <w:rsid w:val="00166A23"/>
    <w:rsid w:val="00167AAA"/>
    <w:rsid w:val="00171ED2"/>
    <w:rsid w:val="00172132"/>
    <w:rsid w:val="00174EDC"/>
    <w:rsid w:val="00175108"/>
    <w:rsid w:val="00180C11"/>
    <w:rsid w:val="00181A07"/>
    <w:rsid w:val="0019008D"/>
    <w:rsid w:val="001913CE"/>
    <w:rsid w:val="00192C04"/>
    <w:rsid w:val="00194078"/>
    <w:rsid w:val="00194ADC"/>
    <w:rsid w:val="001A18EE"/>
    <w:rsid w:val="001A1BAA"/>
    <w:rsid w:val="001A345E"/>
    <w:rsid w:val="001A58E2"/>
    <w:rsid w:val="001A6F28"/>
    <w:rsid w:val="001A79A0"/>
    <w:rsid w:val="001B0540"/>
    <w:rsid w:val="001B12CD"/>
    <w:rsid w:val="001B2D2F"/>
    <w:rsid w:val="001B59BE"/>
    <w:rsid w:val="001C21D0"/>
    <w:rsid w:val="001C2D20"/>
    <w:rsid w:val="001C561F"/>
    <w:rsid w:val="001D0902"/>
    <w:rsid w:val="001D4E25"/>
    <w:rsid w:val="001D5F2C"/>
    <w:rsid w:val="001D7B8D"/>
    <w:rsid w:val="001E1E75"/>
    <w:rsid w:val="001E4991"/>
    <w:rsid w:val="001E4DA4"/>
    <w:rsid w:val="001E5A85"/>
    <w:rsid w:val="001F127D"/>
    <w:rsid w:val="001F426A"/>
    <w:rsid w:val="001F6CD8"/>
    <w:rsid w:val="001F6EF1"/>
    <w:rsid w:val="001F7259"/>
    <w:rsid w:val="002016AB"/>
    <w:rsid w:val="00203AE8"/>
    <w:rsid w:val="00204AF3"/>
    <w:rsid w:val="00207607"/>
    <w:rsid w:val="00207F3E"/>
    <w:rsid w:val="00210328"/>
    <w:rsid w:val="00210D17"/>
    <w:rsid w:val="00212BEB"/>
    <w:rsid w:val="00216570"/>
    <w:rsid w:val="00217781"/>
    <w:rsid w:val="00217924"/>
    <w:rsid w:val="00217FF1"/>
    <w:rsid w:val="002218A1"/>
    <w:rsid w:val="00222C34"/>
    <w:rsid w:val="00225B6F"/>
    <w:rsid w:val="00226E9B"/>
    <w:rsid w:val="0022709C"/>
    <w:rsid w:val="002270F6"/>
    <w:rsid w:val="00227F64"/>
    <w:rsid w:val="0023115E"/>
    <w:rsid w:val="00233658"/>
    <w:rsid w:val="00233D71"/>
    <w:rsid w:val="002342CE"/>
    <w:rsid w:val="002347B4"/>
    <w:rsid w:val="00234B06"/>
    <w:rsid w:val="00235F74"/>
    <w:rsid w:val="0024215C"/>
    <w:rsid w:val="0024485B"/>
    <w:rsid w:val="00244B98"/>
    <w:rsid w:val="00246B1F"/>
    <w:rsid w:val="00246FC6"/>
    <w:rsid w:val="00250F47"/>
    <w:rsid w:val="00253D55"/>
    <w:rsid w:val="00255794"/>
    <w:rsid w:val="00261E37"/>
    <w:rsid w:val="002620E0"/>
    <w:rsid w:val="00263D76"/>
    <w:rsid w:val="002642D5"/>
    <w:rsid w:val="002647FA"/>
    <w:rsid w:val="00264B99"/>
    <w:rsid w:val="00264CC2"/>
    <w:rsid w:val="002653A8"/>
    <w:rsid w:val="0026660F"/>
    <w:rsid w:val="002715AD"/>
    <w:rsid w:val="002722FA"/>
    <w:rsid w:val="00273F1D"/>
    <w:rsid w:val="00276815"/>
    <w:rsid w:val="0028126A"/>
    <w:rsid w:val="00281F4E"/>
    <w:rsid w:val="002826BD"/>
    <w:rsid w:val="00282D05"/>
    <w:rsid w:val="0028341B"/>
    <w:rsid w:val="002864A9"/>
    <w:rsid w:val="00286C92"/>
    <w:rsid w:val="00286DD7"/>
    <w:rsid w:val="002909D7"/>
    <w:rsid w:val="00292C65"/>
    <w:rsid w:val="00292EE6"/>
    <w:rsid w:val="0029572B"/>
    <w:rsid w:val="002967BC"/>
    <w:rsid w:val="002A172E"/>
    <w:rsid w:val="002A18B7"/>
    <w:rsid w:val="002A2B31"/>
    <w:rsid w:val="002A3AB8"/>
    <w:rsid w:val="002A4277"/>
    <w:rsid w:val="002A44EB"/>
    <w:rsid w:val="002A5454"/>
    <w:rsid w:val="002A627E"/>
    <w:rsid w:val="002B07E9"/>
    <w:rsid w:val="002B0B75"/>
    <w:rsid w:val="002B111E"/>
    <w:rsid w:val="002B1250"/>
    <w:rsid w:val="002B3BE6"/>
    <w:rsid w:val="002B3FA6"/>
    <w:rsid w:val="002B4297"/>
    <w:rsid w:val="002B55F3"/>
    <w:rsid w:val="002B7BC9"/>
    <w:rsid w:val="002C0ED2"/>
    <w:rsid w:val="002C146E"/>
    <w:rsid w:val="002C1837"/>
    <w:rsid w:val="002C21E3"/>
    <w:rsid w:val="002C3B0E"/>
    <w:rsid w:val="002C5A8D"/>
    <w:rsid w:val="002C623C"/>
    <w:rsid w:val="002C67CA"/>
    <w:rsid w:val="002D128A"/>
    <w:rsid w:val="002D2180"/>
    <w:rsid w:val="002D3630"/>
    <w:rsid w:val="002D7046"/>
    <w:rsid w:val="002E0046"/>
    <w:rsid w:val="002E21DA"/>
    <w:rsid w:val="002E3339"/>
    <w:rsid w:val="002E5D18"/>
    <w:rsid w:val="002E638B"/>
    <w:rsid w:val="002E7F18"/>
    <w:rsid w:val="002F053D"/>
    <w:rsid w:val="002F090C"/>
    <w:rsid w:val="002F0ADA"/>
    <w:rsid w:val="002F14F5"/>
    <w:rsid w:val="002F2396"/>
    <w:rsid w:val="002F23E5"/>
    <w:rsid w:val="002F4883"/>
    <w:rsid w:val="002F48EF"/>
    <w:rsid w:val="002F60D3"/>
    <w:rsid w:val="00300671"/>
    <w:rsid w:val="003042E5"/>
    <w:rsid w:val="0030591D"/>
    <w:rsid w:val="00306774"/>
    <w:rsid w:val="00310C46"/>
    <w:rsid w:val="00311406"/>
    <w:rsid w:val="003115A7"/>
    <w:rsid w:val="00312203"/>
    <w:rsid w:val="003126F0"/>
    <w:rsid w:val="00314B1E"/>
    <w:rsid w:val="00315443"/>
    <w:rsid w:val="00315D72"/>
    <w:rsid w:val="0031726E"/>
    <w:rsid w:val="00317746"/>
    <w:rsid w:val="0032058A"/>
    <w:rsid w:val="0032107D"/>
    <w:rsid w:val="00322254"/>
    <w:rsid w:val="00322376"/>
    <w:rsid w:val="00322560"/>
    <w:rsid w:val="00324386"/>
    <w:rsid w:val="003250FB"/>
    <w:rsid w:val="00325784"/>
    <w:rsid w:val="00331522"/>
    <w:rsid w:val="00331E13"/>
    <w:rsid w:val="003343F5"/>
    <w:rsid w:val="00337EE3"/>
    <w:rsid w:val="003422D9"/>
    <w:rsid w:val="00342C04"/>
    <w:rsid w:val="00343997"/>
    <w:rsid w:val="00343B95"/>
    <w:rsid w:val="00343EC3"/>
    <w:rsid w:val="00344178"/>
    <w:rsid w:val="003461D0"/>
    <w:rsid w:val="00347346"/>
    <w:rsid w:val="0035187C"/>
    <w:rsid w:val="003529CB"/>
    <w:rsid w:val="00352EA9"/>
    <w:rsid w:val="00353248"/>
    <w:rsid w:val="003547DC"/>
    <w:rsid w:val="00356C44"/>
    <w:rsid w:val="00357625"/>
    <w:rsid w:val="003609D8"/>
    <w:rsid w:val="003615A4"/>
    <w:rsid w:val="003655AC"/>
    <w:rsid w:val="00370B6E"/>
    <w:rsid w:val="00370D81"/>
    <w:rsid w:val="00372A2C"/>
    <w:rsid w:val="00373E9F"/>
    <w:rsid w:val="00374297"/>
    <w:rsid w:val="00376189"/>
    <w:rsid w:val="003807AA"/>
    <w:rsid w:val="00382B2F"/>
    <w:rsid w:val="00384AF2"/>
    <w:rsid w:val="00384C59"/>
    <w:rsid w:val="003912D7"/>
    <w:rsid w:val="00392B49"/>
    <w:rsid w:val="00392D51"/>
    <w:rsid w:val="00396929"/>
    <w:rsid w:val="00397B0E"/>
    <w:rsid w:val="003A1415"/>
    <w:rsid w:val="003A24B4"/>
    <w:rsid w:val="003A3CA7"/>
    <w:rsid w:val="003A6A28"/>
    <w:rsid w:val="003B1AAA"/>
    <w:rsid w:val="003B21E1"/>
    <w:rsid w:val="003B2B3C"/>
    <w:rsid w:val="003B2E38"/>
    <w:rsid w:val="003B5ACD"/>
    <w:rsid w:val="003B7938"/>
    <w:rsid w:val="003C2F57"/>
    <w:rsid w:val="003D1EE9"/>
    <w:rsid w:val="003D42B3"/>
    <w:rsid w:val="003D5018"/>
    <w:rsid w:val="003D62F7"/>
    <w:rsid w:val="003D7948"/>
    <w:rsid w:val="003E2243"/>
    <w:rsid w:val="003E64D1"/>
    <w:rsid w:val="003E6C9C"/>
    <w:rsid w:val="003F2E4D"/>
    <w:rsid w:val="003F435A"/>
    <w:rsid w:val="003F5235"/>
    <w:rsid w:val="003F6F1D"/>
    <w:rsid w:val="003F70A0"/>
    <w:rsid w:val="00402C7F"/>
    <w:rsid w:val="00402DDE"/>
    <w:rsid w:val="004045DD"/>
    <w:rsid w:val="004048AE"/>
    <w:rsid w:val="0041130A"/>
    <w:rsid w:val="00412E3E"/>
    <w:rsid w:val="00415B7C"/>
    <w:rsid w:val="00421E72"/>
    <w:rsid w:val="00424167"/>
    <w:rsid w:val="004279A0"/>
    <w:rsid w:val="00433639"/>
    <w:rsid w:val="00433AF1"/>
    <w:rsid w:val="004344FD"/>
    <w:rsid w:val="004352A9"/>
    <w:rsid w:val="0043583A"/>
    <w:rsid w:val="004367E9"/>
    <w:rsid w:val="00441672"/>
    <w:rsid w:val="00441772"/>
    <w:rsid w:val="0044332C"/>
    <w:rsid w:val="00444080"/>
    <w:rsid w:val="00444989"/>
    <w:rsid w:val="004457F4"/>
    <w:rsid w:val="004465F1"/>
    <w:rsid w:val="004466FF"/>
    <w:rsid w:val="0045045C"/>
    <w:rsid w:val="004521CD"/>
    <w:rsid w:val="00460F87"/>
    <w:rsid w:val="00461316"/>
    <w:rsid w:val="00464A44"/>
    <w:rsid w:val="0046501D"/>
    <w:rsid w:val="00467965"/>
    <w:rsid w:val="004710FD"/>
    <w:rsid w:val="00473C45"/>
    <w:rsid w:val="00474934"/>
    <w:rsid w:val="00475AC4"/>
    <w:rsid w:val="00476A0A"/>
    <w:rsid w:val="00481D1C"/>
    <w:rsid w:val="00483E28"/>
    <w:rsid w:val="0048454F"/>
    <w:rsid w:val="00485415"/>
    <w:rsid w:val="00490338"/>
    <w:rsid w:val="004910B8"/>
    <w:rsid w:val="004A4426"/>
    <w:rsid w:val="004A4B16"/>
    <w:rsid w:val="004A640A"/>
    <w:rsid w:val="004A7041"/>
    <w:rsid w:val="004B10C1"/>
    <w:rsid w:val="004B454F"/>
    <w:rsid w:val="004B699F"/>
    <w:rsid w:val="004C01E8"/>
    <w:rsid w:val="004C3C23"/>
    <w:rsid w:val="004C59F1"/>
    <w:rsid w:val="004C5F91"/>
    <w:rsid w:val="004C7286"/>
    <w:rsid w:val="004D0306"/>
    <w:rsid w:val="004D05FE"/>
    <w:rsid w:val="004D14B1"/>
    <w:rsid w:val="004D1826"/>
    <w:rsid w:val="004D3F7B"/>
    <w:rsid w:val="004D5232"/>
    <w:rsid w:val="004D53AA"/>
    <w:rsid w:val="004D6314"/>
    <w:rsid w:val="004D7794"/>
    <w:rsid w:val="004E38EA"/>
    <w:rsid w:val="004E4A8A"/>
    <w:rsid w:val="004E5C2A"/>
    <w:rsid w:val="004E7F31"/>
    <w:rsid w:val="004F0C5B"/>
    <w:rsid w:val="004F0E96"/>
    <w:rsid w:val="004F2CC8"/>
    <w:rsid w:val="004F4026"/>
    <w:rsid w:val="004F4078"/>
    <w:rsid w:val="005008E3"/>
    <w:rsid w:val="005034C5"/>
    <w:rsid w:val="00503FE0"/>
    <w:rsid w:val="005063B3"/>
    <w:rsid w:val="005067DD"/>
    <w:rsid w:val="00507018"/>
    <w:rsid w:val="00511B07"/>
    <w:rsid w:val="00512AC1"/>
    <w:rsid w:val="00521341"/>
    <w:rsid w:val="00521424"/>
    <w:rsid w:val="00526ED0"/>
    <w:rsid w:val="005308D5"/>
    <w:rsid w:val="00534BBA"/>
    <w:rsid w:val="005405C2"/>
    <w:rsid w:val="00541D84"/>
    <w:rsid w:val="00545BFF"/>
    <w:rsid w:val="0055275F"/>
    <w:rsid w:val="005539F3"/>
    <w:rsid w:val="0055411D"/>
    <w:rsid w:val="00557292"/>
    <w:rsid w:val="0055732C"/>
    <w:rsid w:val="005605EB"/>
    <w:rsid w:val="00560C8C"/>
    <w:rsid w:val="0056151F"/>
    <w:rsid w:val="00562B23"/>
    <w:rsid w:val="00563012"/>
    <w:rsid w:val="0056418E"/>
    <w:rsid w:val="00564DD7"/>
    <w:rsid w:val="00567991"/>
    <w:rsid w:val="005679AF"/>
    <w:rsid w:val="005714F0"/>
    <w:rsid w:val="00571CA0"/>
    <w:rsid w:val="00572FEB"/>
    <w:rsid w:val="00575BFD"/>
    <w:rsid w:val="00580795"/>
    <w:rsid w:val="00581035"/>
    <w:rsid w:val="005813A9"/>
    <w:rsid w:val="00582810"/>
    <w:rsid w:val="005842E7"/>
    <w:rsid w:val="0058476E"/>
    <w:rsid w:val="00584FA4"/>
    <w:rsid w:val="005853FF"/>
    <w:rsid w:val="00585664"/>
    <w:rsid w:val="00593308"/>
    <w:rsid w:val="00594A66"/>
    <w:rsid w:val="005A1209"/>
    <w:rsid w:val="005A19C5"/>
    <w:rsid w:val="005A25B3"/>
    <w:rsid w:val="005A2DB4"/>
    <w:rsid w:val="005A492D"/>
    <w:rsid w:val="005B04EE"/>
    <w:rsid w:val="005B0F35"/>
    <w:rsid w:val="005B1B94"/>
    <w:rsid w:val="005B2BF9"/>
    <w:rsid w:val="005B3D71"/>
    <w:rsid w:val="005B52B8"/>
    <w:rsid w:val="005B7C42"/>
    <w:rsid w:val="005C01EF"/>
    <w:rsid w:val="005C2BE7"/>
    <w:rsid w:val="005C43EE"/>
    <w:rsid w:val="005C5E4E"/>
    <w:rsid w:val="005C7AE3"/>
    <w:rsid w:val="005D0072"/>
    <w:rsid w:val="005D0DA0"/>
    <w:rsid w:val="005D0F1A"/>
    <w:rsid w:val="005D1603"/>
    <w:rsid w:val="005D2CB5"/>
    <w:rsid w:val="005D42C8"/>
    <w:rsid w:val="005D5492"/>
    <w:rsid w:val="005D5E56"/>
    <w:rsid w:val="005E250D"/>
    <w:rsid w:val="005F1752"/>
    <w:rsid w:val="005F1868"/>
    <w:rsid w:val="005F4178"/>
    <w:rsid w:val="005F47CF"/>
    <w:rsid w:val="005F4DAD"/>
    <w:rsid w:val="005F50FA"/>
    <w:rsid w:val="005F5A9B"/>
    <w:rsid w:val="005F7BB2"/>
    <w:rsid w:val="005F7DF2"/>
    <w:rsid w:val="00601944"/>
    <w:rsid w:val="00601DD2"/>
    <w:rsid w:val="006026D4"/>
    <w:rsid w:val="006069CA"/>
    <w:rsid w:val="00606D5A"/>
    <w:rsid w:val="00607CD7"/>
    <w:rsid w:val="00614511"/>
    <w:rsid w:val="00616964"/>
    <w:rsid w:val="00617F01"/>
    <w:rsid w:val="006208FF"/>
    <w:rsid w:val="0063063F"/>
    <w:rsid w:val="00630672"/>
    <w:rsid w:val="00632D5C"/>
    <w:rsid w:val="00634981"/>
    <w:rsid w:val="006367E5"/>
    <w:rsid w:val="00636ACA"/>
    <w:rsid w:val="00636D5B"/>
    <w:rsid w:val="00642795"/>
    <w:rsid w:val="0064405E"/>
    <w:rsid w:val="006447C3"/>
    <w:rsid w:val="00645567"/>
    <w:rsid w:val="00652687"/>
    <w:rsid w:val="00653A27"/>
    <w:rsid w:val="0065457E"/>
    <w:rsid w:val="006561E0"/>
    <w:rsid w:val="0066047D"/>
    <w:rsid w:val="0067019F"/>
    <w:rsid w:val="00670267"/>
    <w:rsid w:val="006706A5"/>
    <w:rsid w:val="00671E70"/>
    <w:rsid w:val="006732A9"/>
    <w:rsid w:val="0067479E"/>
    <w:rsid w:val="006765CD"/>
    <w:rsid w:val="006769EC"/>
    <w:rsid w:val="00677E0E"/>
    <w:rsid w:val="00680B17"/>
    <w:rsid w:val="0068183C"/>
    <w:rsid w:val="0068568A"/>
    <w:rsid w:val="00685CB6"/>
    <w:rsid w:val="0069124B"/>
    <w:rsid w:val="00692106"/>
    <w:rsid w:val="006936B9"/>
    <w:rsid w:val="00697192"/>
    <w:rsid w:val="0069729C"/>
    <w:rsid w:val="00697470"/>
    <w:rsid w:val="006A09A7"/>
    <w:rsid w:val="006A4177"/>
    <w:rsid w:val="006A659A"/>
    <w:rsid w:val="006A79BE"/>
    <w:rsid w:val="006B169D"/>
    <w:rsid w:val="006B2EB3"/>
    <w:rsid w:val="006B7220"/>
    <w:rsid w:val="006C20DE"/>
    <w:rsid w:val="006C6E3E"/>
    <w:rsid w:val="006D055F"/>
    <w:rsid w:val="006D26DC"/>
    <w:rsid w:val="006D2DB1"/>
    <w:rsid w:val="006D5386"/>
    <w:rsid w:val="006E1541"/>
    <w:rsid w:val="006E425D"/>
    <w:rsid w:val="006E4A30"/>
    <w:rsid w:val="006E7A90"/>
    <w:rsid w:val="006E7ACC"/>
    <w:rsid w:val="006F01BE"/>
    <w:rsid w:val="006F2E00"/>
    <w:rsid w:val="006F4017"/>
    <w:rsid w:val="006F416F"/>
    <w:rsid w:val="006F5F57"/>
    <w:rsid w:val="006F63EE"/>
    <w:rsid w:val="006F6D99"/>
    <w:rsid w:val="006F717F"/>
    <w:rsid w:val="00703F5C"/>
    <w:rsid w:val="007040D2"/>
    <w:rsid w:val="007051B0"/>
    <w:rsid w:val="00706127"/>
    <w:rsid w:val="007101FD"/>
    <w:rsid w:val="00710645"/>
    <w:rsid w:val="00710C86"/>
    <w:rsid w:val="00710EE2"/>
    <w:rsid w:val="007129C6"/>
    <w:rsid w:val="00713312"/>
    <w:rsid w:val="00713780"/>
    <w:rsid w:val="00713F79"/>
    <w:rsid w:val="00714940"/>
    <w:rsid w:val="007215BB"/>
    <w:rsid w:val="007231CE"/>
    <w:rsid w:val="00727693"/>
    <w:rsid w:val="007316D7"/>
    <w:rsid w:val="007334B3"/>
    <w:rsid w:val="007344E1"/>
    <w:rsid w:val="0074239B"/>
    <w:rsid w:val="00743236"/>
    <w:rsid w:val="00743DF7"/>
    <w:rsid w:val="00744678"/>
    <w:rsid w:val="00744D77"/>
    <w:rsid w:val="00746BAE"/>
    <w:rsid w:val="00747A01"/>
    <w:rsid w:val="00756F42"/>
    <w:rsid w:val="00760581"/>
    <w:rsid w:val="00763FA3"/>
    <w:rsid w:val="00765979"/>
    <w:rsid w:val="007706B8"/>
    <w:rsid w:val="0077328E"/>
    <w:rsid w:val="00773961"/>
    <w:rsid w:val="00777582"/>
    <w:rsid w:val="007818FA"/>
    <w:rsid w:val="00781FB1"/>
    <w:rsid w:val="007834CC"/>
    <w:rsid w:val="00783503"/>
    <w:rsid w:val="007846A9"/>
    <w:rsid w:val="00785957"/>
    <w:rsid w:val="00791CF1"/>
    <w:rsid w:val="00793C53"/>
    <w:rsid w:val="00793F6C"/>
    <w:rsid w:val="007953C9"/>
    <w:rsid w:val="007954BD"/>
    <w:rsid w:val="007968E9"/>
    <w:rsid w:val="00796B7E"/>
    <w:rsid w:val="00797D42"/>
    <w:rsid w:val="007A0260"/>
    <w:rsid w:val="007A7370"/>
    <w:rsid w:val="007B16EC"/>
    <w:rsid w:val="007B2A21"/>
    <w:rsid w:val="007B4581"/>
    <w:rsid w:val="007B78FA"/>
    <w:rsid w:val="007C121F"/>
    <w:rsid w:val="007C38F4"/>
    <w:rsid w:val="007C40D0"/>
    <w:rsid w:val="007C4D5D"/>
    <w:rsid w:val="007C7D09"/>
    <w:rsid w:val="007D18E9"/>
    <w:rsid w:val="007D6E4D"/>
    <w:rsid w:val="007E41E9"/>
    <w:rsid w:val="007E4A6A"/>
    <w:rsid w:val="007E4DD2"/>
    <w:rsid w:val="007F028D"/>
    <w:rsid w:val="007F1897"/>
    <w:rsid w:val="007F1974"/>
    <w:rsid w:val="007F281B"/>
    <w:rsid w:val="007F28EE"/>
    <w:rsid w:val="007F433C"/>
    <w:rsid w:val="007F470F"/>
    <w:rsid w:val="007F5571"/>
    <w:rsid w:val="007F6EA4"/>
    <w:rsid w:val="007F709A"/>
    <w:rsid w:val="007F7DE7"/>
    <w:rsid w:val="00800C2D"/>
    <w:rsid w:val="008027FE"/>
    <w:rsid w:val="00802B9B"/>
    <w:rsid w:val="008060D5"/>
    <w:rsid w:val="00806DF4"/>
    <w:rsid w:val="00810856"/>
    <w:rsid w:val="008113DA"/>
    <w:rsid w:val="008141D5"/>
    <w:rsid w:val="00816875"/>
    <w:rsid w:val="00817F05"/>
    <w:rsid w:val="00823EED"/>
    <w:rsid w:val="008266CD"/>
    <w:rsid w:val="00832785"/>
    <w:rsid w:val="008334C2"/>
    <w:rsid w:val="00835741"/>
    <w:rsid w:val="0083674D"/>
    <w:rsid w:val="00844B3C"/>
    <w:rsid w:val="00844E04"/>
    <w:rsid w:val="008526EE"/>
    <w:rsid w:val="0085326C"/>
    <w:rsid w:val="008618E7"/>
    <w:rsid w:val="00864CA2"/>
    <w:rsid w:val="00864F65"/>
    <w:rsid w:val="00870EDE"/>
    <w:rsid w:val="00871E2D"/>
    <w:rsid w:val="00873BA7"/>
    <w:rsid w:val="008765F6"/>
    <w:rsid w:val="00877C13"/>
    <w:rsid w:val="00877EE5"/>
    <w:rsid w:val="00880BD8"/>
    <w:rsid w:val="0088206E"/>
    <w:rsid w:val="00883817"/>
    <w:rsid w:val="00884154"/>
    <w:rsid w:val="00884A8F"/>
    <w:rsid w:val="0088611E"/>
    <w:rsid w:val="00886B34"/>
    <w:rsid w:val="00887812"/>
    <w:rsid w:val="008879C9"/>
    <w:rsid w:val="0089346F"/>
    <w:rsid w:val="00893F13"/>
    <w:rsid w:val="0089438B"/>
    <w:rsid w:val="00894833"/>
    <w:rsid w:val="00896520"/>
    <w:rsid w:val="00896AC8"/>
    <w:rsid w:val="008978B8"/>
    <w:rsid w:val="008A22F0"/>
    <w:rsid w:val="008A37EA"/>
    <w:rsid w:val="008A4AF0"/>
    <w:rsid w:val="008A59B2"/>
    <w:rsid w:val="008A5D7B"/>
    <w:rsid w:val="008A5DC8"/>
    <w:rsid w:val="008A6C47"/>
    <w:rsid w:val="008A7DC0"/>
    <w:rsid w:val="008B15FF"/>
    <w:rsid w:val="008B5D91"/>
    <w:rsid w:val="008C07A8"/>
    <w:rsid w:val="008C0EA8"/>
    <w:rsid w:val="008C5528"/>
    <w:rsid w:val="008C5982"/>
    <w:rsid w:val="008C5F65"/>
    <w:rsid w:val="008C7B75"/>
    <w:rsid w:val="008D09C7"/>
    <w:rsid w:val="008D1CAC"/>
    <w:rsid w:val="008D24B6"/>
    <w:rsid w:val="008D3630"/>
    <w:rsid w:val="008D3695"/>
    <w:rsid w:val="008D4FF0"/>
    <w:rsid w:val="008D5CD9"/>
    <w:rsid w:val="008D5FDD"/>
    <w:rsid w:val="008D61A6"/>
    <w:rsid w:val="008D6223"/>
    <w:rsid w:val="008D6C6C"/>
    <w:rsid w:val="008D74DB"/>
    <w:rsid w:val="008D7E15"/>
    <w:rsid w:val="008E0006"/>
    <w:rsid w:val="008E0180"/>
    <w:rsid w:val="008E18D3"/>
    <w:rsid w:val="008E4645"/>
    <w:rsid w:val="008E5037"/>
    <w:rsid w:val="008E5DC2"/>
    <w:rsid w:val="008E6965"/>
    <w:rsid w:val="008E7D1A"/>
    <w:rsid w:val="008F3041"/>
    <w:rsid w:val="008F3752"/>
    <w:rsid w:val="008F5542"/>
    <w:rsid w:val="008F68F2"/>
    <w:rsid w:val="008F7566"/>
    <w:rsid w:val="008F7C27"/>
    <w:rsid w:val="00900CD9"/>
    <w:rsid w:val="00902CAD"/>
    <w:rsid w:val="00903659"/>
    <w:rsid w:val="00903F7A"/>
    <w:rsid w:val="00905DB2"/>
    <w:rsid w:val="009113FD"/>
    <w:rsid w:val="009125D3"/>
    <w:rsid w:val="009135FF"/>
    <w:rsid w:val="00913CC2"/>
    <w:rsid w:val="0091534E"/>
    <w:rsid w:val="00915A87"/>
    <w:rsid w:val="00915C2B"/>
    <w:rsid w:val="009169FF"/>
    <w:rsid w:val="009176A8"/>
    <w:rsid w:val="00920064"/>
    <w:rsid w:val="00922B16"/>
    <w:rsid w:val="00923E4A"/>
    <w:rsid w:val="00924C7C"/>
    <w:rsid w:val="00926026"/>
    <w:rsid w:val="009279DA"/>
    <w:rsid w:val="00930617"/>
    <w:rsid w:val="00933916"/>
    <w:rsid w:val="009351AF"/>
    <w:rsid w:val="0093583F"/>
    <w:rsid w:val="009365A0"/>
    <w:rsid w:val="009368F5"/>
    <w:rsid w:val="009413DC"/>
    <w:rsid w:val="009440EA"/>
    <w:rsid w:val="00950883"/>
    <w:rsid w:val="009535C9"/>
    <w:rsid w:val="009605CC"/>
    <w:rsid w:val="0096197A"/>
    <w:rsid w:val="009620EA"/>
    <w:rsid w:val="00965C82"/>
    <w:rsid w:val="00967ED3"/>
    <w:rsid w:val="00974E9B"/>
    <w:rsid w:val="00975A8A"/>
    <w:rsid w:val="00982F9E"/>
    <w:rsid w:val="00983FC4"/>
    <w:rsid w:val="0098785F"/>
    <w:rsid w:val="00990D57"/>
    <w:rsid w:val="00991473"/>
    <w:rsid w:val="009923CA"/>
    <w:rsid w:val="00994BD1"/>
    <w:rsid w:val="00995E02"/>
    <w:rsid w:val="009A07B3"/>
    <w:rsid w:val="009A257C"/>
    <w:rsid w:val="009A372A"/>
    <w:rsid w:val="009A4F79"/>
    <w:rsid w:val="009B02E7"/>
    <w:rsid w:val="009B0F35"/>
    <w:rsid w:val="009B3E9B"/>
    <w:rsid w:val="009B5234"/>
    <w:rsid w:val="009B6E4E"/>
    <w:rsid w:val="009B7138"/>
    <w:rsid w:val="009C2358"/>
    <w:rsid w:val="009C2EB5"/>
    <w:rsid w:val="009C4995"/>
    <w:rsid w:val="009C6EA4"/>
    <w:rsid w:val="009D07AF"/>
    <w:rsid w:val="009D131C"/>
    <w:rsid w:val="009D3990"/>
    <w:rsid w:val="009E0562"/>
    <w:rsid w:val="009E0B4B"/>
    <w:rsid w:val="009E17D5"/>
    <w:rsid w:val="009E3734"/>
    <w:rsid w:val="009E39F1"/>
    <w:rsid w:val="009E6187"/>
    <w:rsid w:val="009F07E0"/>
    <w:rsid w:val="009F2AC0"/>
    <w:rsid w:val="009F6F7D"/>
    <w:rsid w:val="009F7FE3"/>
    <w:rsid w:val="00A00500"/>
    <w:rsid w:val="00A005D2"/>
    <w:rsid w:val="00A020F2"/>
    <w:rsid w:val="00A04A1D"/>
    <w:rsid w:val="00A06AF2"/>
    <w:rsid w:val="00A07F0F"/>
    <w:rsid w:val="00A105C2"/>
    <w:rsid w:val="00A10BD0"/>
    <w:rsid w:val="00A13A4A"/>
    <w:rsid w:val="00A14542"/>
    <w:rsid w:val="00A14A94"/>
    <w:rsid w:val="00A16B0E"/>
    <w:rsid w:val="00A20595"/>
    <w:rsid w:val="00A2467B"/>
    <w:rsid w:val="00A2606E"/>
    <w:rsid w:val="00A33DB5"/>
    <w:rsid w:val="00A34292"/>
    <w:rsid w:val="00A3507F"/>
    <w:rsid w:val="00A359AF"/>
    <w:rsid w:val="00A428AB"/>
    <w:rsid w:val="00A42BCD"/>
    <w:rsid w:val="00A51A1A"/>
    <w:rsid w:val="00A52612"/>
    <w:rsid w:val="00A528DA"/>
    <w:rsid w:val="00A52D58"/>
    <w:rsid w:val="00A5329E"/>
    <w:rsid w:val="00A53B60"/>
    <w:rsid w:val="00A565B1"/>
    <w:rsid w:val="00A5742E"/>
    <w:rsid w:val="00A601F7"/>
    <w:rsid w:val="00A60867"/>
    <w:rsid w:val="00A640C4"/>
    <w:rsid w:val="00A64880"/>
    <w:rsid w:val="00A67B54"/>
    <w:rsid w:val="00A67E23"/>
    <w:rsid w:val="00A72044"/>
    <w:rsid w:val="00A75B61"/>
    <w:rsid w:val="00A80935"/>
    <w:rsid w:val="00A83AED"/>
    <w:rsid w:val="00A84087"/>
    <w:rsid w:val="00A86FE0"/>
    <w:rsid w:val="00A91527"/>
    <w:rsid w:val="00A92000"/>
    <w:rsid w:val="00A93DBA"/>
    <w:rsid w:val="00A951A3"/>
    <w:rsid w:val="00AA1258"/>
    <w:rsid w:val="00AA43D2"/>
    <w:rsid w:val="00AA4769"/>
    <w:rsid w:val="00AB2109"/>
    <w:rsid w:val="00AB2274"/>
    <w:rsid w:val="00AB2E24"/>
    <w:rsid w:val="00AB3F13"/>
    <w:rsid w:val="00AB591E"/>
    <w:rsid w:val="00AB5A36"/>
    <w:rsid w:val="00AB5CBB"/>
    <w:rsid w:val="00AC2681"/>
    <w:rsid w:val="00AC392D"/>
    <w:rsid w:val="00AC48D6"/>
    <w:rsid w:val="00AC6EB7"/>
    <w:rsid w:val="00AD195A"/>
    <w:rsid w:val="00AD323E"/>
    <w:rsid w:val="00AD3F8C"/>
    <w:rsid w:val="00AD6CB5"/>
    <w:rsid w:val="00AE0FF3"/>
    <w:rsid w:val="00AE3E78"/>
    <w:rsid w:val="00AE5AFE"/>
    <w:rsid w:val="00AE6938"/>
    <w:rsid w:val="00AF3C32"/>
    <w:rsid w:val="00AF4988"/>
    <w:rsid w:val="00AF5EE2"/>
    <w:rsid w:val="00AF62E9"/>
    <w:rsid w:val="00AF6716"/>
    <w:rsid w:val="00AF6D7C"/>
    <w:rsid w:val="00AF75EB"/>
    <w:rsid w:val="00B02C15"/>
    <w:rsid w:val="00B0369A"/>
    <w:rsid w:val="00B05297"/>
    <w:rsid w:val="00B07372"/>
    <w:rsid w:val="00B11DA2"/>
    <w:rsid w:val="00B12C6B"/>
    <w:rsid w:val="00B13382"/>
    <w:rsid w:val="00B15F11"/>
    <w:rsid w:val="00B16B62"/>
    <w:rsid w:val="00B171D6"/>
    <w:rsid w:val="00B17369"/>
    <w:rsid w:val="00B177F7"/>
    <w:rsid w:val="00B20D62"/>
    <w:rsid w:val="00B20F48"/>
    <w:rsid w:val="00B2237E"/>
    <w:rsid w:val="00B23DDE"/>
    <w:rsid w:val="00B2575D"/>
    <w:rsid w:val="00B3132D"/>
    <w:rsid w:val="00B3182D"/>
    <w:rsid w:val="00B320B5"/>
    <w:rsid w:val="00B32D25"/>
    <w:rsid w:val="00B34A49"/>
    <w:rsid w:val="00B3524E"/>
    <w:rsid w:val="00B377ED"/>
    <w:rsid w:val="00B37BD9"/>
    <w:rsid w:val="00B4286E"/>
    <w:rsid w:val="00B42BAC"/>
    <w:rsid w:val="00B43056"/>
    <w:rsid w:val="00B44007"/>
    <w:rsid w:val="00B51318"/>
    <w:rsid w:val="00B514DF"/>
    <w:rsid w:val="00B5215A"/>
    <w:rsid w:val="00B53A89"/>
    <w:rsid w:val="00B5576B"/>
    <w:rsid w:val="00B56CAC"/>
    <w:rsid w:val="00B605D5"/>
    <w:rsid w:val="00B613EB"/>
    <w:rsid w:val="00B62BA3"/>
    <w:rsid w:val="00B633C2"/>
    <w:rsid w:val="00B637D0"/>
    <w:rsid w:val="00B65335"/>
    <w:rsid w:val="00B66564"/>
    <w:rsid w:val="00B700D2"/>
    <w:rsid w:val="00B70CAF"/>
    <w:rsid w:val="00B71FA1"/>
    <w:rsid w:val="00B737AC"/>
    <w:rsid w:val="00B764E3"/>
    <w:rsid w:val="00B81BBD"/>
    <w:rsid w:val="00B81EFC"/>
    <w:rsid w:val="00B83D80"/>
    <w:rsid w:val="00B85C2F"/>
    <w:rsid w:val="00B86258"/>
    <w:rsid w:val="00B87468"/>
    <w:rsid w:val="00B87DFF"/>
    <w:rsid w:val="00B914E0"/>
    <w:rsid w:val="00B916B6"/>
    <w:rsid w:val="00B932BC"/>
    <w:rsid w:val="00B93E69"/>
    <w:rsid w:val="00B93EC5"/>
    <w:rsid w:val="00B93F88"/>
    <w:rsid w:val="00B95866"/>
    <w:rsid w:val="00B95D69"/>
    <w:rsid w:val="00B9642D"/>
    <w:rsid w:val="00B9658D"/>
    <w:rsid w:val="00BA2075"/>
    <w:rsid w:val="00BA27E8"/>
    <w:rsid w:val="00BA495B"/>
    <w:rsid w:val="00BA4E6E"/>
    <w:rsid w:val="00BA791B"/>
    <w:rsid w:val="00BB22B4"/>
    <w:rsid w:val="00BB25B1"/>
    <w:rsid w:val="00BB2F36"/>
    <w:rsid w:val="00BB6886"/>
    <w:rsid w:val="00BB7A43"/>
    <w:rsid w:val="00BC2C74"/>
    <w:rsid w:val="00BC3AC9"/>
    <w:rsid w:val="00BC40F8"/>
    <w:rsid w:val="00BC595D"/>
    <w:rsid w:val="00BC5B70"/>
    <w:rsid w:val="00BD0E07"/>
    <w:rsid w:val="00BD1714"/>
    <w:rsid w:val="00BD2177"/>
    <w:rsid w:val="00BD2A01"/>
    <w:rsid w:val="00BD42AF"/>
    <w:rsid w:val="00BD5CD0"/>
    <w:rsid w:val="00BD625B"/>
    <w:rsid w:val="00BD723E"/>
    <w:rsid w:val="00BE1027"/>
    <w:rsid w:val="00BE1D50"/>
    <w:rsid w:val="00BE2CDF"/>
    <w:rsid w:val="00BE348F"/>
    <w:rsid w:val="00BE396B"/>
    <w:rsid w:val="00BE4026"/>
    <w:rsid w:val="00BE4522"/>
    <w:rsid w:val="00BE68A9"/>
    <w:rsid w:val="00BE6ACC"/>
    <w:rsid w:val="00BF5899"/>
    <w:rsid w:val="00BF7C94"/>
    <w:rsid w:val="00C02CF8"/>
    <w:rsid w:val="00C03341"/>
    <w:rsid w:val="00C04101"/>
    <w:rsid w:val="00C0471D"/>
    <w:rsid w:val="00C04895"/>
    <w:rsid w:val="00C04ABE"/>
    <w:rsid w:val="00C06EA1"/>
    <w:rsid w:val="00C147A7"/>
    <w:rsid w:val="00C1530F"/>
    <w:rsid w:val="00C162B2"/>
    <w:rsid w:val="00C1698F"/>
    <w:rsid w:val="00C170EF"/>
    <w:rsid w:val="00C17142"/>
    <w:rsid w:val="00C17B03"/>
    <w:rsid w:val="00C20067"/>
    <w:rsid w:val="00C21B06"/>
    <w:rsid w:val="00C21FC6"/>
    <w:rsid w:val="00C224EF"/>
    <w:rsid w:val="00C241B6"/>
    <w:rsid w:val="00C24A8E"/>
    <w:rsid w:val="00C26C5B"/>
    <w:rsid w:val="00C272CF"/>
    <w:rsid w:val="00C272DA"/>
    <w:rsid w:val="00C3215F"/>
    <w:rsid w:val="00C375E0"/>
    <w:rsid w:val="00C413D7"/>
    <w:rsid w:val="00C442F9"/>
    <w:rsid w:val="00C44B50"/>
    <w:rsid w:val="00C46368"/>
    <w:rsid w:val="00C47E19"/>
    <w:rsid w:val="00C557CC"/>
    <w:rsid w:val="00C55AE0"/>
    <w:rsid w:val="00C57406"/>
    <w:rsid w:val="00C6133D"/>
    <w:rsid w:val="00C63553"/>
    <w:rsid w:val="00C63F91"/>
    <w:rsid w:val="00C64098"/>
    <w:rsid w:val="00C65D39"/>
    <w:rsid w:val="00C6606B"/>
    <w:rsid w:val="00C66302"/>
    <w:rsid w:val="00C73C75"/>
    <w:rsid w:val="00C778D7"/>
    <w:rsid w:val="00C8098B"/>
    <w:rsid w:val="00C8379C"/>
    <w:rsid w:val="00C8387D"/>
    <w:rsid w:val="00C9006D"/>
    <w:rsid w:val="00C961AD"/>
    <w:rsid w:val="00CA1622"/>
    <w:rsid w:val="00CA3D15"/>
    <w:rsid w:val="00CA4BC6"/>
    <w:rsid w:val="00CA553C"/>
    <w:rsid w:val="00CB054D"/>
    <w:rsid w:val="00CB0576"/>
    <w:rsid w:val="00CB0BB6"/>
    <w:rsid w:val="00CB1044"/>
    <w:rsid w:val="00CB1899"/>
    <w:rsid w:val="00CB2234"/>
    <w:rsid w:val="00CB41B2"/>
    <w:rsid w:val="00CB42CF"/>
    <w:rsid w:val="00CC1068"/>
    <w:rsid w:val="00CD3A15"/>
    <w:rsid w:val="00CD58EA"/>
    <w:rsid w:val="00CD6FBF"/>
    <w:rsid w:val="00CE23B8"/>
    <w:rsid w:val="00CE52E3"/>
    <w:rsid w:val="00CE754E"/>
    <w:rsid w:val="00CF1CB8"/>
    <w:rsid w:val="00CF2F5B"/>
    <w:rsid w:val="00CF6656"/>
    <w:rsid w:val="00CF6FAA"/>
    <w:rsid w:val="00D00BAF"/>
    <w:rsid w:val="00D05839"/>
    <w:rsid w:val="00D12A29"/>
    <w:rsid w:val="00D136E9"/>
    <w:rsid w:val="00D148F0"/>
    <w:rsid w:val="00D175B0"/>
    <w:rsid w:val="00D17B0E"/>
    <w:rsid w:val="00D24A20"/>
    <w:rsid w:val="00D24CBC"/>
    <w:rsid w:val="00D2739D"/>
    <w:rsid w:val="00D328DA"/>
    <w:rsid w:val="00D33E7F"/>
    <w:rsid w:val="00D37B63"/>
    <w:rsid w:val="00D37FCB"/>
    <w:rsid w:val="00D40AD0"/>
    <w:rsid w:val="00D415CC"/>
    <w:rsid w:val="00D41CDA"/>
    <w:rsid w:val="00D435F7"/>
    <w:rsid w:val="00D43C0A"/>
    <w:rsid w:val="00D4687B"/>
    <w:rsid w:val="00D47CD9"/>
    <w:rsid w:val="00D47D31"/>
    <w:rsid w:val="00D50B8C"/>
    <w:rsid w:val="00D51A09"/>
    <w:rsid w:val="00D53408"/>
    <w:rsid w:val="00D56A32"/>
    <w:rsid w:val="00D578AC"/>
    <w:rsid w:val="00D6109E"/>
    <w:rsid w:val="00D62185"/>
    <w:rsid w:val="00D63312"/>
    <w:rsid w:val="00D63BD1"/>
    <w:rsid w:val="00D640EE"/>
    <w:rsid w:val="00D65A88"/>
    <w:rsid w:val="00D72ED1"/>
    <w:rsid w:val="00D731E6"/>
    <w:rsid w:val="00D741FF"/>
    <w:rsid w:val="00D742FA"/>
    <w:rsid w:val="00D754D4"/>
    <w:rsid w:val="00D75CAC"/>
    <w:rsid w:val="00D7726D"/>
    <w:rsid w:val="00D81050"/>
    <w:rsid w:val="00D8189B"/>
    <w:rsid w:val="00D842E9"/>
    <w:rsid w:val="00D85C20"/>
    <w:rsid w:val="00D86A3C"/>
    <w:rsid w:val="00D918B9"/>
    <w:rsid w:val="00D919F8"/>
    <w:rsid w:val="00D923E0"/>
    <w:rsid w:val="00D926E0"/>
    <w:rsid w:val="00D93066"/>
    <w:rsid w:val="00D95512"/>
    <w:rsid w:val="00DA054D"/>
    <w:rsid w:val="00DA10A8"/>
    <w:rsid w:val="00DA3924"/>
    <w:rsid w:val="00DA3E99"/>
    <w:rsid w:val="00DA4D1B"/>
    <w:rsid w:val="00DA61BA"/>
    <w:rsid w:val="00DA6FEF"/>
    <w:rsid w:val="00DB1423"/>
    <w:rsid w:val="00DB27C0"/>
    <w:rsid w:val="00DB740C"/>
    <w:rsid w:val="00DC023E"/>
    <w:rsid w:val="00DC3776"/>
    <w:rsid w:val="00DC6E94"/>
    <w:rsid w:val="00DC79FD"/>
    <w:rsid w:val="00DD1554"/>
    <w:rsid w:val="00DD3C7B"/>
    <w:rsid w:val="00DD671E"/>
    <w:rsid w:val="00DE0907"/>
    <w:rsid w:val="00DE61D3"/>
    <w:rsid w:val="00DF3614"/>
    <w:rsid w:val="00DF4692"/>
    <w:rsid w:val="00DF5C8E"/>
    <w:rsid w:val="00DF7444"/>
    <w:rsid w:val="00DF79A2"/>
    <w:rsid w:val="00DF7B5B"/>
    <w:rsid w:val="00E01213"/>
    <w:rsid w:val="00E03AFC"/>
    <w:rsid w:val="00E05920"/>
    <w:rsid w:val="00E0751F"/>
    <w:rsid w:val="00E078EB"/>
    <w:rsid w:val="00E1002B"/>
    <w:rsid w:val="00E11BA2"/>
    <w:rsid w:val="00E13A33"/>
    <w:rsid w:val="00E1591E"/>
    <w:rsid w:val="00E168B7"/>
    <w:rsid w:val="00E1714C"/>
    <w:rsid w:val="00E20895"/>
    <w:rsid w:val="00E21A5E"/>
    <w:rsid w:val="00E22AAB"/>
    <w:rsid w:val="00E245B4"/>
    <w:rsid w:val="00E25534"/>
    <w:rsid w:val="00E25990"/>
    <w:rsid w:val="00E25D89"/>
    <w:rsid w:val="00E25EB0"/>
    <w:rsid w:val="00E2766A"/>
    <w:rsid w:val="00E277AB"/>
    <w:rsid w:val="00E3167A"/>
    <w:rsid w:val="00E32835"/>
    <w:rsid w:val="00E32CDF"/>
    <w:rsid w:val="00E40DDA"/>
    <w:rsid w:val="00E43292"/>
    <w:rsid w:val="00E444DE"/>
    <w:rsid w:val="00E468DC"/>
    <w:rsid w:val="00E5249C"/>
    <w:rsid w:val="00E52E9C"/>
    <w:rsid w:val="00E55224"/>
    <w:rsid w:val="00E5542C"/>
    <w:rsid w:val="00E61367"/>
    <w:rsid w:val="00E6199A"/>
    <w:rsid w:val="00E6577C"/>
    <w:rsid w:val="00E6649F"/>
    <w:rsid w:val="00E7126B"/>
    <w:rsid w:val="00E718C3"/>
    <w:rsid w:val="00E71A25"/>
    <w:rsid w:val="00E73FB2"/>
    <w:rsid w:val="00E74B61"/>
    <w:rsid w:val="00E7582D"/>
    <w:rsid w:val="00E766E3"/>
    <w:rsid w:val="00E77417"/>
    <w:rsid w:val="00E77DB0"/>
    <w:rsid w:val="00E8073B"/>
    <w:rsid w:val="00E80C26"/>
    <w:rsid w:val="00E811CD"/>
    <w:rsid w:val="00E8412A"/>
    <w:rsid w:val="00E84975"/>
    <w:rsid w:val="00E866B2"/>
    <w:rsid w:val="00E87195"/>
    <w:rsid w:val="00E901DD"/>
    <w:rsid w:val="00E948A0"/>
    <w:rsid w:val="00EA043B"/>
    <w:rsid w:val="00EA0C75"/>
    <w:rsid w:val="00EA1207"/>
    <w:rsid w:val="00EA2F35"/>
    <w:rsid w:val="00EA31C4"/>
    <w:rsid w:val="00EA3E6E"/>
    <w:rsid w:val="00EA4FF5"/>
    <w:rsid w:val="00EA54DD"/>
    <w:rsid w:val="00EA7962"/>
    <w:rsid w:val="00EA7DA5"/>
    <w:rsid w:val="00EB0BB3"/>
    <w:rsid w:val="00EB1AC7"/>
    <w:rsid w:val="00EB2607"/>
    <w:rsid w:val="00EB7796"/>
    <w:rsid w:val="00EC2469"/>
    <w:rsid w:val="00EC24F8"/>
    <w:rsid w:val="00EC360E"/>
    <w:rsid w:val="00EC494D"/>
    <w:rsid w:val="00EC4BBE"/>
    <w:rsid w:val="00ED065E"/>
    <w:rsid w:val="00ED093D"/>
    <w:rsid w:val="00ED6490"/>
    <w:rsid w:val="00EE07C6"/>
    <w:rsid w:val="00EE38AE"/>
    <w:rsid w:val="00EE5147"/>
    <w:rsid w:val="00EE53FE"/>
    <w:rsid w:val="00EE5EE9"/>
    <w:rsid w:val="00EE5F3D"/>
    <w:rsid w:val="00EE7CB7"/>
    <w:rsid w:val="00EF6AAD"/>
    <w:rsid w:val="00EF73A8"/>
    <w:rsid w:val="00EF77EE"/>
    <w:rsid w:val="00F01DAD"/>
    <w:rsid w:val="00F022A0"/>
    <w:rsid w:val="00F03E35"/>
    <w:rsid w:val="00F03E8F"/>
    <w:rsid w:val="00F06BD8"/>
    <w:rsid w:val="00F07383"/>
    <w:rsid w:val="00F106FE"/>
    <w:rsid w:val="00F158B0"/>
    <w:rsid w:val="00F15B25"/>
    <w:rsid w:val="00F16B20"/>
    <w:rsid w:val="00F1769B"/>
    <w:rsid w:val="00F1776E"/>
    <w:rsid w:val="00F21538"/>
    <w:rsid w:val="00F238F1"/>
    <w:rsid w:val="00F27CA2"/>
    <w:rsid w:val="00F30708"/>
    <w:rsid w:val="00F34F5A"/>
    <w:rsid w:val="00F40A10"/>
    <w:rsid w:val="00F40AAC"/>
    <w:rsid w:val="00F4193A"/>
    <w:rsid w:val="00F41AE6"/>
    <w:rsid w:val="00F43D39"/>
    <w:rsid w:val="00F4514B"/>
    <w:rsid w:val="00F452B3"/>
    <w:rsid w:val="00F46F7E"/>
    <w:rsid w:val="00F53921"/>
    <w:rsid w:val="00F548D4"/>
    <w:rsid w:val="00F55674"/>
    <w:rsid w:val="00F55B05"/>
    <w:rsid w:val="00F61A5F"/>
    <w:rsid w:val="00F63C8B"/>
    <w:rsid w:val="00F65C81"/>
    <w:rsid w:val="00F718E8"/>
    <w:rsid w:val="00F72D67"/>
    <w:rsid w:val="00F74EB8"/>
    <w:rsid w:val="00F75071"/>
    <w:rsid w:val="00F75547"/>
    <w:rsid w:val="00F75C6B"/>
    <w:rsid w:val="00F85371"/>
    <w:rsid w:val="00F8596D"/>
    <w:rsid w:val="00F85F2F"/>
    <w:rsid w:val="00F87EA0"/>
    <w:rsid w:val="00F908C6"/>
    <w:rsid w:val="00F91AB7"/>
    <w:rsid w:val="00F91B1E"/>
    <w:rsid w:val="00F920F0"/>
    <w:rsid w:val="00F926EB"/>
    <w:rsid w:val="00F92C11"/>
    <w:rsid w:val="00F94DA5"/>
    <w:rsid w:val="00F9656A"/>
    <w:rsid w:val="00FA0324"/>
    <w:rsid w:val="00FA1D72"/>
    <w:rsid w:val="00FB0A37"/>
    <w:rsid w:val="00FB3FFB"/>
    <w:rsid w:val="00FB558E"/>
    <w:rsid w:val="00FB6DCA"/>
    <w:rsid w:val="00FB6E32"/>
    <w:rsid w:val="00FB7DD0"/>
    <w:rsid w:val="00FC0492"/>
    <w:rsid w:val="00FC053A"/>
    <w:rsid w:val="00FC138C"/>
    <w:rsid w:val="00FC19CC"/>
    <w:rsid w:val="00FC35EF"/>
    <w:rsid w:val="00FC6340"/>
    <w:rsid w:val="00FC6DA5"/>
    <w:rsid w:val="00FD1777"/>
    <w:rsid w:val="00FD2DD0"/>
    <w:rsid w:val="00FD3C71"/>
    <w:rsid w:val="00FD4743"/>
    <w:rsid w:val="00FD4981"/>
    <w:rsid w:val="00FD4AEF"/>
    <w:rsid w:val="00FD7060"/>
    <w:rsid w:val="00FF1931"/>
    <w:rsid w:val="00FF29F8"/>
    <w:rsid w:val="00FF7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beafa8"/>
      <o:colormenu v:ext="edit" fillcolor="#beafa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table of figures" w:uiPriority="99"/>
    <w:lsdException w:name="footnote reference" w:qFormat="1"/>
    <w:lsdException w:name="List Bullet" w:qFormat="1"/>
    <w:lsdException w:name="List Bullet 2" w:qFormat="1"/>
    <w:lsdException w:name="Title" w:uiPriority="10" w:qFormat="1"/>
    <w:lsdException w:name="Body Text" w:qFormat="1"/>
    <w:lsdException w:name="Subtitle" w:uiPriority="11" w:qFormat="1"/>
    <w:lsdException w:name="Body Text Indent 2"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503"/>
    <w:pPr>
      <w:spacing w:before="160" w:line="276" w:lineRule="auto"/>
    </w:pPr>
    <w:rPr>
      <w:rFonts w:ascii="Century Gothic" w:hAnsi="Century Gothic"/>
      <w:color w:val="25282A"/>
      <w:sz w:val="22"/>
      <w:lang w:eastAsia="en-US"/>
    </w:rPr>
  </w:style>
  <w:style w:type="paragraph" w:styleId="Heading1">
    <w:name w:val="heading 1"/>
    <w:basedOn w:val="Heading2"/>
    <w:next w:val="BodyText"/>
    <w:qFormat/>
    <w:rsid w:val="009A07B3"/>
    <w:pPr>
      <w:pageBreakBefore/>
      <w:numPr>
        <w:ilvl w:val="0"/>
      </w:numPr>
      <w:spacing w:before="160" w:after="0" w:line="276" w:lineRule="auto"/>
      <w:outlineLvl w:val="0"/>
    </w:pPr>
    <w:rPr>
      <w:sz w:val="32"/>
    </w:rPr>
  </w:style>
  <w:style w:type="paragraph" w:styleId="Heading2">
    <w:name w:val="heading 2"/>
    <w:basedOn w:val="BodyText"/>
    <w:next w:val="BodyText"/>
    <w:link w:val="Heading2Char"/>
    <w:qFormat/>
    <w:rsid w:val="0055275F"/>
    <w:pPr>
      <w:keepNext/>
      <w:numPr>
        <w:ilvl w:val="1"/>
        <w:numId w:val="1"/>
      </w:numPr>
      <w:spacing w:before="240" w:after="120" w:line="240" w:lineRule="auto"/>
      <w:jc w:val="left"/>
      <w:outlineLvl w:val="1"/>
    </w:pPr>
    <w:rPr>
      <w:b/>
      <w:color w:val="C8102E"/>
    </w:rPr>
  </w:style>
  <w:style w:type="paragraph" w:styleId="Heading3">
    <w:name w:val="heading 3"/>
    <w:basedOn w:val="Heading4"/>
    <w:next w:val="BodyText"/>
    <w:qFormat/>
    <w:rsid w:val="006367E5"/>
    <w:pPr>
      <w:numPr>
        <w:ilvl w:val="2"/>
      </w:numPr>
      <w:ind w:hanging="1134"/>
      <w:outlineLvl w:val="2"/>
    </w:pPr>
    <w:rPr>
      <w:color w:val="25282A"/>
    </w:rPr>
  </w:style>
  <w:style w:type="paragraph" w:styleId="Heading4">
    <w:name w:val="heading 4"/>
    <w:basedOn w:val="Heading5"/>
    <w:next w:val="BodyText"/>
    <w:qFormat/>
    <w:rsid w:val="00817F05"/>
    <w:pPr>
      <w:numPr>
        <w:ilvl w:val="3"/>
        <w:numId w:val="1"/>
      </w:numPr>
      <w:tabs>
        <w:tab w:val="clear" w:pos="20"/>
      </w:tabs>
      <w:ind w:hanging="1134"/>
      <w:outlineLvl w:val="3"/>
    </w:pPr>
    <w:rPr>
      <w:i/>
    </w:rPr>
  </w:style>
  <w:style w:type="paragraph" w:styleId="Heading5">
    <w:name w:val="heading 5"/>
    <w:basedOn w:val="BodyText"/>
    <w:next w:val="BodyText"/>
    <w:qFormat/>
    <w:rsid w:val="00172132"/>
    <w:pPr>
      <w:keepNext/>
      <w:spacing w:before="240" w:after="120" w:line="240" w:lineRule="auto"/>
      <w:jc w:val="left"/>
      <w:outlineLvl w:val="4"/>
    </w:pPr>
    <w:rPr>
      <w:b/>
      <w:color w:val="333333"/>
    </w:rPr>
  </w:style>
  <w:style w:type="paragraph" w:styleId="Heading6">
    <w:name w:val="heading 6"/>
    <w:basedOn w:val="Normal"/>
    <w:next w:val="Normal"/>
    <w:qFormat/>
    <w:rsid w:val="00B34A49"/>
    <w:pPr>
      <w:keepNext/>
      <w:outlineLvl w:val="5"/>
    </w:pPr>
    <w:rPr>
      <w:i/>
    </w:r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copy"/>
    <w:basedOn w:val="Normal"/>
    <w:link w:val="BodyTextChar"/>
    <w:qFormat/>
    <w:rsid w:val="0028126A"/>
    <w:pPr>
      <w:jc w:val="both"/>
    </w:pPr>
  </w:style>
  <w:style w:type="paragraph" w:styleId="TOC4">
    <w:name w:val="toc 4"/>
    <w:basedOn w:val="TOC3"/>
    <w:semiHidden/>
  </w:style>
  <w:style w:type="paragraph" w:styleId="TOC3">
    <w:name w:val="toc 3"/>
    <w:basedOn w:val="TOC2"/>
    <w:uiPriority w:val="39"/>
    <w:pPr>
      <w:tabs>
        <w:tab w:val="left" w:pos="1418"/>
      </w:tabs>
      <w:ind w:left="1418" w:hanging="1418"/>
    </w:pPr>
  </w:style>
  <w:style w:type="paragraph" w:styleId="TOC2">
    <w:name w:val="toc 2"/>
    <w:basedOn w:val="TOC1"/>
    <w:uiPriority w:val="39"/>
    <w:rsid w:val="0028126A"/>
    <w:pPr>
      <w:spacing w:before="0"/>
    </w:pPr>
    <w:rPr>
      <w:b w:val="0"/>
      <w:sz w:val="24"/>
    </w:rPr>
  </w:style>
  <w:style w:type="paragraph" w:styleId="TOC1">
    <w:name w:val="toc 1"/>
    <w:basedOn w:val="Normal"/>
    <w:uiPriority w:val="39"/>
    <w:rsid w:val="00123EB5"/>
    <w:pPr>
      <w:tabs>
        <w:tab w:val="right" w:pos="8221"/>
      </w:tabs>
      <w:ind w:left="851" w:right="567" w:hanging="851"/>
    </w:pPr>
    <w:rPr>
      <w:b/>
      <w:noProof/>
      <w:sz w:val="28"/>
    </w:rPr>
  </w:style>
  <w:style w:type="paragraph" w:styleId="Footer">
    <w:name w:val="footer"/>
    <w:basedOn w:val="Normal"/>
    <w:link w:val="FooterChar"/>
    <w:uiPriority w:val="99"/>
    <w:pPr>
      <w:tabs>
        <w:tab w:val="right" w:pos="8222"/>
      </w:tabs>
    </w:pPr>
    <w:rPr>
      <w:sz w:val="18"/>
    </w:rPr>
  </w:style>
  <w:style w:type="paragraph" w:styleId="Header">
    <w:name w:val="header"/>
    <w:basedOn w:val="Normal"/>
    <w:pPr>
      <w:spacing w:line="220" w:lineRule="atLeast"/>
      <w:jc w:val="right"/>
    </w:pPr>
    <w:rPr>
      <w:i/>
      <w:sz w:val="18"/>
    </w:rPr>
  </w:style>
  <w:style w:type="paragraph" w:styleId="ListBullet">
    <w:name w:val="List Bullet"/>
    <w:basedOn w:val="BodyText"/>
    <w:qFormat/>
    <w:rsid w:val="0035187C"/>
    <w:pPr>
      <w:numPr>
        <w:numId w:val="3"/>
      </w:numPr>
    </w:pPr>
  </w:style>
  <w:style w:type="paragraph" w:styleId="ListBullet2">
    <w:name w:val="List Bullet 2"/>
    <w:basedOn w:val="ListBullet"/>
    <w:qFormat/>
    <w:rsid w:val="00216570"/>
    <w:pPr>
      <w:numPr>
        <w:numId w:val="4"/>
      </w:numPr>
    </w:pPr>
  </w:style>
  <w:style w:type="paragraph" w:customStyle="1" w:styleId="zreportname">
    <w:name w:val="zreport name"/>
    <w:basedOn w:val="Normal"/>
    <w:pPr>
      <w:keepLines/>
      <w:framePr w:w="4536" w:wrap="around" w:vAnchor="page" w:hAnchor="page" w:xAlign="center" w:y="3993"/>
      <w:spacing w:line="440" w:lineRule="exact"/>
      <w:jc w:val="center"/>
    </w:pPr>
    <w:rPr>
      <w:noProof/>
      <w:sz w:val="36"/>
    </w:rPr>
  </w:style>
  <w:style w:type="paragraph" w:customStyle="1" w:styleId="zcontents">
    <w:name w:val="zcontents"/>
    <w:basedOn w:val="Normal"/>
    <w:pPr>
      <w:spacing w:after="260" w:line="240" w:lineRule="auto"/>
    </w:pPr>
    <w:rPr>
      <w:sz w:val="32"/>
    </w:rPr>
  </w:style>
  <w:style w:type="paragraph" w:customStyle="1" w:styleId="StyleCaption11ptBlueBefore6ptAfter6ptLinespac">
    <w:name w:val="Style Caption + 11 pt Blue Before:  6 pt After:  6 pt Line spac..."/>
    <w:basedOn w:val="Caption"/>
    <w:rsid w:val="0064405E"/>
    <w:pPr>
      <w:spacing w:before="120" w:after="120" w:line="240" w:lineRule="auto"/>
    </w:pPr>
    <w:rPr>
      <w:bCs w:val="0"/>
      <w:iCs/>
      <w:color w:val="292929"/>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qFormat/>
    <w:rPr>
      <w:sz w:val="18"/>
    </w:rPr>
  </w:style>
  <w:style w:type="paragraph" w:customStyle="1" w:styleId="zreportsubtitle">
    <w:name w:val="zreport subtitle"/>
    <w:basedOn w:val="zreportname"/>
    <w:pPr>
      <w:framePr w:wrap="around"/>
      <w:spacing w:line="360" w:lineRule="exact"/>
    </w:pPr>
    <w:rPr>
      <w:sz w:val="32"/>
    </w:rPr>
  </w:style>
  <w:style w:type="paragraph" w:styleId="BodyTextIndent">
    <w:name w:val="Body Text Indent"/>
    <w:basedOn w:val="BodyText"/>
    <w:link w:val="BodyTextIndentChar"/>
    <w:rsid w:val="000A4D62"/>
    <w:pPr>
      <w:ind w:left="567"/>
    </w:pPr>
  </w:style>
  <w:style w:type="paragraph" w:styleId="Index1">
    <w:name w:val="index 1"/>
    <w:basedOn w:val="Normal"/>
    <w:next w:val="Normal"/>
    <w:semiHidden/>
    <w:pPr>
      <w:keepNext/>
      <w:tabs>
        <w:tab w:val="right" w:pos="3750"/>
      </w:tabs>
      <w:spacing w:before="360" w:line="320" w:lineRule="exact"/>
      <w:ind w:right="851"/>
    </w:pPr>
    <w:rPr>
      <w:b/>
      <w:sz w:val="28"/>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pPr>
      <w:spacing w:line="240" w:lineRule="auto"/>
    </w:pPr>
  </w:style>
  <w:style w:type="character" w:styleId="PageNumber">
    <w:name w:val="page number"/>
    <w:rsid w:val="00A105C2"/>
    <w:rPr>
      <w:rFonts w:ascii="Arial" w:hAnsi="Arial"/>
      <w:sz w:val="22"/>
    </w:rPr>
  </w:style>
  <w:style w:type="paragraph" w:styleId="Index2">
    <w:name w:val="index 2"/>
    <w:basedOn w:val="Normal"/>
    <w:next w:val="Normal"/>
    <w:semiHidden/>
    <w:pPr>
      <w:tabs>
        <w:tab w:val="right" w:pos="3750"/>
      </w:tabs>
      <w:ind w:left="340" w:right="851"/>
    </w:pPr>
  </w:style>
  <w:style w:type="paragraph" w:customStyle="1" w:styleId="zreportaddinfo">
    <w:name w:val="zreport addinfo"/>
    <w:basedOn w:val="Normal"/>
    <w:pPr>
      <w:framePr w:wrap="around" w:hAnchor="page" w:xAlign="center" w:yAlign="bottom"/>
      <w:jc w:val="center"/>
    </w:pPr>
    <w:rPr>
      <w:noProof/>
      <w:sz w:val="20"/>
    </w:rPr>
  </w:style>
  <w:style w:type="paragraph" w:customStyle="1" w:styleId="zreportaddinfoit">
    <w:name w:val="zreport addinfoit"/>
    <w:basedOn w:val="Normal"/>
    <w:pPr>
      <w:framePr w:wrap="around" w:hAnchor="page" w:xAlign="center" w:yAlign="bottom"/>
      <w:jc w:val="center"/>
    </w:pPr>
    <w:rPr>
      <w:i/>
      <w:sz w:val="20"/>
    </w:rPr>
  </w:style>
  <w:style w:type="paragraph" w:customStyle="1" w:styleId="AppendixHeading">
    <w:name w:val="Appendix Heading"/>
    <w:basedOn w:val="Heading1"/>
    <w:next w:val="BodyText"/>
    <w:rsid w:val="000F37AA"/>
    <w:pPr>
      <w:numPr>
        <w:numId w:val="2"/>
      </w:numPr>
      <w:tabs>
        <w:tab w:val="left" w:pos="0"/>
      </w:tabs>
      <w:outlineLvl w:val="9"/>
    </w:pPr>
  </w:style>
  <w:style w:type="paragraph" w:customStyle="1" w:styleId="TableFooter">
    <w:name w:val="Table Footer"/>
    <w:basedOn w:val="BodyText"/>
    <w:link w:val="TableFooterChar"/>
    <w:rsid w:val="005D5E56"/>
    <w:rPr>
      <w:rFonts w:ascii="Arial Narrow" w:hAnsi="Arial Narrow"/>
      <w:b/>
      <w:bCs/>
      <w:color w:val="292929"/>
    </w:rPr>
  </w:style>
  <w:style w:type="paragraph" w:customStyle="1" w:styleId="AppendixHeading2">
    <w:name w:val="Appendix Heading 2"/>
    <w:basedOn w:val="Heading2"/>
    <w:next w:val="BodyText"/>
    <w:link w:val="AppendixHeading2Char"/>
    <w:rsid w:val="000F37AA"/>
    <w:pPr>
      <w:numPr>
        <w:numId w:val="2"/>
      </w:numPr>
      <w:tabs>
        <w:tab w:val="left" w:pos="0"/>
      </w:tabs>
      <w:outlineLvl w:val="9"/>
    </w:pPr>
  </w:style>
  <w:style w:type="paragraph" w:customStyle="1" w:styleId="AppendixHeading3">
    <w:name w:val="Appendix Heading 3"/>
    <w:basedOn w:val="Heading3"/>
    <w:next w:val="BodyText"/>
    <w:rsid w:val="000F37AA"/>
    <w:pPr>
      <w:numPr>
        <w:numId w:val="2"/>
      </w:numPr>
      <w:tabs>
        <w:tab w:val="left" w:pos="0"/>
      </w:tabs>
      <w:outlineLvl w:val="9"/>
    </w:pPr>
  </w:style>
  <w:style w:type="paragraph" w:customStyle="1" w:styleId="AppendixHeading4">
    <w:name w:val="Appendix Heading 4"/>
    <w:basedOn w:val="Heading4"/>
    <w:next w:val="BodyText"/>
    <w:rsid w:val="000F37AA"/>
    <w:pPr>
      <w:numPr>
        <w:numId w:val="2"/>
      </w:numPr>
      <w:tabs>
        <w:tab w:val="left" w:pos="0"/>
      </w:tabs>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pPr>
      <w:ind w:left="142" w:hanging="142"/>
    </w:pPr>
    <w:rPr>
      <w:sz w:val="18"/>
      <w:szCs w:val="16"/>
    </w:rPr>
  </w:style>
  <w:style w:type="paragraph" w:styleId="Caption">
    <w:name w:val="caption"/>
    <w:basedOn w:val="BodyText"/>
    <w:next w:val="Normal"/>
    <w:link w:val="CaptionChar"/>
    <w:qFormat/>
    <w:rsid w:val="0032107D"/>
    <w:pPr>
      <w:keepNext/>
      <w:jc w:val="left"/>
    </w:pPr>
    <w:rPr>
      <w:bCs/>
      <w:i/>
      <w:color w:val="333333"/>
    </w:rPr>
  </w:style>
  <w:style w:type="character" w:styleId="Hyperlink">
    <w:name w:val="Hyperlink"/>
    <w:uiPriority w:val="99"/>
    <w:rsid w:val="007968E9"/>
    <w:rPr>
      <w:rFonts w:ascii="Arial" w:hAnsi="Arial"/>
      <w:color w:val="0000FF"/>
      <w:sz w:val="22"/>
      <w:u w:val="single"/>
    </w:rPr>
  </w:style>
  <w:style w:type="paragraph" w:customStyle="1" w:styleId="a">
    <w:name w:val="(a)"/>
    <w:basedOn w:val="BodyText"/>
    <w:rsid w:val="00B3182D"/>
    <w:pPr>
      <w:ind w:left="1134" w:hanging="567"/>
    </w:pPr>
  </w:style>
  <w:style w:type="paragraph" w:customStyle="1" w:styleId="i">
    <w:name w:val="(i)"/>
    <w:basedOn w:val="a"/>
    <w:rsid w:val="00B3182D"/>
    <w:pPr>
      <w:ind w:left="1701"/>
    </w:pPr>
  </w:style>
  <w:style w:type="table" w:styleId="TableGrid">
    <w:name w:val="Table Grid"/>
    <w:basedOn w:val="TableNormal"/>
    <w:rsid w:val="005D0DA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Arial Narrow" w:hAnsi="Arial Narrow"/>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Narrow" w:hAnsi="Arial Narrow"/>
        <w:b/>
        <w:color w:val="333333"/>
        <w:sz w:val="22"/>
      </w:rPr>
    </w:tblStylePr>
    <w:tblStylePr w:type="lastCol">
      <w:rPr>
        <w:color w:val="auto"/>
      </w:rPr>
    </w:tblStylePr>
  </w:style>
  <w:style w:type="character" w:customStyle="1" w:styleId="CaptionChar">
    <w:name w:val="Caption Char"/>
    <w:link w:val="Caption"/>
    <w:rsid w:val="0032107D"/>
    <w:rPr>
      <w:rFonts w:ascii="Century Gothic" w:hAnsi="Century Gothic"/>
      <w:bCs/>
      <w:i/>
      <w:color w:val="333333"/>
      <w:sz w:val="22"/>
      <w:lang w:eastAsia="en-US"/>
    </w:rPr>
  </w:style>
  <w:style w:type="paragraph" w:customStyle="1" w:styleId="zcontentsBoldCustomColorRGB374042">
    <w:name w:val="zcontents + Bold Custom Color(RGB(374042))"/>
    <w:basedOn w:val="zcontents"/>
    <w:rsid w:val="0028126A"/>
    <w:rPr>
      <w:b/>
      <w:bCs/>
      <w:sz w:val="52"/>
      <w:szCs w:val="52"/>
    </w:rPr>
  </w:style>
  <w:style w:type="paragraph" w:customStyle="1" w:styleId="BodyTestIndent2">
    <w:name w:val="Body Test Indent 2"/>
    <w:basedOn w:val="BodyTextIndent"/>
    <w:link w:val="BodyTestIndent2Char"/>
    <w:rsid w:val="000A4D62"/>
    <w:pPr>
      <w:ind w:left="1134"/>
    </w:pPr>
  </w:style>
  <w:style w:type="paragraph" w:customStyle="1" w:styleId="TableColumnHeadings">
    <w:name w:val="Table Column Headings"/>
    <w:basedOn w:val="BodyText"/>
    <w:link w:val="TableColumnHeadingsChar"/>
    <w:qFormat/>
    <w:rsid w:val="00714940"/>
    <w:pPr>
      <w:spacing w:after="160" w:line="240" w:lineRule="auto"/>
      <w:jc w:val="center"/>
    </w:pPr>
    <w:rPr>
      <w:rFonts w:ascii="Arial Narrow" w:hAnsi="Arial Narrow"/>
      <w:b/>
      <w:bCs/>
      <w:color w:val="FFFFFF"/>
      <w:sz w:val="18"/>
    </w:rPr>
  </w:style>
  <w:style w:type="character" w:customStyle="1" w:styleId="BodyTextChar">
    <w:name w:val="Body Text Char"/>
    <w:aliases w:val="Body copy Char"/>
    <w:basedOn w:val="DefaultParagraphFont"/>
    <w:link w:val="BodyText"/>
    <w:rsid w:val="000A4D62"/>
    <w:rPr>
      <w:rFonts w:ascii="Century Gothic" w:hAnsi="Century Gothic"/>
      <w:color w:val="25282A"/>
      <w:sz w:val="22"/>
      <w:lang w:eastAsia="en-US"/>
    </w:rPr>
  </w:style>
  <w:style w:type="character" w:customStyle="1" w:styleId="BodyTextIndentChar">
    <w:name w:val="Body Text Indent Char"/>
    <w:basedOn w:val="BodyTextChar"/>
    <w:link w:val="BodyTextIndent"/>
    <w:rsid w:val="000A4D62"/>
    <w:rPr>
      <w:rFonts w:ascii="Century Gothic" w:hAnsi="Century Gothic"/>
      <w:color w:val="25282A"/>
      <w:sz w:val="22"/>
      <w:lang w:eastAsia="en-US"/>
    </w:rPr>
  </w:style>
  <w:style w:type="character" w:customStyle="1" w:styleId="BodyTestIndent2Char">
    <w:name w:val="Body Test Indent 2 Char"/>
    <w:basedOn w:val="BodyTextIndentChar"/>
    <w:link w:val="BodyTestIndent2"/>
    <w:rsid w:val="000A4D62"/>
    <w:rPr>
      <w:rFonts w:ascii="Century Gothic" w:hAnsi="Century Gothic"/>
      <w:color w:val="25282A"/>
      <w:sz w:val="22"/>
      <w:lang w:eastAsia="en-US"/>
    </w:rPr>
  </w:style>
  <w:style w:type="paragraph" w:styleId="BodyTextIndent2">
    <w:name w:val="Body Text Indent 2"/>
    <w:basedOn w:val="Normal"/>
    <w:link w:val="BodyTextIndent2Char"/>
    <w:qFormat/>
    <w:rsid w:val="00714940"/>
    <w:pPr>
      <w:ind w:left="567"/>
    </w:pPr>
  </w:style>
  <w:style w:type="character" w:customStyle="1" w:styleId="BodyTextIndent2Char">
    <w:name w:val="Body Text Indent 2 Char"/>
    <w:basedOn w:val="DefaultParagraphFont"/>
    <w:link w:val="BodyTextIndent2"/>
    <w:rsid w:val="00714940"/>
    <w:rPr>
      <w:rFonts w:ascii="Century Gothic" w:hAnsi="Century Gothic"/>
      <w:color w:val="25282A"/>
      <w:sz w:val="22"/>
      <w:lang w:eastAsia="en-US"/>
    </w:rPr>
  </w:style>
  <w:style w:type="paragraph" w:customStyle="1" w:styleId="TableBodyCells">
    <w:name w:val="Table Body Cells"/>
    <w:basedOn w:val="BodyText"/>
    <w:link w:val="TableBodyCellsChar"/>
    <w:qFormat/>
    <w:rsid w:val="00AB5CBB"/>
    <w:pPr>
      <w:spacing w:after="160" w:line="240" w:lineRule="auto"/>
      <w:jc w:val="center"/>
    </w:pPr>
    <w:rPr>
      <w:sz w:val="18"/>
      <w:szCs w:val="18"/>
    </w:rPr>
  </w:style>
  <w:style w:type="character" w:customStyle="1" w:styleId="TableColumnHeadingsChar">
    <w:name w:val="Table Column Headings Char"/>
    <w:basedOn w:val="BodyTextChar"/>
    <w:link w:val="TableColumnHeadings"/>
    <w:rsid w:val="00714940"/>
    <w:rPr>
      <w:rFonts w:ascii="Arial Narrow" w:hAnsi="Arial Narrow"/>
      <w:b/>
      <w:bCs/>
      <w:color w:val="FFFFFF"/>
      <w:sz w:val="18"/>
      <w:lang w:eastAsia="en-US"/>
    </w:rPr>
  </w:style>
  <w:style w:type="paragraph" w:customStyle="1" w:styleId="TableTotalRowcells">
    <w:name w:val="Table Total Row cells"/>
    <w:basedOn w:val="TableFooter"/>
    <w:link w:val="TableTotalRowcellsChar"/>
    <w:qFormat/>
    <w:rsid w:val="00714940"/>
    <w:pPr>
      <w:spacing w:after="160" w:line="240" w:lineRule="auto"/>
      <w:jc w:val="center"/>
    </w:pPr>
    <w:rPr>
      <w:rFonts w:ascii="Century Gothic" w:hAnsi="Century Gothic"/>
      <w:sz w:val="18"/>
      <w:szCs w:val="18"/>
    </w:rPr>
  </w:style>
  <w:style w:type="character" w:customStyle="1" w:styleId="TableBodyCellsChar">
    <w:name w:val="Table Body Cells Char"/>
    <w:basedOn w:val="BodyTextChar"/>
    <w:link w:val="TableBodyCells"/>
    <w:rsid w:val="00AB5CBB"/>
    <w:rPr>
      <w:rFonts w:ascii="Century Gothic" w:hAnsi="Century Gothic"/>
      <w:color w:val="25282A"/>
      <w:sz w:val="18"/>
      <w:szCs w:val="18"/>
      <w:lang w:eastAsia="en-US"/>
    </w:rPr>
  </w:style>
  <w:style w:type="paragraph" w:customStyle="1" w:styleId="Tablecellsfirstcolumn">
    <w:name w:val="Table cells first column"/>
    <w:basedOn w:val="TableTotalRowcells"/>
    <w:rsid w:val="00AB5CBB"/>
    <w:pPr>
      <w:jc w:val="left"/>
    </w:pPr>
    <w:rPr>
      <w:szCs w:val="20"/>
    </w:rPr>
  </w:style>
  <w:style w:type="character" w:customStyle="1" w:styleId="TableFooterChar">
    <w:name w:val="Table Footer Char"/>
    <w:basedOn w:val="BodyTextChar"/>
    <w:link w:val="TableFooter"/>
    <w:rsid w:val="00714940"/>
    <w:rPr>
      <w:rFonts w:ascii="Arial Narrow" w:hAnsi="Arial Narrow"/>
      <w:b/>
      <w:bCs/>
      <w:color w:val="292929"/>
      <w:sz w:val="22"/>
      <w:lang w:eastAsia="en-US"/>
    </w:rPr>
  </w:style>
  <w:style w:type="character" w:customStyle="1" w:styleId="TableTotalRowcellsChar">
    <w:name w:val="Table Total Row cells Char"/>
    <w:basedOn w:val="TableFooterChar"/>
    <w:link w:val="TableTotalRowcells"/>
    <w:rsid w:val="00714940"/>
    <w:rPr>
      <w:rFonts w:ascii="Century Gothic" w:hAnsi="Century Gothic"/>
      <w:b/>
      <w:bCs/>
      <w:color w:val="292929"/>
      <w:sz w:val="18"/>
      <w:szCs w:val="18"/>
      <w:lang w:eastAsia="en-US"/>
    </w:rPr>
  </w:style>
  <w:style w:type="paragraph" w:customStyle="1" w:styleId="Featuretext">
    <w:name w:val="Feature text"/>
    <w:basedOn w:val="BodyText"/>
    <w:link w:val="FeaturetextChar"/>
    <w:qFormat/>
    <w:rsid w:val="009A07B3"/>
    <w:rPr>
      <w:b/>
      <w:i/>
      <w:color w:val="C8102E"/>
      <w:sz w:val="28"/>
      <w:szCs w:val="28"/>
    </w:rPr>
  </w:style>
  <w:style w:type="paragraph" w:customStyle="1" w:styleId="SectionIntroStatement">
    <w:name w:val="Section Intro Statement"/>
    <w:basedOn w:val="BodyText"/>
    <w:link w:val="SectionIntroStatementChar"/>
    <w:qFormat/>
    <w:rsid w:val="00AB5CBB"/>
    <w:rPr>
      <w:sz w:val="28"/>
      <w:szCs w:val="28"/>
    </w:rPr>
  </w:style>
  <w:style w:type="character" w:customStyle="1" w:styleId="FeaturetextChar">
    <w:name w:val="Feature text Char"/>
    <w:basedOn w:val="BodyTextChar"/>
    <w:link w:val="Featuretext"/>
    <w:rsid w:val="009A07B3"/>
    <w:rPr>
      <w:rFonts w:ascii="Century Gothic" w:hAnsi="Century Gothic"/>
      <w:b/>
      <w:i/>
      <w:color w:val="C8102E"/>
      <w:sz w:val="28"/>
      <w:szCs w:val="28"/>
      <w:lang w:eastAsia="en-US"/>
    </w:rPr>
  </w:style>
  <w:style w:type="paragraph" w:customStyle="1" w:styleId="NumberList1">
    <w:name w:val="Number List 1"/>
    <w:basedOn w:val="BodyTestIndent2"/>
    <w:link w:val="NumberList1Char"/>
    <w:qFormat/>
    <w:rsid w:val="00F43D39"/>
    <w:pPr>
      <w:numPr>
        <w:numId w:val="5"/>
      </w:numPr>
    </w:pPr>
  </w:style>
  <w:style w:type="character" w:customStyle="1" w:styleId="SectionIntroStatementChar">
    <w:name w:val="Section Intro Statement Char"/>
    <w:basedOn w:val="BodyTextChar"/>
    <w:link w:val="SectionIntroStatement"/>
    <w:rsid w:val="00AB5CBB"/>
    <w:rPr>
      <w:rFonts w:ascii="Century Gothic" w:hAnsi="Century Gothic"/>
      <w:color w:val="25282A"/>
      <w:sz w:val="28"/>
      <w:szCs w:val="28"/>
      <w:lang w:eastAsia="en-US"/>
    </w:rPr>
  </w:style>
  <w:style w:type="paragraph" w:customStyle="1" w:styleId="NumberList2">
    <w:name w:val="Number List 2"/>
    <w:basedOn w:val="NumberList1"/>
    <w:link w:val="NumberList2Char"/>
    <w:qFormat/>
    <w:rsid w:val="00F43D39"/>
    <w:pPr>
      <w:numPr>
        <w:numId w:val="6"/>
      </w:numPr>
    </w:pPr>
  </w:style>
  <w:style w:type="character" w:customStyle="1" w:styleId="NumberList1Char">
    <w:name w:val="Number List 1 Char"/>
    <w:basedOn w:val="BodyTestIndent2Char"/>
    <w:link w:val="NumberList1"/>
    <w:rsid w:val="00F43D39"/>
    <w:rPr>
      <w:rFonts w:ascii="Century Gothic" w:hAnsi="Century Gothic"/>
      <w:color w:val="25282A"/>
      <w:sz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qFormat/>
    <w:rsid w:val="00F238F1"/>
    <w:rPr>
      <w:vertAlign w:val="superscript"/>
    </w:rPr>
  </w:style>
  <w:style w:type="character" w:customStyle="1" w:styleId="NumberList2Char">
    <w:name w:val="Number List 2 Char"/>
    <w:basedOn w:val="NumberList1Char"/>
    <w:link w:val="NumberList2"/>
    <w:rsid w:val="00F43D39"/>
    <w:rPr>
      <w:rFonts w:ascii="Century Gothic" w:hAnsi="Century Gothic"/>
      <w:color w:val="25282A"/>
      <w:sz w:val="22"/>
      <w:lang w:eastAsia="en-US"/>
    </w:rPr>
  </w:style>
  <w:style w:type="character" w:customStyle="1" w:styleId="FooterChar">
    <w:name w:val="Footer Char"/>
    <w:basedOn w:val="DefaultParagraphFont"/>
    <w:link w:val="Footer"/>
    <w:uiPriority w:val="99"/>
    <w:rsid w:val="00255794"/>
    <w:rPr>
      <w:rFonts w:ascii="Century Gothic" w:hAnsi="Century Gothic"/>
      <w:color w:val="25282A"/>
      <w:sz w:val="18"/>
      <w:lang w:eastAsia="en-US"/>
    </w:rPr>
  </w:style>
  <w:style w:type="paragraph" w:customStyle="1" w:styleId="BasicParagraph">
    <w:name w:val="[Basic Paragraph]"/>
    <w:basedOn w:val="Normal"/>
    <w:uiPriority w:val="99"/>
    <w:rsid w:val="002B07E9"/>
    <w:pPr>
      <w:widowControl w:val="0"/>
      <w:autoSpaceDE w:val="0"/>
      <w:autoSpaceDN w:val="0"/>
      <w:adjustRightInd w:val="0"/>
      <w:spacing w:line="288" w:lineRule="auto"/>
      <w:textAlignment w:val="center"/>
    </w:pPr>
    <w:rPr>
      <w:rFonts w:ascii="MinionPro-Regular" w:eastAsiaTheme="minorEastAsia" w:hAnsi="MinionPro-Regular" w:cs="MinionPro-Regular"/>
      <w:bCs/>
      <w:color w:val="000000"/>
      <w:sz w:val="20"/>
      <w:lang w:val="en-GB"/>
    </w:rPr>
  </w:style>
  <w:style w:type="paragraph" w:styleId="Title">
    <w:name w:val="Title"/>
    <w:aliases w:val="APA Title"/>
    <w:basedOn w:val="BasicParagraph"/>
    <w:next w:val="Normal"/>
    <w:link w:val="TitleChar"/>
    <w:uiPriority w:val="10"/>
    <w:qFormat/>
    <w:rsid w:val="002B07E9"/>
    <w:pPr>
      <w:spacing w:line="240" w:lineRule="auto"/>
    </w:pPr>
    <w:rPr>
      <w:rFonts w:ascii="CenturyGothic-Bold" w:hAnsi="CenturyGothic-Bold" w:cs="CenturyGothic-Bold"/>
      <w:b/>
      <w:bCs w:val="0"/>
      <w:color w:val="25282A"/>
      <w:sz w:val="80"/>
      <w:szCs w:val="80"/>
    </w:rPr>
  </w:style>
  <w:style w:type="character" w:customStyle="1" w:styleId="TitleChar">
    <w:name w:val="Title Char"/>
    <w:aliases w:val="APA Title Char"/>
    <w:basedOn w:val="DefaultParagraphFont"/>
    <w:link w:val="Title"/>
    <w:uiPriority w:val="10"/>
    <w:rsid w:val="002B07E9"/>
    <w:rPr>
      <w:rFonts w:ascii="CenturyGothic-Bold" w:eastAsiaTheme="minorEastAsia" w:hAnsi="CenturyGothic-Bold" w:cs="CenturyGothic-Bold"/>
      <w:b/>
      <w:color w:val="25282A"/>
      <w:sz w:val="80"/>
      <w:szCs w:val="80"/>
      <w:lang w:val="en-GB" w:eastAsia="en-US"/>
    </w:rPr>
  </w:style>
  <w:style w:type="paragraph" w:styleId="Subtitle">
    <w:name w:val="Subtitle"/>
    <w:aliases w:val="APA Subtitle"/>
    <w:basedOn w:val="BasicParagraph"/>
    <w:next w:val="Normal"/>
    <w:link w:val="SubtitleChar"/>
    <w:uiPriority w:val="11"/>
    <w:qFormat/>
    <w:rsid w:val="009A07B3"/>
    <w:pPr>
      <w:spacing w:line="240" w:lineRule="auto"/>
    </w:pPr>
    <w:rPr>
      <w:rFonts w:ascii="CenturyGothic-Bold" w:hAnsi="CenturyGothic-Bold" w:cs="CenturyGothic-Bold"/>
      <w:b/>
      <w:bCs w:val="0"/>
      <w:color w:val="C8102E"/>
      <w:sz w:val="64"/>
      <w:szCs w:val="64"/>
    </w:rPr>
  </w:style>
  <w:style w:type="character" w:customStyle="1" w:styleId="SubtitleChar">
    <w:name w:val="Subtitle Char"/>
    <w:aliases w:val="APA Subtitle Char"/>
    <w:basedOn w:val="DefaultParagraphFont"/>
    <w:link w:val="Subtitle"/>
    <w:uiPriority w:val="11"/>
    <w:rsid w:val="009A07B3"/>
    <w:rPr>
      <w:rFonts w:ascii="CenturyGothic-Bold" w:eastAsiaTheme="minorEastAsia" w:hAnsi="CenturyGothic-Bold" w:cs="CenturyGothic-Bold"/>
      <w:b/>
      <w:color w:val="C8102E"/>
      <w:sz w:val="64"/>
      <w:szCs w:val="64"/>
      <w:lang w:val="en-GB" w:eastAsia="en-US"/>
    </w:rPr>
  </w:style>
  <w:style w:type="character" w:styleId="BookTitle">
    <w:name w:val="Book Title"/>
    <w:aliases w:val="APA Cover Date|Presented by"/>
    <w:uiPriority w:val="33"/>
    <w:qFormat/>
    <w:rsid w:val="00AB2E24"/>
    <w:rPr>
      <w:rFonts w:ascii="CenturyGothic" w:hAnsi="CenturyGothic" w:cs="CenturyGothic"/>
      <w:color w:val="25282A"/>
    </w:rPr>
  </w:style>
  <w:style w:type="paragraph" w:styleId="BalloonText">
    <w:name w:val="Balloon Text"/>
    <w:basedOn w:val="Normal"/>
    <w:link w:val="BalloonTextChar"/>
    <w:rsid w:val="005F47C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F47CF"/>
    <w:rPr>
      <w:rFonts w:ascii="Tahoma" w:hAnsi="Tahoma" w:cs="Tahoma"/>
      <w:color w:val="25282A"/>
      <w:sz w:val="16"/>
      <w:szCs w:val="16"/>
      <w:lang w:eastAsia="en-US"/>
    </w:rPr>
  </w:style>
  <w:style w:type="paragraph" w:customStyle="1" w:styleId="header-title">
    <w:name w:val="header-title"/>
    <w:basedOn w:val="BasicParagraph"/>
    <w:qFormat/>
    <w:rsid w:val="009A07B3"/>
    <w:pPr>
      <w:spacing w:before="0"/>
    </w:pPr>
    <w:rPr>
      <w:rFonts w:ascii="Century Gothic" w:hAnsi="Century Gothic"/>
      <w:b/>
      <w:color w:val="25282A" w:themeColor="text1"/>
    </w:rPr>
  </w:style>
  <w:style w:type="character" w:customStyle="1" w:styleId="red">
    <w:name w:val="red"/>
    <w:basedOn w:val="DefaultParagraphFont"/>
    <w:uiPriority w:val="1"/>
    <w:qFormat/>
    <w:rsid w:val="00A528DA"/>
    <w:rPr>
      <w:color w:val="C8102E" w:themeColor="accent1"/>
    </w:rPr>
  </w:style>
  <w:style w:type="paragraph" w:customStyle="1" w:styleId="BodyTextIndent1">
    <w:name w:val="Body Text Indent 1"/>
    <w:basedOn w:val="BodyText"/>
    <w:qFormat/>
    <w:rsid w:val="007E4A6A"/>
    <w:pPr>
      <w:ind w:left="567" w:hanging="567"/>
    </w:pPr>
    <w:rPr>
      <w:szCs w:val="22"/>
    </w:rPr>
  </w:style>
  <w:style w:type="character" w:styleId="CommentReference">
    <w:name w:val="annotation reference"/>
    <w:basedOn w:val="DefaultParagraphFont"/>
    <w:rsid w:val="00C64098"/>
    <w:rPr>
      <w:sz w:val="16"/>
      <w:szCs w:val="16"/>
    </w:rPr>
  </w:style>
  <w:style w:type="paragraph" w:styleId="CommentText">
    <w:name w:val="annotation text"/>
    <w:basedOn w:val="Normal"/>
    <w:link w:val="CommentTextChar"/>
    <w:rsid w:val="00C64098"/>
    <w:pPr>
      <w:spacing w:line="240" w:lineRule="auto"/>
    </w:pPr>
    <w:rPr>
      <w:sz w:val="20"/>
    </w:rPr>
  </w:style>
  <w:style w:type="character" w:customStyle="1" w:styleId="CommentTextChar">
    <w:name w:val="Comment Text Char"/>
    <w:basedOn w:val="DefaultParagraphFont"/>
    <w:link w:val="CommentText"/>
    <w:rsid w:val="00C64098"/>
    <w:rPr>
      <w:rFonts w:ascii="Century Gothic" w:hAnsi="Century Gothic"/>
      <w:color w:val="25282A"/>
      <w:lang w:eastAsia="en-US"/>
    </w:rPr>
  </w:style>
  <w:style w:type="paragraph" w:styleId="CommentSubject">
    <w:name w:val="annotation subject"/>
    <w:basedOn w:val="CommentText"/>
    <w:next w:val="CommentText"/>
    <w:link w:val="CommentSubjectChar"/>
    <w:rsid w:val="00C64098"/>
    <w:rPr>
      <w:b/>
      <w:bCs/>
    </w:rPr>
  </w:style>
  <w:style w:type="character" w:customStyle="1" w:styleId="CommentSubjectChar">
    <w:name w:val="Comment Subject Char"/>
    <w:basedOn w:val="CommentTextChar"/>
    <w:link w:val="CommentSubject"/>
    <w:rsid w:val="00C64098"/>
    <w:rPr>
      <w:rFonts w:ascii="Century Gothic" w:hAnsi="Century Gothic"/>
      <w:b/>
      <w:bCs/>
      <w:color w:val="25282A"/>
      <w:lang w:eastAsia="en-US"/>
    </w:rPr>
  </w:style>
  <w:style w:type="paragraph" w:customStyle="1" w:styleId="AAtablecolumn1">
    <w:name w:val="AA table column 1"/>
    <w:basedOn w:val="Normal"/>
    <w:rsid w:val="00793C53"/>
    <w:pPr>
      <w:spacing w:before="60" w:after="60" w:line="260" w:lineRule="atLeast"/>
      <w:jc w:val="both"/>
    </w:pPr>
    <w:rPr>
      <w:rFonts w:ascii="Arial" w:hAnsi="Arial"/>
      <w:color w:val="auto"/>
      <w:sz w:val="18"/>
    </w:rPr>
  </w:style>
  <w:style w:type="paragraph" w:customStyle="1" w:styleId="BoardPaperLetterList1">
    <w:name w:val="Board Paper Letter List1"/>
    <w:basedOn w:val="Normal"/>
    <w:rsid w:val="00793C53"/>
    <w:pPr>
      <w:numPr>
        <w:numId w:val="7"/>
      </w:numPr>
      <w:spacing w:before="120" w:after="120" w:line="240" w:lineRule="auto"/>
      <w:ind w:left="284" w:hanging="284"/>
      <w:jc w:val="both"/>
    </w:pPr>
    <w:rPr>
      <w:rFonts w:ascii="Arial" w:hAnsi="Arial"/>
      <w:color w:val="000000"/>
      <w:szCs w:val="28"/>
      <w:lang w:eastAsia="en-AU"/>
    </w:rPr>
  </w:style>
  <w:style w:type="paragraph" w:customStyle="1" w:styleId="Heading2appendix2">
    <w:name w:val="Heading 2 appendix2"/>
    <w:basedOn w:val="Normal"/>
    <w:qFormat/>
    <w:rsid w:val="008B5D91"/>
    <w:pPr>
      <w:keepNext/>
      <w:numPr>
        <w:ilvl w:val="1"/>
        <w:numId w:val="8"/>
      </w:numPr>
      <w:outlineLvl w:val="0"/>
    </w:pPr>
    <w:rPr>
      <w:rFonts w:ascii="Arial Bold" w:hAnsi="Arial Bold"/>
      <w:b/>
      <w:color w:val="C8102E"/>
      <w:szCs w:val="22"/>
    </w:rPr>
  </w:style>
  <w:style w:type="paragraph" w:styleId="TableofFigures">
    <w:name w:val="table of figures"/>
    <w:basedOn w:val="Normal"/>
    <w:next w:val="Normal"/>
    <w:uiPriority w:val="99"/>
    <w:rsid w:val="00217924"/>
  </w:style>
  <w:style w:type="paragraph" w:styleId="Quote">
    <w:name w:val="Quote"/>
    <w:basedOn w:val="Normal"/>
    <w:next w:val="Normal"/>
    <w:link w:val="QuoteChar"/>
    <w:uiPriority w:val="29"/>
    <w:qFormat/>
    <w:rsid w:val="007F281B"/>
    <w:pPr>
      <w:ind w:left="567" w:right="566"/>
      <w:jc w:val="both"/>
    </w:pPr>
    <w:rPr>
      <w:i/>
      <w:iCs/>
      <w:color w:val="25282A" w:themeColor="text1"/>
    </w:rPr>
  </w:style>
  <w:style w:type="character" w:customStyle="1" w:styleId="QuoteChar">
    <w:name w:val="Quote Char"/>
    <w:basedOn w:val="DefaultParagraphFont"/>
    <w:link w:val="Quote"/>
    <w:uiPriority w:val="29"/>
    <w:rsid w:val="007F281B"/>
    <w:rPr>
      <w:rFonts w:ascii="Century Gothic" w:hAnsi="Century Gothic"/>
      <w:i/>
      <w:iCs/>
      <w:color w:val="25282A" w:themeColor="text1"/>
      <w:sz w:val="22"/>
      <w:lang w:eastAsia="en-US"/>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7F281B"/>
    <w:rPr>
      <w:rFonts w:ascii="Century Gothic" w:hAnsi="Century Gothic"/>
      <w:color w:val="25282A"/>
      <w:sz w:val="18"/>
      <w:lang w:eastAsia="en-US"/>
    </w:rPr>
  </w:style>
  <w:style w:type="table" w:customStyle="1" w:styleId="GTTable">
    <w:name w:val="G+T Table"/>
    <w:basedOn w:val="TableGrid"/>
    <w:rsid w:val="007F281B"/>
    <w:pPr>
      <w:spacing w:before="60" w:after="60" w:line="240" w:lineRule="atLeast"/>
    </w:pPr>
    <w:rPr>
      <w:rFonts w:ascii="Times New Roman" w:hAnsi="Times New Roman"/>
    </w:r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keepLines w:val="0"/>
        <w:pageBreakBefore w:val="0"/>
        <w:widowControl/>
        <w:suppressLineNumbers w:val="0"/>
        <w:suppressAutoHyphens w:val="0"/>
        <w:wordWrap/>
      </w:pPr>
      <w:rPr>
        <w:rFonts w:ascii="Arial Bold" w:hAnsi="Arial Bold"/>
        <w:b/>
        <w:color w:val="FFFFFF" w:themeColor="background1"/>
      </w:rPr>
      <w:tblPr/>
      <w:tcPr>
        <w:tcBorders>
          <w:top w:val="single" w:sz="8" w:space="0" w:color="auto"/>
          <w:left w:val="single" w:sz="8" w:space="0" w:color="auto"/>
          <w:bottom w:val="single" w:sz="8" w:space="0" w:color="auto"/>
          <w:right w:val="single" w:sz="8" w:space="0" w:color="auto"/>
          <w:insideH w:val="single" w:sz="6" w:space="0" w:color="auto"/>
          <w:insideV w:val="single" w:sz="6" w:space="0" w:color="auto"/>
        </w:tcBorders>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styleId="Revision">
    <w:name w:val="Revision"/>
    <w:hidden/>
    <w:uiPriority w:val="99"/>
    <w:semiHidden/>
    <w:rsid w:val="007F281B"/>
    <w:rPr>
      <w:rFonts w:ascii="Century Gothic" w:hAnsi="Century Gothic"/>
      <w:color w:val="25282A"/>
      <w:sz w:val="22"/>
      <w:lang w:eastAsia="en-US"/>
    </w:rPr>
  </w:style>
  <w:style w:type="character" w:styleId="FollowedHyperlink">
    <w:name w:val="FollowedHyperlink"/>
    <w:basedOn w:val="DefaultParagraphFont"/>
    <w:rsid w:val="000307DA"/>
    <w:rPr>
      <w:color w:val="845AA2" w:themeColor="followedHyperlink"/>
      <w:u w:val="single"/>
    </w:rPr>
  </w:style>
  <w:style w:type="paragraph" w:styleId="ListParagraph">
    <w:name w:val="List Paragraph"/>
    <w:basedOn w:val="Normal"/>
    <w:uiPriority w:val="34"/>
    <w:qFormat/>
    <w:rsid w:val="00217FF1"/>
    <w:pPr>
      <w:ind w:left="720"/>
      <w:contextualSpacing/>
    </w:pPr>
  </w:style>
  <w:style w:type="paragraph" w:customStyle="1" w:styleId="AASUBparagraph">
    <w:name w:val="AASUB paragraph"/>
    <w:basedOn w:val="Normal"/>
    <w:qFormat/>
    <w:rsid w:val="00671E70"/>
    <w:pPr>
      <w:spacing w:before="0" w:after="240" w:line="264" w:lineRule="auto"/>
      <w:ind w:left="851"/>
    </w:pPr>
    <w:rPr>
      <w:rFonts w:ascii="Arial" w:eastAsiaTheme="minorHAnsi" w:hAnsi="Arial" w:cs="Arial"/>
      <w:color w:val="auto"/>
      <w:sz w:val="20"/>
      <w:szCs w:val="22"/>
    </w:rPr>
  </w:style>
  <w:style w:type="paragraph" w:customStyle="1" w:styleId="AAbody">
    <w:name w:val="AA body"/>
    <w:basedOn w:val="Normal"/>
    <w:link w:val="AAbodyChar"/>
    <w:qFormat/>
    <w:rsid w:val="00671E70"/>
    <w:pPr>
      <w:spacing w:before="0" w:after="240"/>
    </w:pPr>
    <w:rPr>
      <w:rFonts w:ascii="Arial" w:eastAsiaTheme="minorHAnsi" w:hAnsi="Arial" w:cs="Arial"/>
      <w:color w:val="auto"/>
    </w:rPr>
  </w:style>
  <w:style w:type="character" w:customStyle="1" w:styleId="AAbodyChar">
    <w:name w:val="AA body Char"/>
    <w:basedOn w:val="DefaultParagraphFont"/>
    <w:link w:val="AAbody"/>
    <w:rsid w:val="00671E70"/>
    <w:rPr>
      <w:rFonts w:ascii="Arial" w:eastAsiaTheme="minorHAnsi" w:hAnsi="Arial" w:cs="Arial"/>
      <w:sz w:val="22"/>
      <w:lang w:eastAsia="en-US"/>
    </w:rPr>
  </w:style>
  <w:style w:type="paragraph" w:customStyle="1" w:styleId="AAdotpoint1">
    <w:name w:val="AA dot point 1"/>
    <w:basedOn w:val="AAbody"/>
    <w:link w:val="AAdotpoint1Char"/>
    <w:qFormat/>
    <w:rsid w:val="00671E70"/>
    <w:pPr>
      <w:numPr>
        <w:numId w:val="9"/>
      </w:numPr>
      <w:spacing w:after="120"/>
      <w:ind w:left="425" w:hanging="425"/>
    </w:pPr>
  </w:style>
  <w:style w:type="paragraph" w:customStyle="1" w:styleId="AAdotpoint2">
    <w:name w:val="AA dot point 2"/>
    <w:basedOn w:val="AAbody"/>
    <w:qFormat/>
    <w:rsid w:val="00671E70"/>
    <w:pPr>
      <w:numPr>
        <w:ilvl w:val="1"/>
        <w:numId w:val="9"/>
      </w:numPr>
      <w:tabs>
        <w:tab w:val="num" w:pos="0"/>
      </w:tabs>
      <w:spacing w:after="120"/>
      <w:ind w:left="850" w:hanging="425"/>
    </w:pPr>
  </w:style>
  <w:style w:type="paragraph" w:customStyle="1" w:styleId="AAdotpointend1">
    <w:name w:val="AA dot point end 1"/>
    <w:basedOn w:val="AAdotpoint1"/>
    <w:next w:val="AAbody"/>
    <w:qFormat/>
    <w:rsid w:val="00671E70"/>
    <w:pPr>
      <w:spacing w:after="240"/>
    </w:pPr>
  </w:style>
  <w:style w:type="character" w:customStyle="1" w:styleId="AAdotpoint1Char">
    <w:name w:val="AA dot point 1 Char"/>
    <w:basedOn w:val="AAbodyChar"/>
    <w:link w:val="AAdotpoint1"/>
    <w:rsid w:val="00671E70"/>
    <w:rPr>
      <w:rFonts w:ascii="Arial" w:eastAsiaTheme="minorHAnsi" w:hAnsi="Arial" w:cs="Arial"/>
      <w:sz w:val="22"/>
      <w:lang w:eastAsia="en-US"/>
    </w:rPr>
  </w:style>
  <w:style w:type="character" w:styleId="PlaceholderText">
    <w:name w:val="Placeholder Text"/>
    <w:basedOn w:val="DefaultParagraphFont"/>
    <w:uiPriority w:val="99"/>
    <w:semiHidden/>
    <w:rsid w:val="00671E70"/>
    <w:rPr>
      <w:color w:val="808080"/>
    </w:rPr>
  </w:style>
  <w:style w:type="paragraph" w:styleId="NormalWeb">
    <w:name w:val="Normal (Web)"/>
    <w:basedOn w:val="Normal"/>
    <w:uiPriority w:val="99"/>
    <w:unhideWhenUsed/>
    <w:rsid w:val="00671E70"/>
    <w:pPr>
      <w:spacing w:before="100" w:beforeAutospacing="1" w:after="100" w:afterAutospacing="1" w:line="240" w:lineRule="auto"/>
    </w:pPr>
    <w:rPr>
      <w:rFonts w:ascii="Times New Roman" w:hAnsi="Times New Roman"/>
      <w:color w:val="auto"/>
      <w:sz w:val="24"/>
      <w:szCs w:val="24"/>
      <w:lang w:eastAsia="en-AU"/>
    </w:rPr>
  </w:style>
  <w:style w:type="paragraph" w:customStyle="1" w:styleId="AASUBindent1">
    <w:name w:val="AASUB indent 1"/>
    <w:basedOn w:val="AASUBparagraph"/>
    <w:qFormat/>
    <w:rsid w:val="00671E70"/>
    <w:pPr>
      <w:ind w:left="1418" w:hanging="567"/>
    </w:pPr>
  </w:style>
  <w:style w:type="paragraph" w:customStyle="1" w:styleId="EYBodytextwithparaspace">
    <w:name w:val="EY Body text (with para space)"/>
    <w:basedOn w:val="Normal"/>
    <w:rsid w:val="00671E70"/>
    <w:pPr>
      <w:numPr>
        <w:ilvl w:val="4"/>
        <w:numId w:val="10"/>
      </w:numPr>
      <w:spacing w:before="0" w:after="240" w:line="240" w:lineRule="auto"/>
      <w:outlineLvl w:val="0"/>
    </w:pPr>
    <w:rPr>
      <w:rFonts w:ascii="EYInterstate Light" w:hAnsi="EYInterstate Light"/>
      <w:color w:val="auto"/>
      <w:kern w:val="12"/>
      <w:sz w:val="20"/>
      <w:szCs w:val="24"/>
      <w:lang w:eastAsia="en-AU"/>
    </w:rPr>
  </w:style>
  <w:style w:type="numbering" w:customStyle="1" w:styleId="ParaNumberingArial">
    <w:name w:val="ParaNumbering Arial"/>
    <w:basedOn w:val="NoList"/>
    <w:rsid w:val="00671E70"/>
    <w:pPr>
      <w:numPr>
        <w:numId w:val="10"/>
      </w:numPr>
    </w:pPr>
  </w:style>
  <w:style w:type="paragraph" w:customStyle="1" w:styleId="OrdersPage">
    <w:name w:val="OrdersPage"/>
    <w:basedOn w:val="Normal"/>
    <w:semiHidden/>
    <w:rsid w:val="00671E70"/>
    <w:pPr>
      <w:spacing w:before="0" w:line="240" w:lineRule="auto"/>
      <w:jc w:val="both"/>
    </w:pPr>
    <w:rPr>
      <w:rFonts w:ascii="Times New Roman" w:eastAsia="Batang" w:hAnsi="Times New Roman"/>
      <w:color w:val="auto"/>
      <w:sz w:val="24"/>
    </w:rPr>
  </w:style>
  <w:style w:type="paragraph" w:customStyle="1" w:styleId="ParaNumbering">
    <w:name w:val="ParaNumbering"/>
    <w:basedOn w:val="Normal"/>
    <w:rsid w:val="00671E70"/>
    <w:pPr>
      <w:numPr>
        <w:numId w:val="11"/>
      </w:numPr>
      <w:spacing w:before="180" w:after="180" w:line="360" w:lineRule="auto"/>
      <w:jc w:val="both"/>
    </w:pPr>
    <w:rPr>
      <w:rFonts w:ascii="Times New Roman" w:eastAsia="Batang" w:hAnsi="Times New Roman"/>
      <w:color w:val="auto"/>
      <w:sz w:val="24"/>
    </w:rPr>
  </w:style>
  <w:style w:type="paragraph" w:customStyle="1" w:styleId="ListNo1">
    <w:name w:val="List No 1"/>
    <w:basedOn w:val="Normal"/>
    <w:rsid w:val="00671E70"/>
    <w:pPr>
      <w:numPr>
        <w:numId w:val="12"/>
      </w:numPr>
      <w:spacing w:before="60" w:after="60" w:line="360" w:lineRule="auto"/>
      <w:jc w:val="both"/>
    </w:pPr>
    <w:rPr>
      <w:rFonts w:ascii="Times New Roman" w:eastAsia="Batang" w:hAnsi="Times New Roman"/>
      <w:color w:val="auto"/>
      <w:sz w:val="24"/>
    </w:rPr>
  </w:style>
  <w:style w:type="paragraph" w:customStyle="1" w:styleId="MediaNeutralStyle">
    <w:name w:val="Media Neutral Style"/>
    <w:basedOn w:val="Normal"/>
    <w:next w:val="Normal"/>
    <w:semiHidden/>
    <w:rsid w:val="00671E70"/>
    <w:pPr>
      <w:spacing w:before="20" w:after="20" w:line="360" w:lineRule="auto"/>
      <w:jc w:val="center"/>
    </w:pPr>
    <w:rPr>
      <w:rFonts w:ascii="Times New Roman" w:eastAsia="Batang" w:hAnsi="Times New Roman"/>
      <w:b/>
      <w:color w:val="auto"/>
      <w:sz w:val="26"/>
    </w:rPr>
  </w:style>
  <w:style w:type="paragraph" w:styleId="NoSpacing">
    <w:name w:val="No Spacing"/>
    <w:uiPriority w:val="1"/>
    <w:qFormat/>
    <w:rsid w:val="005A25B3"/>
    <w:rPr>
      <w:rFonts w:asciiTheme="minorHAnsi" w:eastAsiaTheme="minorHAnsi" w:hAnsiTheme="minorHAnsi" w:cstheme="minorBidi"/>
      <w:sz w:val="22"/>
      <w:szCs w:val="22"/>
      <w:lang w:eastAsia="en-US"/>
    </w:rPr>
  </w:style>
  <w:style w:type="paragraph" w:customStyle="1" w:styleId="AAtabletopleft">
    <w:name w:val="AA table top left"/>
    <w:basedOn w:val="Normal"/>
    <w:rsid w:val="00370B6E"/>
    <w:pPr>
      <w:spacing w:before="60" w:after="60" w:line="260" w:lineRule="atLeast"/>
    </w:pPr>
    <w:rPr>
      <w:rFonts w:ascii="Arial" w:hAnsi="Arial"/>
      <w:b/>
      <w:color w:val="FFFFFF"/>
      <w:sz w:val="18"/>
      <w:szCs w:val="18"/>
      <w:lang w:val="x-none"/>
    </w:rPr>
  </w:style>
  <w:style w:type="paragraph" w:customStyle="1" w:styleId="AABody0">
    <w:name w:val="AA Body"/>
    <w:basedOn w:val="BodyText"/>
    <w:link w:val="AABodyChar0"/>
    <w:rsid w:val="00370B6E"/>
    <w:pPr>
      <w:spacing w:before="0" w:after="240" w:line="260" w:lineRule="atLeast"/>
      <w:jc w:val="left"/>
    </w:pPr>
    <w:rPr>
      <w:rFonts w:ascii="Arial" w:hAnsi="Arial"/>
      <w:color w:val="auto"/>
      <w:lang w:val="x-none"/>
    </w:rPr>
  </w:style>
  <w:style w:type="character" w:customStyle="1" w:styleId="AABodyChar0">
    <w:name w:val="AA Body Char"/>
    <w:link w:val="AABody0"/>
    <w:rsid w:val="00370B6E"/>
    <w:rPr>
      <w:rFonts w:ascii="Arial" w:hAnsi="Arial"/>
      <w:sz w:val="22"/>
      <w:lang w:val="x-none" w:eastAsia="en-US"/>
    </w:rPr>
  </w:style>
  <w:style w:type="paragraph" w:customStyle="1" w:styleId="nonindextariff">
    <w:name w:val="non index tariff"/>
    <w:basedOn w:val="AppendixHeading2"/>
    <w:link w:val="nonindextariffChar"/>
    <w:qFormat/>
    <w:rsid w:val="00370B6E"/>
    <w:rPr>
      <w:b w:val="0"/>
    </w:rPr>
  </w:style>
  <w:style w:type="character" w:customStyle="1" w:styleId="Heading2Char">
    <w:name w:val="Heading 2 Char"/>
    <w:basedOn w:val="BodyTextChar"/>
    <w:link w:val="Heading2"/>
    <w:rsid w:val="00370B6E"/>
    <w:rPr>
      <w:rFonts w:ascii="Century Gothic" w:hAnsi="Century Gothic"/>
      <w:b/>
      <w:color w:val="C8102E"/>
      <w:sz w:val="22"/>
      <w:lang w:eastAsia="en-US"/>
    </w:rPr>
  </w:style>
  <w:style w:type="character" w:customStyle="1" w:styleId="AppendixHeading2Char">
    <w:name w:val="Appendix Heading 2 Char"/>
    <w:basedOn w:val="Heading2Char"/>
    <w:link w:val="AppendixHeading2"/>
    <w:rsid w:val="00370B6E"/>
    <w:rPr>
      <w:rFonts w:ascii="Century Gothic" w:hAnsi="Century Gothic"/>
      <w:b/>
      <w:color w:val="C8102E"/>
      <w:sz w:val="22"/>
      <w:lang w:eastAsia="en-US"/>
    </w:rPr>
  </w:style>
  <w:style w:type="character" w:customStyle="1" w:styleId="nonindextariffChar">
    <w:name w:val="non index tariff Char"/>
    <w:basedOn w:val="AppendixHeading2Char"/>
    <w:link w:val="nonindextariff"/>
    <w:rsid w:val="00370B6E"/>
    <w:rPr>
      <w:rFonts w:ascii="Century Gothic" w:hAnsi="Century Gothic"/>
      <w:b w:val="0"/>
      <w:color w:val="C8102E"/>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table of figures" w:uiPriority="99"/>
    <w:lsdException w:name="footnote reference" w:qFormat="1"/>
    <w:lsdException w:name="List Bullet" w:qFormat="1"/>
    <w:lsdException w:name="List Bullet 2" w:qFormat="1"/>
    <w:lsdException w:name="Title" w:uiPriority="10" w:qFormat="1"/>
    <w:lsdException w:name="Body Text" w:qFormat="1"/>
    <w:lsdException w:name="Subtitle" w:uiPriority="11" w:qFormat="1"/>
    <w:lsdException w:name="Body Text Indent 2"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503"/>
    <w:pPr>
      <w:spacing w:before="160" w:line="276" w:lineRule="auto"/>
    </w:pPr>
    <w:rPr>
      <w:rFonts w:ascii="Century Gothic" w:hAnsi="Century Gothic"/>
      <w:color w:val="25282A"/>
      <w:sz w:val="22"/>
      <w:lang w:eastAsia="en-US"/>
    </w:rPr>
  </w:style>
  <w:style w:type="paragraph" w:styleId="Heading1">
    <w:name w:val="heading 1"/>
    <w:basedOn w:val="Heading2"/>
    <w:next w:val="BodyText"/>
    <w:qFormat/>
    <w:rsid w:val="009A07B3"/>
    <w:pPr>
      <w:pageBreakBefore/>
      <w:numPr>
        <w:ilvl w:val="0"/>
      </w:numPr>
      <w:spacing w:before="160" w:after="0" w:line="276" w:lineRule="auto"/>
      <w:outlineLvl w:val="0"/>
    </w:pPr>
    <w:rPr>
      <w:sz w:val="32"/>
    </w:rPr>
  </w:style>
  <w:style w:type="paragraph" w:styleId="Heading2">
    <w:name w:val="heading 2"/>
    <w:basedOn w:val="BodyText"/>
    <w:next w:val="BodyText"/>
    <w:link w:val="Heading2Char"/>
    <w:qFormat/>
    <w:rsid w:val="0055275F"/>
    <w:pPr>
      <w:keepNext/>
      <w:numPr>
        <w:ilvl w:val="1"/>
        <w:numId w:val="1"/>
      </w:numPr>
      <w:spacing w:before="240" w:after="120" w:line="240" w:lineRule="auto"/>
      <w:jc w:val="left"/>
      <w:outlineLvl w:val="1"/>
    </w:pPr>
    <w:rPr>
      <w:b/>
      <w:color w:val="C8102E"/>
    </w:rPr>
  </w:style>
  <w:style w:type="paragraph" w:styleId="Heading3">
    <w:name w:val="heading 3"/>
    <w:basedOn w:val="Heading4"/>
    <w:next w:val="BodyText"/>
    <w:qFormat/>
    <w:rsid w:val="006367E5"/>
    <w:pPr>
      <w:numPr>
        <w:ilvl w:val="2"/>
      </w:numPr>
      <w:ind w:hanging="1134"/>
      <w:outlineLvl w:val="2"/>
    </w:pPr>
    <w:rPr>
      <w:color w:val="25282A"/>
    </w:rPr>
  </w:style>
  <w:style w:type="paragraph" w:styleId="Heading4">
    <w:name w:val="heading 4"/>
    <w:basedOn w:val="Heading5"/>
    <w:next w:val="BodyText"/>
    <w:qFormat/>
    <w:rsid w:val="00817F05"/>
    <w:pPr>
      <w:numPr>
        <w:ilvl w:val="3"/>
        <w:numId w:val="1"/>
      </w:numPr>
      <w:tabs>
        <w:tab w:val="clear" w:pos="20"/>
      </w:tabs>
      <w:ind w:hanging="1134"/>
      <w:outlineLvl w:val="3"/>
    </w:pPr>
    <w:rPr>
      <w:i/>
    </w:rPr>
  </w:style>
  <w:style w:type="paragraph" w:styleId="Heading5">
    <w:name w:val="heading 5"/>
    <w:basedOn w:val="BodyText"/>
    <w:next w:val="BodyText"/>
    <w:qFormat/>
    <w:rsid w:val="00172132"/>
    <w:pPr>
      <w:keepNext/>
      <w:spacing w:before="240" w:after="120" w:line="240" w:lineRule="auto"/>
      <w:jc w:val="left"/>
      <w:outlineLvl w:val="4"/>
    </w:pPr>
    <w:rPr>
      <w:b/>
      <w:color w:val="333333"/>
    </w:rPr>
  </w:style>
  <w:style w:type="paragraph" w:styleId="Heading6">
    <w:name w:val="heading 6"/>
    <w:basedOn w:val="Normal"/>
    <w:next w:val="Normal"/>
    <w:qFormat/>
    <w:rsid w:val="00B34A49"/>
    <w:pPr>
      <w:keepNext/>
      <w:outlineLvl w:val="5"/>
    </w:pPr>
    <w:rPr>
      <w:i/>
    </w:r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copy"/>
    <w:basedOn w:val="Normal"/>
    <w:link w:val="BodyTextChar"/>
    <w:qFormat/>
    <w:rsid w:val="0028126A"/>
    <w:pPr>
      <w:jc w:val="both"/>
    </w:pPr>
  </w:style>
  <w:style w:type="paragraph" w:styleId="TOC4">
    <w:name w:val="toc 4"/>
    <w:basedOn w:val="TOC3"/>
    <w:semiHidden/>
  </w:style>
  <w:style w:type="paragraph" w:styleId="TOC3">
    <w:name w:val="toc 3"/>
    <w:basedOn w:val="TOC2"/>
    <w:uiPriority w:val="39"/>
    <w:pPr>
      <w:tabs>
        <w:tab w:val="left" w:pos="1418"/>
      </w:tabs>
      <w:ind w:left="1418" w:hanging="1418"/>
    </w:pPr>
  </w:style>
  <w:style w:type="paragraph" w:styleId="TOC2">
    <w:name w:val="toc 2"/>
    <w:basedOn w:val="TOC1"/>
    <w:uiPriority w:val="39"/>
    <w:rsid w:val="0028126A"/>
    <w:pPr>
      <w:spacing w:before="0"/>
    </w:pPr>
    <w:rPr>
      <w:b w:val="0"/>
      <w:sz w:val="24"/>
    </w:rPr>
  </w:style>
  <w:style w:type="paragraph" w:styleId="TOC1">
    <w:name w:val="toc 1"/>
    <w:basedOn w:val="Normal"/>
    <w:uiPriority w:val="39"/>
    <w:rsid w:val="00123EB5"/>
    <w:pPr>
      <w:tabs>
        <w:tab w:val="right" w:pos="8221"/>
      </w:tabs>
      <w:ind w:left="851" w:right="567" w:hanging="851"/>
    </w:pPr>
    <w:rPr>
      <w:b/>
      <w:noProof/>
      <w:sz w:val="28"/>
    </w:rPr>
  </w:style>
  <w:style w:type="paragraph" w:styleId="Footer">
    <w:name w:val="footer"/>
    <w:basedOn w:val="Normal"/>
    <w:link w:val="FooterChar"/>
    <w:uiPriority w:val="99"/>
    <w:pPr>
      <w:tabs>
        <w:tab w:val="right" w:pos="8222"/>
      </w:tabs>
    </w:pPr>
    <w:rPr>
      <w:sz w:val="18"/>
    </w:rPr>
  </w:style>
  <w:style w:type="paragraph" w:styleId="Header">
    <w:name w:val="header"/>
    <w:basedOn w:val="Normal"/>
    <w:pPr>
      <w:spacing w:line="220" w:lineRule="atLeast"/>
      <w:jc w:val="right"/>
    </w:pPr>
    <w:rPr>
      <w:i/>
      <w:sz w:val="18"/>
    </w:rPr>
  </w:style>
  <w:style w:type="paragraph" w:styleId="ListBullet">
    <w:name w:val="List Bullet"/>
    <w:basedOn w:val="BodyText"/>
    <w:qFormat/>
    <w:rsid w:val="0035187C"/>
    <w:pPr>
      <w:numPr>
        <w:numId w:val="3"/>
      </w:numPr>
    </w:pPr>
  </w:style>
  <w:style w:type="paragraph" w:styleId="ListBullet2">
    <w:name w:val="List Bullet 2"/>
    <w:basedOn w:val="ListBullet"/>
    <w:qFormat/>
    <w:rsid w:val="00216570"/>
    <w:pPr>
      <w:numPr>
        <w:numId w:val="4"/>
      </w:numPr>
    </w:pPr>
  </w:style>
  <w:style w:type="paragraph" w:customStyle="1" w:styleId="zreportname">
    <w:name w:val="zreport name"/>
    <w:basedOn w:val="Normal"/>
    <w:pPr>
      <w:keepLines/>
      <w:framePr w:w="4536" w:wrap="around" w:vAnchor="page" w:hAnchor="page" w:xAlign="center" w:y="3993"/>
      <w:spacing w:line="440" w:lineRule="exact"/>
      <w:jc w:val="center"/>
    </w:pPr>
    <w:rPr>
      <w:noProof/>
      <w:sz w:val="36"/>
    </w:rPr>
  </w:style>
  <w:style w:type="paragraph" w:customStyle="1" w:styleId="zcontents">
    <w:name w:val="zcontents"/>
    <w:basedOn w:val="Normal"/>
    <w:pPr>
      <w:spacing w:after="260" w:line="240" w:lineRule="auto"/>
    </w:pPr>
    <w:rPr>
      <w:sz w:val="32"/>
    </w:rPr>
  </w:style>
  <w:style w:type="paragraph" w:customStyle="1" w:styleId="StyleCaption11ptBlueBefore6ptAfter6ptLinespac">
    <w:name w:val="Style Caption + 11 pt Blue Before:  6 pt After:  6 pt Line spac..."/>
    <w:basedOn w:val="Caption"/>
    <w:rsid w:val="0064405E"/>
    <w:pPr>
      <w:spacing w:before="120" w:after="120" w:line="240" w:lineRule="auto"/>
    </w:pPr>
    <w:rPr>
      <w:bCs w:val="0"/>
      <w:iCs/>
      <w:color w:val="292929"/>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qFormat/>
    <w:rPr>
      <w:sz w:val="18"/>
    </w:rPr>
  </w:style>
  <w:style w:type="paragraph" w:customStyle="1" w:styleId="zreportsubtitle">
    <w:name w:val="zreport subtitle"/>
    <w:basedOn w:val="zreportname"/>
    <w:pPr>
      <w:framePr w:wrap="around"/>
      <w:spacing w:line="360" w:lineRule="exact"/>
    </w:pPr>
    <w:rPr>
      <w:sz w:val="32"/>
    </w:rPr>
  </w:style>
  <w:style w:type="paragraph" w:styleId="BodyTextIndent">
    <w:name w:val="Body Text Indent"/>
    <w:basedOn w:val="BodyText"/>
    <w:link w:val="BodyTextIndentChar"/>
    <w:rsid w:val="000A4D62"/>
    <w:pPr>
      <w:ind w:left="567"/>
    </w:pPr>
  </w:style>
  <w:style w:type="paragraph" w:styleId="Index1">
    <w:name w:val="index 1"/>
    <w:basedOn w:val="Normal"/>
    <w:next w:val="Normal"/>
    <w:semiHidden/>
    <w:pPr>
      <w:keepNext/>
      <w:tabs>
        <w:tab w:val="right" w:pos="3750"/>
      </w:tabs>
      <w:spacing w:before="360" w:line="320" w:lineRule="exact"/>
      <w:ind w:right="851"/>
    </w:pPr>
    <w:rPr>
      <w:b/>
      <w:sz w:val="28"/>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pPr>
      <w:spacing w:line="240" w:lineRule="auto"/>
    </w:pPr>
  </w:style>
  <w:style w:type="character" w:styleId="PageNumber">
    <w:name w:val="page number"/>
    <w:rsid w:val="00A105C2"/>
    <w:rPr>
      <w:rFonts w:ascii="Arial" w:hAnsi="Arial"/>
      <w:sz w:val="22"/>
    </w:rPr>
  </w:style>
  <w:style w:type="paragraph" w:styleId="Index2">
    <w:name w:val="index 2"/>
    <w:basedOn w:val="Normal"/>
    <w:next w:val="Normal"/>
    <w:semiHidden/>
    <w:pPr>
      <w:tabs>
        <w:tab w:val="right" w:pos="3750"/>
      </w:tabs>
      <w:ind w:left="340" w:right="851"/>
    </w:pPr>
  </w:style>
  <w:style w:type="paragraph" w:customStyle="1" w:styleId="zreportaddinfo">
    <w:name w:val="zreport addinfo"/>
    <w:basedOn w:val="Normal"/>
    <w:pPr>
      <w:framePr w:wrap="around" w:hAnchor="page" w:xAlign="center" w:yAlign="bottom"/>
      <w:jc w:val="center"/>
    </w:pPr>
    <w:rPr>
      <w:noProof/>
      <w:sz w:val="20"/>
    </w:rPr>
  </w:style>
  <w:style w:type="paragraph" w:customStyle="1" w:styleId="zreportaddinfoit">
    <w:name w:val="zreport addinfoit"/>
    <w:basedOn w:val="Normal"/>
    <w:pPr>
      <w:framePr w:wrap="around" w:hAnchor="page" w:xAlign="center" w:yAlign="bottom"/>
      <w:jc w:val="center"/>
    </w:pPr>
    <w:rPr>
      <w:i/>
      <w:sz w:val="20"/>
    </w:rPr>
  </w:style>
  <w:style w:type="paragraph" w:customStyle="1" w:styleId="AppendixHeading">
    <w:name w:val="Appendix Heading"/>
    <w:basedOn w:val="Heading1"/>
    <w:next w:val="BodyText"/>
    <w:rsid w:val="000F37AA"/>
    <w:pPr>
      <w:numPr>
        <w:numId w:val="2"/>
      </w:numPr>
      <w:tabs>
        <w:tab w:val="left" w:pos="0"/>
      </w:tabs>
      <w:outlineLvl w:val="9"/>
    </w:pPr>
  </w:style>
  <w:style w:type="paragraph" w:customStyle="1" w:styleId="TableFooter">
    <w:name w:val="Table Footer"/>
    <w:basedOn w:val="BodyText"/>
    <w:link w:val="TableFooterChar"/>
    <w:rsid w:val="005D5E56"/>
    <w:rPr>
      <w:rFonts w:ascii="Arial Narrow" w:hAnsi="Arial Narrow"/>
      <w:b/>
      <w:bCs/>
      <w:color w:val="292929"/>
    </w:rPr>
  </w:style>
  <w:style w:type="paragraph" w:customStyle="1" w:styleId="AppendixHeading2">
    <w:name w:val="Appendix Heading 2"/>
    <w:basedOn w:val="Heading2"/>
    <w:next w:val="BodyText"/>
    <w:link w:val="AppendixHeading2Char"/>
    <w:rsid w:val="000F37AA"/>
    <w:pPr>
      <w:numPr>
        <w:numId w:val="2"/>
      </w:numPr>
      <w:tabs>
        <w:tab w:val="left" w:pos="0"/>
      </w:tabs>
      <w:outlineLvl w:val="9"/>
    </w:pPr>
  </w:style>
  <w:style w:type="paragraph" w:customStyle="1" w:styleId="AppendixHeading3">
    <w:name w:val="Appendix Heading 3"/>
    <w:basedOn w:val="Heading3"/>
    <w:next w:val="BodyText"/>
    <w:rsid w:val="000F37AA"/>
    <w:pPr>
      <w:numPr>
        <w:numId w:val="2"/>
      </w:numPr>
      <w:tabs>
        <w:tab w:val="left" w:pos="0"/>
      </w:tabs>
      <w:outlineLvl w:val="9"/>
    </w:pPr>
  </w:style>
  <w:style w:type="paragraph" w:customStyle="1" w:styleId="AppendixHeading4">
    <w:name w:val="Appendix Heading 4"/>
    <w:basedOn w:val="Heading4"/>
    <w:next w:val="BodyText"/>
    <w:rsid w:val="000F37AA"/>
    <w:pPr>
      <w:numPr>
        <w:numId w:val="2"/>
      </w:numPr>
      <w:tabs>
        <w:tab w:val="left" w:pos="0"/>
      </w:tabs>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pPr>
      <w:ind w:left="142" w:hanging="142"/>
    </w:pPr>
    <w:rPr>
      <w:sz w:val="18"/>
      <w:szCs w:val="16"/>
    </w:rPr>
  </w:style>
  <w:style w:type="paragraph" w:styleId="Caption">
    <w:name w:val="caption"/>
    <w:basedOn w:val="BodyText"/>
    <w:next w:val="Normal"/>
    <w:link w:val="CaptionChar"/>
    <w:qFormat/>
    <w:rsid w:val="0032107D"/>
    <w:pPr>
      <w:keepNext/>
      <w:jc w:val="left"/>
    </w:pPr>
    <w:rPr>
      <w:bCs/>
      <w:i/>
      <w:color w:val="333333"/>
    </w:rPr>
  </w:style>
  <w:style w:type="character" w:styleId="Hyperlink">
    <w:name w:val="Hyperlink"/>
    <w:uiPriority w:val="99"/>
    <w:rsid w:val="007968E9"/>
    <w:rPr>
      <w:rFonts w:ascii="Arial" w:hAnsi="Arial"/>
      <w:color w:val="0000FF"/>
      <w:sz w:val="22"/>
      <w:u w:val="single"/>
    </w:rPr>
  </w:style>
  <w:style w:type="paragraph" w:customStyle="1" w:styleId="a">
    <w:name w:val="(a)"/>
    <w:basedOn w:val="BodyText"/>
    <w:rsid w:val="00B3182D"/>
    <w:pPr>
      <w:ind w:left="1134" w:hanging="567"/>
    </w:pPr>
  </w:style>
  <w:style w:type="paragraph" w:customStyle="1" w:styleId="i">
    <w:name w:val="(i)"/>
    <w:basedOn w:val="a"/>
    <w:rsid w:val="00B3182D"/>
    <w:pPr>
      <w:ind w:left="1701"/>
    </w:pPr>
  </w:style>
  <w:style w:type="table" w:styleId="TableGrid">
    <w:name w:val="Table Grid"/>
    <w:basedOn w:val="TableNormal"/>
    <w:rsid w:val="005D0DA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Arial Narrow" w:hAnsi="Arial Narrow"/>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Narrow" w:hAnsi="Arial Narrow"/>
        <w:b/>
        <w:color w:val="333333"/>
        <w:sz w:val="22"/>
      </w:rPr>
    </w:tblStylePr>
    <w:tblStylePr w:type="lastCol">
      <w:rPr>
        <w:color w:val="auto"/>
      </w:rPr>
    </w:tblStylePr>
  </w:style>
  <w:style w:type="character" w:customStyle="1" w:styleId="CaptionChar">
    <w:name w:val="Caption Char"/>
    <w:link w:val="Caption"/>
    <w:rsid w:val="0032107D"/>
    <w:rPr>
      <w:rFonts w:ascii="Century Gothic" w:hAnsi="Century Gothic"/>
      <w:bCs/>
      <w:i/>
      <w:color w:val="333333"/>
      <w:sz w:val="22"/>
      <w:lang w:eastAsia="en-US"/>
    </w:rPr>
  </w:style>
  <w:style w:type="paragraph" w:customStyle="1" w:styleId="zcontentsBoldCustomColorRGB374042">
    <w:name w:val="zcontents + Bold Custom Color(RGB(374042))"/>
    <w:basedOn w:val="zcontents"/>
    <w:rsid w:val="0028126A"/>
    <w:rPr>
      <w:b/>
      <w:bCs/>
      <w:sz w:val="52"/>
      <w:szCs w:val="52"/>
    </w:rPr>
  </w:style>
  <w:style w:type="paragraph" w:customStyle="1" w:styleId="BodyTestIndent2">
    <w:name w:val="Body Test Indent 2"/>
    <w:basedOn w:val="BodyTextIndent"/>
    <w:link w:val="BodyTestIndent2Char"/>
    <w:rsid w:val="000A4D62"/>
    <w:pPr>
      <w:ind w:left="1134"/>
    </w:pPr>
  </w:style>
  <w:style w:type="paragraph" w:customStyle="1" w:styleId="TableColumnHeadings">
    <w:name w:val="Table Column Headings"/>
    <w:basedOn w:val="BodyText"/>
    <w:link w:val="TableColumnHeadingsChar"/>
    <w:qFormat/>
    <w:rsid w:val="00714940"/>
    <w:pPr>
      <w:spacing w:after="160" w:line="240" w:lineRule="auto"/>
      <w:jc w:val="center"/>
    </w:pPr>
    <w:rPr>
      <w:rFonts w:ascii="Arial Narrow" w:hAnsi="Arial Narrow"/>
      <w:b/>
      <w:bCs/>
      <w:color w:val="FFFFFF"/>
      <w:sz w:val="18"/>
    </w:rPr>
  </w:style>
  <w:style w:type="character" w:customStyle="1" w:styleId="BodyTextChar">
    <w:name w:val="Body Text Char"/>
    <w:aliases w:val="Body copy Char"/>
    <w:basedOn w:val="DefaultParagraphFont"/>
    <w:link w:val="BodyText"/>
    <w:rsid w:val="000A4D62"/>
    <w:rPr>
      <w:rFonts w:ascii="Century Gothic" w:hAnsi="Century Gothic"/>
      <w:color w:val="25282A"/>
      <w:sz w:val="22"/>
      <w:lang w:eastAsia="en-US"/>
    </w:rPr>
  </w:style>
  <w:style w:type="character" w:customStyle="1" w:styleId="BodyTextIndentChar">
    <w:name w:val="Body Text Indent Char"/>
    <w:basedOn w:val="BodyTextChar"/>
    <w:link w:val="BodyTextIndent"/>
    <w:rsid w:val="000A4D62"/>
    <w:rPr>
      <w:rFonts w:ascii="Century Gothic" w:hAnsi="Century Gothic"/>
      <w:color w:val="25282A"/>
      <w:sz w:val="22"/>
      <w:lang w:eastAsia="en-US"/>
    </w:rPr>
  </w:style>
  <w:style w:type="character" w:customStyle="1" w:styleId="BodyTestIndent2Char">
    <w:name w:val="Body Test Indent 2 Char"/>
    <w:basedOn w:val="BodyTextIndentChar"/>
    <w:link w:val="BodyTestIndent2"/>
    <w:rsid w:val="000A4D62"/>
    <w:rPr>
      <w:rFonts w:ascii="Century Gothic" w:hAnsi="Century Gothic"/>
      <w:color w:val="25282A"/>
      <w:sz w:val="22"/>
      <w:lang w:eastAsia="en-US"/>
    </w:rPr>
  </w:style>
  <w:style w:type="paragraph" w:styleId="BodyTextIndent2">
    <w:name w:val="Body Text Indent 2"/>
    <w:basedOn w:val="Normal"/>
    <w:link w:val="BodyTextIndent2Char"/>
    <w:qFormat/>
    <w:rsid w:val="00714940"/>
    <w:pPr>
      <w:ind w:left="567"/>
    </w:pPr>
  </w:style>
  <w:style w:type="character" w:customStyle="1" w:styleId="BodyTextIndent2Char">
    <w:name w:val="Body Text Indent 2 Char"/>
    <w:basedOn w:val="DefaultParagraphFont"/>
    <w:link w:val="BodyTextIndent2"/>
    <w:rsid w:val="00714940"/>
    <w:rPr>
      <w:rFonts w:ascii="Century Gothic" w:hAnsi="Century Gothic"/>
      <w:color w:val="25282A"/>
      <w:sz w:val="22"/>
      <w:lang w:eastAsia="en-US"/>
    </w:rPr>
  </w:style>
  <w:style w:type="paragraph" w:customStyle="1" w:styleId="TableBodyCells">
    <w:name w:val="Table Body Cells"/>
    <w:basedOn w:val="BodyText"/>
    <w:link w:val="TableBodyCellsChar"/>
    <w:qFormat/>
    <w:rsid w:val="00AB5CBB"/>
    <w:pPr>
      <w:spacing w:after="160" w:line="240" w:lineRule="auto"/>
      <w:jc w:val="center"/>
    </w:pPr>
    <w:rPr>
      <w:sz w:val="18"/>
      <w:szCs w:val="18"/>
    </w:rPr>
  </w:style>
  <w:style w:type="character" w:customStyle="1" w:styleId="TableColumnHeadingsChar">
    <w:name w:val="Table Column Headings Char"/>
    <w:basedOn w:val="BodyTextChar"/>
    <w:link w:val="TableColumnHeadings"/>
    <w:rsid w:val="00714940"/>
    <w:rPr>
      <w:rFonts w:ascii="Arial Narrow" w:hAnsi="Arial Narrow"/>
      <w:b/>
      <w:bCs/>
      <w:color w:val="FFFFFF"/>
      <w:sz w:val="18"/>
      <w:lang w:eastAsia="en-US"/>
    </w:rPr>
  </w:style>
  <w:style w:type="paragraph" w:customStyle="1" w:styleId="TableTotalRowcells">
    <w:name w:val="Table Total Row cells"/>
    <w:basedOn w:val="TableFooter"/>
    <w:link w:val="TableTotalRowcellsChar"/>
    <w:qFormat/>
    <w:rsid w:val="00714940"/>
    <w:pPr>
      <w:spacing w:after="160" w:line="240" w:lineRule="auto"/>
      <w:jc w:val="center"/>
    </w:pPr>
    <w:rPr>
      <w:rFonts w:ascii="Century Gothic" w:hAnsi="Century Gothic"/>
      <w:sz w:val="18"/>
      <w:szCs w:val="18"/>
    </w:rPr>
  </w:style>
  <w:style w:type="character" w:customStyle="1" w:styleId="TableBodyCellsChar">
    <w:name w:val="Table Body Cells Char"/>
    <w:basedOn w:val="BodyTextChar"/>
    <w:link w:val="TableBodyCells"/>
    <w:rsid w:val="00AB5CBB"/>
    <w:rPr>
      <w:rFonts w:ascii="Century Gothic" w:hAnsi="Century Gothic"/>
      <w:color w:val="25282A"/>
      <w:sz w:val="18"/>
      <w:szCs w:val="18"/>
      <w:lang w:eastAsia="en-US"/>
    </w:rPr>
  </w:style>
  <w:style w:type="paragraph" w:customStyle="1" w:styleId="Tablecellsfirstcolumn">
    <w:name w:val="Table cells first column"/>
    <w:basedOn w:val="TableTotalRowcells"/>
    <w:rsid w:val="00AB5CBB"/>
    <w:pPr>
      <w:jc w:val="left"/>
    </w:pPr>
    <w:rPr>
      <w:szCs w:val="20"/>
    </w:rPr>
  </w:style>
  <w:style w:type="character" w:customStyle="1" w:styleId="TableFooterChar">
    <w:name w:val="Table Footer Char"/>
    <w:basedOn w:val="BodyTextChar"/>
    <w:link w:val="TableFooter"/>
    <w:rsid w:val="00714940"/>
    <w:rPr>
      <w:rFonts w:ascii="Arial Narrow" w:hAnsi="Arial Narrow"/>
      <w:b/>
      <w:bCs/>
      <w:color w:val="292929"/>
      <w:sz w:val="22"/>
      <w:lang w:eastAsia="en-US"/>
    </w:rPr>
  </w:style>
  <w:style w:type="character" w:customStyle="1" w:styleId="TableTotalRowcellsChar">
    <w:name w:val="Table Total Row cells Char"/>
    <w:basedOn w:val="TableFooterChar"/>
    <w:link w:val="TableTotalRowcells"/>
    <w:rsid w:val="00714940"/>
    <w:rPr>
      <w:rFonts w:ascii="Century Gothic" w:hAnsi="Century Gothic"/>
      <w:b/>
      <w:bCs/>
      <w:color w:val="292929"/>
      <w:sz w:val="18"/>
      <w:szCs w:val="18"/>
      <w:lang w:eastAsia="en-US"/>
    </w:rPr>
  </w:style>
  <w:style w:type="paragraph" w:customStyle="1" w:styleId="Featuretext">
    <w:name w:val="Feature text"/>
    <w:basedOn w:val="BodyText"/>
    <w:link w:val="FeaturetextChar"/>
    <w:qFormat/>
    <w:rsid w:val="009A07B3"/>
    <w:rPr>
      <w:b/>
      <w:i/>
      <w:color w:val="C8102E"/>
      <w:sz w:val="28"/>
      <w:szCs w:val="28"/>
    </w:rPr>
  </w:style>
  <w:style w:type="paragraph" w:customStyle="1" w:styleId="SectionIntroStatement">
    <w:name w:val="Section Intro Statement"/>
    <w:basedOn w:val="BodyText"/>
    <w:link w:val="SectionIntroStatementChar"/>
    <w:qFormat/>
    <w:rsid w:val="00AB5CBB"/>
    <w:rPr>
      <w:sz w:val="28"/>
      <w:szCs w:val="28"/>
    </w:rPr>
  </w:style>
  <w:style w:type="character" w:customStyle="1" w:styleId="FeaturetextChar">
    <w:name w:val="Feature text Char"/>
    <w:basedOn w:val="BodyTextChar"/>
    <w:link w:val="Featuretext"/>
    <w:rsid w:val="009A07B3"/>
    <w:rPr>
      <w:rFonts w:ascii="Century Gothic" w:hAnsi="Century Gothic"/>
      <w:b/>
      <w:i/>
      <w:color w:val="C8102E"/>
      <w:sz w:val="28"/>
      <w:szCs w:val="28"/>
      <w:lang w:eastAsia="en-US"/>
    </w:rPr>
  </w:style>
  <w:style w:type="paragraph" w:customStyle="1" w:styleId="NumberList1">
    <w:name w:val="Number List 1"/>
    <w:basedOn w:val="BodyTestIndent2"/>
    <w:link w:val="NumberList1Char"/>
    <w:qFormat/>
    <w:rsid w:val="00F43D39"/>
    <w:pPr>
      <w:numPr>
        <w:numId w:val="5"/>
      </w:numPr>
    </w:pPr>
  </w:style>
  <w:style w:type="character" w:customStyle="1" w:styleId="SectionIntroStatementChar">
    <w:name w:val="Section Intro Statement Char"/>
    <w:basedOn w:val="BodyTextChar"/>
    <w:link w:val="SectionIntroStatement"/>
    <w:rsid w:val="00AB5CBB"/>
    <w:rPr>
      <w:rFonts w:ascii="Century Gothic" w:hAnsi="Century Gothic"/>
      <w:color w:val="25282A"/>
      <w:sz w:val="28"/>
      <w:szCs w:val="28"/>
      <w:lang w:eastAsia="en-US"/>
    </w:rPr>
  </w:style>
  <w:style w:type="paragraph" w:customStyle="1" w:styleId="NumberList2">
    <w:name w:val="Number List 2"/>
    <w:basedOn w:val="NumberList1"/>
    <w:link w:val="NumberList2Char"/>
    <w:qFormat/>
    <w:rsid w:val="00F43D39"/>
    <w:pPr>
      <w:numPr>
        <w:numId w:val="6"/>
      </w:numPr>
    </w:pPr>
  </w:style>
  <w:style w:type="character" w:customStyle="1" w:styleId="NumberList1Char">
    <w:name w:val="Number List 1 Char"/>
    <w:basedOn w:val="BodyTestIndent2Char"/>
    <w:link w:val="NumberList1"/>
    <w:rsid w:val="00F43D39"/>
    <w:rPr>
      <w:rFonts w:ascii="Century Gothic" w:hAnsi="Century Gothic"/>
      <w:color w:val="25282A"/>
      <w:sz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qFormat/>
    <w:rsid w:val="00F238F1"/>
    <w:rPr>
      <w:vertAlign w:val="superscript"/>
    </w:rPr>
  </w:style>
  <w:style w:type="character" w:customStyle="1" w:styleId="NumberList2Char">
    <w:name w:val="Number List 2 Char"/>
    <w:basedOn w:val="NumberList1Char"/>
    <w:link w:val="NumberList2"/>
    <w:rsid w:val="00F43D39"/>
    <w:rPr>
      <w:rFonts w:ascii="Century Gothic" w:hAnsi="Century Gothic"/>
      <w:color w:val="25282A"/>
      <w:sz w:val="22"/>
      <w:lang w:eastAsia="en-US"/>
    </w:rPr>
  </w:style>
  <w:style w:type="character" w:customStyle="1" w:styleId="FooterChar">
    <w:name w:val="Footer Char"/>
    <w:basedOn w:val="DefaultParagraphFont"/>
    <w:link w:val="Footer"/>
    <w:uiPriority w:val="99"/>
    <w:rsid w:val="00255794"/>
    <w:rPr>
      <w:rFonts w:ascii="Century Gothic" w:hAnsi="Century Gothic"/>
      <w:color w:val="25282A"/>
      <w:sz w:val="18"/>
      <w:lang w:eastAsia="en-US"/>
    </w:rPr>
  </w:style>
  <w:style w:type="paragraph" w:customStyle="1" w:styleId="BasicParagraph">
    <w:name w:val="[Basic Paragraph]"/>
    <w:basedOn w:val="Normal"/>
    <w:uiPriority w:val="99"/>
    <w:rsid w:val="002B07E9"/>
    <w:pPr>
      <w:widowControl w:val="0"/>
      <w:autoSpaceDE w:val="0"/>
      <w:autoSpaceDN w:val="0"/>
      <w:adjustRightInd w:val="0"/>
      <w:spacing w:line="288" w:lineRule="auto"/>
      <w:textAlignment w:val="center"/>
    </w:pPr>
    <w:rPr>
      <w:rFonts w:ascii="MinionPro-Regular" w:eastAsiaTheme="minorEastAsia" w:hAnsi="MinionPro-Regular" w:cs="MinionPro-Regular"/>
      <w:bCs/>
      <w:color w:val="000000"/>
      <w:sz w:val="20"/>
      <w:lang w:val="en-GB"/>
    </w:rPr>
  </w:style>
  <w:style w:type="paragraph" w:styleId="Title">
    <w:name w:val="Title"/>
    <w:aliases w:val="APA Title"/>
    <w:basedOn w:val="BasicParagraph"/>
    <w:next w:val="Normal"/>
    <w:link w:val="TitleChar"/>
    <w:uiPriority w:val="10"/>
    <w:qFormat/>
    <w:rsid w:val="002B07E9"/>
    <w:pPr>
      <w:spacing w:line="240" w:lineRule="auto"/>
    </w:pPr>
    <w:rPr>
      <w:rFonts w:ascii="CenturyGothic-Bold" w:hAnsi="CenturyGothic-Bold" w:cs="CenturyGothic-Bold"/>
      <w:b/>
      <w:bCs w:val="0"/>
      <w:color w:val="25282A"/>
      <w:sz w:val="80"/>
      <w:szCs w:val="80"/>
    </w:rPr>
  </w:style>
  <w:style w:type="character" w:customStyle="1" w:styleId="TitleChar">
    <w:name w:val="Title Char"/>
    <w:aliases w:val="APA Title Char"/>
    <w:basedOn w:val="DefaultParagraphFont"/>
    <w:link w:val="Title"/>
    <w:uiPriority w:val="10"/>
    <w:rsid w:val="002B07E9"/>
    <w:rPr>
      <w:rFonts w:ascii="CenturyGothic-Bold" w:eastAsiaTheme="minorEastAsia" w:hAnsi="CenturyGothic-Bold" w:cs="CenturyGothic-Bold"/>
      <w:b/>
      <w:color w:val="25282A"/>
      <w:sz w:val="80"/>
      <w:szCs w:val="80"/>
      <w:lang w:val="en-GB" w:eastAsia="en-US"/>
    </w:rPr>
  </w:style>
  <w:style w:type="paragraph" w:styleId="Subtitle">
    <w:name w:val="Subtitle"/>
    <w:aliases w:val="APA Subtitle"/>
    <w:basedOn w:val="BasicParagraph"/>
    <w:next w:val="Normal"/>
    <w:link w:val="SubtitleChar"/>
    <w:uiPriority w:val="11"/>
    <w:qFormat/>
    <w:rsid w:val="009A07B3"/>
    <w:pPr>
      <w:spacing w:line="240" w:lineRule="auto"/>
    </w:pPr>
    <w:rPr>
      <w:rFonts w:ascii="CenturyGothic-Bold" w:hAnsi="CenturyGothic-Bold" w:cs="CenturyGothic-Bold"/>
      <w:b/>
      <w:bCs w:val="0"/>
      <w:color w:val="C8102E"/>
      <w:sz w:val="64"/>
      <w:szCs w:val="64"/>
    </w:rPr>
  </w:style>
  <w:style w:type="character" w:customStyle="1" w:styleId="SubtitleChar">
    <w:name w:val="Subtitle Char"/>
    <w:aliases w:val="APA Subtitle Char"/>
    <w:basedOn w:val="DefaultParagraphFont"/>
    <w:link w:val="Subtitle"/>
    <w:uiPriority w:val="11"/>
    <w:rsid w:val="009A07B3"/>
    <w:rPr>
      <w:rFonts w:ascii="CenturyGothic-Bold" w:eastAsiaTheme="minorEastAsia" w:hAnsi="CenturyGothic-Bold" w:cs="CenturyGothic-Bold"/>
      <w:b/>
      <w:color w:val="C8102E"/>
      <w:sz w:val="64"/>
      <w:szCs w:val="64"/>
      <w:lang w:val="en-GB" w:eastAsia="en-US"/>
    </w:rPr>
  </w:style>
  <w:style w:type="character" w:styleId="BookTitle">
    <w:name w:val="Book Title"/>
    <w:aliases w:val="APA Cover Date|Presented by"/>
    <w:uiPriority w:val="33"/>
    <w:qFormat/>
    <w:rsid w:val="00AB2E24"/>
    <w:rPr>
      <w:rFonts w:ascii="CenturyGothic" w:hAnsi="CenturyGothic" w:cs="CenturyGothic"/>
      <w:color w:val="25282A"/>
    </w:rPr>
  </w:style>
  <w:style w:type="paragraph" w:styleId="BalloonText">
    <w:name w:val="Balloon Text"/>
    <w:basedOn w:val="Normal"/>
    <w:link w:val="BalloonTextChar"/>
    <w:rsid w:val="005F47C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F47CF"/>
    <w:rPr>
      <w:rFonts w:ascii="Tahoma" w:hAnsi="Tahoma" w:cs="Tahoma"/>
      <w:color w:val="25282A"/>
      <w:sz w:val="16"/>
      <w:szCs w:val="16"/>
      <w:lang w:eastAsia="en-US"/>
    </w:rPr>
  </w:style>
  <w:style w:type="paragraph" w:customStyle="1" w:styleId="header-title">
    <w:name w:val="header-title"/>
    <w:basedOn w:val="BasicParagraph"/>
    <w:qFormat/>
    <w:rsid w:val="009A07B3"/>
    <w:pPr>
      <w:spacing w:before="0"/>
    </w:pPr>
    <w:rPr>
      <w:rFonts w:ascii="Century Gothic" w:hAnsi="Century Gothic"/>
      <w:b/>
      <w:color w:val="25282A" w:themeColor="text1"/>
    </w:rPr>
  </w:style>
  <w:style w:type="character" w:customStyle="1" w:styleId="red">
    <w:name w:val="red"/>
    <w:basedOn w:val="DefaultParagraphFont"/>
    <w:uiPriority w:val="1"/>
    <w:qFormat/>
    <w:rsid w:val="00A528DA"/>
    <w:rPr>
      <w:color w:val="C8102E" w:themeColor="accent1"/>
    </w:rPr>
  </w:style>
  <w:style w:type="paragraph" w:customStyle="1" w:styleId="BodyTextIndent1">
    <w:name w:val="Body Text Indent 1"/>
    <w:basedOn w:val="BodyText"/>
    <w:qFormat/>
    <w:rsid w:val="007E4A6A"/>
    <w:pPr>
      <w:ind w:left="567" w:hanging="567"/>
    </w:pPr>
    <w:rPr>
      <w:szCs w:val="22"/>
    </w:rPr>
  </w:style>
  <w:style w:type="character" w:styleId="CommentReference">
    <w:name w:val="annotation reference"/>
    <w:basedOn w:val="DefaultParagraphFont"/>
    <w:rsid w:val="00C64098"/>
    <w:rPr>
      <w:sz w:val="16"/>
      <w:szCs w:val="16"/>
    </w:rPr>
  </w:style>
  <w:style w:type="paragraph" w:styleId="CommentText">
    <w:name w:val="annotation text"/>
    <w:basedOn w:val="Normal"/>
    <w:link w:val="CommentTextChar"/>
    <w:rsid w:val="00C64098"/>
    <w:pPr>
      <w:spacing w:line="240" w:lineRule="auto"/>
    </w:pPr>
    <w:rPr>
      <w:sz w:val="20"/>
    </w:rPr>
  </w:style>
  <w:style w:type="character" w:customStyle="1" w:styleId="CommentTextChar">
    <w:name w:val="Comment Text Char"/>
    <w:basedOn w:val="DefaultParagraphFont"/>
    <w:link w:val="CommentText"/>
    <w:rsid w:val="00C64098"/>
    <w:rPr>
      <w:rFonts w:ascii="Century Gothic" w:hAnsi="Century Gothic"/>
      <w:color w:val="25282A"/>
      <w:lang w:eastAsia="en-US"/>
    </w:rPr>
  </w:style>
  <w:style w:type="paragraph" w:styleId="CommentSubject">
    <w:name w:val="annotation subject"/>
    <w:basedOn w:val="CommentText"/>
    <w:next w:val="CommentText"/>
    <w:link w:val="CommentSubjectChar"/>
    <w:rsid w:val="00C64098"/>
    <w:rPr>
      <w:b/>
      <w:bCs/>
    </w:rPr>
  </w:style>
  <w:style w:type="character" w:customStyle="1" w:styleId="CommentSubjectChar">
    <w:name w:val="Comment Subject Char"/>
    <w:basedOn w:val="CommentTextChar"/>
    <w:link w:val="CommentSubject"/>
    <w:rsid w:val="00C64098"/>
    <w:rPr>
      <w:rFonts w:ascii="Century Gothic" w:hAnsi="Century Gothic"/>
      <w:b/>
      <w:bCs/>
      <w:color w:val="25282A"/>
      <w:lang w:eastAsia="en-US"/>
    </w:rPr>
  </w:style>
  <w:style w:type="paragraph" w:customStyle="1" w:styleId="AAtablecolumn1">
    <w:name w:val="AA table column 1"/>
    <w:basedOn w:val="Normal"/>
    <w:rsid w:val="00793C53"/>
    <w:pPr>
      <w:spacing w:before="60" w:after="60" w:line="260" w:lineRule="atLeast"/>
      <w:jc w:val="both"/>
    </w:pPr>
    <w:rPr>
      <w:rFonts w:ascii="Arial" w:hAnsi="Arial"/>
      <w:color w:val="auto"/>
      <w:sz w:val="18"/>
    </w:rPr>
  </w:style>
  <w:style w:type="paragraph" w:customStyle="1" w:styleId="BoardPaperLetterList1">
    <w:name w:val="Board Paper Letter List1"/>
    <w:basedOn w:val="Normal"/>
    <w:rsid w:val="00793C53"/>
    <w:pPr>
      <w:numPr>
        <w:numId w:val="7"/>
      </w:numPr>
      <w:spacing w:before="120" w:after="120" w:line="240" w:lineRule="auto"/>
      <w:ind w:left="284" w:hanging="284"/>
      <w:jc w:val="both"/>
    </w:pPr>
    <w:rPr>
      <w:rFonts w:ascii="Arial" w:hAnsi="Arial"/>
      <w:color w:val="000000"/>
      <w:szCs w:val="28"/>
      <w:lang w:eastAsia="en-AU"/>
    </w:rPr>
  </w:style>
  <w:style w:type="paragraph" w:customStyle="1" w:styleId="Heading2appendix2">
    <w:name w:val="Heading 2 appendix2"/>
    <w:basedOn w:val="Normal"/>
    <w:qFormat/>
    <w:rsid w:val="008B5D91"/>
    <w:pPr>
      <w:keepNext/>
      <w:numPr>
        <w:ilvl w:val="1"/>
        <w:numId w:val="8"/>
      </w:numPr>
      <w:outlineLvl w:val="0"/>
    </w:pPr>
    <w:rPr>
      <w:rFonts w:ascii="Arial Bold" w:hAnsi="Arial Bold"/>
      <w:b/>
      <w:color w:val="C8102E"/>
      <w:szCs w:val="22"/>
    </w:rPr>
  </w:style>
  <w:style w:type="paragraph" w:styleId="TableofFigures">
    <w:name w:val="table of figures"/>
    <w:basedOn w:val="Normal"/>
    <w:next w:val="Normal"/>
    <w:uiPriority w:val="99"/>
    <w:rsid w:val="00217924"/>
  </w:style>
  <w:style w:type="paragraph" w:styleId="Quote">
    <w:name w:val="Quote"/>
    <w:basedOn w:val="Normal"/>
    <w:next w:val="Normal"/>
    <w:link w:val="QuoteChar"/>
    <w:uiPriority w:val="29"/>
    <w:qFormat/>
    <w:rsid w:val="007F281B"/>
    <w:pPr>
      <w:ind w:left="567" w:right="566"/>
      <w:jc w:val="both"/>
    </w:pPr>
    <w:rPr>
      <w:i/>
      <w:iCs/>
      <w:color w:val="25282A" w:themeColor="text1"/>
    </w:rPr>
  </w:style>
  <w:style w:type="character" w:customStyle="1" w:styleId="QuoteChar">
    <w:name w:val="Quote Char"/>
    <w:basedOn w:val="DefaultParagraphFont"/>
    <w:link w:val="Quote"/>
    <w:uiPriority w:val="29"/>
    <w:rsid w:val="007F281B"/>
    <w:rPr>
      <w:rFonts w:ascii="Century Gothic" w:hAnsi="Century Gothic"/>
      <w:i/>
      <w:iCs/>
      <w:color w:val="25282A" w:themeColor="text1"/>
      <w:sz w:val="22"/>
      <w:lang w:eastAsia="en-US"/>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7F281B"/>
    <w:rPr>
      <w:rFonts w:ascii="Century Gothic" w:hAnsi="Century Gothic"/>
      <w:color w:val="25282A"/>
      <w:sz w:val="18"/>
      <w:lang w:eastAsia="en-US"/>
    </w:rPr>
  </w:style>
  <w:style w:type="table" w:customStyle="1" w:styleId="GTTable">
    <w:name w:val="G+T Table"/>
    <w:basedOn w:val="TableGrid"/>
    <w:rsid w:val="007F281B"/>
    <w:pPr>
      <w:spacing w:before="60" w:after="60" w:line="240" w:lineRule="atLeast"/>
    </w:pPr>
    <w:rPr>
      <w:rFonts w:ascii="Times New Roman" w:hAnsi="Times New Roman"/>
    </w:r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keepLines w:val="0"/>
        <w:pageBreakBefore w:val="0"/>
        <w:widowControl/>
        <w:suppressLineNumbers w:val="0"/>
        <w:suppressAutoHyphens w:val="0"/>
        <w:wordWrap/>
      </w:pPr>
      <w:rPr>
        <w:rFonts w:ascii="Arial Bold" w:hAnsi="Arial Bold"/>
        <w:b/>
        <w:color w:val="FFFFFF" w:themeColor="background1"/>
      </w:rPr>
      <w:tblPr/>
      <w:tcPr>
        <w:tcBorders>
          <w:top w:val="single" w:sz="8" w:space="0" w:color="auto"/>
          <w:left w:val="single" w:sz="8" w:space="0" w:color="auto"/>
          <w:bottom w:val="single" w:sz="8" w:space="0" w:color="auto"/>
          <w:right w:val="single" w:sz="8" w:space="0" w:color="auto"/>
          <w:insideH w:val="single" w:sz="6" w:space="0" w:color="auto"/>
          <w:insideV w:val="single" w:sz="6" w:space="0" w:color="auto"/>
        </w:tcBorders>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styleId="Revision">
    <w:name w:val="Revision"/>
    <w:hidden/>
    <w:uiPriority w:val="99"/>
    <w:semiHidden/>
    <w:rsid w:val="007F281B"/>
    <w:rPr>
      <w:rFonts w:ascii="Century Gothic" w:hAnsi="Century Gothic"/>
      <w:color w:val="25282A"/>
      <w:sz w:val="22"/>
      <w:lang w:eastAsia="en-US"/>
    </w:rPr>
  </w:style>
  <w:style w:type="character" w:styleId="FollowedHyperlink">
    <w:name w:val="FollowedHyperlink"/>
    <w:basedOn w:val="DefaultParagraphFont"/>
    <w:rsid w:val="000307DA"/>
    <w:rPr>
      <w:color w:val="845AA2" w:themeColor="followedHyperlink"/>
      <w:u w:val="single"/>
    </w:rPr>
  </w:style>
  <w:style w:type="paragraph" w:styleId="ListParagraph">
    <w:name w:val="List Paragraph"/>
    <w:basedOn w:val="Normal"/>
    <w:uiPriority w:val="34"/>
    <w:qFormat/>
    <w:rsid w:val="00217FF1"/>
    <w:pPr>
      <w:ind w:left="720"/>
      <w:contextualSpacing/>
    </w:pPr>
  </w:style>
  <w:style w:type="paragraph" w:customStyle="1" w:styleId="AASUBparagraph">
    <w:name w:val="AASUB paragraph"/>
    <w:basedOn w:val="Normal"/>
    <w:qFormat/>
    <w:rsid w:val="00671E70"/>
    <w:pPr>
      <w:spacing w:before="0" w:after="240" w:line="264" w:lineRule="auto"/>
      <w:ind w:left="851"/>
    </w:pPr>
    <w:rPr>
      <w:rFonts w:ascii="Arial" w:eastAsiaTheme="minorHAnsi" w:hAnsi="Arial" w:cs="Arial"/>
      <w:color w:val="auto"/>
      <w:sz w:val="20"/>
      <w:szCs w:val="22"/>
    </w:rPr>
  </w:style>
  <w:style w:type="paragraph" w:customStyle="1" w:styleId="AAbody">
    <w:name w:val="AA body"/>
    <w:basedOn w:val="Normal"/>
    <w:link w:val="AAbodyChar"/>
    <w:qFormat/>
    <w:rsid w:val="00671E70"/>
    <w:pPr>
      <w:spacing w:before="0" w:after="240"/>
    </w:pPr>
    <w:rPr>
      <w:rFonts w:ascii="Arial" w:eastAsiaTheme="minorHAnsi" w:hAnsi="Arial" w:cs="Arial"/>
      <w:color w:val="auto"/>
    </w:rPr>
  </w:style>
  <w:style w:type="character" w:customStyle="1" w:styleId="AAbodyChar">
    <w:name w:val="AA body Char"/>
    <w:basedOn w:val="DefaultParagraphFont"/>
    <w:link w:val="AAbody"/>
    <w:rsid w:val="00671E70"/>
    <w:rPr>
      <w:rFonts w:ascii="Arial" w:eastAsiaTheme="minorHAnsi" w:hAnsi="Arial" w:cs="Arial"/>
      <w:sz w:val="22"/>
      <w:lang w:eastAsia="en-US"/>
    </w:rPr>
  </w:style>
  <w:style w:type="paragraph" w:customStyle="1" w:styleId="AAdotpoint1">
    <w:name w:val="AA dot point 1"/>
    <w:basedOn w:val="AAbody"/>
    <w:link w:val="AAdotpoint1Char"/>
    <w:qFormat/>
    <w:rsid w:val="00671E70"/>
    <w:pPr>
      <w:numPr>
        <w:numId w:val="9"/>
      </w:numPr>
      <w:spacing w:after="120"/>
      <w:ind w:left="425" w:hanging="425"/>
    </w:pPr>
  </w:style>
  <w:style w:type="paragraph" w:customStyle="1" w:styleId="AAdotpoint2">
    <w:name w:val="AA dot point 2"/>
    <w:basedOn w:val="AAbody"/>
    <w:qFormat/>
    <w:rsid w:val="00671E70"/>
    <w:pPr>
      <w:numPr>
        <w:ilvl w:val="1"/>
        <w:numId w:val="9"/>
      </w:numPr>
      <w:tabs>
        <w:tab w:val="num" w:pos="0"/>
      </w:tabs>
      <w:spacing w:after="120"/>
      <w:ind w:left="850" w:hanging="425"/>
    </w:pPr>
  </w:style>
  <w:style w:type="paragraph" w:customStyle="1" w:styleId="AAdotpointend1">
    <w:name w:val="AA dot point end 1"/>
    <w:basedOn w:val="AAdotpoint1"/>
    <w:next w:val="AAbody"/>
    <w:qFormat/>
    <w:rsid w:val="00671E70"/>
    <w:pPr>
      <w:spacing w:after="240"/>
    </w:pPr>
  </w:style>
  <w:style w:type="character" w:customStyle="1" w:styleId="AAdotpoint1Char">
    <w:name w:val="AA dot point 1 Char"/>
    <w:basedOn w:val="AAbodyChar"/>
    <w:link w:val="AAdotpoint1"/>
    <w:rsid w:val="00671E70"/>
    <w:rPr>
      <w:rFonts w:ascii="Arial" w:eastAsiaTheme="minorHAnsi" w:hAnsi="Arial" w:cs="Arial"/>
      <w:sz w:val="22"/>
      <w:lang w:eastAsia="en-US"/>
    </w:rPr>
  </w:style>
  <w:style w:type="character" w:styleId="PlaceholderText">
    <w:name w:val="Placeholder Text"/>
    <w:basedOn w:val="DefaultParagraphFont"/>
    <w:uiPriority w:val="99"/>
    <w:semiHidden/>
    <w:rsid w:val="00671E70"/>
    <w:rPr>
      <w:color w:val="808080"/>
    </w:rPr>
  </w:style>
  <w:style w:type="paragraph" w:styleId="NormalWeb">
    <w:name w:val="Normal (Web)"/>
    <w:basedOn w:val="Normal"/>
    <w:uiPriority w:val="99"/>
    <w:unhideWhenUsed/>
    <w:rsid w:val="00671E70"/>
    <w:pPr>
      <w:spacing w:before="100" w:beforeAutospacing="1" w:after="100" w:afterAutospacing="1" w:line="240" w:lineRule="auto"/>
    </w:pPr>
    <w:rPr>
      <w:rFonts w:ascii="Times New Roman" w:hAnsi="Times New Roman"/>
      <w:color w:val="auto"/>
      <w:sz w:val="24"/>
      <w:szCs w:val="24"/>
      <w:lang w:eastAsia="en-AU"/>
    </w:rPr>
  </w:style>
  <w:style w:type="paragraph" w:customStyle="1" w:styleId="AASUBindent1">
    <w:name w:val="AASUB indent 1"/>
    <w:basedOn w:val="AASUBparagraph"/>
    <w:qFormat/>
    <w:rsid w:val="00671E70"/>
    <w:pPr>
      <w:ind w:left="1418" w:hanging="567"/>
    </w:pPr>
  </w:style>
  <w:style w:type="paragraph" w:customStyle="1" w:styleId="EYBodytextwithparaspace">
    <w:name w:val="EY Body text (with para space)"/>
    <w:basedOn w:val="Normal"/>
    <w:rsid w:val="00671E70"/>
    <w:pPr>
      <w:numPr>
        <w:ilvl w:val="4"/>
        <w:numId w:val="10"/>
      </w:numPr>
      <w:spacing w:before="0" w:after="240" w:line="240" w:lineRule="auto"/>
      <w:outlineLvl w:val="0"/>
    </w:pPr>
    <w:rPr>
      <w:rFonts w:ascii="EYInterstate Light" w:hAnsi="EYInterstate Light"/>
      <w:color w:val="auto"/>
      <w:kern w:val="12"/>
      <w:sz w:val="20"/>
      <w:szCs w:val="24"/>
      <w:lang w:eastAsia="en-AU"/>
    </w:rPr>
  </w:style>
  <w:style w:type="numbering" w:customStyle="1" w:styleId="ParaNumberingArial">
    <w:name w:val="ParaNumbering Arial"/>
    <w:basedOn w:val="NoList"/>
    <w:rsid w:val="00671E70"/>
    <w:pPr>
      <w:numPr>
        <w:numId w:val="10"/>
      </w:numPr>
    </w:pPr>
  </w:style>
  <w:style w:type="paragraph" w:customStyle="1" w:styleId="OrdersPage">
    <w:name w:val="OrdersPage"/>
    <w:basedOn w:val="Normal"/>
    <w:semiHidden/>
    <w:rsid w:val="00671E70"/>
    <w:pPr>
      <w:spacing w:before="0" w:line="240" w:lineRule="auto"/>
      <w:jc w:val="both"/>
    </w:pPr>
    <w:rPr>
      <w:rFonts w:ascii="Times New Roman" w:eastAsia="Batang" w:hAnsi="Times New Roman"/>
      <w:color w:val="auto"/>
      <w:sz w:val="24"/>
    </w:rPr>
  </w:style>
  <w:style w:type="paragraph" w:customStyle="1" w:styleId="ParaNumbering">
    <w:name w:val="ParaNumbering"/>
    <w:basedOn w:val="Normal"/>
    <w:rsid w:val="00671E70"/>
    <w:pPr>
      <w:numPr>
        <w:numId w:val="11"/>
      </w:numPr>
      <w:spacing w:before="180" w:after="180" w:line="360" w:lineRule="auto"/>
      <w:jc w:val="both"/>
    </w:pPr>
    <w:rPr>
      <w:rFonts w:ascii="Times New Roman" w:eastAsia="Batang" w:hAnsi="Times New Roman"/>
      <w:color w:val="auto"/>
      <w:sz w:val="24"/>
    </w:rPr>
  </w:style>
  <w:style w:type="paragraph" w:customStyle="1" w:styleId="ListNo1">
    <w:name w:val="List No 1"/>
    <w:basedOn w:val="Normal"/>
    <w:rsid w:val="00671E70"/>
    <w:pPr>
      <w:numPr>
        <w:numId w:val="12"/>
      </w:numPr>
      <w:spacing w:before="60" w:after="60" w:line="360" w:lineRule="auto"/>
      <w:jc w:val="both"/>
    </w:pPr>
    <w:rPr>
      <w:rFonts w:ascii="Times New Roman" w:eastAsia="Batang" w:hAnsi="Times New Roman"/>
      <w:color w:val="auto"/>
      <w:sz w:val="24"/>
    </w:rPr>
  </w:style>
  <w:style w:type="paragraph" w:customStyle="1" w:styleId="MediaNeutralStyle">
    <w:name w:val="Media Neutral Style"/>
    <w:basedOn w:val="Normal"/>
    <w:next w:val="Normal"/>
    <w:semiHidden/>
    <w:rsid w:val="00671E70"/>
    <w:pPr>
      <w:spacing w:before="20" w:after="20" w:line="360" w:lineRule="auto"/>
      <w:jc w:val="center"/>
    </w:pPr>
    <w:rPr>
      <w:rFonts w:ascii="Times New Roman" w:eastAsia="Batang" w:hAnsi="Times New Roman"/>
      <w:b/>
      <w:color w:val="auto"/>
      <w:sz w:val="26"/>
    </w:rPr>
  </w:style>
  <w:style w:type="paragraph" w:styleId="NoSpacing">
    <w:name w:val="No Spacing"/>
    <w:uiPriority w:val="1"/>
    <w:qFormat/>
    <w:rsid w:val="005A25B3"/>
    <w:rPr>
      <w:rFonts w:asciiTheme="minorHAnsi" w:eastAsiaTheme="minorHAnsi" w:hAnsiTheme="minorHAnsi" w:cstheme="minorBidi"/>
      <w:sz w:val="22"/>
      <w:szCs w:val="22"/>
      <w:lang w:eastAsia="en-US"/>
    </w:rPr>
  </w:style>
  <w:style w:type="paragraph" w:customStyle="1" w:styleId="AAtabletopleft">
    <w:name w:val="AA table top left"/>
    <w:basedOn w:val="Normal"/>
    <w:rsid w:val="00370B6E"/>
    <w:pPr>
      <w:spacing w:before="60" w:after="60" w:line="260" w:lineRule="atLeast"/>
    </w:pPr>
    <w:rPr>
      <w:rFonts w:ascii="Arial" w:hAnsi="Arial"/>
      <w:b/>
      <w:color w:val="FFFFFF"/>
      <w:sz w:val="18"/>
      <w:szCs w:val="18"/>
      <w:lang w:val="x-none"/>
    </w:rPr>
  </w:style>
  <w:style w:type="paragraph" w:customStyle="1" w:styleId="AABody0">
    <w:name w:val="AA Body"/>
    <w:basedOn w:val="BodyText"/>
    <w:link w:val="AABodyChar0"/>
    <w:rsid w:val="00370B6E"/>
    <w:pPr>
      <w:spacing w:before="0" w:after="240" w:line="260" w:lineRule="atLeast"/>
      <w:jc w:val="left"/>
    </w:pPr>
    <w:rPr>
      <w:rFonts w:ascii="Arial" w:hAnsi="Arial"/>
      <w:color w:val="auto"/>
      <w:lang w:val="x-none"/>
    </w:rPr>
  </w:style>
  <w:style w:type="character" w:customStyle="1" w:styleId="AABodyChar0">
    <w:name w:val="AA Body Char"/>
    <w:link w:val="AABody0"/>
    <w:rsid w:val="00370B6E"/>
    <w:rPr>
      <w:rFonts w:ascii="Arial" w:hAnsi="Arial"/>
      <w:sz w:val="22"/>
      <w:lang w:val="x-none" w:eastAsia="en-US"/>
    </w:rPr>
  </w:style>
  <w:style w:type="paragraph" w:customStyle="1" w:styleId="nonindextariff">
    <w:name w:val="non index tariff"/>
    <w:basedOn w:val="AppendixHeading2"/>
    <w:link w:val="nonindextariffChar"/>
    <w:qFormat/>
    <w:rsid w:val="00370B6E"/>
    <w:rPr>
      <w:b w:val="0"/>
    </w:rPr>
  </w:style>
  <w:style w:type="character" w:customStyle="1" w:styleId="Heading2Char">
    <w:name w:val="Heading 2 Char"/>
    <w:basedOn w:val="BodyTextChar"/>
    <w:link w:val="Heading2"/>
    <w:rsid w:val="00370B6E"/>
    <w:rPr>
      <w:rFonts w:ascii="Century Gothic" w:hAnsi="Century Gothic"/>
      <w:b/>
      <w:color w:val="C8102E"/>
      <w:sz w:val="22"/>
      <w:lang w:eastAsia="en-US"/>
    </w:rPr>
  </w:style>
  <w:style w:type="character" w:customStyle="1" w:styleId="AppendixHeading2Char">
    <w:name w:val="Appendix Heading 2 Char"/>
    <w:basedOn w:val="Heading2Char"/>
    <w:link w:val="AppendixHeading2"/>
    <w:rsid w:val="00370B6E"/>
    <w:rPr>
      <w:rFonts w:ascii="Century Gothic" w:hAnsi="Century Gothic"/>
      <w:b/>
      <w:color w:val="C8102E"/>
      <w:sz w:val="22"/>
      <w:lang w:eastAsia="en-US"/>
    </w:rPr>
  </w:style>
  <w:style w:type="character" w:customStyle="1" w:styleId="nonindextariffChar">
    <w:name w:val="non index tariff Char"/>
    <w:basedOn w:val="AppendixHeading2Char"/>
    <w:link w:val="nonindextariff"/>
    <w:rsid w:val="00370B6E"/>
    <w:rPr>
      <w:rFonts w:ascii="Century Gothic" w:hAnsi="Century Gothic"/>
      <w:b w:val="0"/>
      <w:color w:val="C8102E"/>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8102">
      <w:bodyDiv w:val="1"/>
      <w:marLeft w:val="0"/>
      <w:marRight w:val="0"/>
      <w:marTop w:val="0"/>
      <w:marBottom w:val="0"/>
      <w:divBdr>
        <w:top w:val="none" w:sz="0" w:space="0" w:color="auto"/>
        <w:left w:val="none" w:sz="0" w:space="0" w:color="auto"/>
        <w:bottom w:val="none" w:sz="0" w:space="0" w:color="auto"/>
        <w:right w:val="none" w:sz="0" w:space="0" w:color="auto"/>
      </w:divBdr>
    </w:div>
    <w:div w:id="232277739">
      <w:bodyDiv w:val="1"/>
      <w:marLeft w:val="0"/>
      <w:marRight w:val="0"/>
      <w:marTop w:val="0"/>
      <w:marBottom w:val="0"/>
      <w:divBdr>
        <w:top w:val="none" w:sz="0" w:space="0" w:color="auto"/>
        <w:left w:val="none" w:sz="0" w:space="0" w:color="auto"/>
        <w:bottom w:val="none" w:sz="0" w:space="0" w:color="auto"/>
        <w:right w:val="none" w:sz="0" w:space="0" w:color="auto"/>
      </w:divBdr>
    </w:div>
    <w:div w:id="248001675">
      <w:bodyDiv w:val="1"/>
      <w:marLeft w:val="0"/>
      <w:marRight w:val="0"/>
      <w:marTop w:val="0"/>
      <w:marBottom w:val="0"/>
      <w:divBdr>
        <w:top w:val="none" w:sz="0" w:space="0" w:color="auto"/>
        <w:left w:val="none" w:sz="0" w:space="0" w:color="auto"/>
        <w:bottom w:val="none" w:sz="0" w:space="0" w:color="auto"/>
        <w:right w:val="none" w:sz="0" w:space="0" w:color="auto"/>
      </w:divBdr>
    </w:div>
    <w:div w:id="633949365">
      <w:bodyDiv w:val="1"/>
      <w:marLeft w:val="0"/>
      <w:marRight w:val="0"/>
      <w:marTop w:val="0"/>
      <w:marBottom w:val="0"/>
      <w:divBdr>
        <w:top w:val="none" w:sz="0" w:space="0" w:color="auto"/>
        <w:left w:val="none" w:sz="0" w:space="0" w:color="auto"/>
        <w:bottom w:val="none" w:sz="0" w:space="0" w:color="auto"/>
        <w:right w:val="none" w:sz="0" w:space="0" w:color="auto"/>
      </w:divBdr>
    </w:div>
    <w:div w:id="679739574">
      <w:bodyDiv w:val="1"/>
      <w:marLeft w:val="0"/>
      <w:marRight w:val="0"/>
      <w:marTop w:val="0"/>
      <w:marBottom w:val="0"/>
      <w:divBdr>
        <w:top w:val="none" w:sz="0" w:space="0" w:color="auto"/>
        <w:left w:val="none" w:sz="0" w:space="0" w:color="auto"/>
        <w:bottom w:val="none" w:sz="0" w:space="0" w:color="auto"/>
        <w:right w:val="none" w:sz="0" w:space="0" w:color="auto"/>
      </w:divBdr>
    </w:div>
    <w:div w:id="16564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LL\AppData\Roaming\Microsoft\Templates\Brand%20New%20Regulatory%20Report%20Template%20try%202.dotx" TargetMode="External"/></Relationships>
</file>

<file path=word/theme/theme1.xml><?xml version="1.0" encoding="utf-8"?>
<a:theme xmlns:a="http://schemas.openxmlformats.org/drawingml/2006/main" name="Office Theme">
  <a:themeElements>
    <a:clrScheme name="APA_colours-010">
      <a:dk1>
        <a:srgbClr val="25282A"/>
      </a:dk1>
      <a:lt1>
        <a:sysClr val="window" lastClr="FFFFFF"/>
      </a:lt1>
      <a:dk2>
        <a:srgbClr val="25282A"/>
      </a:dk2>
      <a:lt2>
        <a:srgbClr val="FFFFFF"/>
      </a:lt2>
      <a:accent1>
        <a:srgbClr val="C8102E"/>
      </a:accent1>
      <a:accent2>
        <a:srgbClr val="F36C42"/>
      </a:accent2>
      <a:accent3>
        <a:srgbClr val="BEAFA8"/>
      </a:accent3>
      <a:accent4>
        <a:srgbClr val="FFD100"/>
      </a:accent4>
      <a:accent5>
        <a:srgbClr val="1C4483"/>
      </a:accent5>
      <a:accent6>
        <a:srgbClr val="92C83E"/>
      </a:accent6>
      <a:hlink>
        <a:srgbClr val="5FC8D7"/>
      </a:hlink>
      <a:folHlink>
        <a:srgbClr val="845A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5768-E770-4916-8A60-EACE942D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 New Regulatory Report Template try 2</Template>
  <TotalTime>5</TotalTime>
  <Pages>56</Pages>
  <Words>10872</Words>
  <Characters>62911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IRS Report</vt:lpstr>
    </vt:vector>
  </TitlesOfParts>
  <Company>Infrastructure and Regulation Services</Company>
  <LinksUpToDate>false</LinksUpToDate>
  <CharactersWithSpaces>73636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Report</dc:title>
  <dc:creator>Young, Scott</dc:creator>
  <cp:lastModifiedBy>APA</cp:lastModifiedBy>
  <cp:revision>3</cp:revision>
  <cp:lastPrinted>2017-05-15T06:40:00Z</cp:lastPrinted>
  <dcterms:created xsi:type="dcterms:W3CDTF">2017-05-15T06:35:00Z</dcterms:created>
  <dcterms:modified xsi:type="dcterms:W3CDTF">2017-05-15T06:41:00Z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Client">
    <vt:lpwstr>Client name</vt:lpwstr>
  </property>
  <property fmtid="{D5CDD505-2E9C-101B-9397-08002B2CF9AE}" pid="3" name="KISSubject">
    <vt:lpwstr>Report title</vt:lpwstr>
  </property>
  <property fmtid="{D5CDD505-2E9C-101B-9397-08002B2CF9AE}" pid="4" name="KISRepSubTitle">
    <vt:lpwstr>Subtitle / optional date</vt:lpwstr>
  </property>
  <property fmtid="{D5CDD505-2E9C-101B-9397-08002B2CF9AE}" pid="5" name="KISHdrInfo">
    <vt:lpwstr>Core service or market_x000d_Date of issue</vt:lpwstr>
  </property>
</Properties>
</file>