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19" w:rsidRDefault="00EF0E19" w:rsidP="00EF0E19">
      <w:pPr>
        <w:pStyle w:val="AERbodytextnospace"/>
        <w:numPr>
          <w:ilvl w:val="0"/>
          <w:numId w:val="13"/>
        </w:numPr>
      </w:pPr>
      <w:r>
        <w:rPr>
          <w:noProof/>
          <w:lang w:eastAsia="en-AU"/>
        </w:rPr>
        <w:drawing>
          <wp:anchor distT="0" distB="0" distL="114300" distR="114300" simplePos="0" relativeHeight="251663360" behindDoc="1" locked="0" layoutInCell="1" allowOverlap="1">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Default="00EF0E19" w:rsidP="00EF0E19"/>
    <w:p w:rsidR="00EF0E19" w:rsidRDefault="00EF0E19" w:rsidP="00EF0E19"/>
    <w:p w:rsidR="00EF0E19" w:rsidRDefault="00EF0E19" w:rsidP="00EF0E19">
      <w:bookmarkStart w:id="0" w:name="OLE_LINK1"/>
      <w:bookmarkStart w:id="1" w:name="OLE_LINK2"/>
    </w:p>
    <w:p w:rsidR="00EF0E19" w:rsidRDefault="00EF0E19" w:rsidP="00EF0E19"/>
    <w:p w:rsidR="00EF0E19" w:rsidRDefault="00EF0E19" w:rsidP="00EF0E19"/>
    <w:p w:rsidR="00EF0E19" w:rsidRDefault="00EF0E19" w:rsidP="00EF0E19"/>
    <w:p w:rsidR="00EF0E19" w:rsidRDefault="00EF0E19" w:rsidP="00EF0E19"/>
    <w:p w:rsidR="00EF0E19" w:rsidRDefault="00EF0E19" w:rsidP="00EF0E19">
      <w:pPr>
        <w:pStyle w:val="AERtitle1"/>
      </w:pPr>
    </w:p>
    <w:bookmarkEnd w:id="0"/>
    <w:bookmarkEnd w:id="1"/>
    <w:p w:rsidR="00202BE8" w:rsidRDefault="00202BE8" w:rsidP="00202BE8">
      <w:pPr>
        <w:pStyle w:val="AERtitle1"/>
      </w:pPr>
      <w:r>
        <w:t>Access arrangement decision</w:t>
      </w:r>
    </w:p>
    <w:p w:rsidR="00202BE8" w:rsidRDefault="00202BE8" w:rsidP="00202BE8">
      <w:pPr>
        <w:pStyle w:val="AERtitle1"/>
      </w:pPr>
      <w:proofErr w:type="spellStart"/>
      <w:r>
        <w:t>Multinet</w:t>
      </w:r>
      <w:proofErr w:type="spellEnd"/>
      <w:r>
        <w:t xml:space="preserve"> Gas (DB No. 1) Pty Ltd</w:t>
      </w:r>
    </w:p>
    <w:p w:rsidR="00202BE8" w:rsidRDefault="00202BE8" w:rsidP="00202BE8">
      <w:pPr>
        <w:pStyle w:val="AERtitle1"/>
      </w:pPr>
      <w:proofErr w:type="spellStart"/>
      <w:r>
        <w:t>Multinet</w:t>
      </w:r>
      <w:proofErr w:type="spellEnd"/>
      <w:r>
        <w:t xml:space="preserve"> Gas (DB No. 2) Pty Ltd</w:t>
      </w:r>
    </w:p>
    <w:p w:rsidR="00202BE8" w:rsidRDefault="00202BE8" w:rsidP="00202BE8">
      <w:pPr>
        <w:pStyle w:val="AERtitle1"/>
      </w:pPr>
      <w:r>
        <w:t>2013–17</w:t>
      </w:r>
    </w:p>
    <w:p w:rsidR="00202BE8" w:rsidRDefault="00202BE8" w:rsidP="00202BE8">
      <w:pPr>
        <w:pStyle w:val="AERtitle1"/>
      </w:pPr>
    </w:p>
    <w:p w:rsidR="00202BE8" w:rsidRDefault="00202BE8" w:rsidP="00202BE8">
      <w:pPr>
        <w:pStyle w:val="AERtitle1"/>
      </w:pPr>
    </w:p>
    <w:p w:rsidR="00202BE8" w:rsidRDefault="00202BE8" w:rsidP="00202BE8">
      <w:pPr>
        <w:pStyle w:val="AERtitle2"/>
      </w:pPr>
      <w:r>
        <w:t>April 2013</w:t>
      </w:r>
    </w:p>
    <w:p w:rsidR="00EF0E19" w:rsidRDefault="00EF0E19">
      <w:pPr>
        <w:spacing w:after="0" w:line="240" w:lineRule="auto"/>
        <w:jc w:val="left"/>
        <w:rPr>
          <w:rStyle w:val="AERtextbold"/>
          <w:rFonts w:eastAsia="Times New Roman"/>
          <w:szCs w:val="24"/>
        </w:rPr>
      </w:pPr>
      <w:r>
        <w:rPr>
          <w:rStyle w:val="AERtextbold"/>
        </w:rPr>
        <w:br w:type="page"/>
      </w:r>
    </w:p>
    <w:p w:rsidR="00202BE8" w:rsidRPr="00751391" w:rsidRDefault="00202BE8" w:rsidP="00202BE8">
      <w:pPr>
        <w:pStyle w:val="AERbodytext"/>
        <w:numPr>
          <w:ilvl w:val="0"/>
          <w:numId w:val="13"/>
        </w:numPr>
        <w:rPr>
          <w:rStyle w:val="AERtextbold"/>
        </w:rPr>
      </w:pPr>
      <w:r w:rsidRPr="00751391">
        <w:rPr>
          <w:rStyle w:val="AERtextbold"/>
        </w:rPr>
        <w:lastRenderedPageBreak/>
        <w:t>© Commonwealth of Australia 201</w:t>
      </w:r>
      <w:r>
        <w:rPr>
          <w:rStyle w:val="AERtextbold"/>
        </w:rPr>
        <w:t>3</w:t>
      </w:r>
    </w:p>
    <w:p w:rsidR="00630C21" w:rsidRDefault="00202BE8" w:rsidP="00202BE8">
      <w:pPr>
        <w:spacing w:after="0" w:line="240" w:lineRule="auto"/>
        <w:jc w:val="left"/>
        <w:rPr>
          <w:rFonts w:eastAsia="Times New Roman"/>
          <w:b/>
          <w:color w:val="E36C0A"/>
          <w:sz w:val="28"/>
          <w:szCs w:val="26"/>
        </w:rPr>
      </w:pPr>
      <w:r w:rsidRPr="00751391">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r w:rsidR="00630C21">
        <w:br w:type="page"/>
      </w:r>
    </w:p>
    <w:p w:rsidR="004913FE" w:rsidRDefault="004913FE" w:rsidP="00630C21">
      <w:pPr>
        <w:pStyle w:val="Heading2"/>
        <w:numPr>
          <w:ilvl w:val="0"/>
          <w:numId w:val="0"/>
        </w:numPr>
      </w:pPr>
      <w:bookmarkStart w:id="2" w:name="_Toc354500281"/>
      <w:r>
        <w:lastRenderedPageBreak/>
        <w:t>Contents</w:t>
      </w:r>
      <w:bookmarkEnd w:id="2"/>
    </w:p>
    <w:p w:rsidR="00CD39D9" w:rsidRDefault="00730375">
      <w:pPr>
        <w:pStyle w:val="TOC2"/>
        <w:tabs>
          <w:tab w:val="right" w:leader="dot" w:pos="9016"/>
        </w:tabs>
        <w:rPr>
          <w:rFonts w:asciiTheme="minorHAnsi" w:eastAsiaTheme="minorEastAsia" w:hAnsiTheme="minorHAnsi" w:cstheme="minorBidi"/>
          <w:iCs w:val="0"/>
          <w:noProof/>
          <w:sz w:val="22"/>
          <w:szCs w:val="22"/>
          <w:lang w:eastAsia="en-AU"/>
        </w:rPr>
      </w:pPr>
      <w:r w:rsidRPr="00730375">
        <w:fldChar w:fldCharType="begin"/>
      </w:r>
      <w:r w:rsidR="004913FE" w:rsidRPr="004913FE">
        <w:instrText xml:space="preserve"> TOC \o "1-2" \h \z \u \t "Heading 7,1,Heading 8,2" </w:instrText>
      </w:r>
      <w:r w:rsidRPr="00730375">
        <w:fldChar w:fldCharType="separate"/>
      </w:r>
      <w:hyperlink w:anchor="_Toc354500281" w:history="1">
        <w:r w:rsidR="00CD39D9" w:rsidRPr="00804EE4">
          <w:rPr>
            <w:rStyle w:val="Hyperlink"/>
            <w:noProof/>
          </w:rPr>
          <w:t>Contents</w:t>
        </w:r>
        <w:r w:rsidR="00CD39D9">
          <w:rPr>
            <w:noProof/>
            <w:webHidden/>
          </w:rPr>
          <w:tab/>
        </w:r>
        <w:r w:rsidR="00CD39D9">
          <w:rPr>
            <w:noProof/>
            <w:webHidden/>
          </w:rPr>
          <w:fldChar w:fldCharType="begin"/>
        </w:r>
        <w:r w:rsidR="00CD39D9">
          <w:rPr>
            <w:noProof/>
            <w:webHidden/>
          </w:rPr>
          <w:instrText xml:space="preserve"> PAGEREF _Toc354500281 \h </w:instrText>
        </w:r>
        <w:r w:rsidR="00CD39D9">
          <w:rPr>
            <w:noProof/>
            <w:webHidden/>
          </w:rPr>
        </w:r>
        <w:r w:rsidR="00CD39D9">
          <w:rPr>
            <w:noProof/>
            <w:webHidden/>
          </w:rPr>
          <w:fldChar w:fldCharType="separate"/>
        </w:r>
        <w:r w:rsidR="00B33684">
          <w:rPr>
            <w:noProof/>
            <w:webHidden/>
          </w:rPr>
          <w:t>3</w:t>
        </w:r>
        <w:r w:rsidR="00CD39D9">
          <w:rPr>
            <w:noProof/>
            <w:webHidden/>
          </w:rPr>
          <w:fldChar w:fldCharType="end"/>
        </w:r>
      </w:hyperlink>
    </w:p>
    <w:p w:rsidR="00CD39D9" w:rsidRDefault="00CD39D9">
      <w:pPr>
        <w:pStyle w:val="TOC2"/>
        <w:tabs>
          <w:tab w:val="right" w:leader="dot" w:pos="9016"/>
        </w:tabs>
        <w:rPr>
          <w:rFonts w:asciiTheme="minorHAnsi" w:eastAsiaTheme="minorEastAsia" w:hAnsiTheme="minorHAnsi" w:cstheme="minorBidi"/>
          <w:iCs w:val="0"/>
          <w:noProof/>
          <w:sz w:val="22"/>
          <w:szCs w:val="22"/>
          <w:lang w:eastAsia="en-AU"/>
        </w:rPr>
      </w:pPr>
      <w:hyperlink w:anchor="_Toc354500282" w:history="1">
        <w:r w:rsidRPr="00804EE4">
          <w:rPr>
            <w:rStyle w:val="Hyperlink"/>
            <w:noProof/>
          </w:rPr>
          <w:t>Shortened forms</w:t>
        </w:r>
        <w:r>
          <w:rPr>
            <w:noProof/>
            <w:webHidden/>
          </w:rPr>
          <w:tab/>
        </w:r>
        <w:r>
          <w:rPr>
            <w:noProof/>
            <w:webHidden/>
          </w:rPr>
          <w:fldChar w:fldCharType="begin"/>
        </w:r>
        <w:r>
          <w:rPr>
            <w:noProof/>
            <w:webHidden/>
          </w:rPr>
          <w:instrText xml:space="preserve"> PAGEREF _Toc354500282 \h </w:instrText>
        </w:r>
        <w:r>
          <w:rPr>
            <w:noProof/>
            <w:webHidden/>
          </w:rPr>
        </w:r>
        <w:r>
          <w:rPr>
            <w:noProof/>
            <w:webHidden/>
          </w:rPr>
          <w:fldChar w:fldCharType="separate"/>
        </w:r>
        <w:r w:rsidR="00B33684">
          <w:rPr>
            <w:noProof/>
            <w:webHidden/>
          </w:rPr>
          <w:t>4</w:t>
        </w:r>
        <w:r>
          <w:rPr>
            <w:noProof/>
            <w:webHidden/>
          </w:rPr>
          <w:fldChar w:fldCharType="end"/>
        </w:r>
      </w:hyperlink>
    </w:p>
    <w:p w:rsidR="00CD39D9" w:rsidRDefault="00CD39D9">
      <w:pPr>
        <w:pStyle w:val="TOC2"/>
        <w:tabs>
          <w:tab w:val="right" w:leader="dot" w:pos="9016"/>
        </w:tabs>
        <w:rPr>
          <w:rFonts w:asciiTheme="minorHAnsi" w:eastAsiaTheme="minorEastAsia" w:hAnsiTheme="minorHAnsi" w:cstheme="minorBidi"/>
          <w:iCs w:val="0"/>
          <w:noProof/>
          <w:sz w:val="22"/>
          <w:szCs w:val="22"/>
          <w:lang w:eastAsia="en-AU"/>
        </w:rPr>
      </w:pPr>
      <w:hyperlink w:anchor="_Toc354500283" w:history="1">
        <w:r w:rsidRPr="00804EE4">
          <w:rPr>
            <w:rStyle w:val="Hyperlink"/>
            <w:noProof/>
          </w:rPr>
          <w:t>Background</w:t>
        </w:r>
        <w:r>
          <w:rPr>
            <w:noProof/>
            <w:webHidden/>
          </w:rPr>
          <w:tab/>
        </w:r>
        <w:r>
          <w:rPr>
            <w:noProof/>
            <w:webHidden/>
          </w:rPr>
          <w:fldChar w:fldCharType="begin"/>
        </w:r>
        <w:r>
          <w:rPr>
            <w:noProof/>
            <w:webHidden/>
          </w:rPr>
          <w:instrText xml:space="preserve"> PAGEREF _Toc354500283 \h </w:instrText>
        </w:r>
        <w:r>
          <w:rPr>
            <w:noProof/>
            <w:webHidden/>
          </w:rPr>
        </w:r>
        <w:r>
          <w:rPr>
            <w:noProof/>
            <w:webHidden/>
          </w:rPr>
          <w:fldChar w:fldCharType="separate"/>
        </w:r>
        <w:r w:rsidR="00B33684">
          <w:rPr>
            <w:noProof/>
            <w:webHidden/>
          </w:rPr>
          <w:t>5</w:t>
        </w:r>
        <w:r>
          <w:rPr>
            <w:noProof/>
            <w:webHidden/>
          </w:rPr>
          <w:fldChar w:fldCharType="end"/>
        </w:r>
      </w:hyperlink>
    </w:p>
    <w:p w:rsidR="00CD39D9" w:rsidRDefault="00CD39D9">
      <w:pPr>
        <w:pStyle w:val="TOC2"/>
        <w:tabs>
          <w:tab w:val="right" w:leader="dot" w:pos="9016"/>
        </w:tabs>
        <w:rPr>
          <w:rFonts w:asciiTheme="minorHAnsi" w:eastAsiaTheme="minorEastAsia" w:hAnsiTheme="minorHAnsi" w:cstheme="minorBidi"/>
          <w:iCs w:val="0"/>
          <w:noProof/>
          <w:sz w:val="22"/>
          <w:szCs w:val="22"/>
          <w:lang w:eastAsia="en-AU"/>
        </w:rPr>
      </w:pPr>
      <w:hyperlink w:anchor="_Toc354500284" w:history="1">
        <w:r w:rsidRPr="00804EE4">
          <w:rPr>
            <w:rStyle w:val="Hyperlink"/>
            <w:noProof/>
          </w:rPr>
          <w:t>Access arrangement proposal</w:t>
        </w:r>
        <w:r>
          <w:rPr>
            <w:noProof/>
            <w:webHidden/>
          </w:rPr>
          <w:tab/>
        </w:r>
        <w:r>
          <w:rPr>
            <w:noProof/>
            <w:webHidden/>
          </w:rPr>
          <w:fldChar w:fldCharType="begin"/>
        </w:r>
        <w:r>
          <w:rPr>
            <w:noProof/>
            <w:webHidden/>
          </w:rPr>
          <w:instrText xml:space="preserve"> PAGEREF _Toc354500284 \h </w:instrText>
        </w:r>
        <w:r>
          <w:rPr>
            <w:noProof/>
            <w:webHidden/>
          </w:rPr>
        </w:r>
        <w:r>
          <w:rPr>
            <w:noProof/>
            <w:webHidden/>
          </w:rPr>
          <w:fldChar w:fldCharType="separate"/>
        </w:r>
        <w:r w:rsidR="00B33684">
          <w:rPr>
            <w:noProof/>
            <w:webHidden/>
          </w:rPr>
          <w:t>6</w:t>
        </w:r>
        <w:r>
          <w:rPr>
            <w:noProof/>
            <w:webHidden/>
          </w:rPr>
          <w:fldChar w:fldCharType="end"/>
        </w:r>
      </w:hyperlink>
    </w:p>
    <w:p w:rsidR="00CD39D9" w:rsidRDefault="00CD39D9">
      <w:pPr>
        <w:pStyle w:val="TOC2"/>
        <w:tabs>
          <w:tab w:val="right" w:leader="dot" w:pos="9016"/>
        </w:tabs>
        <w:rPr>
          <w:rFonts w:asciiTheme="minorHAnsi" w:eastAsiaTheme="minorEastAsia" w:hAnsiTheme="minorHAnsi" w:cstheme="minorBidi"/>
          <w:iCs w:val="0"/>
          <w:noProof/>
          <w:sz w:val="22"/>
          <w:szCs w:val="22"/>
          <w:lang w:eastAsia="en-AU"/>
        </w:rPr>
      </w:pPr>
      <w:hyperlink w:anchor="_Toc354500285" w:history="1">
        <w:r w:rsidRPr="00804EE4">
          <w:rPr>
            <w:rStyle w:val="Hyperlink"/>
            <w:noProof/>
          </w:rPr>
          <w:t>AER draft decision</w:t>
        </w:r>
        <w:r>
          <w:rPr>
            <w:noProof/>
            <w:webHidden/>
          </w:rPr>
          <w:tab/>
        </w:r>
        <w:r>
          <w:rPr>
            <w:noProof/>
            <w:webHidden/>
          </w:rPr>
          <w:fldChar w:fldCharType="begin"/>
        </w:r>
        <w:r>
          <w:rPr>
            <w:noProof/>
            <w:webHidden/>
          </w:rPr>
          <w:instrText xml:space="preserve"> PAGEREF _Toc354500285 \h </w:instrText>
        </w:r>
        <w:r>
          <w:rPr>
            <w:noProof/>
            <w:webHidden/>
          </w:rPr>
        </w:r>
        <w:r>
          <w:rPr>
            <w:noProof/>
            <w:webHidden/>
          </w:rPr>
          <w:fldChar w:fldCharType="separate"/>
        </w:r>
        <w:r w:rsidR="00B33684">
          <w:rPr>
            <w:noProof/>
            <w:webHidden/>
          </w:rPr>
          <w:t>6</w:t>
        </w:r>
        <w:r>
          <w:rPr>
            <w:noProof/>
            <w:webHidden/>
          </w:rPr>
          <w:fldChar w:fldCharType="end"/>
        </w:r>
      </w:hyperlink>
    </w:p>
    <w:p w:rsidR="00CD39D9" w:rsidRDefault="00CD39D9">
      <w:pPr>
        <w:pStyle w:val="TOC2"/>
        <w:tabs>
          <w:tab w:val="right" w:leader="dot" w:pos="9016"/>
        </w:tabs>
        <w:rPr>
          <w:rFonts w:asciiTheme="minorHAnsi" w:eastAsiaTheme="minorEastAsia" w:hAnsiTheme="minorHAnsi" w:cstheme="minorBidi"/>
          <w:iCs w:val="0"/>
          <w:noProof/>
          <w:sz w:val="22"/>
          <w:szCs w:val="22"/>
          <w:lang w:eastAsia="en-AU"/>
        </w:rPr>
      </w:pPr>
      <w:hyperlink w:anchor="_Toc354500286" w:history="1">
        <w:r w:rsidRPr="00804EE4">
          <w:rPr>
            <w:rStyle w:val="Hyperlink"/>
            <w:noProof/>
          </w:rPr>
          <w:t>Revised access arrangement proposal</w:t>
        </w:r>
        <w:r>
          <w:rPr>
            <w:noProof/>
            <w:webHidden/>
          </w:rPr>
          <w:tab/>
        </w:r>
        <w:r>
          <w:rPr>
            <w:noProof/>
            <w:webHidden/>
          </w:rPr>
          <w:fldChar w:fldCharType="begin"/>
        </w:r>
        <w:r>
          <w:rPr>
            <w:noProof/>
            <w:webHidden/>
          </w:rPr>
          <w:instrText xml:space="preserve"> PAGEREF _Toc354500286 \h </w:instrText>
        </w:r>
        <w:r>
          <w:rPr>
            <w:noProof/>
            <w:webHidden/>
          </w:rPr>
        </w:r>
        <w:r>
          <w:rPr>
            <w:noProof/>
            <w:webHidden/>
          </w:rPr>
          <w:fldChar w:fldCharType="separate"/>
        </w:r>
        <w:r w:rsidR="00B33684">
          <w:rPr>
            <w:noProof/>
            <w:webHidden/>
          </w:rPr>
          <w:t>6</w:t>
        </w:r>
        <w:r>
          <w:rPr>
            <w:noProof/>
            <w:webHidden/>
          </w:rPr>
          <w:fldChar w:fldCharType="end"/>
        </w:r>
      </w:hyperlink>
    </w:p>
    <w:p w:rsidR="00CD39D9" w:rsidRDefault="00CD39D9">
      <w:pPr>
        <w:pStyle w:val="TOC2"/>
        <w:tabs>
          <w:tab w:val="right" w:leader="dot" w:pos="9016"/>
        </w:tabs>
        <w:rPr>
          <w:rFonts w:asciiTheme="minorHAnsi" w:eastAsiaTheme="minorEastAsia" w:hAnsiTheme="minorHAnsi" w:cstheme="minorBidi"/>
          <w:iCs w:val="0"/>
          <w:noProof/>
          <w:sz w:val="22"/>
          <w:szCs w:val="22"/>
          <w:lang w:eastAsia="en-AU"/>
        </w:rPr>
      </w:pPr>
      <w:hyperlink w:anchor="_Toc354500287" w:history="1">
        <w:r w:rsidRPr="00804EE4">
          <w:rPr>
            <w:rStyle w:val="Hyperlink"/>
            <w:noProof/>
          </w:rPr>
          <w:t>AER final decision</w:t>
        </w:r>
        <w:r>
          <w:rPr>
            <w:noProof/>
            <w:webHidden/>
          </w:rPr>
          <w:tab/>
        </w:r>
        <w:r>
          <w:rPr>
            <w:noProof/>
            <w:webHidden/>
          </w:rPr>
          <w:fldChar w:fldCharType="begin"/>
        </w:r>
        <w:r>
          <w:rPr>
            <w:noProof/>
            <w:webHidden/>
          </w:rPr>
          <w:instrText xml:space="preserve"> PAGEREF _Toc354500287 \h </w:instrText>
        </w:r>
        <w:r>
          <w:rPr>
            <w:noProof/>
            <w:webHidden/>
          </w:rPr>
        </w:r>
        <w:r>
          <w:rPr>
            <w:noProof/>
            <w:webHidden/>
          </w:rPr>
          <w:fldChar w:fldCharType="separate"/>
        </w:r>
        <w:r w:rsidR="00B33684">
          <w:rPr>
            <w:noProof/>
            <w:webHidden/>
          </w:rPr>
          <w:t>6</w:t>
        </w:r>
        <w:r>
          <w:rPr>
            <w:noProof/>
            <w:webHidden/>
          </w:rPr>
          <w:fldChar w:fldCharType="end"/>
        </w:r>
      </w:hyperlink>
    </w:p>
    <w:p w:rsidR="00CD39D9" w:rsidRDefault="00CD39D9">
      <w:pPr>
        <w:pStyle w:val="TOC2"/>
        <w:tabs>
          <w:tab w:val="right" w:leader="dot" w:pos="9016"/>
        </w:tabs>
        <w:rPr>
          <w:rFonts w:asciiTheme="minorHAnsi" w:eastAsiaTheme="minorEastAsia" w:hAnsiTheme="minorHAnsi" w:cstheme="minorBidi"/>
          <w:iCs w:val="0"/>
          <w:noProof/>
          <w:sz w:val="22"/>
          <w:szCs w:val="22"/>
          <w:lang w:eastAsia="en-AU"/>
        </w:rPr>
      </w:pPr>
      <w:hyperlink w:anchor="_Toc354500288" w:history="1">
        <w:r w:rsidRPr="00804EE4">
          <w:rPr>
            <w:rStyle w:val="Hyperlink"/>
            <w:noProof/>
          </w:rPr>
          <w:t>AER access arrangement decision</w:t>
        </w:r>
        <w:r>
          <w:rPr>
            <w:noProof/>
            <w:webHidden/>
          </w:rPr>
          <w:tab/>
        </w:r>
        <w:r>
          <w:rPr>
            <w:noProof/>
            <w:webHidden/>
          </w:rPr>
          <w:fldChar w:fldCharType="begin"/>
        </w:r>
        <w:r>
          <w:rPr>
            <w:noProof/>
            <w:webHidden/>
          </w:rPr>
          <w:instrText xml:space="preserve"> PAGEREF _Toc354500288 \h </w:instrText>
        </w:r>
        <w:r>
          <w:rPr>
            <w:noProof/>
            <w:webHidden/>
          </w:rPr>
        </w:r>
        <w:r>
          <w:rPr>
            <w:noProof/>
            <w:webHidden/>
          </w:rPr>
          <w:fldChar w:fldCharType="separate"/>
        </w:r>
        <w:r w:rsidR="00B33684">
          <w:rPr>
            <w:noProof/>
            <w:webHidden/>
          </w:rPr>
          <w:t>7</w:t>
        </w:r>
        <w:r>
          <w:rPr>
            <w:noProof/>
            <w:webHidden/>
          </w:rPr>
          <w:fldChar w:fldCharType="end"/>
        </w:r>
      </w:hyperlink>
    </w:p>
    <w:p w:rsidR="004913FE" w:rsidRPr="00AF3E95" w:rsidRDefault="00730375" w:rsidP="004913FE">
      <w:pPr>
        <w:pStyle w:val="AERbodytext"/>
        <w:numPr>
          <w:ilvl w:val="0"/>
          <w:numId w:val="13"/>
        </w:numPr>
      </w:pPr>
      <w:r>
        <w:fldChar w:fldCharType="end"/>
      </w:r>
    </w:p>
    <w:p w:rsidR="00630C21" w:rsidRDefault="00630C21">
      <w:pPr>
        <w:spacing w:after="0" w:line="240" w:lineRule="auto"/>
        <w:jc w:val="left"/>
        <w:rPr>
          <w:rFonts w:eastAsia="Times New Roman"/>
          <w:b/>
          <w:sz w:val="40"/>
          <w:szCs w:val="24"/>
          <w:lang w:eastAsia="en-AU"/>
        </w:rPr>
      </w:pPr>
      <w:r>
        <w:br w:type="page"/>
      </w:r>
    </w:p>
    <w:p w:rsidR="00630C21" w:rsidRDefault="00630C21" w:rsidP="00630C21">
      <w:pPr>
        <w:pStyle w:val="Heading2"/>
        <w:numPr>
          <w:ilvl w:val="0"/>
          <w:numId w:val="0"/>
        </w:numPr>
      </w:pPr>
      <w:bookmarkStart w:id="3" w:name="_Toc354500282"/>
      <w:r>
        <w:lastRenderedPageBreak/>
        <w:t>Shortened forms</w:t>
      </w:r>
      <w:bookmarkEnd w:id="3"/>
    </w:p>
    <w:tbl>
      <w:tblPr>
        <w:tblStyle w:val="AERtable-text"/>
        <w:tblW w:w="0" w:type="auto"/>
        <w:tblLook w:val="01E0"/>
      </w:tblPr>
      <w:tblGrid>
        <w:gridCol w:w="3127"/>
        <w:gridCol w:w="5148"/>
      </w:tblGrid>
      <w:tr w:rsidR="00202BE8" w:rsidRPr="00303450" w:rsidTr="00921B19">
        <w:trPr>
          <w:cnfStyle w:val="100000000000"/>
        </w:trPr>
        <w:tc>
          <w:tcPr>
            <w:tcW w:w="3127" w:type="dxa"/>
          </w:tcPr>
          <w:p w:rsidR="00202BE8" w:rsidRPr="00202BE8" w:rsidRDefault="00202BE8" w:rsidP="00202BE8">
            <w:r w:rsidRPr="00202BE8">
              <w:t>Shortened form</w:t>
            </w:r>
          </w:p>
        </w:tc>
        <w:tc>
          <w:tcPr>
            <w:tcW w:w="5148" w:type="dxa"/>
          </w:tcPr>
          <w:p w:rsidR="00202BE8" w:rsidRPr="00202BE8" w:rsidRDefault="00202BE8" w:rsidP="00202BE8">
            <w:r w:rsidRPr="00202BE8">
              <w:t>Full title</w:t>
            </w:r>
          </w:p>
        </w:tc>
      </w:tr>
      <w:tr w:rsidR="00202BE8" w:rsidRPr="00BC0D09" w:rsidTr="00921B19">
        <w:tc>
          <w:tcPr>
            <w:tcW w:w="3127" w:type="dxa"/>
          </w:tcPr>
          <w:p w:rsidR="00202BE8" w:rsidRPr="00BC0D09" w:rsidRDefault="00202BE8" w:rsidP="00202BE8">
            <w:pPr>
              <w:pStyle w:val="AERtabletextleft"/>
            </w:pPr>
            <w:r w:rsidRPr="00BC0D09">
              <w:t xml:space="preserve">2008-12 access arrangement </w:t>
            </w:r>
          </w:p>
        </w:tc>
        <w:tc>
          <w:tcPr>
            <w:tcW w:w="5148" w:type="dxa"/>
          </w:tcPr>
          <w:p w:rsidR="00202BE8" w:rsidRPr="00621CC4" w:rsidRDefault="00202BE8" w:rsidP="002131FB">
            <w:pPr>
              <w:pStyle w:val="AERtabletextleft"/>
            </w:pPr>
            <w:r w:rsidRPr="00621CC4">
              <w:t xml:space="preserve">Access arrangement for </w:t>
            </w:r>
            <w:proofErr w:type="spellStart"/>
            <w:r w:rsidRPr="00621CC4">
              <w:t>Multinet</w:t>
            </w:r>
            <w:proofErr w:type="spellEnd"/>
            <w:r w:rsidRPr="00621CC4">
              <w:t xml:space="preserve"> from 1 January 2008 to 31 December 2012</w:t>
            </w:r>
          </w:p>
        </w:tc>
      </w:tr>
      <w:tr w:rsidR="00202BE8" w:rsidRPr="00BC0D09" w:rsidTr="00921B19">
        <w:trPr>
          <w:cnfStyle w:val="000000010000"/>
        </w:trPr>
        <w:tc>
          <w:tcPr>
            <w:tcW w:w="3127" w:type="dxa"/>
          </w:tcPr>
          <w:p w:rsidR="00202BE8" w:rsidRPr="00BC0D09" w:rsidRDefault="00202BE8" w:rsidP="00202BE8">
            <w:pPr>
              <w:pStyle w:val="AERtabletextleft"/>
            </w:pPr>
            <w:r w:rsidRPr="00BC0D09">
              <w:t xml:space="preserve">2013-17 access arrangement </w:t>
            </w:r>
          </w:p>
        </w:tc>
        <w:tc>
          <w:tcPr>
            <w:tcW w:w="5148" w:type="dxa"/>
          </w:tcPr>
          <w:p w:rsidR="00202BE8" w:rsidRPr="00621CC4" w:rsidRDefault="00202BE8" w:rsidP="002131FB">
            <w:pPr>
              <w:pStyle w:val="AERtabletextleft"/>
            </w:pPr>
            <w:r w:rsidRPr="00621CC4">
              <w:t xml:space="preserve">Access arrangement for </w:t>
            </w:r>
            <w:proofErr w:type="spellStart"/>
            <w:r w:rsidRPr="00621CC4">
              <w:t>Multinet</w:t>
            </w:r>
            <w:proofErr w:type="spellEnd"/>
            <w:r w:rsidRPr="00621CC4">
              <w:t xml:space="preserve"> from 1 J</w:t>
            </w:r>
            <w:r w:rsidR="002131FB">
              <w:t>anuary</w:t>
            </w:r>
            <w:r w:rsidRPr="00621CC4">
              <w:t xml:space="preserve"> 2013 to 31 December 2017</w:t>
            </w:r>
          </w:p>
        </w:tc>
      </w:tr>
      <w:tr w:rsidR="00EF400A" w:rsidRPr="00BC0D09" w:rsidTr="00921B19">
        <w:tc>
          <w:tcPr>
            <w:tcW w:w="3127" w:type="dxa"/>
          </w:tcPr>
          <w:p w:rsidR="00EF400A" w:rsidRPr="00EF400A" w:rsidRDefault="00EF400A" w:rsidP="00EF400A">
            <w:pPr>
              <w:pStyle w:val="AERtabletextleft"/>
            </w:pPr>
            <w:r w:rsidRPr="00BC0D09">
              <w:t>access arrangement</w:t>
            </w:r>
            <w:r w:rsidRPr="00EF400A">
              <w:t xml:space="preserve"> information</w:t>
            </w:r>
          </w:p>
        </w:tc>
        <w:tc>
          <w:tcPr>
            <w:tcW w:w="5148" w:type="dxa"/>
          </w:tcPr>
          <w:p w:rsidR="00EF400A" w:rsidRPr="00EF400A" w:rsidRDefault="00EF400A" w:rsidP="00EF400A">
            <w:pPr>
              <w:pStyle w:val="AERtabletextleft"/>
            </w:pPr>
            <w:proofErr w:type="spellStart"/>
            <w:r w:rsidRPr="00621CC4">
              <w:t>Multinet</w:t>
            </w:r>
            <w:proofErr w:type="spellEnd"/>
            <w:r w:rsidRPr="00621CC4">
              <w:t>, Access arrangement information, 30 March 2012</w:t>
            </w:r>
          </w:p>
        </w:tc>
      </w:tr>
      <w:tr w:rsidR="00EF400A" w:rsidRPr="00BC0D09" w:rsidTr="00921B19">
        <w:trPr>
          <w:cnfStyle w:val="000000010000"/>
        </w:trPr>
        <w:tc>
          <w:tcPr>
            <w:tcW w:w="3127" w:type="dxa"/>
          </w:tcPr>
          <w:p w:rsidR="00EF400A" w:rsidRPr="00EF400A" w:rsidDel="00EF400A" w:rsidRDefault="00EF400A" w:rsidP="00EF400A">
            <w:pPr>
              <w:pStyle w:val="AERtabletextleft"/>
            </w:pPr>
            <w:r w:rsidRPr="00BC0D09">
              <w:t>access arrangement proposal</w:t>
            </w:r>
          </w:p>
        </w:tc>
        <w:tc>
          <w:tcPr>
            <w:tcW w:w="5148" w:type="dxa"/>
          </w:tcPr>
          <w:p w:rsidR="00EF400A" w:rsidRPr="00EF400A" w:rsidDel="00EF400A" w:rsidRDefault="00EF400A" w:rsidP="00EF400A">
            <w:pPr>
              <w:pStyle w:val="AERtabletextleft"/>
            </w:pPr>
            <w:proofErr w:type="spellStart"/>
            <w:r w:rsidRPr="00621CC4">
              <w:t>Multinet</w:t>
            </w:r>
            <w:proofErr w:type="spellEnd"/>
            <w:r w:rsidRPr="00621CC4">
              <w:t>, Access arrangement proposal, 30 March 2012</w:t>
            </w:r>
          </w:p>
        </w:tc>
      </w:tr>
      <w:tr w:rsidR="00202BE8" w:rsidRPr="00BC0D09" w:rsidTr="00921B19">
        <w:tc>
          <w:tcPr>
            <w:tcW w:w="3127" w:type="dxa"/>
          </w:tcPr>
          <w:p w:rsidR="00202BE8" w:rsidRPr="00BC0D09" w:rsidRDefault="00202BE8" w:rsidP="00202BE8">
            <w:pPr>
              <w:pStyle w:val="AERtabletextleft"/>
            </w:pPr>
            <w:r w:rsidRPr="00BC0D09">
              <w:t>AER</w:t>
            </w:r>
          </w:p>
        </w:tc>
        <w:tc>
          <w:tcPr>
            <w:tcW w:w="5148" w:type="dxa"/>
          </w:tcPr>
          <w:p w:rsidR="00202BE8" w:rsidRPr="00621CC4" w:rsidRDefault="00202BE8" w:rsidP="00202BE8">
            <w:pPr>
              <w:pStyle w:val="AERtabletextleft"/>
            </w:pPr>
            <w:r w:rsidRPr="00621CC4">
              <w:t>Australian Energy Regulator</w:t>
            </w:r>
          </w:p>
        </w:tc>
      </w:tr>
      <w:tr w:rsidR="00202BE8" w:rsidRPr="00BC0D09" w:rsidTr="00921B19">
        <w:trPr>
          <w:cnfStyle w:val="000000010000"/>
        </w:trPr>
        <w:tc>
          <w:tcPr>
            <w:tcW w:w="3127" w:type="dxa"/>
          </w:tcPr>
          <w:p w:rsidR="00202BE8" w:rsidRDefault="00202BE8" w:rsidP="00202BE8">
            <w:pPr>
              <w:pStyle w:val="AERtabletextleft"/>
            </w:pPr>
            <w:r>
              <w:t>AER access arrangement information</w:t>
            </w:r>
          </w:p>
        </w:tc>
        <w:tc>
          <w:tcPr>
            <w:tcW w:w="5148" w:type="dxa"/>
          </w:tcPr>
          <w:p w:rsidR="00202BE8" w:rsidRPr="00202BE8" w:rsidRDefault="00202BE8" w:rsidP="00202BE8">
            <w:pPr>
              <w:pStyle w:val="AERtabletextleft"/>
            </w:pPr>
            <w:r>
              <w:t xml:space="preserve">AER, </w:t>
            </w:r>
            <w:proofErr w:type="spellStart"/>
            <w:r w:rsidR="00FD289D">
              <w:t>Multinet</w:t>
            </w:r>
            <w:proofErr w:type="spellEnd"/>
            <w:r w:rsidR="00FD289D">
              <w:t xml:space="preserve"> </w:t>
            </w:r>
            <w:r w:rsidR="007B52BC">
              <w:t>a</w:t>
            </w:r>
            <w:r w:rsidR="00CD39D9">
              <w:t>ccess arrangement information, 24</w:t>
            </w:r>
            <w:r>
              <w:t xml:space="preserve"> April 2013</w:t>
            </w:r>
          </w:p>
        </w:tc>
      </w:tr>
      <w:tr w:rsidR="00202BE8" w:rsidRPr="00BC0D09" w:rsidTr="00921B19">
        <w:tc>
          <w:tcPr>
            <w:tcW w:w="3127" w:type="dxa"/>
          </w:tcPr>
          <w:p w:rsidR="00202BE8" w:rsidRDefault="00202BE8" w:rsidP="00CD39D9">
            <w:pPr>
              <w:pStyle w:val="AERtabletextleft"/>
            </w:pPr>
            <w:r>
              <w:t xml:space="preserve">AER access arrangement </w:t>
            </w:r>
          </w:p>
        </w:tc>
        <w:tc>
          <w:tcPr>
            <w:tcW w:w="5148" w:type="dxa"/>
          </w:tcPr>
          <w:p w:rsidR="00202BE8" w:rsidRPr="00202BE8" w:rsidRDefault="00202BE8" w:rsidP="00CD39D9">
            <w:pPr>
              <w:pStyle w:val="AERtabletextleft"/>
            </w:pPr>
            <w:r>
              <w:t xml:space="preserve">AER, </w:t>
            </w:r>
            <w:proofErr w:type="spellStart"/>
            <w:r w:rsidR="00FD289D">
              <w:t>Multinet</w:t>
            </w:r>
            <w:proofErr w:type="spellEnd"/>
            <w:r w:rsidR="00FD289D">
              <w:t xml:space="preserve"> </w:t>
            </w:r>
            <w:r w:rsidR="00CD39D9">
              <w:t>Access arrangement, 24</w:t>
            </w:r>
            <w:r>
              <w:t xml:space="preserve"> April 2013</w:t>
            </w:r>
          </w:p>
        </w:tc>
      </w:tr>
      <w:tr w:rsidR="00EF400A" w:rsidRPr="00BC0D09" w:rsidTr="00921B19">
        <w:trPr>
          <w:cnfStyle w:val="000000010000"/>
        </w:trPr>
        <w:tc>
          <w:tcPr>
            <w:tcW w:w="3127" w:type="dxa"/>
          </w:tcPr>
          <w:p w:rsidR="00EF400A" w:rsidRPr="00EF400A" w:rsidRDefault="00EF400A" w:rsidP="00EF400A">
            <w:pPr>
              <w:pStyle w:val="AERtabletextleft"/>
            </w:pPr>
            <w:r>
              <w:t>ES</w:t>
            </w:r>
            <w:r w:rsidR="003F070D">
              <w:t>C</w:t>
            </w:r>
          </w:p>
        </w:tc>
        <w:tc>
          <w:tcPr>
            <w:tcW w:w="5148" w:type="dxa"/>
          </w:tcPr>
          <w:p w:rsidR="00EF400A" w:rsidRPr="00EF400A" w:rsidRDefault="00EF400A" w:rsidP="00EF400A">
            <w:pPr>
              <w:pStyle w:val="AERtabletextleft"/>
            </w:pPr>
            <w:r w:rsidRPr="00D75721">
              <w:t xml:space="preserve">Essential Services Commission </w:t>
            </w:r>
            <w:r w:rsidRPr="00EF400A">
              <w:t>(Victoria)</w:t>
            </w:r>
          </w:p>
        </w:tc>
      </w:tr>
      <w:tr w:rsidR="00EF400A" w:rsidRPr="00BC0D09" w:rsidTr="00921B19">
        <w:tc>
          <w:tcPr>
            <w:tcW w:w="3127" w:type="dxa"/>
          </w:tcPr>
          <w:p w:rsidR="00EF400A" w:rsidRPr="00EF400A" w:rsidRDefault="00EF400A" w:rsidP="00EF400A">
            <w:pPr>
              <w:pStyle w:val="AERtabletextleft"/>
            </w:pPr>
            <w:proofErr w:type="spellStart"/>
            <w:r w:rsidRPr="00BC0D09">
              <w:t>Multinet</w:t>
            </w:r>
            <w:proofErr w:type="spellEnd"/>
          </w:p>
        </w:tc>
        <w:tc>
          <w:tcPr>
            <w:tcW w:w="5148" w:type="dxa"/>
          </w:tcPr>
          <w:p w:rsidR="00EF400A" w:rsidRPr="00EF400A" w:rsidRDefault="00EF400A" w:rsidP="00EF400A">
            <w:pPr>
              <w:pStyle w:val="AERtabletextleft"/>
            </w:pPr>
            <w:proofErr w:type="spellStart"/>
            <w:r w:rsidRPr="00621CC4">
              <w:t>Multinet</w:t>
            </w:r>
            <w:proofErr w:type="spellEnd"/>
            <w:r w:rsidRPr="00621CC4">
              <w:t xml:space="preserve"> Gas (DB No.1) Pty Ltd (ACN 086 026 986), </w:t>
            </w:r>
            <w:proofErr w:type="spellStart"/>
            <w:r w:rsidRPr="00621CC4">
              <w:t>Multinet</w:t>
            </w:r>
            <w:proofErr w:type="spellEnd"/>
            <w:r w:rsidRPr="00EF400A">
              <w:t xml:space="preserve"> Gas (DB No.2) Pty Ltd (ACN 086 230 122)</w:t>
            </w:r>
          </w:p>
        </w:tc>
      </w:tr>
      <w:tr w:rsidR="00EF400A" w:rsidRPr="00BC0D09" w:rsidTr="00921B19">
        <w:trPr>
          <w:cnfStyle w:val="000000010000"/>
        </w:trPr>
        <w:tc>
          <w:tcPr>
            <w:tcW w:w="3127" w:type="dxa"/>
          </w:tcPr>
          <w:p w:rsidR="00EF400A" w:rsidRPr="00EF400A" w:rsidRDefault="00EF400A" w:rsidP="00EF400A">
            <w:pPr>
              <w:pStyle w:val="AERtabletextleft"/>
            </w:pPr>
            <w:r>
              <w:t>NGL</w:t>
            </w:r>
          </w:p>
        </w:tc>
        <w:tc>
          <w:tcPr>
            <w:tcW w:w="5148" w:type="dxa"/>
          </w:tcPr>
          <w:p w:rsidR="00EF400A" w:rsidRPr="00EF400A" w:rsidRDefault="00EF400A" w:rsidP="00EF400A">
            <w:pPr>
              <w:pStyle w:val="AERtabletextleft"/>
            </w:pPr>
            <w:r>
              <w:t>National Gas Law</w:t>
            </w:r>
          </w:p>
        </w:tc>
      </w:tr>
      <w:tr w:rsidR="00EF400A" w:rsidRPr="00BC0D09" w:rsidTr="00921B19">
        <w:tc>
          <w:tcPr>
            <w:tcW w:w="3127" w:type="dxa"/>
          </w:tcPr>
          <w:p w:rsidR="00EF400A" w:rsidRPr="00EF400A" w:rsidRDefault="00EF400A" w:rsidP="00EF400A">
            <w:pPr>
              <w:pStyle w:val="AERtabletextleft"/>
            </w:pPr>
            <w:r w:rsidRPr="00D75721">
              <w:t>NGO</w:t>
            </w:r>
          </w:p>
        </w:tc>
        <w:tc>
          <w:tcPr>
            <w:tcW w:w="5148" w:type="dxa"/>
          </w:tcPr>
          <w:p w:rsidR="00EF400A" w:rsidRPr="00EF400A" w:rsidRDefault="00EF400A" w:rsidP="00EF400A">
            <w:pPr>
              <w:pStyle w:val="AERtabletextleft"/>
            </w:pPr>
            <w:r w:rsidRPr="00D75721">
              <w:t>National Gas Objective</w:t>
            </w:r>
          </w:p>
        </w:tc>
      </w:tr>
      <w:tr w:rsidR="00EF400A" w:rsidRPr="00BC0D09" w:rsidTr="00921B19">
        <w:trPr>
          <w:cnfStyle w:val="000000010000"/>
        </w:trPr>
        <w:tc>
          <w:tcPr>
            <w:tcW w:w="3127" w:type="dxa"/>
          </w:tcPr>
          <w:p w:rsidR="00EF400A" w:rsidRPr="00EF400A" w:rsidRDefault="00EF400A" w:rsidP="00EF400A">
            <w:pPr>
              <w:pStyle w:val="AERtabletextleft"/>
            </w:pPr>
            <w:r w:rsidRPr="00BC0D09">
              <w:t>NGR</w:t>
            </w:r>
          </w:p>
        </w:tc>
        <w:tc>
          <w:tcPr>
            <w:tcW w:w="5148" w:type="dxa"/>
          </w:tcPr>
          <w:p w:rsidR="00EF400A" w:rsidRPr="00EF400A" w:rsidRDefault="00EF400A" w:rsidP="00EF400A">
            <w:pPr>
              <w:pStyle w:val="AERtabletextleft"/>
            </w:pPr>
            <w:r w:rsidRPr="00621CC4">
              <w:t>National Gas Rules</w:t>
            </w:r>
          </w:p>
        </w:tc>
      </w:tr>
      <w:tr w:rsidR="00EF400A" w:rsidRPr="00BC0D09" w:rsidTr="00921B19">
        <w:tc>
          <w:tcPr>
            <w:tcW w:w="3127" w:type="dxa"/>
          </w:tcPr>
          <w:p w:rsidR="00EF400A" w:rsidRPr="00EF400A" w:rsidRDefault="00EF400A" w:rsidP="00EF400A">
            <w:pPr>
              <w:pStyle w:val="AERtabletextleft"/>
            </w:pPr>
            <w:r>
              <w:t>RPP</w:t>
            </w:r>
          </w:p>
        </w:tc>
        <w:tc>
          <w:tcPr>
            <w:tcW w:w="5148" w:type="dxa"/>
          </w:tcPr>
          <w:p w:rsidR="00EF400A" w:rsidRPr="00EF400A" w:rsidRDefault="00EF400A" w:rsidP="00EF400A">
            <w:pPr>
              <w:pStyle w:val="AERtabletextleft"/>
            </w:pPr>
            <w:r w:rsidRPr="00514F6B">
              <w:t>revenue and pricing principles</w:t>
            </w:r>
          </w:p>
        </w:tc>
      </w:tr>
      <w:tr w:rsidR="00EF400A" w:rsidRPr="00BC0D09" w:rsidTr="00921B19">
        <w:trPr>
          <w:cnfStyle w:val="000000010000"/>
        </w:trPr>
        <w:tc>
          <w:tcPr>
            <w:tcW w:w="3127" w:type="dxa"/>
          </w:tcPr>
          <w:p w:rsidR="00EF400A" w:rsidRPr="00EF400A" w:rsidRDefault="00EF400A" w:rsidP="00EF400A">
            <w:pPr>
              <w:pStyle w:val="AERtabletextleft"/>
            </w:pPr>
            <w:r>
              <w:t>r</w:t>
            </w:r>
            <w:r w:rsidRPr="00EF400A">
              <w:t>evised access arrangement information</w:t>
            </w:r>
          </w:p>
        </w:tc>
        <w:tc>
          <w:tcPr>
            <w:tcW w:w="5148" w:type="dxa"/>
          </w:tcPr>
          <w:p w:rsidR="00EF400A" w:rsidRPr="00EF400A" w:rsidRDefault="00EF400A" w:rsidP="00EF400A">
            <w:pPr>
              <w:pStyle w:val="AERtabletextleft"/>
            </w:pPr>
            <w:proofErr w:type="spellStart"/>
            <w:r w:rsidRPr="00621CC4">
              <w:t>Multinet</w:t>
            </w:r>
            <w:proofErr w:type="spellEnd"/>
            <w:r w:rsidRPr="00621CC4">
              <w:t>, Revised access arrangement information, 9 November 2012</w:t>
            </w:r>
          </w:p>
        </w:tc>
      </w:tr>
      <w:tr w:rsidR="00EF400A" w:rsidRPr="00BC0D09" w:rsidTr="00921B19">
        <w:tc>
          <w:tcPr>
            <w:tcW w:w="3127" w:type="dxa"/>
          </w:tcPr>
          <w:p w:rsidR="00EF400A" w:rsidRPr="00EF400A" w:rsidRDefault="00EF400A" w:rsidP="00EF400A">
            <w:pPr>
              <w:pStyle w:val="AERtabletextleft"/>
            </w:pPr>
            <w:r>
              <w:t>revised access arrangement proposal</w:t>
            </w:r>
          </w:p>
        </w:tc>
        <w:tc>
          <w:tcPr>
            <w:tcW w:w="5148" w:type="dxa"/>
          </w:tcPr>
          <w:p w:rsidR="00EF400A" w:rsidRPr="00EF400A" w:rsidRDefault="00EF400A" w:rsidP="00EF400A">
            <w:pPr>
              <w:pStyle w:val="AERtabletextleft"/>
            </w:pPr>
            <w:proofErr w:type="spellStart"/>
            <w:r w:rsidRPr="00621CC4">
              <w:t>Multinet</w:t>
            </w:r>
            <w:proofErr w:type="spellEnd"/>
            <w:r w:rsidRPr="00621CC4">
              <w:t>, Revised access arrangement proposal, 9 November 2012</w:t>
            </w:r>
          </w:p>
        </w:tc>
      </w:tr>
    </w:tbl>
    <w:p w:rsidR="00630C21" w:rsidRPr="00630C21" w:rsidRDefault="00630C21" w:rsidP="00630C21">
      <w:pPr>
        <w:pStyle w:val="AERbodytext"/>
      </w:pPr>
    </w:p>
    <w:p w:rsidR="00630C21" w:rsidRDefault="00630C21">
      <w:pPr>
        <w:spacing w:after="0" w:line="240" w:lineRule="auto"/>
        <w:jc w:val="left"/>
        <w:rPr>
          <w:rFonts w:eastAsia="Times New Roman"/>
          <w:b/>
          <w:color w:val="E36C0A"/>
          <w:sz w:val="28"/>
          <w:szCs w:val="26"/>
        </w:rPr>
      </w:pPr>
      <w:r>
        <w:br w:type="page"/>
      </w:r>
    </w:p>
    <w:p w:rsidR="003324F7" w:rsidRDefault="00630C21" w:rsidP="00630C21">
      <w:pPr>
        <w:pStyle w:val="Heading2"/>
        <w:numPr>
          <w:ilvl w:val="0"/>
          <w:numId w:val="0"/>
        </w:numPr>
      </w:pPr>
      <w:bookmarkStart w:id="4" w:name="_Toc354500283"/>
      <w:r>
        <w:lastRenderedPageBreak/>
        <w:t>Background</w:t>
      </w:r>
      <w:bookmarkEnd w:id="4"/>
    </w:p>
    <w:p w:rsidR="00202BE8" w:rsidRDefault="00202BE8" w:rsidP="00202BE8">
      <w:pPr>
        <w:pStyle w:val="AERbodytext"/>
        <w:numPr>
          <w:ilvl w:val="0"/>
          <w:numId w:val="13"/>
        </w:numPr>
      </w:pPr>
      <w:r w:rsidRPr="00150030">
        <w:t xml:space="preserve">The Australian Energy Regulator (AER) is responsible for the economic regulation of covered natural gas distribution and transmission pipelines in all states and territories except Western Australia. </w:t>
      </w:r>
      <w:r>
        <w:t>The National Gas Law (NGL) and National Gas Rules (NGR) provide the overarching regulatory framework for the gas distribution and transmission sectors.</w:t>
      </w:r>
    </w:p>
    <w:p w:rsidR="00921B19" w:rsidRDefault="00921B19" w:rsidP="00202BE8">
      <w:pPr>
        <w:pStyle w:val="AERbodytext"/>
        <w:numPr>
          <w:ilvl w:val="0"/>
          <w:numId w:val="13"/>
        </w:numPr>
      </w:pPr>
      <w:proofErr w:type="spellStart"/>
      <w:r w:rsidRPr="00921B19">
        <w:rPr>
          <w:rStyle w:val="AERbody"/>
          <w:rFonts w:eastAsia="Calibri"/>
        </w:rPr>
        <w:t>Multinet</w:t>
      </w:r>
      <w:proofErr w:type="spellEnd"/>
      <w:r>
        <w:rPr>
          <w:rStyle w:val="AERbody"/>
          <w:rFonts w:eastAsia="Calibri"/>
        </w:rPr>
        <w:t xml:space="preserve"> Gas (DB No 1) Pty Ltd and </w:t>
      </w:r>
      <w:proofErr w:type="spellStart"/>
      <w:r>
        <w:rPr>
          <w:rStyle w:val="AERbody"/>
          <w:rFonts w:eastAsia="Calibri"/>
        </w:rPr>
        <w:t>Multinet</w:t>
      </w:r>
      <w:proofErr w:type="spellEnd"/>
      <w:r>
        <w:rPr>
          <w:rStyle w:val="AERbody"/>
          <w:rFonts w:eastAsia="Calibri"/>
        </w:rPr>
        <w:t xml:space="preserve"> Gas (DB No 2)</w:t>
      </w:r>
      <w:r w:rsidR="00B37621">
        <w:rPr>
          <w:rStyle w:val="AERbody"/>
          <w:rFonts w:eastAsia="Calibri"/>
        </w:rPr>
        <w:t>,</w:t>
      </w:r>
      <w:r>
        <w:rPr>
          <w:rStyle w:val="AERbody"/>
          <w:rFonts w:eastAsia="Calibri"/>
        </w:rPr>
        <w:t xml:space="preserve"> trading as </w:t>
      </w:r>
      <w:proofErr w:type="spellStart"/>
      <w:r>
        <w:rPr>
          <w:rStyle w:val="AERbody"/>
          <w:rFonts w:eastAsia="Calibri"/>
        </w:rPr>
        <w:t>Multinet</w:t>
      </w:r>
      <w:proofErr w:type="spellEnd"/>
      <w:r>
        <w:rPr>
          <w:rStyle w:val="AERbody"/>
          <w:rFonts w:eastAsia="Calibri"/>
        </w:rPr>
        <w:t xml:space="preserve"> Gas Distribution Partnership (</w:t>
      </w:r>
      <w:proofErr w:type="spellStart"/>
      <w:r>
        <w:rPr>
          <w:rStyle w:val="AERbody"/>
          <w:rFonts w:eastAsia="Calibri"/>
        </w:rPr>
        <w:t>Multinet</w:t>
      </w:r>
      <w:proofErr w:type="spellEnd"/>
      <w:r>
        <w:rPr>
          <w:rStyle w:val="AERbody"/>
          <w:rFonts w:eastAsia="Calibri"/>
        </w:rPr>
        <w:t>)</w:t>
      </w:r>
      <w:r w:rsidR="00B37621">
        <w:rPr>
          <w:rStyle w:val="AERbody"/>
          <w:rFonts w:eastAsia="Calibri"/>
        </w:rPr>
        <w:t>, own</w:t>
      </w:r>
      <w:r w:rsidRPr="00921B19">
        <w:rPr>
          <w:rStyle w:val="AERbody"/>
          <w:rFonts w:eastAsia="Calibri"/>
        </w:rPr>
        <w:t xml:space="preserve"> the gas distribution network that delivers gas throughout the </w:t>
      </w:r>
      <w:r w:rsidR="00C10A5E">
        <w:rPr>
          <w:rStyle w:val="AERbody"/>
          <w:rFonts w:eastAsia="Calibri"/>
        </w:rPr>
        <w:t>s</w:t>
      </w:r>
      <w:r w:rsidRPr="00921B19">
        <w:rPr>
          <w:rStyle w:val="AERbody"/>
          <w:rFonts w:eastAsia="Calibri"/>
        </w:rPr>
        <w:t xml:space="preserve">outh and </w:t>
      </w:r>
      <w:r w:rsidR="00C10A5E">
        <w:rPr>
          <w:rStyle w:val="AERbody"/>
          <w:rFonts w:eastAsia="Calibri"/>
        </w:rPr>
        <w:t>e</w:t>
      </w:r>
      <w:r w:rsidRPr="00921B19">
        <w:rPr>
          <w:rStyle w:val="AERbody"/>
          <w:rFonts w:eastAsia="Calibri"/>
        </w:rPr>
        <w:t xml:space="preserve">ast areas of metropolitan Melbourne, </w:t>
      </w:r>
      <w:r w:rsidR="00A275E0">
        <w:rPr>
          <w:rStyle w:val="AERbody"/>
          <w:rFonts w:eastAsia="Calibri"/>
        </w:rPr>
        <w:t xml:space="preserve">the </w:t>
      </w:r>
      <w:r w:rsidRPr="00921B19">
        <w:rPr>
          <w:rStyle w:val="AERbody"/>
          <w:rFonts w:eastAsia="Calibri"/>
        </w:rPr>
        <w:t>Yarra Ranges</w:t>
      </w:r>
      <w:r w:rsidR="00A275E0">
        <w:rPr>
          <w:rStyle w:val="AERbody"/>
          <w:rFonts w:eastAsia="Calibri"/>
        </w:rPr>
        <w:t>,</w:t>
      </w:r>
      <w:r w:rsidRPr="00921B19">
        <w:rPr>
          <w:rStyle w:val="AERbody"/>
          <w:rFonts w:eastAsia="Calibri"/>
        </w:rPr>
        <w:t xml:space="preserve"> and South Gippsland </w:t>
      </w:r>
      <w:r w:rsidR="00C10A5E">
        <w:rPr>
          <w:rStyle w:val="AERbody"/>
          <w:rFonts w:eastAsia="Calibri"/>
        </w:rPr>
        <w:t>t</w:t>
      </w:r>
      <w:r w:rsidRPr="00921B19">
        <w:rPr>
          <w:rStyle w:val="AERbody"/>
          <w:rFonts w:eastAsia="Calibri"/>
        </w:rPr>
        <w:t>owns.</w:t>
      </w:r>
      <w:r>
        <w:rPr>
          <w:rStyle w:val="AERbody"/>
          <w:rFonts w:eastAsia="Calibri"/>
        </w:rPr>
        <w:t xml:space="preserve"> </w:t>
      </w:r>
      <w:proofErr w:type="spellStart"/>
      <w:r>
        <w:rPr>
          <w:rStyle w:val="AERbody"/>
          <w:rFonts w:eastAsia="Calibri"/>
        </w:rPr>
        <w:t>Multinet's</w:t>
      </w:r>
      <w:proofErr w:type="spellEnd"/>
      <w:r>
        <w:rPr>
          <w:rStyle w:val="AERbody"/>
          <w:rFonts w:eastAsia="Calibri"/>
        </w:rPr>
        <w:t xml:space="preserve"> network is subject to full regulation, which requires </w:t>
      </w:r>
      <w:proofErr w:type="spellStart"/>
      <w:r>
        <w:rPr>
          <w:rStyle w:val="AERbody"/>
          <w:rFonts w:eastAsia="Calibri"/>
        </w:rPr>
        <w:t>Multinet</w:t>
      </w:r>
      <w:proofErr w:type="spellEnd"/>
      <w:r>
        <w:rPr>
          <w:rStyle w:val="AERbody"/>
          <w:rFonts w:eastAsia="Calibri"/>
        </w:rPr>
        <w:t xml:space="preserve"> to submit an </w:t>
      </w:r>
      <w:r>
        <w:t xml:space="preserve">access arrangement </w:t>
      </w:r>
      <w:r w:rsidR="00A275E0">
        <w:t xml:space="preserve">proposal </w:t>
      </w:r>
      <w:r>
        <w:t xml:space="preserve">to the AER for approval, and to revise it periodically (typically every five years). </w:t>
      </w:r>
      <w:r w:rsidR="00DB4EF4">
        <w:t xml:space="preserve">An </w:t>
      </w:r>
      <w:r>
        <w:t>access arrangement sets out the terms and conditions on which third parties can access the distribution and transmission pipelines.</w:t>
      </w:r>
      <w:r>
        <w:rPr>
          <w:rStyle w:val="FootnoteReference"/>
        </w:rPr>
        <w:footnoteReference w:id="1"/>
      </w:r>
    </w:p>
    <w:p w:rsidR="00202BE8" w:rsidRPr="00202BE8" w:rsidRDefault="00202BE8" w:rsidP="00202BE8">
      <w:pPr>
        <w:pStyle w:val="AERbodytext"/>
        <w:numPr>
          <w:ilvl w:val="0"/>
          <w:numId w:val="13"/>
        </w:numPr>
        <w:rPr>
          <w:rStyle w:val="AERbody"/>
          <w:rFonts w:eastAsia="Calibri"/>
        </w:rPr>
      </w:pPr>
      <w:proofErr w:type="spellStart"/>
      <w:r w:rsidRPr="00202BE8">
        <w:rPr>
          <w:rStyle w:val="AERbody"/>
          <w:rFonts w:eastAsia="Calibri"/>
        </w:rPr>
        <w:t>Multinet’s</w:t>
      </w:r>
      <w:proofErr w:type="spellEnd"/>
      <w:r w:rsidRPr="00202BE8">
        <w:rPr>
          <w:rStyle w:val="AERbody"/>
          <w:rFonts w:eastAsia="Calibri"/>
        </w:rPr>
        <w:t xml:space="preserve"> network covers an area of 1790 square kilometres</w:t>
      </w:r>
      <w:r w:rsidR="002036D2">
        <w:rPr>
          <w:rStyle w:val="AERbody"/>
          <w:rFonts w:eastAsia="Calibri"/>
        </w:rPr>
        <w:t>,</w:t>
      </w:r>
      <w:r w:rsidRPr="00202BE8">
        <w:rPr>
          <w:rStyle w:val="AERbody"/>
          <w:rFonts w:eastAsia="Calibri"/>
        </w:rPr>
        <w:t xml:space="preserve"> and serves more than 665 000 customers. </w:t>
      </w:r>
      <w:proofErr w:type="spellStart"/>
      <w:r w:rsidRPr="00202BE8">
        <w:rPr>
          <w:rStyle w:val="AERbody"/>
          <w:rFonts w:eastAsia="Calibri"/>
        </w:rPr>
        <w:t>Multinet</w:t>
      </w:r>
      <w:proofErr w:type="spellEnd"/>
      <w:r w:rsidRPr="00202BE8">
        <w:rPr>
          <w:rStyle w:val="AERbody"/>
          <w:rFonts w:eastAsia="Calibri"/>
        </w:rPr>
        <w:t xml:space="preserve"> is entirely owned by Diversified Utility and Energy Trust, an ASX-listed owner of energy utility assets in Australia.</w:t>
      </w:r>
    </w:p>
    <w:p w:rsidR="00202BE8" w:rsidRDefault="00202BE8" w:rsidP="00202BE8">
      <w:pPr>
        <w:pStyle w:val="AERbodytext"/>
        <w:numPr>
          <w:ilvl w:val="0"/>
          <w:numId w:val="13"/>
        </w:numPr>
        <w:rPr>
          <w:rStyle w:val="AERbody"/>
        </w:rPr>
      </w:pPr>
      <w:r w:rsidRPr="00AB340C">
        <w:rPr>
          <w:rStyle w:val="AERbody"/>
        </w:rPr>
        <w:t>The Essential Services Commission of Victoria (</w:t>
      </w:r>
      <w:r>
        <w:rPr>
          <w:rStyle w:val="AERbody"/>
        </w:rPr>
        <w:t>ESC</w:t>
      </w:r>
      <w:r w:rsidRPr="00AB340C">
        <w:rPr>
          <w:rStyle w:val="AERbody"/>
        </w:rPr>
        <w:t xml:space="preserve">) made the previous </w:t>
      </w:r>
      <w:r>
        <w:rPr>
          <w:rStyle w:val="AERbody"/>
        </w:rPr>
        <w:t xml:space="preserve">determination on </w:t>
      </w:r>
      <w:proofErr w:type="spellStart"/>
      <w:r>
        <w:rPr>
          <w:rStyle w:val="AERbody"/>
        </w:rPr>
        <w:t>Multinet's</w:t>
      </w:r>
      <w:proofErr w:type="spellEnd"/>
      <w:r>
        <w:rPr>
          <w:rStyle w:val="AERbody"/>
        </w:rPr>
        <w:t xml:space="preserve"> access arrangement for the period 1 </w:t>
      </w:r>
      <w:r w:rsidRPr="00AB340C">
        <w:rPr>
          <w:rStyle w:val="AERbody"/>
        </w:rPr>
        <w:t>January 2008</w:t>
      </w:r>
      <w:r>
        <w:rPr>
          <w:rStyle w:val="AERbody"/>
        </w:rPr>
        <w:t xml:space="preserve"> to 31 December 2012. The ESC</w:t>
      </w:r>
      <w:r w:rsidRPr="00AB340C">
        <w:rPr>
          <w:rStyle w:val="AERbody"/>
        </w:rPr>
        <w:t xml:space="preserve"> </w:t>
      </w:r>
      <w:r>
        <w:rPr>
          <w:rStyle w:val="AERbody"/>
        </w:rPr>
        <w:t>made its determination</w:t>
      </w:r>
      <w:r w:rsidRPr="00AB340C">
        <w:rPr>
          <w:rStyle w:val="AERbody"/>
        </w:rPr>
        <w:t xml:space="preserve"> in accordance with the provisions of the National Third Party Access Code for Natural G</w:t>
      </w:r>
      <w:r>
        <w:rPr>
          <w:rStyle w:val="AERbody"/>
        </w:rPr>
        <w:t xml:space="preserve">as Pipeline Systems. </w:t>
      </w:r>
    </w:p>
    <w:p w:rsidR="00202BE8" w:rsidRPr="00202BE8" w:rsidRDefault="00202BE8" w:rsidP="00202BE8">
      <w:pPr>
        <w:pStyle w:val="AERbodytext"/>
        <w:numPr>
          <w:ilvl w:val="0"/>
          <w:numId w:val="13"/>
        </w:numPr>
        <w:rPr>
          <w:rStyle w:val="AERbody"/>
          <w:rFonts w:eastAsia="Calibri"/>
        </w:rPr>
      </w:pPr>
      <w:r>
        <w:rPr>
          <w:rStyle w:val="AERbody"/>
        </w:rPr>
        <w:t>R</w:t>
      </w:r>
      <w:r w:rsidRPr="00AB340C">
        <w:rPr>
          <w:rStyle w:val="AERbody"/>
        </w:rPr>
        <w:t>esponsibility for the regulation of Victorian gas</w:t>
      </w:r>
      <w:r w:rsidR="00B37621">
        <w:rPr>
          <w:rStyle w:val="AERbody"/>
        </w:rPr>
        <w:t xml:space="preserve"> distribution</w:t>
      </w:r>
      <w:r w:rsidRPr="00AB340C">
        <w:rPr>
          <w:rStyle w:val="AERbody"/>
        </w:rPr>
        <w:t xml:space="preserve"> networks transferred from the E</w:t>
      </w:r>
      <w:r>
        <w:rPr>
          <w:rStyle w:val="AERbody"/>
        </w:rPr>
        <w:t>SC</w:t>
      </w:r>
      <w:r w:rsidRPr="00AB340C">
        <w:rPr>
          <w:rStyle w:val="AERbody"/>
        </w:rPr>
        <w:t xml:space="preserve"> </w:t>
      </w:r>
      <w:r>
        <w:rPr>
          <w:rStyle w:val="AERbody"/>
        </w:rPr>
        <w:t>to the AER on 1 </w:t>
      </w:r>
      <w:r w:rsidRPr="00AB340C">
        <w:rPr>
          <w:rStyle w:val="AERbody"/>
        </w:rPr>
        <w:t>July 2008 as part of the move towards the national regulation of the energy market.</w:t>
      </w:r>
      <w:r>
        <w:rPr>
          <w:rStyle w:val="FootnoteReference"/>
        </w:rPr>
        <w:footnoteReference w:id="2"/>
      </w:r>
      <w:r w:rsidRPr="00AB340C">
        <w:rPr>
          <w:rStyle w:val="AERbody"/>
        </w:rPr>
        <w:t xml:space="preserve"> This </w:t>
      </w:r>
      <w:r>
        <w:rPr>
          <w:rStyle w:val="AERbody"/>
        </w:rPr>
        <w:t>current determination process</w:t>
      </w:r>
      <w:r w:rsidRPr="00AB340C">
        <w:rPr>
          <w:rStyle w:val="AERbody"/>
        </w:rPr>
        <w:t xml:space="preserve"> is the first full assessment by the AER of the access arrangement</w:t>
      </w:r>
      <w:r>
        <w:rPr>
          <w:rStyle w:val="AERbody"/>
        </w:rPr>
        <w:t>s</w:t>
      </w:r>
      <w:r w:rsidRPr="00AB340C">
        <w:rPr>
          <w:rStyle w:val="AERbody"/>
        </w:rPr>
        <w:t xml:space="preserve"> </w:t>
      </w:r>
      <w:r>
        <w:rPr>
          <w:rStyle w:val="AERbody"/>
        </w:rPr>
        <w:t>of</w:t>
      </w:r>
      <w:r w:rsidRPr="00AB340C">
        <w:rPr>
          <w:rStyle w:val="AERbody"/>
        </w:rPr>
        <w:t xml:space="preserve"> the Victorian gas distribution </w:t>
      </w:r>
      <w:r>
        <w:rPr>
          <w:rStyle w:val="AERbody"/>
        </w:rPr>
        <w:t xml:space="preserve">and transmission </w:t>
      </w:r>
      <w:r w:rsidRPr="00AB340C">
        <w:rPr>
          <w:rStyle w:val="AERbody"/>
        </w:rPr>
        <w:t>businesses under the NGL and the NGR.</w:t>
      </w:r>
      <w:r w:rsidRPr="00202BE8">
        <w:rPr>
          <w:rStyle w:val="AERbody"/>
          <w:rFonts w:eastAsia="Calibri"/>
        </w:rPr>
        <w:t xml:space="preserve"> </w:t>
      </w:r>
    </w:p>
    <w:p w:rsidR="00202BE8" w:rsidRPr="00514F6B" w:rsidRDefault="00202BE8" w:rsidP="00202BE8">
      <w:pPr>
        <w:pStyle w:val="AERbodytext"/>
        <w:numPr>
          <w:ilvl w:val="0"/>
          <w:numId w:val="13"/>
        </w:numPr>
      </w:pPr>
      <w:r w:rsidRPr="00514F6B">
        <w:t xml:space="preserve">The NGL </w:t>
      </w:r>
      <w:r>
        <w:t>provides</w:t>
      </w:r>
      <w:r w:rsidRPr="00514F6B">
        <w:t xml:space="preserve"> that when performing or exercising an economic regulatory function or power, the AER must do so in a manner that will or is likely to contribute to the achievement of the national gas objective</w:t>
      </w:r>
      <w:r>
        <w:t xml:space="preserve"> (NGO)</w:t>
      </w:r>
      <w:r w:rsidRPr="00514F6B">
        <w:t>.</w:t>
      </w:r>
      <w:r>
        <w:rPr>
          <w:rStyle w:val="FootnoteReference"/>
        </w:rPr>
        <w:footnoteReference w:id="3"/>
      </w:r>
      <w:r w:rsidRPr="00514F6B">
        <w:t xml:space="preserve"> The </w:t>
      </w:r>
      <w:r>
        <w:t xml:space="preserve">NGO </w:t>
      </w:r>
      <w:r w:rsidRPr="00514F6B">
        <w:t>is:</w:t>
      </w:r>
      <w:r w:rsidRPr="00514F6B">
        <w:rPr>
          <w:rStyle w:val="FootnoteReference"/>
        </w:rPr>
        <w:footnoteReference w:id="4"/>
      </w:r>
    </w:p>
    <w:p w:rsidR="00202BE8" w:rsidRPr="00514F6B" w:rsidRDefault="00202BE8" w:rsidP="00202BE8">
      <w:pPr>
        <w:pStyle w:val="AERquote"/>
      </w:pPr>
      <w:r w:rsidRPr="00514F6B">
        <w:t xml:space="preserve">... to promote efficient investment in, and efficient operation and use of, natural gas services for the long term interests of consumers of natural gas with respect to price, quality, safety, reliability and security of supply of natural gas.  </w:t>
      </w:r>
    </w:p>
    <w:p w:rsidR="00202BE8" w:rsidRPr="00202BE8" w:rsidRDefault="00202BE8" w:rsidP="00202BE8">
      <w:pPr>
        <w:pStyle w:val="AERbodytext"/>
        <w:numPr>
          <w:ilvl w:val="0"/>
          <w:numId w:val="13"/>
        </w:numPr>
        <w:rPr>
          <w:rStyle w:val="AERbody"/>
          <w:rFonts w:eastAsia="Calibri"/>
        </w:rPr>
      </w:pPr>
      <w:r>
        <w:t>Furthermore, t</w:t>
      </w:r>
      <w:r w:rsidRPr="00514F6B">
        <w:t>he AER must take into account the revenue and pricing principles</w:t>
      </w:r>
      <w:r w:rsidR="00EF400A">
        <w:t xml:space="preserve"> (RPP)</w:t>
      </w:r>
      <w:r w:rsidRPr="00514F6B">
        <w:t xml:space="preserve"> when exercising its discretion in approving or making those parts of an access arrangement relating to a reference tariff. The AER may also take the </w:t>
      </w:r>
      <w:r w:rsidR="00EF400A">
        <w:t>RPP</w:t>
      </w:r>
      <w:r w:rsidRPr="00514F6B">
        <w:t xml:space="preserve"> into consideration in its performance or exercise of any other</w:t>
      </w:r>
      <w:r>
        <w:t xml:space="preserve"> AER</w:t>
      </w:r>
      <w:r w:rsidRPr="00514F6B">
        <w:t xml:space="preserve"> economic regulatory function or power where it considers this appropriate.</w:t>
      </w:r>
      <w:r w:rsidRPr="00514F6B">
        <w:rPr>
          <w:rStyle w:val="FootnoteReference"/>
        </w:rPr>
        <w:footnoteReference w:id="5"/>
      </w:r>
    </w:p>
    <w:p w:rsidR="00927FAF" w:rsidRDefault="00202BE8" w:rsidP="00202BE8">
      <w:pPr>
        <w:pStyle w:val="AERbodytext"/>
        <w:numPr>
          <w:ilvl w:val="0"/>
          <w:numId w:val="13"/>
        </w:numPr>
      </w:pPr>
      <w:r>
        <w:t xml:space="preserve">In the AER’s final decision, released on 15 March 2013, the AER proposed revisions to </w:t>
      </w:r>
      <w:proofErr w:type="spellStart"/>
      <w:r>
        <w:t>Multinet’s</w:t>
      </w:r>
      <w:proofErr w:type="spellEnd"/>
      <w:r>
        <w:t xml:space="preserve"> access arrangement having regard to the NGL, NGR, </w:t>
      </w:r>
      <w:proofErr w:type="spellStart"/>
      <w:r>
        <w:t>Multinet's</w:t>
      </w:r>
      <w:proofErr w:type="spellEnd"/>
      <w:r>
        <w:t xml:space="preserve"> proposal</w:t>
      </w:r>
      <w:r w:rsidR="00DB4EF4">
        <w:t>,</w:t>
      </w:r>
      <w:r>
        <w:t xml:space="preserve"> and the AER's reasons for </w:t>
      </w:r>
      <w:r>
        <w:lastRenderedPageBreak/>
        <w:t>not approving that proposal.</w:t>
      </w:r>
      <w:r>
        <w:rPr>
          <w:rStyle w:val="FootnoteReference"/>
        </w:rPr>
        <w:footnoteReference w:id="6"/>
      </w:r>
      <w:r>
        <w:t xml:space="preserve"> Pursuant to the NGR, the AER is required to make a decision giving effect to its own proposal within two months of its final decision.</w:t>
      </w:r>
      <w:r>
        <w:rPr>
          <w:rStyle w:val="FootnoteReference"/>
        </w:rPr>
        <w:footnoteReference w:id="7"/>
      </w:r>
      <w:r>
        <w:t xml:space="preserve"> This document contains </w:t>
      </w:r>
      <w:r w:rsidR="0051241E">
        <w:t>that</w:t>
      </w:r>
      <w:r>
        <w:t xml:space="preserve"> decision.</w:t>
      </w:r>
    </w:p>
    <w:p w:rsidR="00630C21" w:rsidRPr="00630C21" w:rsidRDefault="00630C21" w:rsidP="00630C21">
      <w:pPr>
        <w:pStyle w:val="Heading2"/>
        <w:numPr>
          <w:ilvl w:val="0"/>
          <w:numId w:val="0"/>
        </w:numPr>
      </w:pPr>
      <w:bookmarkStart w:id="5" w:name="_Toc333585798"/>
      <w:bookmarkStart w:id="6" w:name="_Toc354500284"/>
      <w:r w:rsidRPr="00630C21">
        <w:t>Access arrangement proposal</w:t>
      </w:r>
      <w:bookmarkEnd w:id="5"/>
      <w:bookmarkEnd w:id="6"/>
    </w:p>
    <w:p w:rsidR="00202BE8" w:rsidRDefault="00202BE8" w:rsidP="00202BE8">
      <w:pPr>
        <w:pStyle w:val="AERbodytext"/>
        <w:numPr>
          <w:ilvl w:val="0"/>
          <w:numId w:val="13"/>
        </w:numPr>
      </w:pPr>
      <w:r>
        <w:t>On 30 March 2012</w:t>
      </w:r>
      <w:r w:rsidR="00D168DB">
        <w:t>,</w:t>
      </w:r>
      <w:r>
        <w:t xml:space="preserve"> </w:t>
      </w:r>
      <w:proofErr w:type="spellStart"/>
      <w:r>
        <w:t>Multinet</w:t>
      </w:r>
      <w:proofErr w:type="spellEnd"/>
      <w:r>
        <w:t xml:space="preserve"> submitted its access arrangement proposal for its Victorian gas distribution network for the period 1 January 2013 to 31 December 2017. The access arrangement proposal outlined the proposed terms and conditions of access to the network</w:t>
      </w:r>
      <w:r w:rsidR="00D168DB">
        <w:t>,</w:t>
      </w:r>
      <w:r>
        <w:t xml:space="preserve"> for the access arrangement period. The access arrangement information set out the background and basis of various elements of the access arrangement proposal.</w:t>
      </w:r>
      <w:r>
        <w:rPr>
          <w:rStyle w:val="FootnoteReference"/>
        </w:rPr>
        <w:footnoteReference w:id="8"/>
      </w:r>
    </w:p>
    <w:p w:rsidR="00202BE8" w:rsidRDefault="00202BE8" w:rsidP="00202BE8">
      <w:pPr>
        <w:pStyle w:val="AERbodytext"/>
        <w:numPr>
          <w:ilvl w:val="0"/>
          <w:numId w:val="13"/>
        </w:numPr>
      </w:pPr>
      <w:r>
        <w:t xml:space="preserve">In accordance with the NGR, the AER published </w:t>
      </w:r>
      <w:proofErr w:type="spellStart"/>
      <w:r>
        <w:t>Multinet’s</w:t>
      </w:r>
      <w:proofErr w:type="spellEnd"/>
      <w:r>
        <w:t xml:space="preserve"> access arrangement proposal on 2</w:t>
      </w:r>
      <w:r w:rsidR="00C40E1E">
        <w:t> </w:t>
      </w:r>
      <w:r>
        <w:t>May</w:t>
      </w:r>
      <w:r w:rsidR="00C40E1E">
        <w:t> </w:t>
      </w:r>
      <w:r>
        <w:t xml:space="preserve">2012 </w:t>
      </w:r>
      <w:r w:rsidRPr="00E5120E">
        <w:t>and called for submissions from interested parties.</w:t>
      </w:r>
      <w:r>
        <w:t xml:space="preserve"> On 18 May 2012, the AER hosted an industry workshop on the proposed terms and conditions. The workshop provided retailers and distributors (including </w:t>
      </w:r>
      <w:proofErr w:type="spellStart"/>
      <w:r>
        <w:t>Multinet</w:t>
      </w:r>
      <w:proofErr w:type="spellEnd"/>
      <w:r>
        <w:t>) with a forum to identify and discuss key issues arising from the proposed amendments to the non-price terms an</w:t>
      </w:r>
      <w:r w:rsidR="00024E1C">
        <w:t>d conditions of the distributor</w:t>
      </w:r>
      <w:r>
        <w:t>s</w:t>
      </w:r>
      <w:r w:rsidR="00024E1C">
        <w:t>'</w:t>
      </w:r>
      <w:r>
        <w:t xml:space="preserve"> access arrangements.</w:t>
      </w:r>
      <w:r w:rsidRPr="00E5120E">
        <w:t xml:space="preserve"> The AER received </w:t>
      </w:r>
      <w:r>
        <w:t>four</w:t>
      </w:r>
      <w:r w:rsidRPr="00E5120E">
        <w:t xml:space="preserve"> submissions on </w:t>
      </w:r>
      <w:proofErr w:type="spellStart"/>
      <w:r>
        <w:t>Multinet’</w:t>
      </w:r>
      <w:r w:rsidRPr="00E5120E">
        <w:t>s</w:t>
      </w:r>
      <w:proofErr w:type="spellEnd"/>
      <w:r w:rsidRPr="00E5120E">
        <w:t xml:space="preserve"> </w:t>
      </w:r>
      <w:r w:rsidR="00C40E1E">
        <w:t>access arrangement</w:t>
      </w:r>
      <w:r w:rsidRPr="00E5120E">
        <w:t xml:space="preserve"> proposal.</w:t>
      </w:r>
    </w:p>
    <w:p w:rsidR="00630C21" w:rsidRPr="00630C21" w:rsidRDefault="00630C21" w:rsidP="00630C21">
      <w:pPr>
        <w:pStyle w:val="Heading2"/>
        <w:numPr>
          <w:ilvl w:val="0"/>
          <w:numId w:val="0"/>
        </w:numPr>
      </w:pPr>
      <w:bookmarkStart w:id="7" w:name="_Toc333585799"/>
      <w:bookmarkStart w:id="8" w:name="_Toc354500285"/>
      <w:r w:rsidRPr="00630C21">
        <w:t>AER draft decision</w:t>
      </w:r>
      <w:bookmarkEnd w:id="7"/>
      <w:bookmarkEnd w:id="8"/>
    </w:p>
    <w:p w:rsidR="00202BE8" w:rsidRDefault="00D168DB" w:rsidP="00202BE8">
      <w:pPr>
        <w:pStyle w:val="AERbodytext"/>
        <w:numPr>
          <w:ilvl w:val="0"/>
          <w:numId w:val="13"/>
        </w:numPr>
      </w:pPr>
      <w:bookmarkStart w:id="9" w:name="_Toc333585800"/>
      <w:r>
        <w:t>On 24 September 2012, t</w:t>
      </w:r>
      <w:r w:rsidR="00202BE8">
        <w:t xml:space="preserve">he AER </w:t>
      </w:r>
      <w:r w:rsidR="00E01310">
        <w:t xml:space="preserve">released </w:t>
      </w:r>
      <w:r w:rsidR="00202BE8">
        <w:t xml:space="preserve">its draft decision </w:t>
      </w:r>
      <w:r>
        <w:t xml:space="preserve">to not approve </w:t>
      </w:r>
      <w:proofErr w:type="spellStart"/>
      <w:r w:rsidR="00202BE8">
        <w:t>Multinet’s</w:t>
      </w:r>
      <w:proofErr w:type="spellEnd"/>
      <w:r w:rsidR="00202BE8">
        <w:t xml:space="preserve"> access arrangement proposal.</w:t>
      </w:r>
      <w:r>
        <w:t xml:space="preserve"> </w:t>
      </w:r>
      <w:r w:rsidR="00202BE8">
        <w:t>T</w:t>
      </w:r>
      <w:r w:rsidR="00202BE8" w:rsidRPr="0052728A">
        <w:t xml:space="preserve">he AER engaged engineering, financial and economic experts to </w:t>
      </w:r>
      <w:proofErr w:type="gramStart"/>
      <w:r w:rsidR="00202BE8" w:rsidRPr="0052728A">
        <w:t>advise</w:t>
      </w:r>
      <w:proofErr w:type="gramEnd"/>
      <w:r w:rsidR="00202BE8" w:rsidRPr="0052728A">
        <w:t xml:space="preserve"> on key aspects of the access arrangement proposal. The AER considered this advice</w:t>
      </w:r>
      <w:r w:rsidR="00202BE8">
        <w:t>, and submissions received,</w:t>
      </w:r>
      <w:r w:rsidR="00202BE8" w:rsidRPr="0052728A">
        <w:t xml:space="preserve"> in making </w:t>
      </w:r>
      <w:r w:rsidR="00202BE8">
        <w:t>its</w:t>
      </w:r>
      <w:r w:rsidR="00202BE8" w:rsidRPr="0052728A">
        <w:t xml:space="preserve"> </w:t>
      </w:r>
      <w:r w:rsidR="00202BE8">
        <w:t>draft</w:t>
      </w:r>
      <w:r w:rsidR="00202BE8" w:rsidRPr="0052728A">
        <w:t xml:space="preserve"> decision</w:t>
      </w:r>
      <w:r w:rsidR="00202BE8">
        <w:t>.</w:t>
      </w:r>
    </w:p>
    <w:p w:rsidR="00630C21" w:rsidRPr="00630C21" w:rsidRDefault="00630C21" w:rsidP="00630C21">
      <w:pPr>
        <w:pStyle w:val="Heading2"/>
        <w:numPr>
          <w:ilvl w:val="0"/>
          <w:numId w:val="0"/>
        </w:numPr>
      </w:pPr>
      <w:bookmarkStart w:id="10" w:name="_Toc354500286"/>
      <w:r w:rsidRPr="00630C21">
        <w:t>Revised access arrangement proposal</w:t>
      </w:r>
      <w:bookmarkEnd w:id="9"/>
      <w:bookmarkEnd w:id="10"/>
    </w:p>
    <w:p w:rsidR="00202BE8" w:rsidRDefault="00202BE8" w:rsidP="00202BE8">
      <w:pPr>
        <w:pStyle w:val="AERbodytext"/>
        <w:numPr>
          <w:ilvl w:val="0"/>
          <w:numId w:val="13"/>
        </w:numPr>
      </w:pPr>
      <w:proofErr w:type="spellStart"/>
      <w:r>
        <w:t>Multinet</w:t>
      </w:r>
      <w:proofErr w:type="spellEnd"/>
      <w:r>
        <w:t xml:space="preserve"> submitted a revised access arrangement proposal and revised access arrangement information to the AER on 9 November 2012. </w:t>
      </w:r>
      <w:r w:rsidRPr="000018FB">
        <w:t xml:space="preserve">The AER published </w:t>
      </w:r>
      <w:proofErr w:type="spellStart"/>
      <w:r>
        <w:t>Multinet’s</w:t>
      </w:r>
      <w:proofErr w:type="spellEnd"/>
      <w:r w:rsidRPr="000018FB">
        <w:t xml:space="preserve"> revised access arrangement proposal and supporting documents on</w:t>
      </w:r>
      <w:r>
        <w:t xml:space="preserve"> the AER website on</w:t>
      </w:r>
      <w:r w:rsidRPr="000018FB">
        <w:t xml:space="preserve"> </w:t>
      </w:r>
      <w:r>
        <w:t>13 November 2012</w:t>
      </w:r>
      <w:r w:rsidRPr="000018FB">
        <w:t>.</w:t>
      </w:r>
      <w:r w:rsidR="00024E1C">
        <w:t xml:space="preserve"> The</w:t>
      </w:r>
      <w:r w:rsidR="00024E1C" w:rsidRPr="000018FB">
        <w:t xml:space="preserve"> supporting documents</w:t>
      </w:r>
      <w:r w:rsidR="00024E1C">
        <w:t xml:space="preserve"> were published on 22 November</w:t>
      </w:r>
      <w:r w:rsidR="00024E1C" w:rsidRPr="000018FB">
        <w:t xml:space="preserve"> 2012</w:t>
      </w:r>
      <w:r w:rsidR="00024E1C">
        <w:t>.</w:t>
      </w:r>
    </w:p>
    <w:p w:rsidR="00C75AB8" w:rsidRDefault="00202BE8" w:rsidP="00202BE8">
      <w:pPr>
        <w:pStyle w:val="AERbodytext"/>
        <w:numPr>
          <w:ilvl w:val="0"/>
          <w:numId w:val="13"/>
        </w:numPr>
      </w:pPr>
      <w:r>
        <w:t>T</w:t>
      </w:r>
      <w:r w:rsidRPr="0039518B">
        <w:t xml:space="preserve">he AER invited interested parties to make submissions on </w:t>
      </w:r>
      <w:r>
        <w:t>its</w:t>
      </w:r>
      <w:r w:rsidRPr="0039518B">
        <w:t xml:space="preserve"> draft decision and </w:t>
      </w:r>
      <w:proofErr w:type="spellStart"/>
      <w:r>
        <w:t>Multinet’s</w:t>
      </w:r>
      <w:proofErr w:type="spellEnd"/>
      <w:r>
        <w:t xml:space="preserve"> </w:t>
      </w:r>
      <w:r w:rsidRPr="0039518B">
        <w:t>revised access arrangement proposal by</w:t>
      </w:r>
      <w:r>
        <w:t xml:space="preserve"> 7 Ja</w:t>
      </w:r>
      <w:r w:rsidR="00B37621">
        <w:t>nuary 2013</w:t>
      </w:r>
      <w:r w:rsidRPr="0039518B">
        <w:t>. The AER also</w:t>
      </w:r>
      <w:r>
        <w:t xml:space="preserve"> hosted a consumer group roundtable on 27 November 2012, to discuss the gas review process and to seek comments from participants on consumer specific issues. </w:t>
      </w:r>
      <w:r w:rsidRPr="0039518B">
        <w:t xml:space="preserve">The AER received </w:t>
      </w:r>
      <w:r>
        <w:t>four</w:t>
      </w:r>
      <w:r w:rsidRPr="0039518B">
        <w:t xml:space="preserve"> submissions in response to </w:t>
      </w:r>
      <w:proofErr w:type="spellStart"/>
      <w:r>
        <w:t>Multinet’s</w:t>
      </w:r>
      <w:proofErr w:type="spellEnd"/>
      <w:r>
        <w:t xml:space="preserve"> revised proposal</w:t>
      </w:r>
      <w:r w:rsidRPr="0039518B">
        <w:t>. The AER considered the submissions it received in making its final decision.</w:t>
      </w:r>
    </w:p>
    <w:p w:rsidR="00630C21" w:rsidRPr="00630C21" w:rsidRDefault="00630C21" w:rsidP="00630C21">
      <w:pPr>
        <w:pStyle w:val="Heading2"/>
        <w:numPr>
          <w:ilvl w:val="0"/>
          <w:numId w:val="0"/>
        </w:numPr>
      </w:pPr>
      <w:bookmarkStart w:id="11" w:name="_Toc333585801"/>
      <w:bookmarkStart w:id="12" w:name="_Toc354500287"/>
      <w:r w:rsidRPr="00630C21">
        <w:t>AER final decision</w:t>
      </w:r>
      <w:bookmarkEnd w:id="11"/>
      <w:bookmarkEnd w:id="12"/>
    </w:p>
    <w:p w:rsidR="00202BE8" w:rsidRDefault="00202BE8" w:rsidP="00202BE8">
      <w:pPr>
        <w:pStyle w:val="AERbodytext"/>
        <w:numPr>
          <w:ilvl w:val="0"/>
          <w:numId w:val="13"/>
        </w:numPr>
      </w:pPr>
      <w:r>
        <w:t>On 15 March 201</w:t>
      </w:r>
      <w:r w:rsidR="004210F7">
        <w:t>3</w:t>
      </w:r>
      <w:r>
        <w:t>, the AER released its fina</w:t>
      </w:r>
      <w:r w:rsidR="00CD39D9">
        <w:t xml:space="preserve">l decision to not approve </w:t>
      </w:r>
      <w:proofErr w:type="spellStart"/>
      <w:r w:rsidR="00CD39D9">
        <w:t>Multi</w:t>
      </w:r>
      <w:r>
        <w:t>n</w:t>
      </w:r>
      <w:r w:rsidR="00CD39D9">
        <w:t>e</w:t>
      </w:r>
      <w:r>
        <w:t>t’s</w:t>
      </w:r>
      <w:proofErr w:type="spellEnd"/>
      <w:r>
        <w:t xml:space="preserve"> revised access arrangement proposal. The final decision set out the AER’s proposed revisions to the revised access arrangement proposal and revised access arrangement information.</w:t>
      </w:r>
    </w:p>
    <w:p w:rsidR="00630C21" w:rsidRDefault="00B37621" w:rsidP="00B37621">
      <w:pPr>
        <w:pStyle w:val="AERbodytext"/>
        <w:numPr>
          <w:ilvl w:val="0"/>
          <w:numId w:val="13"/>
        </w:numPr>
      </w:pPr>
      <w:r>
        <w:t>In accordance with r. 64(4) of the NGR, the AER is therefore required to make a decision giving effect to its own proposal within two months of its final decision.</w:t>
      </w:r>
    </w:p>
    <w:p w:rsidR="00630C21" w:rsidRPr="00630C21" w:rsidRDefault="00230385" w:rsidP="00630C21">
      <w:pPr>
        <w:pStyle w:val="Heading2"/>
        <w:numPr>
          <w:ilvl w:val="0"/>
          <w:numId w:val="0"/>
        </w:numPr>
      </w:pPr>
      <w:bookmarkStart w:id="13" w:name="_Toc333585803"/>
      <w:bookmarkStart w:id="14" w:name="_Toc354500288"/>
      <w:r>
        <w:lastRenderedPageBreak/>
        <w:t>AER access arrangement</w:t>
      </w:r>
      <w:r w:rsidR="00630C21" w:rsidRPr="00630C21">
        <w:t xml:space="preserve"> decision</w:t>
      </w:r>
      <w:bookmarkEnd w:id="13"/>
      <w:bookmarkEnd w:id="14"/>
    </w:p>
    <w:p w:rsidR="00202BE8" w:rsidRDefault="00202BE8" w:rsidP="00202BE8">
      <w:pPr>
        <w:pStyle w:val="AERbodytext"/>
        <w:numPr>
          <w:ilvl w:val="0"/>
          <w:numId w:val="13"/>
        </w:numPr>
      </w:pPr>
      <w:r>
        <w:t xml:space="preserve">In accordance with r. 64(4) of the NGR, the AER </w:t>
      </w:r>
      <w:r w:rsidR="003B04E5">
        <w:t xml:space="preserve">gives effect to </w:t>
      </w:r>
      <w:r w:rsidR="00A128C7">
        <w:t xml:space="preserve">its proposal through </w:t>
      </w:r>
      <w:r>
        <w:t xml:space="preserve">the </w:t>
      </w:r>
      <w:r w:rsidR="003B04E5">
        <w:t xml:space="preserve">AER </w:t>
      </w:r>
      <w:r>
        <w:t xml:space="preserve">access arrangement (including the </w:t>
      </w:r>
      <w:r w:rsidR="00A128C7">
        <w:t xml:space="preserve">AER </w:t>
      </w:r>
      <w:r>
        <w:t xml:space="preserve">access arrangement information) for </w:t>
      </w:r>
      <w:proofErr w:type="spellStart"/>
      <w:r>
        <w:t>Multinet’s</w:t>
      </w:r>
      <w:proofErr w:type="spellEnd"/>
      <w:r>
        <w:t xml:space="preserve"> gas distribution network. This access arrangement is published with this decision. </w:t>
      </w:r>
    </w:p>
    <w:p w:rsidR="00202BE8" w:rsidRPr="001D5D96" w:rsidRDefault="00202BE8" w:rsidP="00202BE8">
      <w:pPr>
        <w:pStyle w:val="AERbodytext"/>
        <w:numPr>
          <w:ilvl w:val="0"/>
          <w:numId w:val="2"/>
        </w:numPr>
      </w:pPr>
      <w:r>
        <w:t>In accordance with r. 64(6) of the NGR, the access arrangement shall take effect on 1 July 2013.</w:t>
      </w:r>
    </w:p>
    <w:p w:rsidR="00630C21" w:rsidRDefault="00630C21" w:rsidP="00630C21">
      <w:pPr>
        <w:pStyle w:val="AERbodytext"/>
        <w:numPr>
          <w:ilvl w:val="0"/>
          <w:numId w:val="13"/>
        </w:numPr>
      </w:pPr>
    </w:p>
    <w:p w:rsidR="00630C21" w:rsidRDefault="00630C21" w:rsidP="00630C21">
      <w:pPr>
        <w:pStyle w:val="AERbodytext"/>
        <w:numPr>
          <w:ilvl w:val="0"/>
          <w:numId w:val="13"/>
        </w:numPr>
      </w:pPr>
    </w:p>
    <w:p w:rsidR="00630C21" w:rsidRPr="00630C21" w:rsidRDefault="00630C21" w:rsidP="00630C21">
      <w:pPr>
        <w:pStyle w:val="AERbodytext"/>
      </w:pPr>
    </w:p>
    <w:sectPr w:rsidR="00630C21" w:rsidRPr="00630C21" w:rsidSect="00202BE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A5E" w:rsidRPr="00AB4345" w:rsidRDefault="00C10A5E" w:rsidP="00AB4345">
      <w:r>
        <w:separator/>
      </w:r>
    </w:p>
  </w:endnote>
  <w:endnote w:type="continuationSeparator" w:id="0">
    <w:p w:rsidR="00C10A5E" w:rsidRPr="00AB4345" w:rsidRDefault="00C10A5E"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C10A5E" w:rsidRDefault="00730375" w:rsidP="00456081">
        <w:pPr>
          <w:pStyle w:val="Footer"/>
          <w:tabs>
            <w:tab w:val="clear" w:pos="4513"/>
          </w:tabs>
        </w:pPr>
        <w:fldSimple w:instr=" PAGE   \* MERGEFORMAT ">
          <w:r w:rsidR="00C10A5E">
            <w:rPr>
              <w:noProof/>
            </w:rPr>
            <w:t>6</w:t>
          </w:r>
        </w:fldSimple>
        <w:r w:rsidR="00C10A5E">
          <w:tab/>
        </w:r>
        <w:r w:rsidR="00C10A5E">
          <w:rPr>
            <w:rStyle w:val="AERbody"/>
          </w:rPr>
          <w:t>Further final decision</w:t>
        </w:r>
        <w:r w:rsidR="00C10A5E" w:rsidRPr="00210880">
          <w:rPr>
            <w:rStyle w:val="AERbody"/>
          </w:rPr>
          <w:t xml:space="preserve"> </w:t>
        </w:r>
        <w:r w:rsidR="00C10A5E">
          <w:rPr>
            <w:rStyle w:val="AERbody"/>
          </w:rPr>
          <w:t xml:space="preserve">| Envestra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5E" w:rsidRPr="00210880" w:rsidRDefault="00C10A5E" w:rsidP="00456081">
    <w:pPr>
      <w:pStyle w:val="Footer"/>
      <w:tabs>
        <w:tab w:val="clear" w:pos="4513"/>
      </w:tabs>
      <w:rPr>
        <w:rStyle w:val="AERbody"/>
      </w:rPr>
    </w:pPr>
    <w:r>
      <w:rPr>
        <w:rStyle w:val="AERbody"/>
      </w:rPr>
      <w:t>A</w:t>
    </w:r>
    <w:r w:rsidRPr="00CE79CE">
      <w:rPr>
        <w:rStyle w:val="AERbody"/>
      </w:rPr>
      <w:t xml:space="preserve">ccess arrangement decision | </w:t>
    </w:r>
    <w:proofErr w:type="spellStart"/>
    <w:r>
      <w:rPr>
        <w:rStyle w:val="AERbody"/>
      </w:rPr>
      <w:t>Multinet</w:t>
    </w:r>
    <w:proofErr w:type="spellEnd"/>
    <w:r w:rsidRPr="00210880">
      <w:rPr>
        <w:rStyle w:val="AERbody"/>
      </w:rPr>
      <w:tab/>
    </w:r>
    <w:r w:rsidR="00730375" w:rsidRPr="00210880">
      <w:rPr>
        <w:rStyle w:val="AERbody"/>
      </w:rPr>
      <w:fldChar w:fldCharType="begin"/>
    </w:r>
    <w:r w:rsidRPr="00210880">
      <w:rPr>
        <w:rStyle w:val="AERbody"/>
      </w:rPr>
      <w:instrText xml:space="preserve"> PAGE   \* MERGEFORMAT </w:instrText>
    </w:r>
    <w:r w:rsidR="00730375" w:rsidRPr="00210880">
      <w:rPr>
        <w:rStyle w:val="AERbody"/>
      </w:rPr>
      <w:fldChar w:fldCharType="separate"/>
    </w:r>
    <w:r w:rsidR="00B33684">
      <w:rPr>
        <w:rStyle w:val="AERbody"/>
        <w:noProof/>
      </w:rPr>
      <w:t>4</w:t>
    </w:r>
    <w:r w:rsidR="00730375"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A5E" w:rsidRPr="00AB4345" w:rsidRDefault="00C10A5E" w:rsidP="00AB4345">
      <w:r>
        <w:separator/>
      </w:r>
    </w:p>
  </w:footnote>
  <w:footnote w:type="continuationSeparator" w:id="0">
    <w:p w:rsidR="00C10A5E" w:rsidRPr="00AB4345" w:rsidRDefault="00C10A5E" w:rsidP="00AB4345">
      <w:r>
        <w:continuationSeparator/>
      </w:r>
    </w:p>
  </w:footnote>
  <w:footnote w:id="1">
    <w:p w:rsidR="00C10A5E" w:rsidRPr="000B208F" w:rsidRDefault="00C10A5E" w:rsidP="000B208F">
      <w:pPr>
        <w:pStyle w:val="FootnoteText"/>
      </w:pPr>
      <w:r>
        <w:rPr>
          <w:rStyle w:val="FootnoteReference"/>
        </w:rPr>
        <w:footnoteRef/>
      </w:r>
      <w:r>
        <w:t xml:space="preserve"> </w:t>
      </w:r>
      <w:r>
        <w:tab/>
      </w:r>
      <w:r w:rsidRPr="00252731">
        <w:t xml:space="preserve">Providers of gas distribution services typically negotiate contracts to sell pipeline services to customers such as energy retailers. Section 322 of the NGL provides that contracts between service providers and users may differ from those approved by the AER as part of an access arrangement review. In the event of a dispute, however, a user or prospective user may </w:t>
      </w:r>
      <w:r>
        <w:t>notify the AER of the dispute, in which case the AER must make a determination on access by the user or prospective user under Chapter 6, Part 3 of the NGL. The AER must, in making its determination, give effect to the applicable access arrangement, pursuant to s. 189 of the NGL.</w:t>
      </w:r>
    </w:p>
  </w:footnote>
  <w:footnote w:id="2">
    <w:p w:rsidR="00C10A5E" w:rsidRDefault="00C10A5E" w:rsidP="00202BE8">
      <w:pPr>
        <w:pStyle w:val="FootnoteText"/>
      </w:pPr>
      <w:r>
        <w:rPr>
          <w:rStyle w:val="FootnoteReference"/>
        </w:rPr>
        <w:footnoteRef/>
      </w:r>
      <w:r>
        <w:t xml:space="preserve"> </w:t>
      </w:r>
      <w:r>
        <w:tab/>
        <w:t>National Gas (Victoria) Act 2008 (Vic), Part 5.</w:t>
      </w:r>
    </w:p>
  </w:footnote>
  <w:footnote w:id="3">
    <w:p w:rsidR="00C10A5E" w:rsidRDefault="00C10A5E" w:rsidP="00202BE8">
      <w:pPr>
        <w:pStyle w:val="FootnoteText"/>
      </w:pPr>
      <w:r>
        <w:rPr>
          <w:rStyle w:val="FootnoteReference"/>
        </w:rPr>
        <w:footnoteRef/>
      </w:r>
      <w:r>
        <w:t xml:space="preserve"> </w:t>
      </w:r>
      <w:r>
        <w:tab/>
      </w:r>
      <w:proofErr w:type="gramStart"/>
      <w:r>
        <w:t>NGL, s. 28.</w:t>
      </w:r>
      <w:proofErr w:type="gramEnd"/>
    </w:p>
  </w:footnote>
  <w:footnote w:id="4">
    <w:p w:rsidR="00C10A5E" w:rsidRPr="003B0411" w:rsidRDefault="00C10A5E" w:rsidP="00202BE8">
      <w:pPr>
        <w:pStyle w:val="FootnoteText"/>
      </w:pPr>
      <w:r>
        <w:rPr>
          <w:rStyle w:val="FootnoteReference"/>
        </w:rPr>
        <w:footnoteRef/>
      </w:r>
      <w:r>
        <w:t xml:space="preserve"> </w:t>
      </w:r>
      <w:r>
        <w:tab/>
      </w:r>
      <w:proofErr w:type="gramStart"/>
      <w:r w:rsidRPr="003B0411">
        <w:t>NGL, s. 23.</w:t>
      </w:r>
      <w:proofErr w:type="gramEnd"/>
    </w:p>
  </w:footnote>
  <w:footnote w:id="5">
    <w:p w:rsidR="00C10A5E" w:rsidRPr="002E3072" w:rsidRDefault="00C10A5E" w:rsidP="00202BE8">
      <w:pPr>
        <w:pStyle w:val="FootnoteText"/>
      </w:pPr>
      <w:r>
        <w:rPr>
          <w:rStyle w:val="FootnoteReference"/>
        </w:rPr>
        <w:footnoteRef/>
      </w:r>
      <w:r>
        <w:t xml:space="preserve"> </w:t>
      </w:r>
      <w:r>
        <w:tab/>
      </w:r>
      <w:proofErr w:type="gramStart"/>
      <w:r w:rsidRPr="002E3072">
        <w:t>NGL, s. 28.</w:t>
      </w:r>
      <w:proofErr w:type="gramEnd"/>
      <w:r w:rsidRPr="002E3072">
        <w:t xml:space="preserve"> The revenue and pricing principles are set out in NGL, s. 24.</w:t>
      </w:r>
    </w:p>
  </w:footnote>
  <w:footnote w:id="6">
    <w:p w:rsidR="00C10A5E" w:rsidRDefault="00C10A5E" w:rsidP="00202BE8">
      <w:pPr>
        <w:pStyle w:val="FootnoteText"/>
      </w:pPr>
      <w:r>
        <w:rPr>
          <w:rStyle w:val="FootnoteReference"/>
        </w:rPr>
        <w:footnoteRef/>
      </w:r>
      <w:r>
        <w:t xml:space="preserve"> </w:t>
      </w:r>
      <w:r>
        <w:tab/>
      </w:r>
      <w:proofErr w:type="gramStart"/>
      <w:r>
        <w:t>NGR, r. 64(1) and (2).</w:t>
      </w:r>
      <w:proofErr w:type="gramEnd"/>
    </w:p>
  </w:footnote>
  <w:footnote w:id="7">
    <w:p w:rsidR="00C10A5E" w:rsidRDefault="00C10A5E" w:rsidP="00202BE8">
      <w:pPr>
        <w:pStyle w:val="FootnoteText"/>
      </w:pPr>
      <w:r>
        <w:rPr>
          <w:rStyle w:val="FootnoteReference"/>
        </w:rPr>
        <w:footnoteRef/>
      </w:r>
      <w:r>
        <w:t xml:space="preserve"> </w:t>
      </w:r>
      <w:r>
        <w:tab/>
        <w:t>NGR, r. 64(4)</w:t>
      </w:r>
    </w:p>
  </w:footnote>
  <w:footnote w:id="8">
    <w:p w:rsidR="00C10A5E" w:rsidRDefault="00C10A5E" w:rsidP="00202BE8">
      <w:pPr>
        <w:pStyle w:val="FootnoteText"/>
      </w:pPr>
      <w:r>
        <w:rPr>
          <w:rStyle w:val="FootnoteReference"/>
        </w:rPr>
        <w:footnoteRef/>
      </w:r>
      <w:r>
        <w:t xml:space="preserve"> </w:t>
      </w:r>
      <w:r>
        <w:tab/>
      </w:r>
      <w:proofErr w:type="gramStart"/>
      <w:r>
        <w:t>NGR, r. 42.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F53203E8">
      <w:start w:val="1"/>
      <w:numFmt w:val="bullet"/>
      <w:pStyle w:val="AERbulletlistthirdstyle"/>
      <w:lvlText w:val=""/>
      <w:lvlJc w:val="left"/>
      <w:pPr>
        <w:ind w:left="1077" w:hanging="360"/>
      </w:pPr>
      <w:rPr>
        <w:rFonts w:ascii="Wingdings" w:hAnsi="Wingdings" w:hint="default"/>
      </w:rPr>
    </w:lvl>
    <w:lvl w:ilvl="1" w:tplc="5EC0820A" w:tentative="1">
      <w:start w:val="1"/>
      <w:numFmt w:val="bullet"/>
      <w:lvlText w:val="o"/>
      <w:lvlJc w:val="left"/>
      <w:pPr>
        <w:ind w:left="1797" w:hanging="360"/>
      </w:pPr>
      <w:rPr>
        <w:rFonts w:ascii="Courier New" w:hAnsi="Courier New" w:cs="Courier New" w:hint="default"/>
      </w:rPr>
    </w:lvl>
    <w:lvl w:ilvl="2" w:tplc="22F0AB76" w:tentative="1">
      <w:start w:val="1"/>
      <w:numFmt w:val="bullet"/>
      <w:lvlText w:val=""/>
      <w:lvlJc w:val="left"/>
      <w:pPr>
        <w:ind w:left="2517" w:hanging="360"/>
      </w:pPr>
      <w:rPr>
        <w:rFonts w:ascii="Wingdings" w:hAnsi="Wingdings" w:hint="default"/>
      </w:rPr>
    </w:lvl>
    <w:lvl w:ilvl="3" w:tplc="3D905028" w:tentative="1">
      <w:start w:val="1"/>
      <w:numFmt w:val="bullet"/>
      <w:lvlText w:val=""/>
      <w:lvlJc w:val="left"/>
      <w:pPr>
        <w:ind w:left="3237" w:hanging="360"/>
      </w:pPr>
      <w:rPr>
        <w:rFonts w:ascii="Symbol" w:hAnsi="Symbol" w:hint="default"/>
      </w:rPr>
    </w:lvl>
    <w:lvl w:ilvl="4" w:tplc="6090DFA8" w:tentative="1">
      <w:start w:val="1"/>
      <w:numFmt w:val="bullet"/>
      <w:lvlText w:val="o"/>
      <w:lvlJc w:val="left"/>
      <w:pPr>
        <w:ind w:left="3957" w:hanging="360"/>
      </w:pPr>
      <w:rPr>
        <w:rFonts w:ascii="Courier New" w:hAnsi="Courier New" w:cs="Courier New" w:hint="default"/>
      </w:rPr>
    </w:lvl>
    <w:lvl w:ilvl="5" w:tplc="E16683A4" w:tentative="1">
      <w:start w:val="1"/>
      <w:numFmt w:val="bullet"/>
      <w:lvlText w:val=""/>
      <w:lvlJc w:val="left"/>
      <w:pPr>
        <w:ind w:left="4677" w:hanging="360"/>
      </w:pPr>
      <w:rPr>
        <w:rFonts w:ascii="Wingdings" w:hAnsi="Wingdings" w:hint="default"/>
      </w:rPr>
    </w:lvl>
    <w:lvl w:ilvl="6" w:tplc="90ACA6D4" w:tentative="1">
      <w:start w:val="1"/>
      <w:numFmt w:val="bullet"/>
      <w:lvlText w:val=""/>
      <w:lvlJc w:val="left"/>
      <w:pPr>
        <w:ind w:left="5397" w:hanging="360"/>
      </w:pPr>
      <w:rPr>
        <w:rFonts w:ascii="Symbol" w:hAnsi="Symbol" w:hint="default"/>
      </w:rPr>
    </w:lvl>
    <w:lvl w:ilvl="7" w:tplc="85FEDC26" w:tentative="1">
      <w:start w:val="1"/>
      <w:numFmt w:val="bullet"/>
      <w:lvlText w:val="o"/>
      <w:lvlJc w:val="left"/>
      <w:pPr>
        <w:ind w:left="6117" w:hanging="360"/>
      </w:pPr>
      <w:rPr>
        <w:rFonts w:ascii="Courier New" w:hAnsi="Courier New" w:cs="Courier New" w:hint="default"/>
      </w:rPr>
    </w:lvl>
    <w:lvl w:ilvl="8" w:tplc="15E67A1E"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B336B1FC">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E34C424">
      <w:start w:val="1"/>
      <w:numFmt w:val="decimal"/>
      <w:lvlText w:val="%1."/>
      <w:lvlJc w:val="left"/>
      <w:pPr>
        <w:tabs>
          <w:tab w:val="num" w:pos="357"/>
        </w:tabs>
        <w:ind w:left="357" w:hanging="357"/>
      </w:pPr>
      <w:rPr>
        <w:rFonts w:ascii="Gautami" w:hAnsi="Gautami" w:hint="default"/>
        <w:b w:val="0"/>
        <w:i w:val="0"/>
        <w:sz w:val="22"/>
      </w:rPr>
    </w:lvl>
    <w:lvl w:ilvl="1" w:tplc="2EBEB55C">
      <w:start w:val="1"/>
      <w:numFmt w:val="bullet"/>
      <w:lvlText w:val=""/>
      <w:lvlJc w:val="left"/>
      <w:pPr>
        <w:tabs>
          <w:tab w:val="num" w:pos="4498"/>
        </w:tabs>
        <w:ind w:left="4498" w:hanging="358"/>
      </w:pPr>
      <w:rPr>
        <w:rFonts w:ascii="Wingdings" w:hAnsi="Wingdings" w:hint="default"/>
        <w:b w:val="0"/>
        <w:i w:val="0"/>
        <w:sz w:val="22"/>
      </w:rPr>
    </w:lvl>
    <w:lvl w:ilvl="2" w:tplc="1B4A66B6" w:tentative="1">
      <w:start w:val="1"/>
      <w:numFmt w:val="lowerRoman"/>
      <w:lvlText w:val="%3."/>
      <w:lvlJc w:val="right"/>
      <w:pPr>
        <w:tabs>
          <w:tab w:val="num" w:pos="5220"/>
        </w:tabs>
        <w:ind w:left="5220" w:hanging="180"/>
      </w:pPr>
    </w:lvl>
    <w:lvl w:ilvl="3" w:tplc="C8FCFC38" w:tentative="1">
      <w:start w:val="1"/>
      <w:numFmt w:val="decimal"/>
      <w:lvlText w:val="%4."/>
      <w:lvlJc w:val="left"/>
      <w:pPr>
        <w:tabs>
          <w:tab w:val="num" w:pos="5940"/>
        </w:tabs>
        <w:ind w:left="5940" w:hanging="360"/>
      </w:pPr>
    </w:lvl>
    <w:lvl w:ilvl="4" w:tplc="80E42CD6">
      <w:start w:val="1"/>
      <w:numFmt w:val="lowerLetter"/>
      <w:lvlText w:val="%5."/>
      <w:lvlJc w:val="left"/>
      <w:pPr>
        <w:tabs>
          <w:tab w:val="num" w:pos="6660"/>
        </w:tabs>
        <w:ind w:left="6660" w:hanging="360"/>
      </w:pPr>
    </w:lvl>
    <w:lvl w:ilvl="5" w:tplc="94FC3206">
      <w:start w:val="1"/>
      <w:numFmt w:val="lowerRoman"/>
      <w:lvlText w:val="%6."/>
      <w:lvlJc w:val="right"/>
      <w:pPr>
        <w:tabs>
          <w:tab w:val="num" w:pos="7380"/>
        </w:tabs>
        <w:ind w:left="7380" w:hanging="180"/>
      </w:pPr>
    </w:lvl>
    <w:lvl w:ilvl="6" w:tplc="8DD226DA" w:tentative="1">
      <w:start w:val="1"/>
      <w:numFmt w:val="decimal"/>
      <w:lvlText w:val="%7."/>
      <w:lvlJc w:val="left"/>
      <w:pPr>
        <w:tabs>
          <w:tab w:val="num" w:pos="8100"/>
        </w:tabs>
        <w:ind w:left="8100" w:hanging="360"/>
      </w:pPr>
    </w:lvl>
    <w:lvl w:ilvl="7" w:tplc="054ED782" w:tentative="1">
      <w:start w:val="1"/>
      <w:numFmt w:val="lowerLetter"/>
      <w:lvlText w:val="%8."/>
      <w:lvlJc w:val="left"/>
      <w:pPr>
        <w:tabs>
          <w:tab w:val="num" w:pos="8820"/>
        </w:tabs>
        <w:ind w:left="8820" w:hanging="360"/>
      </w:pPr>
    </w:lvl>
    <w:lvl w:ilvl="8" w:tplc="1BA6019E"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338C0D84">
      <w:start w:val="1"/>
      <w:numFmt w:val="bullet"/>
      <w:pStyle w:val="AERquotebullet1"/>
      <w:lvlText w:val=""/>
      <w:lvlJc w:val="left"/>
      <w:pPr>
        <w:ind w:left="720" w:hanging="360"/>
      </w:pPr>
      <w:rPr>
        <w:rFonts w:ascii="Wingdings" w:hAnsi="Wingdings" w:hint="default"/>
      </w:rPr>
    </w:lvl>
    <w:lvl w:ilvl="1" w:tplc="FE6035F2" w:tentative="1">
      <w:start w:val="1"/>
      <w:numFmt w:val="bullet"/>
      <w:lvlText w:val="o"/>
      <w:lvlJc w:val="left"/>
      <w:pPr>
        <w:ind w:left="1440" w:hanging="360"/>
      </w:pPr>
      <w:rPr>
        <w:rFonts w:ascii="Courier New" w:hAnsi="Courier New" w:cs="Courier New" w:hint="default"/>
      </w:rPr>
    </w:lvl>
    <w:lvl w:ilvl="2" w:tplc="14C8C460" w:tentative="1">
      <w:start w:val="1"/>
      <w:numFmt w:val="bullet"/>
      <w:lvlText w:val=""/>
      <w:lvlJc w:val="left"/>
      <w:pPr>
        <w:ind w:left="2160" w:hanging="360"/>
      </w:pPr>
      <w:rPr>
        <w:rFonts w:ascii="Wingdings" w:hAnsi="Wingdings" w:hint="default"/>
      </w:rPr>
    </w:lvl>
    <w:lvl w:ilvl="3" w:tplc="0D78EF98" w:tentative="1">
      <w:start w:val="1"/>
      <w:numFmt w:val="bullet"/>
      <w:lvlText w:val=""/>
      <w:lvlJc w:val="left"/>
      <w:pPr>
        <w:ind w:left="2880" w:hanging="360"/>
      </w:pPr>
      <w:rPr>
        <w:rFonts w:ascii="Symbol" w:hAnsi="Symbol" w:hint="default"/>
      </w:rPr>
    </w:lvl>
    <w:lvl w:ilvl="4" w:tplc="62F02674" w:tentative="1">
      <w:start w:val="1"/>
      <w:numFmt w:val="bullet"/>
      <w:lvlText w:val="o"/>
      <w:lvlJc w:val="left"/>
      <w:pPr>
        <w:ind w:left="3600" w:hanging="360"/>
      </w:pPr>
      <w:rPr>
        <w:rFonts w:ascii="Courier New" w:hAnsi="Courier New" w:cs="Courier New" w:hint="default"/>
      </w:rPr>
    </w:lvl>
    <w:lvl w:ilvl="5" w:tplc="B0845516" w:tentative="1">
      <w:start w:val="1"/>
      <w:numFmt w:val="bullet"/>
      <w:lvlText w:val=""/>
      <w:lvlJc w:val="left"/>
      <w:pPr>
        <w:ind w:left="4320" w:hanging="360"/>
      </w:pPr>
      <w:rPr>
        <w:rFonts w:ascii="Wingdings" w:hAnsi="Wingdings" w:hint="default"/>
      </w:rPr>
    </w:lvl>
    <w:lvl w:ilvl="6" w:tplc="93A0C4DC" w:tentative="1">
      <w:start w:val="1"/>
      <w:numFmt w:val="bullet"/>
      <w:lvlText w:val=""/>
      <w:lvlJc w:val="left"/>
      <w:pPr>
        <w:ind w:left="5040" w:hanging="360"/>
      </w:pPr>
      <w:rPr>
        <w:rFonts w:ascii="Symbol" w:hAnsi="Symbol" w:hint="default"/>
      </w:rPr>
    </w:lvl>
    <w:lvl w:ilvl="7" w:tplc="A192D8C4" w:tentative="1">
      <w:start w:val="1"/>
      <w:numFmt w:val="bullet"/>
      <w:lvlText w:val="o"/>
      <w:lvlJc w:val="left"/>
      <w:pPr>
        <w:ind w:left="5760" w:hanging="360"/>
      </w:pPr>
      <w:rPr>
        <w:rFonts w:ascii="Courier New" w:hAnsi="Courier New" w:cs="Courier New" w:hint="default"/>
      </w:rPr>
    </w:lvl>
    <w:lvl w:ilvl="8" w:tplc="8F92803E"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num>
  <w:num w:numId="44">
    <w:abstractNumId w:val="23"/>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 w:numId="45">
    <w:abstractNumId w:val="23"/>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 w:numId="46">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47">
    <w:abstractNumId w:val="2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C052F"/>
    <w:rsid w:val="00022606"/>
    <w:rsid w:val="00024712"/>
    <w:rsid w:val="00024E1C"/>
    <w:rsid w:val="00040599"/>
    <w:rsid w:val="00040749"/>
    <w:rsid w:val="000903E7"/>
    <w:rsid w:val="00092A85"/>
    <w:rsid w:val="000A1CC2"/>
    <w:rsid w:val="000A5342"/>
    <w:rsid w:val="000B15CA"/>
    <w:rsid w:val="000B208F"/>
    <w:rsid w:val="000B79C8"/>
    <w:rsid w:val="000C052F"/>
    <w:rsid w:val="000C3430"/>
    <w:rsid w:val="000D03C2"/>
    <w:rsid w:val="000D04B1"/>
    <w:rsid w:val="000D401F"/>
    <w:rsid w:val="000E1A25"/>
    <w:rsid w:val="000F3A6A"/>
    <w:rsid w:val="001033B3"/>
    <w:rsid w:val="00105636"/>
    <w:rsid w:val="0011427D"/>
    <w:rsid w:val="00121329"/>
    <w:rsid w:val="00133BC0"/>
    <w:rsid w:val="001543D2"/>
    <w:rsid w:val="00174026"/>
    <w:rsid w:val="001856EE"/>
    <w:rsid w:val="00194C3C"/>
    <w:rsid w:val="001C12E5"/>
    <w:rsid w:val="001D52F8"/>
    <w:rsid w:val="00202BE8"/>
    <w:rsid w:val="002036D2"/>
    <w:rsid w:val="0020711E"/>
    <w:rsid w:val="00210880"/>
    <w:rsid w:val="002131FB"/>
    <w:rsid w:val="00214806"/>
    <w:rsid w:val="002257B9"/>
    <w:rsid w:val="00226A15"/>
    <w:rsid w:val="00230385"/>
    <w:rsid w:val="0023137D"/>
    <w:rsid w:val="00234614"/>
    <w:rsid w:val="00250F05"/>
    <w:rsid w:val="00266710"/>
    <w:rsid w:val="002805B8"/>
    <w:rsid w:val="002938CE"/>
    <w:rsid w:val="00294972"/>
    <w:rsid w:val="002B615A"/>
    <w:rsid w:val="002B6640"/>
    <w:rsid w:val="002D61AC"/>
    <w:rsid w:val="00302ABA"/>
    <w:rsid w:val="00303452"/>
    <w:rsid w:val="003324F7"/>
    <w:rsid w:val="00334F88"/>
    <w:rsid w:val="003707DB"/>
    <w:rsid w:val="00375AEC"/>
    <w:rsid w:val="00376236"/>
    <w:rsid w:val="0037652C"/>
    <w:rsid w:val="003800E4"/>
    <w:rsid w:val="00380F5A"/>
    <w:rsid w:val="00380FF5"/>
    <w:rsid w:val="003A6174"/>
    <w:rsid w:val="003B04E5"/>
    <w:rsid w:val="003E0B28"/>
    <w:rsid w:val="003F070D"/>
    <w:rsid w:val="004030AB"/>
    <w:rsid w:val="00412282"/>
    <w:rsid w:val="00415901"/>
    <w:rsid w:val="004210F7"/>
    <w:rsid w:val="004256BA"/>
    <w:rsid w:val="0043116A"/>
    <w:rsid w:val="00431999"/>
    <w:rsid w:val="00435682"/>
    <w:rsid w:val="00456081"/>
    <w:rsid w:val="00464F5D"/>
    <w:rsid w:val="00474FBD"/>
    <w:rsid w:val="004913FE"/>
    <w:rsid w:val="00491D7D"/>
    <w:rsid w:val="0049704B"/>
    <w:rsid w:val="004C3F45"/>
    <w:rsid w:val="004E40EF"/>
    <w:rsid w:val="004E73F7"/>
    <w:rsid w:val="004F76A0"/>
    <w:rsid w:val="00500E7F"/>
    <w:rsid w:val="0051241E"/>
    <w:rsid w:val="0052179D"/>
    <w:rsid w:val="00527683"/>
    <w:rsid w:val="00527E29"/>
    <w:rsid w:val="00535A3E"/>
    <w:rsid w:val="00540960"/>
    <w:rsid w:val="005456A9"/>
    <w:rsid w:val="00555D52"/>
    <w:rsid w:val="005566D7"/>
    <w:rsid w:val="00556B07"/>
    <w:rsid w:val="00561F7F"/>
    <w:rsid w:val="00566B35"/>
    <w:rsid w:val="005732CC"/>
    <w:rsid w:val="00575422"/>
    <w:rsid w:val="005938C6"/>
    <w:rsid w:val="005A0431"/>
    <w:rsid w:val="005B3752"/>
    <w:rsid w:val="005B61C2"/>
    <w:rsid w:val="005C41C7"/>
    <w:rsid w:val="005D26B7"/>
    <w:rsid w:val="005D4AA1"/>
    <w:rsid w:val="005E6A8B"/>
    <w:rsid w:val="0060146C"/>
    <w:rsid w:val="0060207D"/>
    <w:rsid w:val="00602A29"/>
    <w:rsid w:val="006039F2"/>
    <w:rsid w:val="006061B0"/>
    <w:rsid w:val="0060732E"/>
    <w:rsid w:val="006076A9"/>
    <w:rsid w:val="00630C21"/>
    <w:rsid w:val="00645810"/>
    <w:rsid w:val="006544EA"/>
    <w:rsid w:val="00656349"/>
    <w:rsid w:val="00665057"/>
    <w:rsid w:val="0066569F"/>
    <w:rsid w:val="0069004B"/>
    <w:rsid w:val="00697AB5"/>
    <w:rsid w:val="006A3F2E"/>
    <w:rsid w:val="006B08EB"/>
    <w:rsid w:val="006B481F"/>
    <w:rsid w:val="006F638E"/>
    <w:rsid w:val="00703E42"/>
    <w:rsid w:val="00730375"/>
    <w:rsid w:val="007368AD"/>
    <w:rsid w:val="00751D2A"/>
    <w:rsid w:val="00755095"/>
    <w:rsid w:val="00783554"/>
    <w:rsid w:val="0079031B"/>
    <w:rsid w:val="00796A07"/>
    <w:rsid w:val="007A142E"/>
    <w:rsid w:val="007B16BB"/>
    <w:rsid w:val="007B52BC"/>
    <w:rsid w:val="007F10E3"/>
    <w:rsid w:val="007F2C0E"/>
    <w:rsid w:val="00804AEB"/>
    <w:rsid w:val="00836D17"/>
    <w:rsid w:val="00840A55"/>
    <w:rsid w:val="00841E25"/>
    <w:rsid w:val="008464CD"/>
    <w:rsid w:val="008515EE"/>
    <w:rsid w:val="00861C4E"/>
    <w:rsid w:val="00866D21"/>
    <w:rsid w:val="00883DDA"/>
    <w:rsid w:val="00891FF9"/>
    <w:rsid w:val="00893367"/>
    <w:rsid w:val="008C3B67"/>
    <w:rsid w:val="008C3F48"/>
    <w:rsid w:val="008D49B4"/>
    <w:rsid w:val="008D7498"/>
    <w:rsid w:val="009160D1"/>
    <w:rsid w:val="00921B19"/>
    <w:rsid w:val="00927FAF"/>
    <w:rsid w:val="00932E96"/>
    <w:rsid w:val="009418E6"/>
    <w:rsid w:val="0094235F"/>
    <w:rsid w:val="0094279F"/>
    <w:rsid w:val="00946B98"/>
    <w:rsid w:val="00947F01"/>
    <w:rsid w:val="0095052A"/>
    <w:rsid w:val="009658F0"/>
    <w:rsid w:val="00971C63"/>
    <w:rsid w:val="009A4AE9"/>
    <w:rsid w:val="009C71D5"/>
    <w:rsid w:val="009E5523"/>
    <w:rsid w:val="009F7CE4"/>
    <w:rsid w:val="00A11162"/>
    <w:rsid w:val="00A128C7"/>
    <w:rsid w:val="00A275E0"/>
    <w:rsid w:val="00A42D47"/>
    <w:rsid w:val="00A43227"/>
    <w:rsid w:val="00A46CCD"/>
    <w:rsid w:val="00A5548B"/>
    <w:rsid w:val="00A65133"/>
    <w:rsid w:val="00A652C5"/>
    <w:rsid w:val="00A66987"/>
    <w:rsid w:val="00A85C5A"/>
    <w:rsid w:val="00A96A08"/>
    <w:rsid w:val="00AA0161"/>
    <w:rsid w:val="00AB1D08"/>
    <w:rsid w:val="00AB4345"/>
    <w:rsid w:val="00AB5BD7"/>
    <w:rsid w:val="00AC0135"/>
    <w:rsid w:val="00AC070D"/>
    <w:rsid w:val="00AD0616"/>
    <w:rsid w:val="00AD14C3"/>
    <w:rsid w:val="00AD34FF"/>
    <w:rsid w:val="00AD4DE6"/>
    <w:rsid w:val="00AF3E95"/>
    <w:rsid w:val="00B15FE9"/>
    <w:rsid w:val="00B204F0"/>
    <w:rsid w:val="00B33684"/>
    <w:rsid w:val="00B37621"/>
    <w:rsid w:val="00B51883"/>
    <w:rsid w:val="00B61FD4"/>
    <w:rsid w:val="00B674DB"/>
    <w:rsid w:val="00B815B7"/>
    <w:rsid w:val="00B82E8D"/>
    <w:rsid w:val="00B9264D"/>
    <w:rsid w:val="00BB3FA1"/>
    <w:rsid w:val="00BB62BB"/>
    <w:rsid w:val="00BC05C5"/>
    <w:rsid w:val="00BC1845"/>
    <w:rsid w:val="00BD04BE"/>
    <w:rsid w:val="00BD05B6"/>
    <w:rsid w:val="00BD5E76"/>
    <w:rsid w:val="00BE6F28"/>
    <w:rsid w:val="00BE7A49"/>
    <w:rsid w:val="00BF29FA"/>
    <w:rsid w:val="00C03658"/>
    <w:rsid w:val="00C04D2B"/>
    <w:rsid w:val="00C10A5E"/>
    <w:rsid w:val="00C40E1E"/>
    <w:rsid w:val="00C70401"/>
    <w:rsid w:val="00C737C5"/>
    <w:rsid w:val="00C75AB8"/>
    <w:rsid w:val="00CA31D6"/>
    <w:rsid w:val="00CA3540"/>
    <w:rsid w:val="00CA6DED"/>
    <w:rsid w:val="00CB0405"/>
    <w:rsid w:val="00CC49D4"/>
    <w:rsid w:val="00CD39D9"/>
    <w:rsid w:val="00CE6F5A"/>
    <w:rsid w:val="00CE79CE"/>
    <w:rsid w:val="00CF42CF"/>
    <w:rsid w:val="00D102E9"/>
    <w:rsid w:val="00D1688F"/>
    <w:rsid w:val="00D168DB"/>
    <w:rsid w:val="00D2117F"/>
    <w:rsid w:val="00D25317"/>
    <w:rsid w:val="00D34331"/>
    <w:rsid w:val="00D359B0"/>
    <w:rsid w:val="00D66E8B"/>
    <w:rsid w:val="00D85715"/>
    <w:rsid w:val="00D8706C"/>
    <w:rsid w:val="00DA4C62"/>
    <w:rsid w:val="00DA6769"/>
    <w:rsid w:val="00DA7ECF"/>
    <w:rsid w:val="00DA7FAF"/>
    <w:rsid w:val="00DB4EF4"/>
    <w:rsid w:val="00DB6A17"/>
    <w:rsid w:val="00DD1A3F"/>
    <w:rsid w:val="00DD5520"/>
    <w:rsid w:val="00DE760B"/>
    <w:rsid w:val="00E00F76"/>
    <w:rsid w:val="00E01310"/>
    <w:rsid w:val="00E21E75"/>
    <w:rsid w:val="00E5096C"/>
    <w:rsid w:val="00E50F26"/>
    <w:rsid w:val="00E519DC"/>
    <w:rsid w:val="00E807DA"/>
    <w:rsid w:val="00E831B1"/>
    <w:rsid w:val="00E84E3A"/>
    <w:rsid w:val="00EA05AF"/>
    <w:rsid w:val="00EA1B94"/>
    <w:rsid w:val="00EA21C2"/>
    <w:rsid w:val="00EC41EF"/>
    <w:rsid w:val="00EC43B9"/>
    <w:rsid w:val="00ED4D69"/>
    <w:rsid w:val="00EE362F"/>
    <w:rsid w:val="00EF0E19"/>
    <w:rsid w:val="00EF400A"/>
    <w:rsid w:val="00F114AE"/>
    <w:rsid w:val="00F43CA0"/>
    <w:rsid w:val="00F55030"/>
    <w:rsid w:val="00F7696F"/>
    <w:rsid w:val="00F8060D"/>
    <w:rsid w:val="00F8209B"/>
    <w:rsid w:val="00FA0576"/>
    <w:rsid w:val="00FA4FD4"/>
    <w:rsid w:val="00FB50B4"/>
    <w:rsid w:val="00FB7EE3"/>
    <w:rsid w:val="00FD289D"/>
    <w:rsid w:val="00FD4B97"/>
    <w:rsid w:val="00FE55EB"/>
    <w:rsid w:val="00FF1648"/>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aliases w:val="Part,h1,AMP,h11,AMP1,h12,h13,AMP2,h14,AMP3,No numbers"/>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aliases w:val="h2,l2,list 2,list 2,heading 2TOC,Head 2,List level 2,2,Header 2,H2,heading 2body,LDM_2,head 08"/>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3,l3,Level 3 Head,H3,Heading 3a,H31,C Sub-Sub/Italic,h3 sub heading,Head 3,Head 31,Head 32,C Sub-Sub/Italic1,(Alt+3),(Alt+3) AMP,31,l31,Level 3 Head1,H32,h31,Heading 3a1,H311,C Sub-Sub/Italic2,h3 sub heading1,Head 33,Head 311,Head 321,32,3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aliases w:val="Part Char,h1 Char,AMP Char,h11 Char,AMP1 Char,h12 Char,h13 Char,AMP2 Char,h14 Char,AMP3 Char,No numbers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aliases w:val="h2 Char,l2 Char,list 2 Char,list 2 Char,heading 2TOC Char,Head 2 Char,List level 2 Char,2 Char,Header 2 Char,H2 Char,heading 2body Char,LDM_2 Char,head 08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3 Char,l3 Char,Level 3 Head Char,H3 Char,Heading 3a Char,H31 Char,C Sub-Sub/Italic Char,h3 sub heading Char,Head 3 Char,Head 31 Char,Head 32 Char,C Sub-Sub/Italic1 Char,(Alt+3) Char,(Alt+3) AMP Char,31 Char,l31 Char,H32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0090-827E-4692-9F50-B83A3D7C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8540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kfinn</dc:creator>
  <cp:keywords/>
  <cp:lastModifiedBy>Kylie Finnin</cp:lastModifiedBy>
  <cp:revision>3</cp:revision>
  <cp:lastPrinted>2013-04-23T07:11:00Z</cp:lastPrinted>
  <dcterms:created xsi:type="dcterms:W3CDTF">2013-04-23T07:11:00Z</dcterms:created>
  <dcterms:modified xsi:type="dcterms:W3CDTF">2013-04-23T07:12:00Z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\\cbrvpwxfs01\home$\kfinn\vic gas access arrangement rev (AER2013-001672).docx</vt:lpwstr>
  </property>
</Properties>
</file>