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3A1" w:rsidRPr="0097398A" w:rsidRDefault="0097398A" w:rsidP="0097398A">
      <w:pPr>
        <w:pStyle w:val="AAHeading1-noTOC"/>
        <w:jc w:val="center"/>
      </w:pPr>
      <w:r w:rsidRPr="0097398A">
        <w:t>Amadeus Gas Pipeline Access Arrangement Revision Proposal</w:t>
      </w:r>
    </w:p>
    <w:p w:rsidR="0097398A" w:rsidRDefault="0097398A">
      <w:pPr>
        <w:rPr>
          <w:rFonts w:ascii="Arial" w:hAnsi="Arial" w:cs="Arial"/>
          <w:b/>
          <w:sz w:val="24"/>
          <w:szCs w:val="20"/>
        </w:rPr>
      </w:pPr>
      <w:r w:rsidRPr="0097398A">
        <w:rPr>
          <w:rFonts w:ascii="Arial" w:hAnsi="Arial" w:cs="Arial"/>
          <w:b/>
          <w:sz w:val="24"/>
          <w:szCs w:val="20"/>
        </w:rPr>
        <w:t>Support</w:t>
      </w:r>
      <w:r w:rsidR="00536F3D">
        <w:rPr>
          <w:rFonts w:ascii="Arial" w:hAnsi="Arial" w:cs="Arial"/>
          <w:b/>
          <w:sz w:val="24"/>
          <w:szCs w:val="20"/>
        </w:rPr>
        <w:t>ing</w:t>
      </w:r>
      <w:r w:rsidRPr="0097398A">
        <w:rPr>
          <w:rFonts w:ascii="Arial" w:hAnsi="Arial" w:cs="Arial"/>
          <w:b/>
          <w:sz w:val="24"/>
          <w:szCs w:val="20"/>
        </w:rPr>
        <w:t xml:space="preserve"> document index</w:t>
      </w:r>
    </w:p>
    <w:p w:rsidR="005A3071" w:rsidRDefault="005A3071">
      <w:pPr>
        <w:rPr>
          <w:rFonts w:ascii="Arial" w:hAnsi="Arial" w:cs="Arial"/>
          <w:szCs w:val="20"/>
        </w:rPr>
      </w:pPr>
      <w:r>
        <w:rPr>
          <w:rFonts w:ascii="Arial" w:hAnsi="Arial" w:cs="Arial"/>
          <w:szCs w:val="20"/>
        </w:rPr>
        <w:t>The following list sets out all documents referred to and provided to the AER in support of its access arrangement revision proposal.</w:t>
      </w:r>
    </w:p>
    <w:p w:rsidR="005A3071" w:rsidRDefault="005A3071">
      <w:pPr>
        <w:rPr>
          <w:rFonts w:ascii="Arial" w:hAnsi="Arial" w:cs="Arial"/>
          <w:szCs w:val="20"/>
        </w:rPr>
      </w:pPr>
      <w:r>
        <w:rPr>
          <w:rFonts w:ascii="Arial" w:hAnsi="Arial" w:cs="Arial"/>
          <w:szCs w:val="20"/>
        </w:rPr>
        <w:t xml:space="preserve">Confidential documents are limited to personal communications between AER and APTNT staff which disclose contact and other information. </w:t>
      </w:r>
    </w:p>
    <w:p w:rsidR="005A3071" w:rsidRDefault="005A3071">
      <w:pPr>
        <w:rPr>
          <w:rFonts w:ascii="Arial" w:hAnsi="Arial" w:cs="Arial"/>
          <w:szCs w:val="20"/>
        </w:rPr>
      </w:pPr>
      <w:r>
        <w:rPr>
          <w:rFonts w:ascii="Arial" w:hAnsi="Arial" w:cs="Arial"/>
          <w:szCs w:val="20"/>
        </w:rPr>
        <w:t xml:space="preserve">While the journal articles provided are not confidential, a number of them have been </w:t>
      </w:r>
      <w:proofErr w:type="gramStart"/>
      <w:r>
        <w:rPr>
          <w:rFonts w:ascii="Arial" w:hAnsi="Arial" w:cs="Arial"/>
          <w:szCs w:val="20"/>
        </w:rPr>
        <w:t>purchased/accessed</w:t>
      </w:r>
      <w:proofErr w:type="gramEnd"/>
      <w:r>
        <w:rPr>
          <w:rFonts w:ascii="Arial" w:hAnsi="Arial" w:cs="Arial"/>
          <w:szCs w:val="20"/>
        </w:rPr>
        <w:t xml:space="preserve"> by APTNT</w:t>
      </w:r>
      <w:r w:rsidR="00F106C8">
        <w:rPr>
          <w:rFonts w:ascii="Arial" w:hAnsi="Arial" w:cs="Arial"/>
          <w:szCs w:val="20"/>
        </w:rPr>
        <w:t xml:space="preserve"> under</w:t>
      </w:r>
      <w:r>
        <w:rPr>
          <w:rFonts w:ascii="Arial" w:hAnsi="Arial" w:cs="Arial"/>
          <w:szCs w:val="20"/>
        </w:rPr>
        <w:t xml:space="preserve"> licensing or other agreements</w:t>
      </w:r>
      <w:r w:rsidR="00F106C8">
        <w:rPr>
          <w:rFonts w:ascii="Arial" w:hAnsi="Arial" w:cs="Arial"/>
          <w:szCs w:val="20"/>
        </w:rPr>
        <w:t xml:space="preserve"> that restrict redistribution. Publication of these articles on the AER website, or otherwise circulating these articles to a wider audience not relevant to this particular process, would put APTNT in breach of its license obligations, and we ask that the AER refrain from doing so. Articles subject to these restrictions are highlighted in orange.</w:t>
      </w:r>
    </w:p>
    <w:p w:rsidR="00F106C8" w:rsidRDefault="00F106C8">
      <w:pPr>
        <w:rPr>
          <w:rFonts w:ascii="Arial" w:hAnsi="Arial" w:cs="Arial"/>
          <w:szCs w:val="20"/>
        </w:rPr>
      </w:pPr>
      <w:r>
        <w:rPr>
          <w:rFonts w:ascii="Arial" w:hAnsi="Arial" w:cs="Arial"/>
          <w:szCs w:val="20"/>
        </w:rPr>
        <w:t xml:space="preserve">There are some articles referenced in the submission that APTNT cannot submit to the AER as the licensing obligations are too highly restrictive. These </w:t>
      </w:r>
      <w:r w:rsidR="00DB77F9">
        <w:rPr>
          <w:rFonts w:ascii="Arial" w:hAnsi="Arial" w:cs="Arial"/>
          <w:szCs w:val="20"/>
        </w:rPr>
        <w:t>are marked “RES”</w:t>
      </w:r>
      <w:r w:rsidR="00CD5CC8">
        <w:rPr>
          <w:rFonts w:ascii="Arial" w:hAnsi="Arial" w:cs="Arial"/>
          <w:szCs w:val="20"/>
        </w:rPr>
        <w:t xml:space="preserve"> (restricted)</w:t>
      </w:r>
      <w:r w:rsidR="00DB77F9">
        <w:rPr>
          <w:rFonts w:ascii="Arial" w:hAnsi="Arial" w:cs="Arial"/>
          <w:szCs w:val="20"/>
        </w:rPr>
        <w:t xml:space="preserve"> in the table which follows.  They are </w:t>
      </w:r>
      <w:r>
        <w:rPr>
          <w:rFonts w:ascii="Arial" w:hAnsi="Arial" w:cs="Arial"/>
          <w:szCs w:val="20"/>
        </w:rPr>
        <w:t xml:space="preserve">largely articles published in the </w:t>
      </w:r>
      <w:r w:rsidRPr="00F106C8">
        <w:rPr>
          <w:rFonts w:ascii="Arial" w:hAnsi="Arial" w:cs="Arial"/>
          <w:i/>
          <w:szCs w:val="20"/>
        </w:rPr>
        <w:t>Journal of Financial Economics</w:t>
      </w:r>
      <w:r>
        <w:rPr>
          <w:rFonts w:ascii="Arial" w:hAnsi="Arial" w:cs="Arial"/>
          <w:szCs w:val="20"/>
        </w:rPr>
        <w:t>. We trust that the AER has its own access to th</w:t>
      </w:r>
      <w:r w:rsidR="0088044D">
        <w:rPr>
          <w:rFonts w:ascii="Arial" w:hAnsi="Arial" w:cs="Arial"/>
          <w:szCs w:val="20"/>
        </w:rPr>
        <w:t>ese important source materials.</w:t>
      </w:r>
    </w:p>
    <w:p w:rsidR="005A3071" w:rsidRPr="005A3071" w:rsidRDefault="00F106C8">
      <w:pPr>
        <w:rPr>
          <w:rFonts w:ascii="Arial" w:hAnsi="Arial" w:cs="Arial"/>
          <w:szCs w:val="20"/>
        </w:rPr>
      </w:pPr>
      <w:r>
        <w:rPr>
          <w:rFonts w:ascii="Arial" w:hAnsi="Arial" w:cs="Arial"/>
          <w:szCs w:val="20"/>
        </w:rPr>
        <w:t xml:space="preserve">APTNT has not provided or reproduced books, in line with normal referencing practices. </w:t>
      </w:r>
    </w:p>
    <w:tbl>
      <w:tblPr>
        <w:tblStyle w:val="TableGrid"/>
        <w:tblW w:w="0" w:type="auto"/>
        <w:tblLook w:val="04A0" w:firstRow="1" w:lastRow="0" w:firstColumn="1" w:lastColumn="0" w:noHBand="0" w:noVBand="1"/>
      </w:tblPr>
      <w:tblGrid>
        <w:gridCol w:w="1384"/>
        <w:gridCol w:w="6379"/>
        <w:gridCol w:w="1479"/>
      </w:tblGrid>
      <w:tr w:rsidR="0097398A" w:rsidRPr="0097398A" w:rsidTr="009E5EB3">
        <w:tc>
          <w:tcPr>
            <w:tcW w:w="1384" w:type="dxa"/>
            <w:shd w:val="clear" w:color="auto" w:fill="000000" w:themeFill="text1"/>
            <w:vAlign w:val="center"/>
          </w:tcPr>
          <w:p w:rsidR="0097398A" w:rsidRPr="0097398A" w:rsidRDefault="0097398A" w:rsidP="0097398A">
            <w:pPr>
              <w:spacing w:before="60" w:after="60"/>
              <w:rPr>
                <w:rFonts w:ascii="Arial" w:hAnsi="Arial" w:cs="Arial"/>
                <w:b/>
                <w:sz w:val="20"/>
                <w:szCs w:val="20"/>
              </w:rPr>
            </w:pPr>
            <w:r>
              <w:rPr>
                <w:rFonts w:ascii="Arial" w:hAnsi="Arial" w:cs="Arial"/>
                <w:b/>
                <w:sz w:val="20"/>
                <w:szCs w:val="20"/>
              </w:rPr>
              <w:t>Reference location</w:t>
            </w:r>
          </w:p>
        </w:tc>
        <w:tc>
          <w:tcPr>
            <w:tcW w:w="6379" w:type="dxa"/>
            <w:shd w:val="clear" w:color="auto" w:fill="000000" w:themeFill="text1"/>
            <w:vAlign w:val="center"/>
          </w:tcPr>
          <w:p w:rsidR="0097398A" w:rsidRPr="0097398A" w:rsidRDefault="0097398A" w:rsidP="0097398A">
            <w:pPr>
              <w:spacing w:before="60" w:after="60"/>
              <w:rPr>
                <w:rFonts w:ascii="Arial" w:hAnsi="Arial" w:cs="Arial"/>
                <w:b/>
                <w:sz w:val="20"/>
                <w:szCs w:val="20"/>
              </w:rPr>
            </w:pPr>
            <w:r w:rsidRPr="0097398A">
              <w:rPr>
                <w:rFonts w:ascii="Arial" w:hAnsi="Arial" w:cs="Arial"/>
                <w:b/>
                <w:sz w:val="20"/>
                <w:szCs w:val="20"/>
              </w:rPr>
              <w:t>Title</w:t>
            </w:r>
          </w:p>
        </w:tc>
        <w:tc>
          <w:tcPr>
            <w:tcW w:w="1479" w:type="dxa"/>
            <w:shd w:val="clear" w:color="auto" w:fill="000000" w:themeFill="text1"/>
            <w:vAlign w:val="center"/>
          </w:tcPr>
          <w:p w:rsidR="0097398A" w:rsidRPr="0097398A" w:rsidRDefault="0097398A" w:rsidP="0097398A">
            <w:pPr>
              <w:spacing w:before="60" w:after="60"/>
              <w:rPr>
                <w:rFonts w:ascii="Arial" w:hAnsi="Arial" w:cs="Arial"/>
                <w:b/>
                <w:sz w:val="20"/>
                <w:szCs w:val="20"/>
              </w:rPr>
            </w:pPr>
            <w:r w:rsidRPr="0097398A">
              <w:rPr>
                <w:rFonts w:ascii="Arial" w:hAnsi="Arial" w:cs="Arial"/>
                <w:b/>
                <w:sz w:val="20"/>
                <w:szCs w:val="20"/>
              </w:rPr>
              <w:t xml:space="preserve">Confidential </w:t>
            </w:r>
          </w:p>
        </w:tc>
      </w:tr>
      <w:tr w:rsidR="00F106C8" w:rsidRPr="0097398A" w:rsidTr="00F106C8">
        <w:tc>
          <w:tcPr>
            <w:tcW w:w="9242" w:type="dxa"/>
            <w:gridSpan w:val="3"/>
            <w:shd w:val="clear" w:color="auto" w:fill="BFBFBF" w:themeFill="background1" w:themeFillShade="BF"/>
          </w:tcPr>
          <w:p w:rsidR="00F106C8" w:rsidRPr="0097398A" w:rsidRDefault="00F106C8" w:rsidP="0097398A">
            <w:pPr>
              <w:spacing w:before="60" w:after="60"/>
              <w:rPr>
                <w:rFonts w:ascii="Arial" w:hAnsi="Arial" w:cs="Arial"/>
                <w:b/>
                <w:sz w:val="20"/>
                <w:szCs w:val="20"/>
              </w:rPr>
            </w:pPr>
            <w:r>
              <w:rPr>
                <w:rFonts w:ascii="Arial" w:hAnsi="Arial" w:cs="Arial"/>
                <w:b/>
                <w:sz w:val="20"/>
                <w:szCs w:val="20"/>
              </w:rPr>
              <w:t>Submission</w:t>
            </w:r>
          </w:p>
        </w:tc>
      </w:tr>
      <w:tr w:rsidR="005E598B" w:rsidRPr="0097398A" w:rsidTr="00A54825">
        <w:tc>
          <w:tcPr>
            <w:tcW w:w="9242" w:type="dxa"/>
            <w:gridSpan w:val="3"/>
          </w:tcPr>
          <w:p w:rsidR="005E598B" w:rsidRPr="0097398A" w:rsidRDefault="005E598B" w:rsidP="00ED2972">
            <w:pPr>
              <w:spacing w:before="60" w:after="60"/>
              <w:rPr>
                <w:rFonts w:ascii="Arial" w:hAnsi="Arial" w:cs="Arial"/>
                <w:sz w:val="20"/>
                <w:szCs w:val="20"/>
              </w:rPr>
            </w:pPr>
            <w:r>
              <w:rPr>
                <w:rFonts w:ascii="Arial" w:hAnsi="Arial" w:cs="Arial"/>
                <w:b/>
                <w:i/>
                <w:sz w:val="20"/>
                <w:szCs w:val="20"/>
              </w:rPr>
              <w:t>2 - Services</w:t>
            </w:r>
          </w:p>
        </w:tc>
      </w:tr>
      <w:tr w:rsidR="0097398A" w:rsidRPr="0097398A" w:rsidTr="00C2740E">
        <w:tc>
          <w:tcPr>
            <w:tcW w:w="1384" w:type="dxa"/>
          </w:tcPr>
          <w:p w:rsidR="0097398A" w:rsidRPr="0097398A" w:rsidRDefault="0097398A" w:rsidP="0097398A">
            <w:pPr>
              <w:spacing w:before="60" w:after="60"/>
              <w:rPr>
                <w:rFonts w:ascii="Arial" w:hAnsi="Arial" w:cs="Arial"/>
                <w:sz w:val="20"/>
                <w:szCs w:val="20"/>
              </w:rPr>
            </w:pPr>
            <w:r>
              <w:rPr>
                <w:rFonts w:ascii="Arial" w:hAnsi="Arial" w:cs="Arial"/>
                <w:sz w:val="20"/>
                <w:szCs w:val="20"/>
              </w:rPr>
              <w:t>2.2.1</w:t>
            </w:r>
          </w:p>
        </w:tc>
        <w:tc>
          <w:tcPr>
            <w:tcW w:w="6379" w:type="dxa"/>
          </w:tcPr>
          <w:p w:rsidR="0097398A" w:rsidRPr="0097398A" w:rsidRDefault="0097398A" w:rsidP="00D00443">
            <w:pPr>
              <w:spacing w:before="60" w:after="60"/>
              <w:rPr>
                <w:rFonts w:ascii="Arial" w:hAnsi="Arial" w:cs="Arial"/>
                <w:sz w:val="20"/>
                <w:szCs w:val="20"/>
              </w:rPr>
            </w:pPr>
            <w:r w:rsidRPr="0097398A">
              <w:rPr>
                <w:rFonts w:ascii="Arial" w:hAnsi="Arial" w:cs="Arial"/>
                <w:sz w:val="20"/>
                <w:szCs w:val="20"/>
              </w:rPr>
              <w:t xml:space="preserve">Roma Brisbane Pipeline </w:t>
            </w:r>
            <w:r w:rsidR="00D00443">
              <w:rPr>
                <w:rFonts w:ascii="Arial" w:hAnsi="Arial" w:cs="Arial"/>
                <w:sz w:val="20"/>
                <w:szCs w:val="20"/>
              </w:rPr>
              <w:t>Access A</w:t>
            </w:r>
            <w:r w:rsidRPr="0097398A">
              <w:rPr>
                <w:rFonts w:ascii="Arial" w:hAnsi="Arial" w:cs="Arial"/>
                <w:sz w:val="20"/>
                <w:szCs w:val="20"/>
              </w:rPr>
              <w:t>rrangement</w:t>
            </w:r>
          </w:p>
        </w:tc>
        <w:tc>
          <w:tcPr>
            <w:tcW w:w="1479" w:type="dxa"/>
            <w:shd w:val="clear" w:color="auto" w:fill="auto"/>
          </w:tcPr>
          <w:p w:rsidR="0097398A" w:rsidRPr="0097398A" w:rsidRDefault="0097398A" w:rsidP="00ED2972">
            <w:pPr>
              <w:spacing w:before="60" w:after="60"/>
              <w:rPr>
                <w:rFonts w:ascii="Arial" w:hAnsi="Arial" w:cs="Arial"/>
                <w:sz w:val="20"/>
                <w:szCs w:val="20"/>
              </w:rPr>
            </w:pPr>
            <w:r w:rsidRPr="0097398A">
              <w:rPr>
                <w:rFonts w:ascii="Arial" w:hAnsi="Arial" w:cs="Arial"/>
                <w:sz w:val="20"/>
                <w:szCs w:val="20"/>
              </w:rPr>
              <w:t>No</w:t>
            </w:r>
          </w:p>
        </w:tc>
      </w:tr>
      <w:tr w:rsidR="0097398A" w:rsidTr="00C2740E">
        <w:tc>
          <w:tcPr>
            <w:tcW w:w="1384" w:type="dxa"/>
          </w:tcPr>
          <w:p w:rsidR="0097398A" w:rsidRDefault="0097398A" w:rsidP="0097398A">
            <w:pPr>
              <w:spacing w:before="60" w:after="60"/>
              <w:rPr>
                <w:rFonts w:ascii="Arial" w:hAnsi="Arial" w:cs="Arial"/>
                <w:sz w:val="20"/>
                <w:szCs w:val="20"/>
              </w:rPr>
            </w:pPr>
            <w:r>
              <w:rPr>
                <w:rFonts w:ascii="Arial" w:hAnsi="Arial" w:cs="Arial"/>
                <w:sz w:val="20"/>
                <w:szCs w:val="20"/>
              </w:rPr>
              <w:t>2.2.2</w:t>
            </w:r>
          </w:p>
        </w:tc>
        <w:tc>
          <w:tcPr>
            <w:tcW w:w="6379" w:type="dxa"/>
          </w:tcPr>
          <w:p w:rsidR="0097398A" w:rsidRDefault="0097398A" w:rsidP="0097398A">
            <w:pPr>
              <w:spacing w:before="60" w:after="60"/>
              <w:rPr>
                <w:rFonts w:ascii="Arial" w:hAnsi="Arial" w:cs="Arial"/>
                <w:sz w:val="20"/>
                <w:szCs w:val="20"/>
              </w:rPr>
            </w:pPr>
            <w:r>
              <w:rPr>
                <w:rFonts w:ascii="Arial" w:hAnsi="Arial" w:cs="Arial"/>
                <w:sz w:val="20"/>
                <w:szCs w:val="20"/>
              </w:rPr>
              <w:t>APA GasNet access arrangement</w:t>
            </w:r>
          </w:p>
        </w:tc>
        <w:tc>
          <w:tcPr>
            <w:tcW w:w="1479" w:type="dxa"/>
            <w:shd w:val="clear" w:color="auto" w:fill="auto"/>
          </w:tcPr>
          <w:p w:rsidR="0097398A" w:rsidRDefault="0097398A" w:rsidP="0097398A">
            <w:pPr>
              <w:spacing w:before="60" w:after="60"/>
              <w:rPr>
                <w:rFonts w:ascii="Arial" w:hAnsi="Arial" w:cs="Arial"/>
                <w:sz w:val="20"/>
                <w:szCs w:val="20"/>
              </w:rPr>
            </w:pPr>
            <w:r>
              <w:rPr>
                <w:rFonts w:ascii="Arial" w:hAnsi="Arial" w:cs="Arial"/>
                <w:sz w:val="20"/>
                <w:szCs w:val="20"/>
              </w:rPr>
              <w:t>No</w:t>
            </w:r>
          </w:p>
        </w:tc>
      </w:tr>
      <w:tr w:rsidR="005E598B" w:rsidTr="00C2740E">
        <w:tc>
          <w:tcPr>
            <w:tcW w:w="9242" w:type="dxa"/>
            <w:gridSpan w:val="3"/>
            <w:shd w:val="clear" w:color="auto" w:fill="auto"/>
          </w:tcPr>
          <w:p w:rsidR="005E598B" w:rsidRDefault="005E598B" w:rsidP="0097398A">
            <w:pPr>
              <w:spacing w:before="60" w:after="60"/>
              <w:rPr>
                <w:rFonts w:ascii="Arial" w:hAnsi="Arial" w:cs="Arial"/>
                <w:sz w:val="20"/>
                <w:szCs w:val="20"/>
              </w:rPr>
            </w:pPr>
            <w:r>
              <w:rPr>
                <w:rFonts w:ascii="Arial" w:hAnsi="Arial" w:cs="Arial"/>
                <w:b/>
                <w:i/>
                <w:sz w:val="20"/>
                <w:szCs w:val="20"/>
              </w:rPr>
              <w:t xml:space="preserve">3 - </w:t>
            </w:r>
            <w:r w:rsidRPr="005E598B">
              <w:rPr>
                <w:rFonts w:ascii="Arial" w:hAnsi="Arial" w:cs="Arial"/>
                <w:b/>
                <w:i/>
                <w:sz w:val="20"/>
                <w:szCs w:val="20"/>
              </w:rPr>
              <w:t>Regulatory obligations</w:t>
            </w:r>
          </w:p>
        </w:tc>
      </w:tr>
      <w:tr w:rsidR="0097398A" w:rsidTr="00C2740E">
        <w:tc>
          <w:tcPr>
            <w:tcW w:w="1384" w:type="dxa"/>
          </w:tcPr>
          <w:p w:rsidR="0097398A" w:rsidRDefault="0097398A" w:rsidP="0097398A">
            <w:pPr>
              <w:spacing w:before="60" w:after="60"/>
              <w:rPr>
                <w:rFonts w:ascii="Arial" w:hAnsi="Arial" w:cs="Arial"/>
                <w:sz w:val="20"/>
                <w:szCs w:val="20"/>
              </w:rPr>
            </w:pPr>
            <w:r>
              <w:rPr>
                <w:rFonts w:ascii="Arial" w:hAnsi="Arial" w:cs="Arial"/>
                <w:sz w:val="20"/>
                <w:szCs w:val="20"/>
              </w:rPr>
              <w:t>3.2.1</w:t>
            </w:r>
          </w:p>
        </w:tc>
        <w:tc>
          <w:tcPr>
            <w:tcW w:w="6379" w:type="dxa"/>
          </w:tcPr>
          <w:p w:rsidR="0097398A" w:rsidRDefault="0097398A" w:rsidP="0097398A">
            <w:pPr>
              <w:spacing w:before="60" w:after="60"/>
              <w:rPr>
                <w:rFonts w:ascii="Arial" w:hAnsi="Arial" w:cs="Arial"/>
                <w:sz w:val="20"/>
                <w:szCs w:val="20"/>
              </w:rPr>
            </w:pPr>
            <w:r>
              <w:rPr>
                <w:rFonts w:ascii="Arial" w:hAnsi="Arial" w:cs="Arial"/>
                <w:sz w:val="20"/>
                <w:szCs w:val="20"/>
              </w:rPr>
              <w:t xml:space="preserve">Energy Pipelines Act (NT) </w:t>
            </w:r>
          </w:p>
        </w:tc>
        <w:tc>
          <w:tcPr>
            <w:tcW w:w="1479" w:type="dxa"/>
            <w:shd w:val="clear" w:color="auto" w:fill="auto"/>
          </w:tcPr>
          <w:p w:rsidR="0097398A" w:rsidRDefault="0097398A" w:rsidP="0097398A">
            <w:pPr>
              <w:spacing w:before="60" w:after="60"/>
              <w:rPr>
                <w:rFonts w:ascii="Arial" w:hAnsi="Arial" w:cs="Arial"/>
                <w:sz w:val="20"/>
                <w:szCs w:val="20"/>
              </w:rPr>
            </w:pPr>
            <w:r>
              <w:rPr>
                <w:rFonts w:ascii="Arial" w:hAnsi="Arial" w:cs="Arial"/>
                <w:sz w:val="20"/>
                <w:szCs w:val="20"/>
              </w:rPr>
              <w:t>No</w:t>
            </w:r>
          </w:p>
        </w:tc>
      </w:tr>
      <w:tr w:rsidR="0097398A" w:rsidTr="00C2740E">
        <w:tc>
          <w:tcPr>
            <w:tcW w:w="1384" w:type="dxa"/>
          </w:tcPr>
          <w:p w:rsidR="0097398A" w:rsidRDefault="0097398A" w:rsidP="0097398A">
            <w:pPr>
              <w:spacing w:before="60" w:after="60"/>
              <w:rPr>
                <w:rFonts w:ascii="Arial" w:hAnsi="Arial" w:cs="Arial"/>
                <w:sz w:val="20"/>
                <w:szCs w:val="20"/>
              </w:rPr>
            </w:pPr>
            <w:r>
              <w:rPr>
                <w:rFonts w:ascii="Arial" w:hAnsi="Arial" w:cs="Arial"/>
                <w:sz w:val="20"/>
                <w:szCs w:val="20"/>
              </w:rPr>
              <w:t>3.2.2</w:t>
            </w:r>
          </w:p>
        </w:tc>
        <w:tc>
          <w:tcPr>
            <w:tcW w:w="6379" w:type="dxa"/>
          </w:tcPr>
          <w:p w:rsidR="0097398A" w:rsidRDefault="0097398A" w:rsidP="0097398A">
            <w:pPr>
              <w:spacing w:before="60" w:after="60"/>
              <w:rPr>
                <w:rFonts w:ascii="Arial" w:hAnsi="Arial" w:cs="Arial"/>
                <w:sz w:val="20"/>
                <w:szCs w:val="20"/>
              </w:rPr>
            </w:pPr>
            <w:r>
              <w:rPr>
                <w:rFonts w:ascii="Arial" w:hAnsi="Arial" w:cs="Arial"/>
                <w:sz w:val="20"/>
                <w:szCs w:val="20"/>
              </w:rPr>
              <w:t>Energy Pipelines Regulations</w:t>
            </w:r>
          </w:p>
        </w:tc>
        <w:tc>
          <w:tcPr>
            <w:tcW w:w="1479" w:type="dxa"/>
            <w:shd w:val="clear" w:color="auto" w:fill="auto"/>
          </w:tcPr>
          <w:p w:rsidR="0097398A" w:rsidRDefault="0097398A" w:rsidP="0097398A">
            <w:pPr>
              <w:spacing w:before="60" w:after="60"/>
              <w:rPr>
                <w:rFonts w:ascii="Arial" w:hAnsi="Arial" w:cs="Arial"/>
                <w:sz w:val="20"/>
                <w:szCs w:val="20"/>
              </w:rPr>
            </w:pPr>
            <w:r>
              <w:rPr>
                <w:rFonts w:ascii="Arial" w:hAnsi="Arial" w:cs="Arial"/>
                <w:sz w:val="20"/>
                <w:szCs w:val="20"/>
              </w:rPr>
              <w:t>No</w:t>
            </w:r>
          </w:p>
        </w:tc>
      </w:tr>
      <w:tr w:rsidR="0097398A" w:rsidTr="00C2740E">
        <w:tc>
          <w:tcPr>
            <w:tcW w:w="1384" w:type="dxa"/>
          </w:tcPr>
          <w:p w:rsidR="0097398A" w:rsidRDefault="009C7F00" w:rsidP="0097398A">
            <w:pPr>
              <w:spacing w:before="60" w:after="60"/>
              <w:rPr>
                <w:rFonts w:ascii="Arial" w:hAnsi="Arial" w:cs="Arial"/>
                <w:sz w:val="20"/>
                <w:szCs w:val="20"/>
              </w:rPr>
            </w:pPr>
            <w:r>
              <w:rPr>
                <w:rFonts w:ascii="Arial" w:hAnsi="Arial" w:cs="Arial"/>
                <w:sz w:val="20"/>
                <w:szCs w:val="20"/>
              </w:rPr>
              <w:t>3.2.3</w:t>
            </w:r>
          </w:p>
        </w:tc>
        <w:tc>
          <w:tcPr>
            <w:tcW w:w="6379" w:type="dxa"/>
          </w:tcPr>
          <w:p w:rsidR="0097398A" w:rsidRDefault="009C7F00" w:rsidP="0097398A">
            <w:pPr>
              <w:spacing w:before="60" w:after="60"/>
              <w:rPr>
                <w:rFonts w:ascii="Arial" w:hAnsi="Arial" w:cs="Arial"/>
                <w:sz w:val="20"/>
                <w:szCs w:val="20"/>
              </w:rPr>
            </w:pPr>
            <w:r>
              <w:rPr>
                <w:rFonts w:ascii="Arial" w:hAnsi="Arial" w:cs="Arial"/>
                <w:sz w:val="20"/>
                <w:szCs w:val="20"/>
              </w:rPr>
              <w:t>AGP Pipeline Licence extension</w:t>
            </w:r>
          </w:p>
        </w:tc>
        <w:tc>
          <w:tcPr>
            <w:tcW w:w="1479" w:type="dxa"/>
            <w:shd w:val="clear" w:color="auto" w:fill="auto"/>
          </w:tcPr>
          <w:p w:rsidR="0097398A" w:rsidRDefault="009C7F00" w:rsidP="0097398A">
            <w:pPr>
              <w:spacing w:before="60" w:after="60"/>
              <w:rPr>
                <w:rFonts w:ascii="Arial" w:hAnsi="Arial" w:cs="Arial"/>
                <w:sz w:val="20"/>
                <w:szCs w:val="20"/>
              </w:rPr>
            </w:pPr>
            <w:r>
              <w:rPr>
                <w:rFonts w:ascii="Arial" w:hAnsi="Arial" w:cs="Arial"/>
                <w:sz w:val="20"/>
                <w:szCs w:val="20"/>
              </w:rPr>
              <w:t>No</w:t>
            </w:r>
          </w:p>
        </w:tc>
      </w:tr>
      <w:tr w:rsidR="0097398A" w:rsidTr="00C2740E">
        <w:tc>
          <w:tcPr>
            <w:tcW w:w="1384" w:type="dxa"/>
          </w:tcPr>
          <w:p w:rsidR="0097398A" w:rsidRDefault="001E5EAD" w:rsidP="0097398A">
            <w:pPr>
              <w:spacing w:before="60" w:after="60"/>
              <w:rPr>
                <w:rFonts w:ascii="Arial" w:hAnsi="Arial" w:cs="Arial"/>
                <w:sz w:val="20"/>
                <w:szCs w:val="20"/>
              </w:rPr>
            </w:pPr>
            <w:r>
              <w:rPr>
                <w:rFonts w:ascii="Arial" w:hAnsi="Arial" w:cs="Arial"/>
                <w:sz w:val="20"/>
                <w:szCs w:val="20"/>
              </w:rPr>
              <w:t>3.3</w:t>
            </w:r>
          </w:p>
        </w:tc>
        <w:tc>
          <w:tcPr>
            <w:tcW w:w="6379" w:type="dxa"/>
          </w:tcPr>
          <w:p w:rsidR="0097398A" w:rsidRDefault="001E5EAD" w:rsidP="0097398A">
            <w:pPr>
              <w:spacing w:before="60" w:after="60"/>
              <w:rPr>
                <w:rFonts w:ascii="Arial" w:hAnsi="Arial" w:cs="Arial"/>
                <w:sz w:val="20"/>
                <w:szCs w:val="20"/>
              </w:rPr>
            </w:pPr>
            <w:r>
              <w:rPr>
                <w:rFonts w:ascii="Arial" w:hAnsi="Arial" w:cs="Arial"/>
                <w:sz w:val="20"/>
                <w:szCs w:val="20"/>
              </w:rPr>
              <w:t>Various Australian Standards – available by subscription. Excerpts can be provided on request</w:t>
            </w:r>
          </w:p>
        </w:tc>
        <w:tc>
          <w:tcPr>
            <w:tcW w:w="1479" w:type="dxa"/>
            <w:shd w:val="clear" w:color="auto" w:fill="auto"/>
          </w:tcPr>
          <w:p w:rsidR="0097398A" w:rsidRDefault="001E5EAD" w:rsidP="0097398A">
            <w:pPr>
              <w:spacing w:before="60" w:after="60"/>
              <w:rPr>
                <w:rFonts w:ascii="Arial" w:hAnsi="Arial" w:cs="Arial"/>
                <w:sz w:val="20"/>
                <w:szCs w:val="20"/>
              </w:rPr>
            </w:pPr>
            <w:r>
              <w:rPr>
                <w:rFonts w:ascii="Arial" w:hAnsi="Arial" w:cs="Arial"/>
                <w:sz w:val="20"/>
                <w:szCs w:val="20"/>
              </w:rPr>
              <w:t>N</w:t>
            </w:r>
            <w:r w:rsidR="005E598B">
              <w:rPr>
                <w:rFonts w:ascii="Arial" w:hAnsi="Arial" w:cs="Arial"/>
                <w:sz w:val="20"/>
                <w:szCs w:val="20"/>
              </w:rPr>
              <w:t>/</w:t>
            </w:r>
            <w:r>
              <w:rPr>
                <w:rFonts w:ascii="Arial" w:hAnsi="Arial" w:cs="Arial"/>
                <w:sz w:val="20"/>
                <w:szCs w:val="20"/>
              </w:rPr>
              <w:t>A</w:t>
            </w:r>
          </w:p>
        </w:tc>
      </w:tr>
      <w:tr w:rsidR="005E598B" w:rsidTr="00C2740E">
        <w:tc>
          <w:tcPr>
            <w:tcW w:w="9242" w:type="dxa"/>
            <w:gridSpan w:val="3"/>
            <w:shd w:val="clear" w:color="auto" w:fill="auto"/>
          </w:tcPr>
          <w:p w:rsidR="005E598B" w:rsidRPr="005E598B" w:rsidRDefault="005E598B" w:rsidP="0097398A">
            <w:pPr>
              <w:spacing w:before="60" w:after="60"/>
              <w:rPr>
                <w:rFonts w:ascii="Arial" w:hAnsi="Arial" w:cs="Arial"/>
                <w:b/>
                <w:i/>
                <w:sz w:val="20"/>
                <w:szCs w:val="20"/>
              </w:rPr>
            </w:pPr>
            <w:r>
              <w:rPr>
                <w:rFonts w:ascii="Arial" w:hAnsi="Arial" w:cs="Arial"/>
                <w:b/>
                <w:i/>
                <w:sz w:val="20"/>
                <w:szCs w:val="20"/>
              </w:rPr>
              <w:t xml:space="preserve">6 </w:t>
            </w:r>
            <w:r w:rsidR="005A3071">
              <w:rPr>
                <w:rFonts w:ascii="Arial" w:hAnsi="Arial" w:cs="Arial"/>
                <w:b/>
                <w:i/>
                <w:sz w:val="20"/>
                <w:szCs w:val="20"/>
              </w:rPr>
              <w:t xml:space="preserve">and 9 </w:t>
            </w:r>
            <w:r>
              <w:rPr>
                <w:rFonts w:ascii="Arial" w:hAnsi="Arial" w:cs="Arial"/>
                <w:b/>
                <w:i/>
                <w:sz w:val="20"/>
                <w:szCs w:val="20"/>
              </w:rPr>
              <w:t xml:space="preserve">- </w:t>
            </w:r>
            <w:r w:rsidRPr="005E598B">
              <w:rPr>
                <w:rFonts w:ascii="Arial" w:hAnsi="Arial" w:cs="Arial"/>
                <w:b/>
                <w:i/>
                <w:sz w:val="20"/>
                <w:szCs w:val="20"/>
              </w:rPr>
              <w:t>Capital expenditure</w:t>
            </w:r>
            <w:r w:rsidR="005A3071">
              <w:rPr>
                <w:rFonts w:ascii="Arial" w:hAnsi="Arial" w:cs="Arial"/>
                <w:b/>
                <w:i/>
                <w:sz w:val="20"/>
                <w:szCs w:val="20"/>
              </w:rPr>
              <w:t xml:space="preserve"> and Operating expenditure</w:t>
            </w:r>
          </w:p>
        </w:tc>
      </w:tr>
      <w:tr w:rsidR="009E5EB3" w:rsidTr="00C2740E">
        <w:tc>
          <w:tcPr>
            <w:tcW w:w="1384" w:type="dxa"/>
          </w:tcPr>
          <w:p w:rsidR="009E5EB3" w:rsidRDefault="00983578" w:rsidP="0097398A">
            <w:pPr>
              <w:spacing w:before="60" w:after="60"/>
              <w:rPr>
                <w:rFonts w:ascii="Arial" w:hAnsi="Arial" w:cs="Arial"/>
                <w:sz w:val="20"/>
                <w:szCs w:val="20"/>
              </w:rPr>
            </w:pPr>
            <w:r>
              <w:rPr>
                <w:rFonts w:ascii="Arial" w:hAnsi="Arial" w:cs="Arial"/>
                <w:sz w:val="20"/>
                <w:szCs w:val="20"/>
              </w:rPr>
              <w:t>6.2.2</w:t>
            </w:r>
          </w:p>
        </w:tc>
        <w:tc>
          <w:tcPr>
            <w:tcW w:w="6379" w:type="dxa"/>
          </w:tcPr>
          <w:p w:rsidR="009E5EB3" w:rsidRDefault="009E5EB3" w:rsidP="0097398A">
            <w:pPr>
              <w:spacing w:before="60" w:after="60"/>
              <w:rPr>
                <w:rFonts w:ascii="Arial" w:hAnsi="Arial" w:cs="Arial"/>
                <w:sz w:val="20"/>
                <w:szCs w:val="20"/>
              </w:rPr>
            </w:pPr>
            <w:r>
              <w:rPr>
                <w:rFonts w:ascii="Arial" w:hAnsi="Arial" w:cs="Arial"/>
                <w:sz w:val="20"/>
                <w:szCs w:val="20"/>
              </w:rPr>
              <w:t>AGP 2011-16 Access Arrangement Submission – public - December</w:t>
            </w:r>
          </w:p>
        </w:tc>
        <w:tc>
          <w:tcPr>
            <w:tcW w:w="1479" w:type="dxa"/>
            <w:shd w:val="clear" w:color="auto" w:fill="auto"/>
          </w:tcPr>
          <w:p w:rsidR="009E5EB3" w:rsidRDefault="009E5EB3" w:rsidP="0097398A">
            <w:pPr>
              <w:spacing w:before="60" w:after="60"/>
              <w:rPr>
                <w:rFonts w:ascii="Arial" w:hAnsi="Arial" w:cs="Arial"/>
                <w:sz w:val="20"/>
                <w:szCs w:val="20"/>
              </w:rPr>
            </w:pPr>
            <w:r>
              <w:rPr>
                <w:rFonts w:ascii="Arial" w:hAnsi="Arial" w:cs="Arial"/>
                <w:sz w:val="20"/>
                <w:szCs w:val="20"/>
              </w:rPr>
              <w:t>No</w:t>
            </w:r>
          </w:p>
        </w:tc>
      </w:tr>
      <w:tr w:rsidR="009E5EB3" w:rsidTr="00C2740E">
        <w:tc>
          <w:tcPr>
            <w:tcW w:w="1384" w:type="dxa"/>
          </w:tcPr>
          <w:p w:rsidR="009E5EB3" w:rsidRDefault="00983578" w:rsidP="0097398A">
            <w:pPr>
              <w:spacing w:before="60" w:after="60"/>
              <w:rPr>
                <w:rFonts w:ascii="Arial" w:hAnsi="Arial" w:cs="Arial"/>
                <w:sz w:val="20"/>
                <w:szCs w:val="20"/>
              </w:rPr>
            </w:pPr>
            <w:r>
              <w:rPr>
                <w:rFonts w:ascii="Arial" w:hAnsi="Arial" w:cs="Arial"/>
                <w:sz w:val="20"/>
                <w:szCs w:val="20"/>
              </w:rPr>
              <w:t>6.2.2</w:t>
            </w:r>
          </w:p>
        </w:tc>
        <w:tc>
          <w:tcPr>
            <w:tcW w:w="6379" w:type="dxa"/>
          </w:tcPr>
          <w:p w:rsidR="009E5EB3" w:rsidRDefault="00983578" w:rsidP="0097398A">
            <w:pPr>
              <w:spacing w:before="60" w:after="60"/>
              <w:rPr>
                <w:rFonts w:ascii="Arial" w:hAnsi="Arial" w:cs="Arial"/>
                <w:sz w:val="20"/>
                <w:szCs w:val="20"/>
              </w:rPr>
            </w:pPr>
            <w:r>
              <w:rPr>
                <w:rFonts w:ascii="Arial" w:hAnsi="Arial" w:cs="Arial"/>
                <w:sz w:val="20"/>
                <w:szCs w:val="20"/>
              </w:rPr>
              <w:t>APTNT submission responding to AER Draft Decision</w:t>
            </w:r>
          </w:p>
        </w:tc>
        <w:tc>
          <w:tcPr>
            <w:tcW w:w="1479" w:type="dxa"/>
            <w:shd w:val="clear" w:color="auto" w:fill="auto"/>
          </w:tcPr>
          <w:p w:rsidR="009E5EB3" w:rsidRDefault="00983578" w:rsidP="0097398A">
            <w:pPr>
              <w:spacing w:before="60" w:after="60"/>
              <w:rPr>
                <w:rFonts w:ascii="Arial" w:hAnsi="Arial" w:cs="Arial"/>
                <w:sz w:val="20"/>
                <w:szCs w:val="20"/>
              </w:rPr>
            </w:pPr>
            <w:r>
              <w:rPr>
                <w:rFonts w:ascii="Arial" w:hAnsi="Arial" w:cs="Arial"/>
                <w:sz w:val="20"/>
                <w:szCs w:val="20"/>
              </w:rPr>
              <w:t>No</w:t>
            </w:r>
          </w:p>
        </w:tc>
      </w:tr>
      <w:tr w:rsidR="009E5EB3" w:rsidTr="00C2740E">
        <w:tc>
          <w:tcPr>
            <w:tcW w:w="1384" w:type="dxa"/>
          </w:tcPr>
          <w:p w:rsidR="009E5EB3" w:rsidRDefault="00983578" w:rsidP="0097398A">
            <w:pPr>
              <w:spacing w:before="60" w:after="60"/>
              <w:rPr>
                <w:rFonts w:ascii="Arial" w:hAnsi="Arial" w:cs="Arial"/>
                <w:sz w:val="20"/>
                <w:szCs w:val="20"/>
              </w:rPr>
            </w:pPr>
            <w:r>
              <w:rPr>
                <w:rFonts w:ascii="Arial" w:hAnsi="Arial" w:cs="Arial"/>
                <w:sz w:val="20"/>
                <w:szCs w:val="20"/>
              </w:rPr>
              <w:t>6.2.2</w:t>
            </w:r>
          </w:p>
        </w:tc>
        <w:tc>
          <w:tcPr>
            <w:tcW w:w="6379" w:type="dxa"/>
          </w:tcPr>
          <w:p w:rsidR="009E5EB3" w:rsidRDefault="00983578" w:rsidP="0097398A">
            <w:pPr>
              <w:spacing w:before="60" w:after="60"/>
              <w:rPr>
                <w:rFonts w:ascii="Arial" w:hAnsi="Arial" w:cs="Arial"/>
                <w:sz w:val="20"/>
                <w:szCs w:val="20"/>
              </w:rPr>
            </w:pPr>
            <w:r>
              <w:rPr>
                <w:rFonts w:ascii="Arial" w:hAnsi="Arial" w:cs="Arial"/>
                <w:sz w:val="20"/>
                <w:szCs w:val="20"/>
              </w:rPr>
              <w:t>AER Final Decision</w:t>
            </w:r>
            <w:r w:rsidR="00822C45">
              <w:rPr>
                <w:rFonts w:ascii="Arial" w:hAnsi="Arial" w:cs="Arial"/>
                <w:sz w:val="20"/>
                <w:szCs w:val="20"/>
              </w:rPr>
              <w:t xml:space="preserve"> NT Gas access arrangement revision proposal </w:t>
            </w:r>
          </w:p>
        </w:tc>
        <w:tc>
          <w:tcPr>
            <w:tcW w:w="1479" w:type="dxa"/>
            <w:shd w:val="clear" w:color="auto" w:fill="auto"/>
          </w:tcPr>
          <w:p w:rsidR="009E5EB3" w:rsidRDefault="00822C45" w:rsidP="0097398A">
            <w:pPr>
              <w:spacing w:before="60" w:after="60"/>
              <w:rPr>
                <w:rFonts w:ascii="Arial" w:hAnsi="Arial" w:cs="Arial"/>
                <w:sz w:val="20"/>
                <w:szCs w:val="20"/>
              </w:rPr>
            </w:pPr>
            <w:r>
              <w:rPr>
                <w:rFonts w:ascii="Arial" w:hAnsi="Arial" w:cs="Arial"/>
                <w:sz w:val="20"/>
                <w:szCs w:val="20"/>
              </w:rPr>
              <w:t>No</w:t>
            </w:r>
          </w:p>
        </w:tc>
      </w:tr>
      <w:tr w:rsidR="009E5EB3" w:rsidTr="00C2740E">
        <w:tc>
          <w:tcPr>
            <w:tcW w:w="1384" w:type="dxa"/>
          </w:tcPr>
          <w:p w:rsidR="009E5EB3" w:rsidRDefault="00822C45" w:rsidP="0097398A">
            <w:pPr>
              <w:spacing w:before="60" w:after="60"/>
              <w:rPr>
                <w:rFonts w:ascii="Arial" w:hAnsi="Arial" w:cs="Arial"/>
                <w:sz w:val="20"/>
                <w:szCs w:val="20"/>
              </w:rPr>
            </w:pPr>
            <w:r>
              <w:rPr>
                <w:rFonts w:ascii="Arial" w:hAnsi="Arial" w:cs="Arial"/>
                <w:sz w:val="20"/>
                <w:szCs w:val="20"/>
              </w:rPr>
              <w:t>6.2.2</w:t>
            </w:r>
          </w:p>
        </w:tc>
        <w:tc>
          <w:tcPr>
            <w:tcW w:w="6379" w:type="dxa"/>
          </w:tcPr>
          <w:p w:rsidR="009E5EB3" w:rsidRDefault="00517832" w:rsidP="0097398A">
            <w:pPr>
              <w:spacing w:before="60" w:after="60"/>
              <w:rPr>
                <w:rFonts w:ascii="Arial" w:hAnsi="Arial" w:cs="Arial"/>
                <w:sz w:val="20"/>
                <w:szCs w:val="20"/>
              </w:rPr>
            </w:pPr>
            <w:r>
              <w:rPr>
                <w:rFonts w:ascii="Arial" w:hAnsi="Arial" w:cs="Arial"/>
                <w:sz w:val="20"/>
                <w:szCs w:val="20"/>
              </w:rPr>
              <w:t>NT Gas</w:t>
            </w:r>
            <w:r w:rsidR="00DB3906">
              <w:rPr>
                <w:rFonts w:ascii="Arial" w:hAnsi="Arial" w:cs="Arial"/>
                <w:sz w:val="20"/>
                <w:szCs w:val="20"/>
              </w:rPr>
              <w:t xml:space="preserve"> response to AER – AER.NTGAS.15-18 – update on projects</w:t>
            </w:r>
          </w:p>
        </w:tc>
        <w:tc>
          <w:tcPr>
            <w:tcW w:w="1479" w:type="dxa"/>
            <w:shd w:val="clear" w:color="auto" w:fill="auto"/>
          </w:tcPr>
          <w:p w:rsidR="009E5EB3" w:rsidRDefault="00DB3906" w:rsidP="0097398A">
            <w:pPr>
              <w:spacing w:before="60" w:after="60"/>
              <w:rPr>
                <w:rFonts w:ascii="Arial" w:hAnsi="Arial" w:cs="Arial"/>
                <w:sz w:val="20"/>
                <w:szCs w:val="20"/>
              </w:rPr>
            </w:pPr>
            <w:r>
              <w:rPr>
                <w:rFonts w:ascii="Arial" w:hAnsi="Arial" w:cs="Arial"/>
                <w:sz w:val="20"/>
                <w:szCs w:val="20"/>
              </w:rPr>
              <w:t>Yes</w:t>
            </w:r>
          </w:p>
        </w:tc>
      </w:tr>
      <w:tr w:rsidR="005E598B" w:rsidTr="00C2740E">
        <w:tc>
          <w:tcPr>
            <w:tcW w:w="1384" w:type="dxa"/>
          </w:tcPr>
          <w:p w:rsidR="005E598B" w:rsidRDefault="00965199" w:rsidP="0097398A">
            <w:pPr>
              <w:spacing w:before="60" w:after="60"/>
              <w:rPr>
                <w:rFonts w:ascii="Arial" w:hAnsi="Arial" w:cs="Arial"/>
                <w:sz w:val="20"/>
                <w:szCs w:val="20"/>
              </w:rPr>
            </w:pPr>
            <w:r>
              <w:rPr>
                <w:rFonts w:ascii="Arial" w:hAnsi="Arial" w:cs="Arial"/>
                <w:sz w:val="20"/>
                <w:szCs w:val="20"/>
              </w:rPr>
              <w:t>6.3.1</w:t>
            </w:r>
          </w:p>
        </w:tc>
        <w:tc>
          <w:tcPr>
            <w:tcW w:w="6379" w:type="dxa"/>
          </w:tcPr>
          <w:p w:rsidR="005E598B" w:rsidRDefault="00965199" w:rsidP="0097398A">
            <w:pPr>
              <w:spacing w:before="60" w:after="60"/>
              <w:rPr>
                <w:rFonts w:ascii="Arial" w:hAnsi="Arial" w:cs="Arial"/>
                <w:sz w:val="20"/>
                <w:szCs w:val="20"/>
              </w:rPr>
            </w:pPr>
            <w:r>
              <w:rPr>
                <w:rFonts w:ascii="Arial" w:hAnsi="Arial" w:cs="Arial"/>
                <w:sz w:val="20"/>
                <w:szCs w:val="20"/>
              </w:rPr>
              <w:t>AER Draft Decision APA GasNet Part 2</w:t>
            </w:r>
          </w:p>
        </w:tc>
        <w:tc>
          <w:tcPr>
            <w:tcW w:w="1479" w:type="dxa"/>
            <w:shd w:val="clear" w:color="auto" w:fill="auto"/>
          </w:tcPr>
          <w:p w:rsidR="005E598B" w:rsidRDefault="00965199" w:rsidP="0097398A">
            <w:pPr>
              <w:spacing w:before="60" w:after="60"/>
              <w:rPr>
                <w:rFonts w:ascii="Arial" w:hAnsi="Arial" w:cs="Arial"/>
                <w:sz w:val="20"/>
                <w:szCs w:val="20"/>
              </w:rPr>
            </w:pPr>
            <w:r>
              <w:rPr>
                <w:rFonts w:ascii="Arial" w:hAnsi="Arial" w:cs="Arial"/>
                <w:sz w:val="20"/>
                <w:szCs w:val="20"/>
              </w:rPr>
              <w:t>No</w:t>
            </w:r>
          </w:p>
        </w:tc>
      </w:tr>
      <w:tr w:rsidR="005E598B" w:rsidTr="00C2740E">
        <w:tc>
          <w:tcPr>
            <w:tcW w:w="1384" w:type="dxa"/>
          </w:tcPr>
          <w:p w:rsidR="005E598B" w:rsidRDefault="00965199" w:rsidP="0097398A">
            <w:pPr>
              <w:spacing w:before="60" w:after="60"/>
              <w:rPr>
                <w:rFonts w:ascii="Arial" w:hAnsi="Arial" w:cs="Arial"/>
                <w:sz w:val="20"/>
                <w:szCs w:val="20"/>
              </w:rPr>
            </w:pPr>
            <w:r>
              <w:rPr>
                <w:rFonts w:ascii="Arial" w:hAnsi="Arial" w:cs="Arial"/>
                <w:sz w:val="20"/>
                <w:szCs w:val="20"/>
              </w:rPr>
              <w:t>6.3.1</w:t>
            </w:r>
          </w:p>
        </w:tc>
        <w:tc>
          <w:tcPr>
            <w:tcW w:w="6379" w:type="dxa"/>
          </w:tcPr>
          <w:p w:rsidR="005E598B" w:rsidRDefault="00965199" w:rsidP="00965199">
            <w:pPr>
              <w:spacing w:before="60" w:after="60"/>
              <w:rPr>
                <w:rFonts w:ascii="Arial" w:hAnsi="Arial" w:cs="Arial"/>
                <w:sz w:val="20"/>
                <w:szCs w:val="20"/>
              </w:rPr>
            </w:pPr>
            <w:r>
              <w:rPr>
                <w:rFonts w:ascii="Arial" w:hAnsi="Arial" w:cs="Arial"/>
                <w:sz w:val="20"/>
                <w:szCs w:val="20"/>
              </w:rPr>
              <w:t>AER Final Decision APA GasNet Part 1</w:t>
            </w:r>
          </w:p>
        </w:tc>
        <w:tc>
          <w:tcPr>
            <w:tcW w:w="1479" w:type="dxa"/>
            <w:shd w:val="clear" w:color="auto" w:fill="auto"/>
          </w:tcPr>
          <w:p w:rsidR="005E598B" w:rsidRDefault="00965199" w:rsidP="0097398A">
            <w:pPr>
              <w:spacing w:before="60" w:after="60"/>
              <w:rPr>
                <w:rFonts w:ascii="Arial" w:hAnsi="Arial" w:cs="Arial"/>
                <w:sz w:val="20"/>
                <w:szCs w:val="20"/>
              </w:rPr>
            </w:pPr>
            <w:r>
              <w:rPr>
                <w:rFonts w:ascii="Arial" w:hAnsi="Arial" w:cs="Arial"/>
                <w:sz w:val="20"/>
                <w:szCs w:val="20"/>
              </w:rPr>
              <w:t>No</w:t>
            </w:r>
          </w:p>
        </w:tc>
      </w:tr>
      <w:tr w:rsidR="005E598B" w:rsidTr="00C2740E">
        <w:tc>
          <w:tcPr>
            <w:tcW w:w="1384" w:type="dxa"/>
          </w:tcPr>
          <w:p w:rsidR="005E598B" w:rsidRDefault="00965199" w:rsidP="0097398A">
            <w:pPr>
              <w:spacing w:before="60" w:after="60"/>
              <w:rPr>
                <w:rFonts w:ascii="Arial" w:hAnsi="Arial" w:cs="Arial"/>
                <w:sz w:val="20"/>
                <w:szCs w:val="20"/>
              </w:rPr>
            </w:pPr>
            <w:r>
              <w:rPr>
                <w:rFonts w:ascii="Arial" w:hAnsi="Arial" w:cs="Arial"/>
                <w:sz w:val="20"/>
                <w:szCs w:val="20"/>
              </w:rPr>
              <w:lastRenderedPageBreak/>
              <w:t>6.5.2</w:t>
            </w:r>
            <w:r w:rsidR="00240612">
              <w:rPr>
                <w:rFonts w:ascii="Arial" w:hAnsi="Arial" w:cs="Arial"/>
                <w:sz w:val="20"/>
                <w:szCs w:val="20"/>
              </w:rPr>
              <w:t xml:space="preserve"> &amp; 9.3.5</w:t>
            </w:r>
          </w:p>
        </w:tc>
        <w:tc>
          <w:tcPr>
            <w:tcW w:w="6379" w:type="dxa"/>
          </w:tcPr>
          <w:p w:rsidR="005E598B" w:rsidRDefault="00965199" w:rsidP="0097398A">
            <w:pPr>
              <w:spacing w:before="60" w:after="60"/>
              <w:rPr>
                <w:rFonts w:ascii="Arial" w:hAnsi="Arial" w:cs="Arial"/>
                <w:sz w:val="20"/>
                <w:szCs w:val="20"/>
              </w:rPr>
            </w:pPr>
            <w:r>
              <w:rPr>
                <w:rFonts w:ascii="Arial" w:hAnsi="Arial" w:cs="Arial"/>
                <w:sz w:val="20"/>
                <w:szCs w:val="20"/>
              </w:rPr>
              <w:t>AFR article “Unions dig in over dispute with Gorgon” July 2015</w:t>
            </w:r>
          </w:p>
        </w:tc>
        <w:tc>
          <w:tcPr>
            <w:tcW w:w="1479" w:type="dxa"/>
            <w:shd w:val="clear" w:color="auto" w:fill="auto"/>
          </w:tcPr>
          <w:p w:rsidR="005E598B" w:rsidRDefault="00965199" w:rsidP="0097398A">
            <w:pPr>
              <w:spacing w:before="60" w:after="60"/>
              <w:rPr>
                <w:rFonts w:ascii="Arial" w:hAnsi="Arial" w:cs="Arial"/>
                <w:sz w:val="20"/>
                <w:szCs w:val="20"/>
              </w:rPr>
            </w:pPr>
            <w:r>
              <w:rPr>
                <w:rFonts w:ascii="Arial" w:hAnsi="Arial" w:cs="Arial"/>
                <w:sz w:val="20"/>
                <w:szCs w:val="20"/>
              </w:rPr>
              <w:t>No</w:t>
            </w:r>
          </w:p>
        </w:tc>
      </w:tr>
      <w:tr w:rsidR="00240612" w:rsidTr="00C2740E">
        <w:tc>
          <w:tcPr>
            <w:tcW w:w="1384" w:type="dxa"/>
          </w:tcPr>
          <w:p w:rsidR="00240612" w:rsidRDefault="00240612" w:rsidP="00E0346F">
            <w:pPr>
              <w:spacing w:before="60" w:after="60"/>
              <w:rPr>
                <w:rFonts w:ascii="Arial" w:hAnsi="Arial" w:cs="Arial"/>
                <w:sz w:val="20"/>
                <w:szCs w:val="20"/>
              </w:rPr>
            </w:pPr>
            <w:r>
              <w:rPr>
                <w:rFonts w:ascii="Arial" w:hAnsi="Arial" w:cs="Arial"/>
                <w:sz w:val="20"/>
                <w:szCs w:val="20"/>
              </w:rPr>
              <w:t>6.5.2 &amp; 9.3.5</w:t>
            </w:r>
          </w:p>
        </w:tc>
        <w:tc>
          <w:tcPr>
            <w:tcW w:w="6379" w:type="dxa"/>
          </w:tcPr>
          <w:p w:rsidR="00240612" w:rsidRDefault="00240612" w:rsidP="00E0346F">
            <w:pPr>
              <w:spacing w:before="60" w:after="60"/>
              <w:rPr>
                <w:rFonts w:ascii="Arial" w:hAnsi="Arial" w:cs="Arial"/>
                <w:sz w:val="20"/>
                <w:szCs w:val="20"/>
              </w:rPr>
            </w:pPr>
            <w:r w:rsidRPr="00487FD4">
              <w:rPr>
                <w:rFonts w:ascii="Arial" w:hAnsi="Arial" w:cs="Arial"/>
                <w:sz w:val="20"/>
                <w:szCs w:val="20"/>
              </w:rPr>
              <w:t>Power and Water Corporation, Initial Regulatory Proposal – September 2013</w:t>
            </w:r>
          </w:p>
        </w:tc>
        <w:tc>
          <w:tcPr>
            <w:tcW w:w="1479" w:type="dxa"/>
            <w:shd w:val="clear" w:color="auto" w:fill="auto"/>
          </w:tcPr>
          <w:p w:rsidR="00240612" w:rsidRPr="00240612" w:rsidRDefault="00240612" w:rsidP="0097398A">
            <w:pPr>
              <w:spacing w:before="60" w:after="60"/>
              <w:rPr>
                <w:rFonts w:ascii="Arial" w:hAnsi="Arial" w:cs="Arial"/>
                <w:sz w:val="20"/>
                <w:szCs w:val="20"/>
              </w:rPr>
            </w:pPr>
            <w:r w:rsidRPr="00240612">
              <w:rPr>
                <w:rFonts w:ascii="Arial" w:hAnsi="Arial" w:cs="Arial"/>
                <w:sz w:val="20"/>
                <w:szCs w:val="20"/>
              </w:rPr>
              <w:t>No</w:t>
            </w:r>
          </w:p>
        </w:tc>
      </w:tr>
      <w:tr w:rsidR="00240612" w:rsidTr="00C2740E">
        <w:tc>
          <w:tcPr>
            <w:tcW w:w="1384" w:type="dxa"/>
          </w:tcPr>
          <w:p w:rsidR="00240612" w:rsidRDefault="00240612" w:rsidP="0097398A">
            <w:pPr>
              <w:spacing w:before="60" w:after="60"/>
              <w:rPr>
                <w:rFonts w:ascii="Arial" w:hAnsi="Arial" w:cs="Arial"/>
                <w:sz w:val="20"/>
                <w:szCs w:val="20"/>
              </w:rPr>
            </w:pPr>
            <w:r>
              <w:rPr>
                <w:rFonts w:ascii="Arial" w:hAnsi="Arial" w:cs="Arial"/>
                <w:sz w:val="20"/>
                <w:szCs w:val="20"/>
              </w:rPr>
              <w:t>6.5.2 &amp; 9.3.5</w:t>
            </w:r>
          </w:p>
        </w:tc>
        <w:tc>
          <w:tcPr>
            <w:tcW w:w="6379" w:type="dxa"/>
          </w:tcPr>
          <w:p w:rsidR="00240612" w:rsidRPr="00487FD4" w:rsidRDefault="00240612" w:rsidP="0097398A">
            <w:pPr>
              <w:spacing w:before="60" w:after="60"/>
              <w:rPr>
                <w:rFonts w:ascii="Arial" w:hAnsi="Arial" w:cs="Arial"/>
                <w:sz w:val="20"/>
                <w:szCs w:val="20"/>
              </w:rPr>
            </w:pPr>
            <w:r w:rsidRPr="00240612">
              <w:rPr>
                <w:rFonts w:ascii="Arial" w:hAnsi="Arial" w:cs="Arial"/>
                <w:sz w:val="20"/>
                <w:szCs w:val="20"/>
              </w:rPr>
              <w:t>NT Utilities Commission 2014, Network Price Determination, Final Determination</w:t>
            </w:r>
          </w:p>
        </w:tc>
        <w:tc>
          <w:tcPr>
            <w:tcW w:w="1479" w:type="dxa"/>
            <w:shd w:val="clear" w:color="auto" w:fill="auto"/>
          </w:tcPr>
          <w:p w:rsidR="00240612" w:rsidRPr="00240612" w:rsidRDefault="00240612" w:rsidP="0097398A">
            <w:pPr>
              <w:spacing w:before="60" w:after="60"/>
              <w:rPr>
                <w:rFonts w:ascii="Arial" w:hAnsi="Arial" w:cs="Arial"/>
                <w:sz w:val="20"/>
                <w:szCs w:val="20"/>
              </w:rPr>
            </w:pPr>
            <w:r>
              <w:rPr>
                <w:rFonts w:ascii="Arial" w:hAnsi="Arial" w:cs="Arial"/>
                <w:sz w:val="20"/>
                <w:szCs w:val="20"/>
              </w:rPr>
              <w:t>No</w:t>
            </w:r>
          </w:p>
        </w:tc>
      </w:tr>
      <w:tr w:rsidR="00240612" w:rsidTr="00C2740E">
        <w:tc>
          <w:tcPr>
            <w:tcW w:w="9242" w:type="dxa"/>
            <w:gridSpan w:val="3"/>
            <w:shd w:val="clear" w:color="auto" w:fill="auto"/>
          </w:tcPr>
          <w:p w:rsidR="00240612" w:rsidRPr="00487FD4" w:rsidRDefault="00240612" w:rsidP="0097398A">
            <w:pPr>
              <w:spacing w:before="60" w:after="60"/>
              <w:rPr>
                <w:rFonts w:ascii="Arial" w:hAnsi="Arial" w:cs="Arial"/>
                <w:b/>
                <w:i/>
                <w:sz w:val="20"/>
                <w:szCs w:val="20"/>
              </w:rPr>
            </w:pPr>
            <w:r>
              <w:rPr>
                <w:rFonts w:ascii="Arial" w:hAnsi="Arial" w:cs="Arial"/>
                <w:b/>
                <w:i/>
                <w:sz w:val="20"/>
                <w:szCs w:val="20"/>
              </w:rPr>
              <w:t>8</w:t>
            </w:r>
            <w:r w:rsidRPr="00487FD4">
              <w:rPr>
                <w:rFonts w:ascii="Arial" w:hAnsi="Arial" w:cs="Arial"/>
                <w:b/>
                <w:i/>
                <w:sz w:val="20"/>
                <w:szCs w:val="20"/>
              </w:rPr>
              <w:t xml:space="preserve"> - Rate of Return</w:t>
            </w:r>
          </w:p>
        </w:tc>
      </w:tr>
      <w:tr w:rsidR="00240612" w:rsidTr="00C2740E">
        <w:tc>
          <w:tcPr>
            <w:tcW w:w="1384" w:type="dxa"/>
          </w:tcPr>
          <w:p w:rsidR="00240612" w:rsidRDefault="00240612" w:rsidP="0097398A">
            <w:pPr>
              <w:spacing w:before="60" w:after="60"/>
              <w:rPr>
                <w:rFonts w:ascii="Arial" w:hAnsi="Arial" w:cs="Arial"/>
                <w:sz w:val="20"/>
                <w:szCs w:val="20"/>
              </w:rPr>
            </w:pPr>
            <w:r>
              <w:rPr>
                <w:rFonts w:ascii="Arial" w:hAnsi="Arial" w:cs="Arial"/>
                <w:sz w:val="20"/>
                <w:szCs w:val="20"/>
              </w:rPr>
              <w:t>8.3.2</w:t>
            </w:r>
          </w:p>
        </w:tc>
        <w:tc>
          <w:tcPr>
            <w:tcW w:w="6379" w:type="dxa"/>
          </w:tcPr>
          <w:p w:rsidR="00240612" w:rsidRDefault="00240612" w:rsidP="0097398A">
            <w:pPr>
              <w:spacing w:before="60" w:after="60"/>
              <w:rPr>
                <w:rFonts w:ascii="Arial" w:hAnsi="Arial" w:cs="Arial"/>
                <w:sz w:val="20"/>
                <w:szCs w:val="20"/>
              </w:rPr>
            </w:pPr>
            <w:r w:rsidRPr="006A7249">
              <w:rPr>
                <w:rFonts w:ascii="Arial" w:hAnsi="Arial" w:cs="Arial"/>
                <w:sz w:val="20"/>
                <w:szCs w:val="20"/>
              </w:rPr>
              <w:t>Australian Energy Regulator, Explanatory Statement:  Rate of Return Guideline, December 2013</w:t>
            </w:r>
            <w:r>
              <w:rPr>
                <w:rFonts w:ascii="Arial" w:hAnsi="Arial" w:cs="Arial"/>
                <w:sz w:val="20"/>
                <w:szCs w:val="20"/>
              </w:rPr>
              <w:t>.</w:t>
            </w:r>
          </w:p>
        </w:tc>
        <w:tc>
          <w:tcPr>
            <w:tcW w:w="1479" w:type="dxa"/>
            <w:tcBorders>
              <w:bottom w:val="single" w:sz="4" w:space="0" w:color="auto"/>
            </w:tcBorders>
            <w:shd w:val="clear" w:color="auto" w:fill="auto"/>
          </w:tcPr>
          <w:p w:rsidR="00240612" w:rsidRDefault="00240612" w:rsidP="0097398A">
            <w:pPr>
              <w:spacing w:before="60" w:after="60"/>
              <w:rPr>
                <w:rFonts w:ascii="Arial" w:hAnsi="Arial" w:cs="Arial"/>
                <w:sz w:val="20"/>
                <w:szCs w:val="20"/>
              </w:rPr>
            </w:pPr>
            <w:r>
              <w:rPr>
                <w:rFonts w:ascii="Arial" w:hAnsi="Arial" w:cs="Arial"/>
                <w:sz w:val="20"/>
                <w:szCs w:val="20"/>
              </w:rPr>
              <w:t>No</w:t>
            </w:r>
          </w:p>
        </w:tc>
      </w:tr>
      <w:tr w:rsidR="00240612" w:rsidTr="00C2740E">
        <w:tc>
          <w:tcPr>
            <w:tcW w:w="1384" w:type="dxa"/>
          </w:tcPr>
          <w:p w:rsidR="00240612" w:rsidRDefault="00240612" w:rsidP="0097398A">
            <w:pPr>
              <w:spacing w:before="60" w:after="60"/>
              <w:rPr>
                <w:rFonts w:ascii="Arial" w:hAnsi="Arial" w:cs="Arial"/>
                <w:sz w:val="20"/>
                <w:szCs w:val="20"/>
              </w:rPr>
            </w:pPr>
            <w:r>
              <w:rPr>
                <w:rFonts w:ascii="Arial" w:hAnsi="Arial" w:cs="Arial"/>
                <w:sz w:val="20"/>
                <w:szCs w:val="20"/>
              </w:rPr>
              <w:t>8.3.2</w:t>
            </w:r>
          </w:p>
        </w:tc>
        <w:tc>
          <w:tcPr>
            <w:tcW w:w="6379" w:type="dxa"/>
          </w:tcPr>
          <w:p w:rsidR="00240612" w:rsidRDefault="00240612" w:rsidP="006A7249">
            <w:pPr>
              <w:spacing w:before="60" w:after="60"/>
              <w:rPr>
                <w:rFonts w:ascii="Arial" w:hAnsi="Arial" w:cs="Arial"/>
                <w:sz w:val="20"/>
                <w:szCs w:val="20"/>
              </w:rPr>
            </w:pPr>
            <w:r>
              <w:rPr>
                <w:rFonts w:ascii="Arial" w:hAnsi="Arial" w:cs="Arial"/>
                <w:sz w:val="20"/>
                <w:szCs w:val="20"/>
              </w:rPr>
              <w:t xml:space="preserve">Economic Regulation Authority, </w:t>
            </w:r>
            <w:r w:rsidRPr="006A7249">
              <w:rPr>
                <w:rFonts w:ascii="Arial" w:hAnsi="Arial" w:cs="Arial"/>
                <w:sz w:val="20"/>
                <w:szCs w:val="20"/>
              </w:rPr>
              <w:t>Final Decision on Proposed Revisions to the Access Arrangement for the Mid-West and South-West Gas Distribution Systems</w:t>
            </w:r>
            <w:r>
              <w:rPr>
                <w:rFonts w:ascii="Arial" w:hAnsi="Arial" w:cs="Arial"/>
                <w:sz w:val="20"/>
                <w:szCs w:val="20"/>
              </w:rPr>
              <w:t>, 30 June 2015.</w:t>
            </w:r>
          </w:p>
        </w:tc>
        <w:tc>
          <w:tcPr>
            <w:tcW w:w="1479" w:type="dxa"/>
            <w:shd w:val="clear" w:color="auto" w:fill="auto"/>
          </w:tcPr>
          <w:p w:rsidR="00240612" w:rsidRPr="008D29F4" w:rsidRDefault="00240612" w:rsidP="0097398A">
            <w:pPr>
              <w:spacing w:before="60" w:after="60"/>
              <w:rPr>
                <w:rFonts w:ascii="Arial" w:hAnsi="Arial" w:cs="Arial"/>
                <w:sz w:val="20"/>
                <w:szCs w:val="20"/>
              </w:rPr>
            </w:pPr>
            <w:r w:rsidRPr="008D29F4">
              <w:rPr>
                <w:rFonts w:ascii="Arial" w:hAnsi="Arial" w:cs="Arial"/>
                <w:sz w:val="20"/>
                <w:szCs w:val="20"/>
              </w:rPr>
              <w:t>No</w:t>
            </w:r>
          </w:p>
        </w:tc>
      </w:tr>
      <w:tr w:rsidR="00240612" w:rsidTr="00A35849">
        <w:tc>
          <w:tcPr>
            <w:tcW w:w="1384" w:type="dxa"/>
          </w:tcPr>
          <w:p w:rsidR="00240612" w:rsidRDefault="00240612" w:rsidP="0097398A">
            <w:pPr>
              <w:spacing w:before="60" w:after="60"/>
              <w:rPr>
                <w:rFonts w:ascii="Arial" w:hAnsi="Arial" w:cs="Arial"/>
                <w:sz w:val="20"/>
                <w:szCs w:val="20"/>
              </w:rPr>
            </w:pPr>
            <w:r>
              <w:rPr>
                <w:rFonts w:ascii="Arial" w:hAnsi="Arial" w:cs="Arial"/>
                <w:sz w:val="20"/>
                <w:szCs w:val="20"/>
              </w:rPr>
              <w:t>8.3.3</w:t>
            </w:r>
          </w:p>
        </w:tc>
        <w:tc>
          <w:tcPr>
            <w:tcW w:w="6379" w:type="dxa"/>
          </w:tcPr>
          <w:p w:rsidR="00240612" w:rsidRDefault="00240612" w:rsidP="0097398A">
            <w:pPr>
              <w:spacing w:before="60" w:after="60"/>
              <w:rPr>
                <w:rFonts w:ascii="Arial" w:hAnsi="Arial" w:cs="Arial"/>
                <w:sz w:val="20"/>
                <w:szCs w:val="20"/>
              </w:rPr>
            </w:pPr>
            <w:r w:rsidRPr="00DA2195">
              <w:rPr>
                <w:rFonts w:ascii="Arial" w:hAnsi="Arial" w:cs="Arial"/>
                <w:sz w:val="20"/>
                <w:szCs w:val="20"/>
              </w:rPr>
              <w:t>William F. Sharpe (1964), "Capital Asset Prices:  A Theory of Market Equilibrium under Conditions of Risk", Journal of Finance, 19(3):  425-442</w:t>
            </w:r>
            <w:r>
              <w:rPr>
                <w:rFonts w:ascii="Arial" w:hAnsi="Arial" w:cs="Arial"/>
                <w:sz w:val="20"/>
                <w:szCs w:val="20"/>
              </w:rPr>
              <w:t>.</w:t>
            </w:r>
          </w:p>
        </w:tc>
        <w:tc>
          <w:tcPr>
            <w:tcW w:w="1479" w:type="dxa"/>
            <w:shd w:val="clear" w:color="auto" w:fill="FABF8F" w:themeFill="accent6" w:themeFillTint="99"/>
          </w:tcPr>
          <w:p w:rsidR="00240612" w:rsidRDefault="00240612" w:rsidP="0097398A">
            <w:pPr>
              <w:spacing w:before="60" w:after="60"/>
              <w:rPr>
                <w:rFonts w:ascii="Arial" w:hAnsi="Arial" w:cs="Arial"/>
                <w:sz w:val="20"/>
                <w:szCs w:val="20"/>
              </w:rPr>
            </w:pPr>
            <w:r>
              <w:rPr>
                <w:rFonts w:ascii="Arial" w:hAnsi="Arial" w:cs="Arial"/>
                <w:sz w:val="20"/>
                <w:szCs w:val="20"/>
              </w:rPr>
              <w:t>No</w:t>
            </w:r>
          </w:p>
        </w:tc>
      </w:tr>
      <w:tr w:rsidR="00240612" w:rsidTr="00A35849">
        <w:tc>
          <w:tcPr>
            <w:tcW w:w="1384" w:type="dxa"/>
          </w:tcPr>
          <w:p w:rsidR="00240612" w:rsidRDefault="00240612" w:rsidP="0097398A">
            <w:pPr>
              <w:spacing w:before="60" w:after="60"/>
              <w:rPr>
                <w:rFonts w:ascii="Arial" w:hAnsi="Arial" w:cs="Arial"/>
                <w:sz w:val="20"/>
                <w:szCs w:val="20"/>
              </w:rPr>
            </w:pPr>
            <w:r>
              <w:rPr>
                <w:rFonts w:ascii="Arial" w:hAnsi="Arial" w:cs="Arial"/>
                <w:sz w:val="20"/>
                <w:szCs w:val="20"/>
              </w:rPr>
              <w:t>8.3.3</w:t>
            </w:r>
          </w:p>
        </w:tc>
        <w:tc>
          <w:tcPr>
            <w:tcW w:w="6379" w:type="dxa"/>
          </w:tcPr>
          <w:p w:rsidR="00240612" w:rsidRDefault="00240612" w:rsidP="0097398A">
            <w:pPr>
              <w:spacing w:before="60" w:after="60"/>
              <w:rPr>
                <w:rFonts w:ascii="Arial" w:hAnsi="Arial" w:cs="Arial"/>
                <w:sz w:val="20"/>
                <w:szCs w:val="20"/>
              </w:rPr>
            </w:pPr>
            <w:r w:rsidRPr="00DA2195">
              <w:rPr>
                <w:rFonts w:ascii="Arial" w:hAnsi="Arial" w:cs="Arial"/>
                <w:sz w:val="20"/>
                <w:szCs w:val="20"/>
              </w:rPr>
              <w:t xml:space="preserve">John </w:t>
            </w:r>
            <w:proofErr w:type="spellStart"/>
            <w:r w:rsidRPr="00DA2195">
              <w:rPr>
                <w:rFonts w:ascii="Arial" w:hAnsi="Arial" w:cs="Arial"/>
                <w:sz w:val="20"/>
                <w:szCs w:val="20"/>
              </w:rPr>
              <w:t>Lintner</w:t>
            </w:r>
            <w:proofErr w:type="spellEnd"/>
            <w:r w:rsidRPr="00DA2195">
              <w:rPr>
                <w:rFonts w:ascii="Arial" w:hAnsi="Arial" w:cs="Arial"/>
                <w:sz w:val="20"/>
                <w:szCs w:val="20"/>
              </w:rPr>
              <w:t xml:space="preserve"> (1965), "The Valuation of Risk Assets and the Selection of Risky Investments in Stock Portfolios and Capital Budgets", Review of Economics and Statistics, 47(1):  13-47</w:t>
            </w:r>
            <w:r>
              <w:rPr>
                <w:rFonts w:ascii="Arial" w:hAnsi="Arial" w:cs="Arial"/>
                <w:sz w:val="20"/>
                <w:szCs w:val="20"/>
              </w:rPr>
              <w:t>.</w:t>
            </w:r>
          </w:p>
        </w:tc>
        <w:tc>
          <w:tcPr>
            <w:tcW w:w="1479" w:type="dxa"/>
            <w:shd w:val="clear" w:color="auto" w:fill="FABF8F" w:themeFill="accent6" w:themeFillTint="99"/>
          </w:tcPr>
          <w:p w:rsidR="00240612" w:rsidRDefault="00240612" w:rsidP="0097398A">
            <w:pPr>
              <w:spacing w:before="60" w:after="60"/>
              <w:rPr>
                <w:rFonts w:ascii="Arial" w:hAnsi="Arial" w:cs="Arial"/>
                <w:sz w:val="20"/>
                <w:szCs w:val="20"/>
              </w:rPr>
            </w:pPr>
            <w:r>
              <w:rPr>
                <w:rFonts w:ascii="Arial" w:hAnsi="Arial" w:cs="Arial"/>
                <w:sz w:val="20"/>
                <w:szCs w:val="20"/>
              </w:rPr>
              <w:t>No</w:t>
            </w:r>
          </w:p>
        </w:tc>
      </w:tr>
      <w:tr w:rsidR="00240612" w:rsidTr="00A35849">
        <w:tc>
          <w:tcPr>
            <w:tcW w:w="1384" w:type="dxa"/>
          </w:tcPr>
          <w:p w:rsidR="00240612" w:rsidRDefault="00240612" w:rsidP="0097398A">
            <w:pPr>
              <w:spacing w:before="60" w:after="60"/>
              <w:rPr>
                <w:rFonts w:ascii="Arial" w:hAnsi="Arial" w:cs="Arial"/>
                <w:sz w:val="20"/>
                <w:szCs w:val="20"/>
              </w:rPr>
            </w:pPr>
            <w:r>
              <w:rPr>
                <w:rFonts w:ascii="Arial" w:hAnsi="Arial" w:cs="Arial"/>
                <w:sz w:val="20"/>
                <w:szCs w:val="20"/>
              </w:rPr>
              <w:t>8.3.3</w:t>
            </w:r>
          </w:p>
        </w:tc>
        <w:tc>
          <w:tcPr>
            <w:tcW w:w="6379" w:type="dxa"/>
          </w:tcPr>
          <w:p w:rsidR="00240612" w:rsidRDefault="00240612" w:rsidP="0097398A">
            <w:pPr>
              <w:spacing w:before="60" w:after="60"/>
              <w:rPr>
                <w:rFonts w:ascii="Arial" w:hAnsi="Arial" w:cs="Arial"/>
                <w:sz w:val="20"/>
                <w:szCs w:val="20"/>
              </w:rPr>
            </w:pPr>
            <w:r w:rsidRPr="00DA2195">
              <w:rPr>
                <w:rFonts w:ascii="Arial" w:hAnsi="Arial" w:cs="Arial"/>
                <w:sz w:val="20"/>
                <w:szCs w:val="20"/>
              </w:rPr>
              <w:t xml:space="preserve">Jan </w:t>
            </w:r>
            <w:proofErr w:type="spellStart"/>
            <w:r w:rsidRPr="00DA2195">
              <w:rPr>
                <w:rFonts w:ascii="Arial" w:hAnsi="Arial" w:cs="Arial"/>
                <w:sz w:val="20"/>
                <w:szCs w:val="20"/>
              </w:rPr>
              <w:t>Mossin</w:t>
            </w:r>
            <w:proofErr w:type="spellEnd"/>
            <w:r w:rsidRPr="00DA2195">
              <w:rPr>
                <w:rFonts w:ascii="Arial" w:hAnsi="Arial" w:cs="Arial"/>
                <w:sz w:val="20"/>
                <w:szCs w:val="20"/>
              </w:rPr>
              <w:t xml:space="preserve"> (1966), "Equilibrium in a Capital Asset Market", </w:t>
            </w:r>
            <w:proofErr w:type="spellStart"/>
            <w:r w:rsidRPr="00DA2195">
              <w:rPr>
                <w:rFonts w:ascii="Arial" w:hAnsi="Arial" w:cs="Arial"/>
                <w:sz w:val="20"/>
                <w:szCs w:val="20"/>
              </w:rPr>
              <w:t>Econometrica</w:t>
            </w:r>
            <w:proofErr w:type="spellEnd"/>
            <w:r w:rsidRPr="00DA2195">
              <w:rPr>
                <w:rFonts w:ascii="Arial" w:hAnsi="Arial" w:cs="Arial"/>
                <w:sz w:val="20"/>
                <w:szCs w:val="20"/>
              </w:rPr>
              <w:t>, 34(4), 768-683.</w:t>
            </w:r>
          </w:p>
        </w:tc>
        <w:tc>
          <w:tcPr>
            <w:tcW w:w="1479" w:type="dxa"/>
            <w:shd w:val="clear" w:color="auto" w:fill="FABF8F" w:themeFill="accent6" w:themeFillTint="99"/>
          </w:tcPr>
          <w:p w:rsidR="00240612" w:rsidRDefault="00240612" w:rsidP="0097398A">
            <w:pPr>
              <w:spacing w:before="60" w:after="60"/>
              <w:rPr>
                <w:rFonts w:ascii="Arial" w:hAnsi="Arial" w:cs="Arial"/>
                <w:sz w:val="20"/>
                <w:szCs w:val="20"/>
              </w:rPr>
            </w:pPr>
            <w:r>
              <w:rPr>
                <w:rFonts w:ascii="Arial" w:hAnsi="Arial" w:cs="Arial"/>
                <w:sz w:val="20"/>
                <w:szCs w:val="20"/>
              </w:rPr>
              <w:t>No</w:t>
            </w:r>
          </w:p>
        </w:tc>
      </w:tr>
      <w:tr w:rsidR="00240612" w:rsidTr="009E5EB3">
        <w:tc>
          <w:tcPr>
            <w:tcW w:w="1384" w:type="dxa"/>
          </w:tcPr>
          <w:p w:rsidR="00240612" w:rsidRDefault="00240612" w:rsidP="0097398A">
            <w:pPr>
              <w:spacing w:before="60" w:after="60"/>
              <w:rPr>
                <w:rFonts w:ascii="Arial" w:hAnsi="Arial" w:cs="Arial"/>
                <w:sz w:val="20"/>
                <w:szCs w:val="20"/>
              </w:rPr>
            </w:pPr>
            <w:r>
              <w:rPr>
                <w:rFonts w:ascii="Arial" w:hAnsi="Arial" w:cs="Arial"/>
                <w:sz w:val="20"/>
                <w:szCs w:val="20"/>
              </w:rPr>
              <w:t>8.3.3</w:t>
            </w:r>
          </w:p>
        </w:tc>
        <w:tc>
          <w:tcPr>
            <w:tcW w:w="6379" w:type="dxa"/>
          </w:tcPr>
          <w:p w:rsidR="00240612" w:rsidRDefault="00240612" w:rsidP="0097398A">
            <w:pPr>
              <w:spacing w:before="60" w:after="60"/>
              <w:rPr>
                <w:rFonts w:ascii="Arial" w:hAnsi="Arial" w:cs="Arial"/>
                <w:sz w:val="20"/>
                <w:szCs w:val="20"/>
              </w:rPr>
            </w:pPr>
            <w:r w:rsidRPr="005A5CE7">
              <w:rPr>
                <w:rFonts w:ascii="Arial" w:hAnsi="Arial" w:cs="Arial"/>
                <w:sz w:val="20"/>
                <w:szCs w:val="20"/>
              </w:rPr>
              <w:t xml:space="preserve">Rolf W. </w:t>
            </w:r>
            <w:proofErr w:type="spellStart"/>
            <w:r w:rsidRPr="005A5CE7">
              <w:rPr>
                <w:rFonts w:ascii="Arial" w:hAnsi="Arial" w:cs="Arial"/>
                <w:sz w:val="20"/>
                <w:szCs w:val="20"/>
              </w:rPr>
              <w:t>Banz</w:t>
            </w:r>
            <w:proofErr w:type="spellEnd"/>
            <w:r w:rsidRPr="005A5CE7">
              <w:rPr>
                <w:rFonts w:ascii="Arial" w:hAnsi="Arial" w:cs="Arial"/>
                <w:sz w:val="20"/>
                <w:szCs w:val="20"/>
              </w:rPr>
              <w:t xml:space="preserve"> (1981), "The Relationship Between return and Market value of Common Stocks", Journal of Financial Economics</w:t>
            </w:r>
            <w:r>
              <w:rPr>
                <w:rFonts w:ascii="Arial" w:hAnsi="Arial" w:cs="Arial"/>
                <w:sz w:val="20"/>
                <w:szCs w:val="20"/>
              </w:rPr>
              <w:t>.</w:t>
            </w:r>
          </w:p>
        </w:tc>
        <w:tc>
          <w:tcPr>
            <w:tcW w:w="1479" w:type="dxa"/>
          </w:tcPr>
          <w:p w:rsidR="00240612" w:rsidRDefault="00DB77F9" w:rsidP="0097398A">
            <w:pPr>
              <w:spacing w:before="60" w:after="60"/>
              <w:rPr>
                <w:rFonts w:ascii="Arial" w:hAnsi="Arial" w:cs="Arial"/>
                <w:sz w:val="20"/>
                <w:szCs w:val="20"/>
              </w:rPr>
            </w:pPr>
            <w:r>
              <w:rPr>
                <w:rFonts w:ascii="Arial" w:hAnsi="Arial" w:cs="Arial"/>
                <w:sz w:val="20"/>
                <w:szCs w:val="20"/>
              </w:rPr>
              <w:t>RES</w:t>
            </w:r>
          </w:p>
        </w:tc>
      </w:tr>
      <w:tr w:rsidR="00240612" w:rsidTr="009E5EB3">
        <w:tc>
          <w:tcPr>
            <w:tcW w:w="1384" w:type="dxa"/>
          </w:tcPr>
          <w:p w:rsidR="00240612" w:rsidRDefault="00240612" w:rsidP="000242C4">
            <w:pPr>
              <w:spacing w:before="60" w:after="60"/>
              <w:rPr>
                <w:rFonts w:ascii="Arial" w:hAnsi="Arial" w:cs="Arial"/>
                <w:sz w:val="20"/>
                <w:szCs w:val="20"/>
              </w:rPr>
            </w:pPr>
            <w:r>
              <w:rPr>
                <w:rFonts w:ascii="Arial" w:hAnsi="Arial" w:cs="Arial"/>
                <w:sz w:val="20"/>
                <w:szCs w:val="20"/>
              </w:rPr>
              <w:t>8.3.3</w:t>
            </w:r>
          </w:p>
        </w:tc>
        <w:tc>
          <w:tcPr>
            <w:tcW w:w="6379" w:type="dxa"/>
          </w:tcPr>
          <w:p w:rsidR="00240612" w:rsidRDefault="00240612" w:rsidP="0097398A">
            <w:pPr>
              <w:spacing w:before="60" w:after="60"/>
              <w:rPr>
                <w:rFonts w:ascii="Arial" w:hAnsi="Arial" w:cs="Arial"/>
                <w:sz w:val="20"/>
                <w:szCs w:val="20"/>
              </w:rPr>
            </w:pPr>
            <w:r w:rsidRPr="005A5CE7">
              <w:rPr>
                <w:rFonts w:ascii="Arial" w:hAnsi="Arial" w:cs="Arial"/>
                <w:sz w:val="20"/>
                <w:szCs w:val="20"/>
              </w:rPr>
              <w:t xml:space="preserve">Marc R. </w:t>
            </w:r>
            <w:proofErr w:type="spellStart"/>
            <w:r w:rsidRPr="005A5CE7">
              <w:rPr>
                <w:rFonts w:ascii="Arial" w:hAnsi="Arial" w:cs="Arial"/>
                <w:sz w:val="20"/>
                <w:szCs w:val="20"/>
              </w:rPr>
              <w:t>Reinganum</w:t>
            </w:r>
            <w:proofErr w:type="spellEnd"/>
            <w:r w:rsidRPr="005A5CE7">
              <w:rPr>
                <w:rFonts w:ascii="Arial" w:hAnsi="Arial" w:cs="Arial"/>
                <w:sz w:val="20"/>
                <w:szCs w:val="20"/>
              </w:rPr>
              <w:t xml:space="preserve"> (1982), “Misspecification of Capital Asset Pricing:  Empirical Anomalies Based on Earnings’ Yields and Market values”, Journal of Financial Economics, 9:  19-46</w:t>
            </w:r>
            <w:r>
              <w:rPr>
                <w:rFonts w:ascii="Arial" w:hAnsi="Arial" w:cs="Arial"/>
                <w:sz w:val="20"/>
                <w:szCs w:val="20"/>
              </w:rPr>
              <w:t>.</w:t>
            </w:r>
          </w:p>
        </w:tc>
        <w:tc>
          <w:tcPr>
            <w:tcW w:w="1479" w:type="dxa"/>
          </w:tcPr>
          <w:p w:rsidR="00240612" w:rsidRDefault="00DB77F9" w:rsidP="0097398A">
            <w:pPr>
              <w:spacing w:before="60" w:after="60"/>
              <w:rPr>
                <w:rFonts w:ascii="Arial" w:hAnsi="Arial" w:cs="Arial"/>
                <w:sz w:val="20"/>
                <w:szCs w:val="20"/>
              </w:rPr>
            </w:pPr>
            <w:r>
              <w:rPr>
                <w:rFonts w:ascii="Arial" w:hAnsi="Arial" w:cs="Arial"/>
                <w:sz w:val="20"/>
                <w:szCs w:val="20"/>
              </w:rPr>
              <w:t>RES</w:t>
            </w:r>
          </w:p>
        </w:tc>
      </w:tr>
      <w:tr w:rsidR="00240612" w:rsidTr="009E5EB3">
        <w:tc>
          <w:tcPr>
            <w:tcW w:w="1384" w:type="dxa"/>
          </w:tcPr>
          <w:p w:rsidR="00240612" w:rsidRDefault="00240612" w:rsidP="000242C4">
            <w:pPr>
              <w:spacing w:before="60" w:after="60"/>
              <w:rPr>
                <w:rFonts w:ascii="Arial" w:hAnsi="Arial" w:cs="Arial"/>
                <w:sz w:val="20"/>
                <w:szCs w:val="20"/>
              </w:rPr>
            </w:pPr>
            <w:r>
              <w:rPr>
                <w:rFonts w:ascii="Arial" w:hAnsi="Arial" w:cs="Arial"/>
                <w:sz w:val="20"/>
                <w:szCs w:val="20"/>
              </w:rPr>
              <w:t>8.3.3</w:t>
            </w:r>
          </w:p>
        </w:tc>
        <w:tc>
          <w:tcPr>
            <w:tcW w:w="6379" w:type="dxa"/>
          </w:tcPr>
          <w:p w:rsidR="00240612" w:rsidRDefault="00240612" w:rsidP="0097398A">
            <w:pPr>
              <w:spacing w:before="60" w:after="60"/>
              <w:rPr>
                <w:rFonts w:ascii="Arial" w:hAnsi="Arial" w:cs="Arial"/>
                <w:sz w:val="20"/>
                <w:szCs w:val="20"/>
              </w:rPr>
            </w:pPr>
            <w:r w:rsidRPr="005A5CE7">
              <w:rPr>
                <w:rFonts w:ascii="Arial" w:hAnsi="Arial" w:cs="Arial"/>
                <w:sz w:val="20"/>
                <w:szCs w:val="20"/>
              </w:rPr>
              <w:t>Michael R. Gibbons (1982), "Multivariate Tests of Financial Models:  A New Approach", Journal of Financial Economics, 10:  3-27</w:t>
            </w:r>
            <w:r>
              <w:rPr>
                <w:rFonts w:ascii="Arial" w:hAnsi="Arial" w:cs="Arial"/>
                <w:sz w:val="20"/>
                <w:szCs w:val="20"/>
              </w:rPr>
              <w:t>.</w:t>
            </w:r>
          </w:p>
        </w:tc>
        <w:tc>
          <w:tcPr>
            <w:tcW w:w="1479" w:type="dxa"/>
          </w:tcPr>
          <w:p w:rsidR="00240612" w:rsidRDefault="00DB77F9" w:rsidP="0097398A">
            <w:pPr>
              <w:spacing w:before="60" w:after="60"/>
              <w:rPr>
                <w:rFonts w:ascii="Arial" w:hAnsi="Arial" w:cs="Arial"/>
                <w:sz w:val="20"/>
                <w:szCs w:val="20"/>
              </w:rPr>
            </w:pPr>
            <w:r>
              <w:rPr>
                <w:rFonts w:ascii="Arial" w:hAnsi="Arial" w:cs="Arial"/>
                <w:sz w:val="20"/>
                <w:szCs w:val="20"/>
              </w:rPr>
              <w:t>RES</w:t>
            </w:r>
          </w:p>
        </w:tc>
      </w:tr>
      <w:tr w:rsidR="00240612" w:rsidTr="00DB77F9">
        <w:tc>
          <w:tcPr>
            <w:tcW w:w="1384" w:type="dxa"/>
          </w:tcPr>
          <w:p w:rsidR="00240612" w:rsidRDefault="00240612" w:rsidP="000242C4">
            <w:pPr>
              <w:spacing w:before="60" w:after="60"/>
              <w:rPr>
                <w:rFonts w:ascii="Arial" w:hAnsi="Arial" w:cs="Arial"/>
                <w:sz w:val="20"/>
                <w:szCs w:val="20"/>
              </w:rPr>
            </w:pPr>
            <w:r>
              <w:rPr>
                <w:rFonts w:ascii="Arial" w:hAnsi="Arial" w:cs="Arial"/>
                <w:sz w:val="20"/>
                <w:szCs w:val="20"/>
              </w:rPr>
              <w:t>8.3.3</w:t>
            </w:r>
          </w:p>
        </w:tc>
        <w:tc>
          <w:tcPr>
            <w:tcW w:w="6379" w:type="dxa"/>
          </w:tcPr>
          <w:p w:rsidR="00240612" w:rsidRDefault="00240612" w:rsidP="0097398A">
            <w:pPr>
              <w:spacing w:before="60" w:after="60"/>
              <w:rPr>
                <w:rFonts w:ascii="Arial" w:hAnsi="Arial" w:cs="Arial"/>
                <w:sz w:val="20"/>
                <w:szCs w:val="20"/>
              </w:rPr>
            </w:pPr>
            <w:r w:rsidRPr="00D1221D">
              <w:rPr>
                <w:rFonts w:ascii="Arial" w:hAnsi="Arial" w:cs="Arial"/>
                <w:sz w:val="20"/>
                <w:szCs w:val="20"/>
              </w:rPr>
              <w:t xml:space="preserve">Robert F. </w:t>
            </w:r>
            <w:proofErr w:type="spellStart"/>
            <w:r w:rsidRPr="00D1221D">
              <w:rPr>
                <w:rFonts w:ascii="Arial" w:hAnsi="Arial" w:cs="Arial"/>
                <w:sz w:val="20"/>
                <w:szCs w:val="20"/>
              </w:rPr>
              <w:t>Stambaugh</w:t>
            </w:r>
            <w:proofErr w:type="spellEnd"/>
            <w:r w:rsidRPr="00D1221D">
              <w:rPr>
                <w:rFonts w:ascii="Arial" w:hAnsi="Arial" w:cs="Arial"/>
                <w:sz w:val="20"/>
                <w:szCs w:val="20"/>
              </w:rPr>
              <w:t xml:space="preserve"> (1982), "On the Exclusion of Assets from Tests of the Two Parameter Model:  A Sensitivity Analysis", Journal of Financial Economics, 10:  237-268</w:t>
            </w:r>
            <w:r>
              <w:rPr>
                <w:rFonts w:ascii="Arial" w:hAnsi="Arial" w:cs="Arial"/>
                <w:sz w:val="20"/>
                <w:szCs w:val="20"/>
              </w:rPr>
              <w:t>.</w:t>
            </w:r>
          </w:p>
        </w:tc>
        <w:tc>
          <w:tcPr>
            <w:tcW w:w="1479" w:type="dxa"/>
            <w:tcBorders>
              <w:bottom w:val="single" w:sz="4" w:space="0" w:color="auto"/>
            </w:tcBorders>
          </w:tcPr>
          <w:p w:rsidR="00240612" w:rsidRDefault="00DB77F9" w:rsidP="0097398A">
            <w:pPr>
              <w:spacing w:before="60" w:after="60"/>
              <w:rPr>
                <w:rFonts w:ascii="Arial" w:hAnsi="Arial" w:cs="Arial"/>
                <w:sz w:val="20"/>
                <w:szCs w:val="20"/>
              </w:rPr>
            </w:pPr>
            <w:r>
              <w:rPr>
                <w:rFonts w:ascii="Arial" w:hAnsi="Arial" w:cs="Arial"/>
                <w:sz w:val="20"/>
                <w:szCs w:val="20"/>
              </w:rPr>
              <w:t>RES</w:t>
            </w:r>
          </w:p>
        </w:tc>
      </w:tr>
      <w:tr w:rsidR="00240612" w:rsidTr="00DB77F9">
        <w:tc>
          <w:tcPr>
            <w:tcW w:w="1384" w:type="dxa"/>
          </w:tcPr>
          <w:p w:rsidR="00240612" w:rsidRDefault="00240612" w:rsidP="000242C4">
            <w:pPr>
              <w:spacing w:before="60" w:after="60"/>
              <w:rPr>
                <w:rFonts w:ascii="Arial" w:hAnsi="Arial" w:cs="Arial"/>
                <w:sz w:val="20"/>
                <w:szCs w:val="20"/>
              </w:rPr>
            </w:pPr>
            <w:r>
              <w:rPr>
                <w:rFonts w:ascii="Arial" w:hAnsi="Arial" w:cs="Arial"/>
                <w:sz w:val="20"/>
                <w:szCs w:val="20"/>
              </w:rPr>
              <w:t>8.3.3</w:t>
            </w:r>
          </w:p>
        </w:tc>
        <w:tc>
          <w:tcPr>
            <w:tcW w:w="6379" w:type="dxa"/>
          </w:tcPr>
          <w:p w:rsidR="00240612" w:rsidRPr="00BC3569" w:rsidRDefault="00240612" w:rsidP="0097398A">
            <w:pPr>
              <w:spacing w:before="60" w:after="60"/>
            </w:pPr>
            <w:r w:rsidRPr="00D1221D">
              <w:rPr>
                <w:rFonts w:ascii="Arial" w:hAnsi="Arial" w:cs="Arial"/>
                <w:sz w:val="20"/>
                <w:szCs w:val="20"/>
              </w:rPr>
              <w:t xml:space="preserve">Jay </w:t>
            </w:r>
            <w:proofErr w:type="spellStart"/>
            <w:r w:rsidRPr="00D1221D">
              <w:rPr>
                <w:rFonts w:ascii="Arial" w:hAnsi="Arial" w:cs="Arial"/>
                <w:sz w:val="20"/>
                <w:szCs w:val="20"/>
              </w:rPr>
              <w:t>Shanken</w:t>
            </w:r>
            <w:proofErr w:type="spellEnd"/>
            <w:r w:rsidRPr="00D1221D">
              <w:rPr>
                <w:rFonts w:ascii="Arial" w:hAnsi="Arial" w:cs="Arial"/>
                <w:sz w:val="20"/>
                <w:szCs w:val="20"/>
              </w:rPr>
              <w:t xml:space="preserve"> (1987), "Multivariate Proxies and Asset Pricing Relations:  Living with the Roll Critique", Journal of Financial Economics, 18:  91-110</w:t>
            </w:r>
            <w:r>
              <w:rPr>
                <w:rFonts w:ascii="Arial" w:hAnsi="Arial" w:cs="Arial"/>
                <w:sz w:val="20"/>
                <w:szCs w:val="20"/>
              </w:rPr>
              <w:t>.</w:t>
            </w:r>
          </w:p>
        </w:tc>
        <w:tc>
          <w:tcPr>
            <w:tcW w:w="1479" w:type="dxa"/>
            <w:tcBorders>
              <w:bottom w:val="single" w:sz="4" w:space="0" w:color="auto"/>
            </w:tcBorders>
            <w:shd w:val="clear" w:color="auto" w:fill="FABF8F" w:themeFill="accent6" w:themeFillTint="99"/>
          </w:tcPr>
          <w:p w:rsidR="00240612" w:rsidRDefault="00DB77F9" w:rsidP="0097398A">
            <w:pPr>
              <w:spacing w:before="60" w:after="60"/>
              <w:rPr>
                <w:rFonts w:ascii="Arial" w:hAnsi="Arial" w:cs="Arial"/>
                <w:sz w:val="20"/>
                <w:szCs w:val="20"/>
              </w:rPr>
            </w:pPr>
            <w:r>
              <w:rPr>
                <w:rFonts w:ascii="Arial" w:hAnsi="Arial" w:cs="Arial"/>
                <w:sz w:val="20"/>
                <w:szCs w:val="20"/>
              </w:rPr>
              <w:t>No</w:t>
            </w:r>
          </w:p>
        </w:tc>
      </w:tr>
      <w:tr w:rsidR="00240612" w:rsidTr="00A35849">
        <w:tc>
          <w:tcPr>
            <w:tcW w:w="1384" w:type="dxa"/>
          </w:tcPr>
          <w:p w:rsidR="00240612" w:rsidRDefault="00240612" w:rsidP="000242C4">
            <w:pPr>
              <w:spacing w:before="60" w:after="60"/>
              <w:rPr>
                <w:rFonts w:ascii="Arial" w:hAnsi="Arial" w:cs="Arial"/>
                <w:sz w:val="20"/>
                <w:szCs w:val="20"/>
              </w:rPr>
            </w:pPr>
            <w:r>
              <w:rPr>
                <w:rFonts w:ascii="Arial" w:hAnsi="Arial" w:cs="Arial"/>
                <w:sz w:val="20"/>
                <w:szCs w:val="20"/>
              </w:rPr>
              <w:t>8.3.3</w:t>
            </w:r>
          </w:p>
        </w:tc>
        <w:tc>
          <w:tcPr>
            <w:tcW w:w="6379" w:type="dxa"/>
          </w:tcPr>
          <w:p w:rsidR="00240612" w:rsidRPr="00BC3569" w:rsidRDefault="00240612" w:rsidP="0097398A">
            <w:pPr>
              <w:spacing w:before="60" w:after="60"/>
            </w:pPr>
            <w:r w:rsidRPr="00D1221D">
              <w:rPr>
                <w:rFonts w:ascii="Arial" w:hAnsi="Arial" w:cs="Arial"/>
                <w:sz w:val="20"/>
                <w:szCs w:val="20"/>
              </w:rPr>
              <w:t xml:space="preserve">Eugene F. </w:t>
            </w:r>
            <w:proofErr w:type="spellStart"/>
            <w:r w:rsidRPr="00D1221D">
              <w:rPr>
                <w:rFonts w:ascii="Arial" w:hAnsi="Arial" w:cs="Arial"/>
                <w:sz w:val="20"/>
                <w:szCs w:val="20"/>
              </w:rPr>
              <w:t>Fama</w:t>
            </w:r>
            <w:proofErr w:type="spellEnd"/>
            <w:r w:rsidRPr="00D1221D">
              <w:rPr>
                <w:rFonts w:ascii="Arial" w:hAnsi="Arial" w:cs="Arial"/>
                <w:sz w:val="20"/>
                <w:szCs w:val="20"/>
              </w:rPr>
              <w:t xml:space="preserve"> and Kenneth R. French (1992), "The Cross Section of Expected Stock Returns", Journal of Finance, 47(2):  427-465.</w:t>
            </w:r>
          </w:p>
        </w:tc>
        <w:tc>
          <w:tcPr>
            <w:tcW w:w="1479" w:type="dxa"/>
            <w:shd w:val="clear" w:color="auto" w:fill="FABF8F" w:themeFill="accent6" w:themeFillTint="99"/>
          </w:tcPr>
          <w:p w:rsidR="00240612" w:rsidRDefault="00240612" w:rsidP="0097398A">
            <w:pPr>
              <w:spacing w:before="60" w:after="60"/>
              <w:rPr>
                <w:rFonts w:ascii="Arial" w:hAnsi="Arial" w:cs="Arial"/>
                <w:sz w:val="20"/>
                <w:szCs w:val="20"/>
              </w:rPr>
            </w:pPr>
            <w:r>
              <w:rPr>
                <w:rFonts w:ascii="Arial" w:hAnsi="Arial" w:cs="Arial"/>
                <w:sz w:val="20"/>
                <w:szCs w:val="20"/>
              </w:rPr>
              <w:t>No</w:t>
            </w:r>
          </w:p>
        </w:tc>
      </w:tr>
      <w:tr w:rsidR="00240612" w:rsidTr="00A35849">
        <w:tc>
          <w:tcPr>
            <w:tcW w:w="1384" w:type="dxa"/>
          </w:tcPr>
          <w:p w:rsidR="00240612" w:rsidRDefault="00240612" w:rsidP="000242C4">
            <w:pPr>
              <w:spacing w:before="60" w:after="60"/>
              <w:rPr>
                <w:rFonts w:ascii="Arial" w:hAnsi="Arial" w:cs="Arial"/>
                <w:sz w:val="20"/>
                <w:szCs w:val="20"/>
              </w:rPr>
            </w:pPr>
            <w:r>
              <w:rPr>
                <w:rFonts w:ascii="Arial" w:hAnsi="Arial" w:cs="Arial"/>
                <w:sz w:val="20"/>
                <w:szCs w:val="20"/>
              </w:rPr>
              <w:t>8.3.3</w:t>
            </w:r>
          </w:p>
        </w:tc>
        <w:tc>
          <w:tcPr>
            <w:tcW w:w="6379" w:type="dxa"/>
          </w:tcPr>
          <w:p w:rsidR="00240612" w:rsidRPr="00BC3569" w:rsidRDefault="00240612" w:rsidP="0097398A">
            <w:pPr>
              <w:spacing w:before="60" w:after="60"/>
            </w:pPr>
            <w:r w:rsidRPr="00D1221D">
              <w:rPr>
                <w:rFonts w:ascii="Arial" w:hAnsi="Arial" w:cs="Arial"/>
                <w:sz w:val="20"/>
                <w:szCs w:val="20"/>
              </w:rPr>
              <w:t>John H. Cochrane (1996), “A Cross-Sectional Test of an Investment-Based Asset Pricing Model”, Journal of Political Economy, 104(3):  572-621.</w:t>
            </w:r>
          </w:p>
        </w:tc>
        <w:tc>
          <w:tcPr>
            <w:tcW w:w="1479" w:type="dxa"/>
            <w:tcBorders>
              <w:bottom w:val="single" w:sz="4" w:space="0" w:color="auto"/>
            </w:tcBorders>
            <w:shd w:val="clear" w:color="auto" w:fill="FABF8F" w:themeFill="accent6" w:themeFillTint="99"/>
          </w:tcPr>
          <w:p w:rsidR="00240612" w:rsidRDefault="00240612" w:rsidP="0097398A">
            <w:pPr>
              <w:spacing w:before="60" w:after="60"/>
              <w:rPr>
                <w:rFonts w:ascii="Arial" w:hAnsi="Arial" w:cs="Arial"/>
                <w:sz w:val="20"/>
                <w:szCs w:val="20"/>
              </w:rPr>
            </w:pPr>
            <w:r>
              <w:rPr>
                <w:rFonts w:ascii="Arial" w:hAnsi="Arial" w:cs="Arial"/>
                <w:sz w:val="20"/>
                <w:szCs w:val="20"/>
              </w:rPr>
              <w:t>No</w:t>
            </w:r>
          </w:p>
        </w:tc>
      </w:tr>
      <w:tr w:rsidR="00240612" w:rsidTr="00A35849">
        <w:tc>
          <w:tcPr>
            <w:tcW w:w="1384" w:type="dxa"/>
          </w:tcPr>
          <w:p w:rsidR="00240612" w:rsidRDefault="00240612" w:rsidP="000242C4">
            <w:pPr>
              <w:spacing w:before="60" w:after="60"/>
              <w:rPr>
                <w:rFonts w:ascii="Arial" w:hAnsi="Arial" w:cs="Arial"/>
                <w:sz w:val="20"/>
                <w:szCs w:val="20"/>
              </w:rPr>
            </w:pPr>
            <w:r>
              <w:rPr>
                <w:rFonts w:ascii="Arial" w:hAnsi="Arial" w:cs="Arial"/>
                <w:sz w:val="20"/>
                <w:szCs w:val="20"/>
              </w:rPr>
              <w:t>8.3.3</w:t>
            </w:r>
          </w:p>
        </w:tc>
        <w:tc>
          <w:tcPr>
            <w:tcW w:w="6379" w:type="dxa"/>
          </w:tcPr>
          <w:p w:rsidR="00240612" w:rsidRPr="00BC3569" w:rsidRDefault="00240612" w:rsidP="0097398A">
            <w:pPr>
              <w:spacing w:before="60" w:after="60"/>
            </w:pPr>
            <w:r w:rsidRPr="00D1221D">
              <w:rPr>
                <w:rFonts w:ascii="Arial" w:hAnsi="Arial" w:cs="Arial"/>
                <w:sz w:val="20"/>
                <w:szCs w:val="20"/>
              </w:rPr>
              <w:t xml:space="preserve">Urban J. </w:t>
            </w:r>
            <w:proofErr w:type="spellStart"/>
            <w:r w:rsidRPr="00D1221D">
              <w:rPr>
                <w:rFonts w:ascii="Arial" w:hAnsi="Arial" w:cs="Arial"/>
                <w:sz w:val="20"/>
                <w:szCs w:val="20"/>
              </w:rPr>
              <w:t>Jermann</w:t>
            </w:r>
            <w:proofErr w:type="spellEnd"/>
            <w:r w:rsidRPr="00D1221D">
              <w:rPr>
                <w:rFonts w:ascii="Arial" w:hAnsi="Arial" w:cs="Arial"/>
                <w:sz w:val="20"/>
                <w:szCs w:val="20"/>
              </w:rPr>
              <w:t xml:space="preserve"> (1998), “Asset pricing in production economies”, Journal of Monetary Economics 41:  257-275</w:t>
            </w:r>
            <w:r>
              <w:rPr>
                <w:rFonts w:ascii="Arial" w:hAnsi="Arial" w:cs="Arial"/>
                <w:sz w:val="20"/>
                <w:szCs w:val="20"/>
              </w:rPr>
              <w:t>.</w:t>
            </w:r>
          </w:p>
        </w:tc>
        <w:tc>
          <w:tcPr>
            <w:tcW w:w="1479" w:type="dxa"/>
            <w:shd w:val="clear" w:color="auto" w:fill="FABF8F" w:themeFill="accent6" w:themeFillTint="99"/>
          </w:tcPr>
          <w:p w:rsidR="00240612" w:rsidRDefault="00240612" w:rsidP="0097398A">
            <w:pPr>
              <w:spacing w:before="60" w:after="60"/>
              <w:rPr>
                <w:rFonts w:ascii="Arial" w:hAnsi="Arial" w:cs="Arial"/>
                <w:sz w:val="20"/>
                <w:szCs w:val="20"/>
              </w:rPr>
            </w:pPr>
            <w:r>
              <w:rPr>
                <w:rFonts w:ascii="Arial" w:hAnsi="Arial" w:cs="Arial"/>
                <w:sz w:val="20"/>
                <w:szCs w:val="20"/>
              </w:rPr>
              <w:t>No</w:t>
            </w:r>
          </w:p>
        </w:tc>
      </w:tr>
      <w:tr w:rsidR="00240612" w:rsidTr="00A35849">
        <w:tc>
          <w:tcPr>
            <w:tcW w:w="1384" w:type="dxa"/>
          </w:tcPr>
          <w:p w:rsidR="00240612" w:rsidRDefault="00240612" w:rsidP="000242C4">
            <w:pPr>
              <w:spacing w:before="60" w:after="60"/>
              <w:rPr>
                <w:rFonts w:ascii="Arial" w:hAnsi="Arial" w:cs="Arial"/>
                <w:sz w:val="20"/>
                <w:szCs w:val="20"/>
              </w:rPr>
            </w:pPr>
            <w:r>
              <w:rPr>
                <w:rFonts w:ascii="Arial" w:hAnsi="Arial" w:cs="Arial"/>
                <w:sz w:val="20"/>
                <w:szCs w:val="20"/>
              </w:rPr>
              <w:t>8.3.3</w:t>
            </w:r>
          </w:p>
        </w:tc>
        <w:tc>
          <w:tcPr>
            <w:tcW w:w="6379" w:type="dxa"/>
          </w:tcPr>
          <w:p w:rsidR="00240612" w:rsidRPr="00BC3569" w:rsidRDefault="00240612" w:rsidP="0097398A">
            <w:pPr>
              <w:spacing w:before="60" w:after="60"/>
            </w:pPr>
            <w:r w:rsidRPr="00D1221D">
              <w:rPr>
                <w:rFonts w:ascii="Arial" w:hAnsi="Arial" w:cs="Arial"/>
                <w:sz w:val="20"/>
                <w:szCs w:val="20"/>
              </w:rPr>
              <w:t xml:space="preserve">Joao F. Gomes, Leonid </w:t>
            </w:r>
            <w:proofErr w:type="spellStart"/>
            <w:r w:rsidRPr="00D1221D">
              <w:rPr>
                <w:rFonts w:ascii="Arial" w:hAnsi="Arial" w:cs="Arial"/>
                <w:sz w:val="20"/>
                <w:szCs w:val="20"/>
              </w:rPr>
              <w:t>Kogan</w:t>
            </w:r>
            <w:proofErr w:type="spellEnd"/>
            <w:r w:rsidRPr="00D1221D">
              <w:rPr>
                <w:rFonts w:ascii="Arial" w:hAnsi="Arial" w:cs="Arial"/>
                <w:sz w:val="20"/>
                <w:szCs w:val="20"/>
              </w:rPr>
              <w:t xml:space="preserve"> and Lu Zhang (2003), “Equilibrium Cross Section of Returns”, Journal of Political Economy, 111(4):  693-732</w:t>
            </w:r>
            <w:r>
              <w:rPr>
                <w:rFonts w:ascii="Arial" w:hAnsi="Arial" w:cs="Arial"/>
                <w:sz w:val="20"/>
                <w:szCs w:val="20"/>
              </w:rPr>
              <w:t>.</w:t>
            </w:r>
          </w:p>
        </w:tc>
        <w:tc>
          <w:tcPr>
            <w:tcW w:w="1479" w:type="dxa"/>
            <w:shd w:val="clear" w:color="auto" w:fill="FABF8F" w:themeFill="accent6" w:themeFillTint="99"/>
          </w:tcPr>
          <w:p w:rsidR="00240612" w:rsidRDefault="00240612" w:rsidP="0097398A">
            <w:pPr>
              <w:spacing w:before="60" w:after="60"/>
              <w:rPr>
                <w:rFonts w:ascii="Arial" w:hAnsi="Arial" w:cs="Arial"/>
                <w:sz w:val="20"/>
                <w:szCs w:val="20"/>
              </w:rPr>
            </w:pPr>
            <w:r>
              <w:rPr>
                <w:rFonts w:ascii="Arial" w:hAnsi="Arial" w:cs="Arial"/>
                <w:sz w:val="20"/>
                <w:szCs w:val="20"/>
              </w:rPr>
              <w:t>No</w:t>
            </w:r>
          </w:p>
        </w:tc>
      </w:tr>
      <w:tr w:rsidR="00240612" w:rsidTr="00EB51B5">
        <w:tc>
          <w:tcPr>
            <w:tcW w:w="1384" w:type="dxa"/>
          </w:tcPr>
          <w:p w:rsidR="00240612" w:rsidRDefault="00240612" w:rsidP="000242C4">
            <w:pPr>
              <w:spacing w:before="60" w:after="60"/>
              <w:rPr>
                <w:rFonts w:ascii="Arial" w:hAnsi="Arial" w:cs="Arial"/>
                <w:sz w:val="20"/>
                <w:szCs w:val="20"/>
              </w:rPr>
            </w:pPr>
            <w:r>
              <w:rPr>
                <w:rFonts w:ascii="Arial" w:hAnsi="Arial" w:cs="Arial"/>
                <w:sz w:val="20"/>
                <w:szCs w:val="20"/>
              </w:rPr>
              <w:t>8.3.3</w:t>
            </w:r>
          </w:p>
        </w:tc>
        <w:tc>
          <w:tcPr>
            <w:tcW w:w="6379" w:type="dxa"/>
          </w:tcPr>
          <w:p w:rsidR="00240612" w:rsidRPr="00D1221D" w:rsidRDefault="00240612" w:rsidP="0097398A">
            <w:pPr>
              <w:spacing w:before="60" w:after="60"/>
              <w:rPr>
                <w:rFonts w:ascii="Arial" w:hAnsi="Arial" w:cs="Arial"/>
                <w:sz w:val="20"/>
                <w:szCs w:val="20"/>
              </w:rPr>
            </w:pPr>
            <w:r w:rsidRPr="00D1221D">
              <w:rPr>
                <w:rFonts w:ascii="Arial" w:hAnsi="Arial" w:cs="Arial"/>
                <w:sz w:val="20"/>
                <w:szCs w:val="20"/>
              </w:rPr>
              <w:t xml:space="preserve">Leonid </w:t>
            </w:r>
            <w:proofErr w:type="spellStart"/>
            <w:r w:rsidRPr="00D1221D">
              <w:rPr>
                <w:rFonts w:ascii="Arial" w:hAnsi="Arial" w:cs="Arial"/>
                <w:sz w:val="20"/>
                <w:szCs w:val="20"/>
              </w:rPr>
              <w:t>Kogan</w:t>
            </w:r>
            <w:proofErr w:type="spellEnd"/>
            <w:r w:rsidRPr="00D1221D">
              <w:rPr>
                <w:rFonts w:ascii="Arial" w:hAnsi="Arial" w:cs="Arial"/>
                <w:sz w:val="20"/>
                <w:szCs w:val="20"/>
              </w:rPr>
              <w:t xml:space="preserve"> (2004), “Asset prices and real investment”, Journal of Financial Economics, 73:  411-431.</w:t>
            </w:r>
          </w:p>
        </w:tc>
        <w:tc>
          <w:tcPr>
            <w:tcW w:w="1479" w:type="dxa"/>
            <w:tcBorders>
              <w:bottom w:val="single" w:sz="4" w:space="0" w:color="auto"/>
            </w:tcBorders>
          </w:tcPr>
          <w:p w:rsidR="00240612" w:rsidRDefault="00DB77F9" w:rsidP="0097398A">
            <w:pPr>
              <w:spacing w:before="60" w:after="60"/>
              <w:rPr>
                <w:rFonts w:ascii="Arial" w:hAnsi="Arial" w:cs="Arial"/>
                <w:sz w:val="20"/>
                <w:szCs w:val="20"/>
              </w:rPr>
            </w:pPr>
            <w:r>
              <w:rPr>
                <w:rFonts w:ascii="Arial" w:hAnsi="Arial" w:cs="Arial"/>
                <w:sz w:val="20"/>
                <w:szCs w:val="20"/>
              </w:rPr>
              <w:t>RES</w:t>
            </w:r>
          </w:p>
        </w:tc>
      </w:tr>
      <w:tr w:rsidR="00240612" w:rsidTr="00A35849">
        <w:tc>
          <w:tcPr>
            <w:tcW w:w="1384" w:type="dxa"/>
          </w:tcPr>
          <w:p w:rsidR="00240612" w:rsidRDefault="00240612" w:rsidP="000242C4">
            <w:pPr>
              <w:spacing w:before="60" w:after="60"/>
              <w:rPr>
                <w:rFonts w:ascii="Arial" w:hAnsi="Arial" w:cs="Arial"/>
                <w:sz w:val="20"/>
                <w:szCs w:val="20"/>
              </w:rPr>
            </w:pPr>
            <w:r>
              <w:rPr>
                <w:rFonts w:ascii="Arial" w:hAnsi="Arial" w:cs="Arial"/>
                <w:sz w:val="20"/>
                <w:szCs w:val="20"/>
              </w:rPr>
              <w:t>8.3.3</w:t>
            </w:r>
          </w:p>
        </w:tc>
        <w:tc>
          <w:tcPr>
            <w:tcW w:w="6379" w:type="dxa"/>
          </w:tcPr>
          <w:p w:rsidR="00240612" w:rsidRPr="00D1221D" w:rsidRDefault="00240612" w:rsidP="0097398A">
            <w:pPr>
              <w:spacing w:before="60" w:after="60"/>
              <w:rPr>
                <w:rFonts w:ascii="Arial" w:hAnsi="Arial" w:cs="Arial"/>
                <w:sz w:val="20"/>
                <w:szCs w:val="20"/>
              </w:rPr>
            </w:pPr>
            <w:r w:rsidRPr="00D1221D">
              <w:rPr>
                <w:rFonts w:ascii="Arial" w:hAnsi="Arial" w:cs="Arial"/>
                <w:sz w:val="20"/>
                <w:szCs w:val="20"/>
              </w:rPr>
              <w:t xml:space="preserve">Joao F. Gomes, Leonid </w:t>
            </w:r>
            <w:proofErr w:type="spellStart"/>
            <w:r w:rsidRPr="00D1221D">
              <w:rPr>
                <w:rFonts w:ascii="Arial" w:hAnsi="Arial" w:cs="Arial"/>
                <w:sz w:val="20"/>
                <w:szCs w:val="20"/>
              </w:rPr>
              <w:t>Kogan</w:t>
            </w:r>
            <w:proofErr w:type="spellEnd"/>
            <w:r w:rsidRPr="00D1221D">
              <w:rPr>
                <w:rFonts w:ascii="Arial" w:hAnsi="Arial" w:cs="Arial"/>
                <w:sz w:val="20"/>
                <w:szCs w:val="20"/>
              </w:rPr>
              <w:t xml:space="preserve"> and </w:t>
            </w:r>
            <w:proofErr w:type="spellStart"/>
            <w:r w:rsidRPr="00D1221D">
              <w:rPr>
                <w:rFonts w:ascii="Arial" w:hAnsi="Arial" w:cs="Arial"/>
                <w:sz w:val="20"/>
                <w:szCs w:val="20"/>
              </w:rPr>
              <w:t>Motohiro</w:t>
            </w:r>
            <w:proofErr w:type="spellEnd"/>
            <w:r w:rsidRPr="00D1221D">
              <w:rPr>
                <w:rFonts w:ascii="Arial" w:hAnsi="Arial" w:cs="Arial"/>
                <w:sz w:val="20"/>
                <w:szCs w:val="20"/>
              </w:rPr>
              <w:t xml:space="preserve"> </w:t>
            </w:r>
            <w:proofErr w:type="spellStart"/>
            <w:r w:rsidRPr="00D1221D">
              <w:rPr>
                <w:rFonts w:ascii="Arial" w:hAnsi="Arial" w:cs="Arial"/>
                <w:sz w:val="20"/>
                <w:szCs w:val="20"/>
              </w:rPr>
              <w:t>Yogo</w:t>
            </w:r>
            <w:proofErr w:type="spellEnd"/>
            <w:r w:rsidRPr="00D1221D">
              <w:rPr>
                <w:rFonts w:ascii="Arial" w:hAnsi="Arial" w:cs="Arial"/>
                <w:sz w:val="20"/>
                <w:szCs w:val="20"/>
              </w:rPr>
              <w:t xml:space="preserve"> (2009), “Durability of Output and Expected Stock Returns”, Journal of Political Economy, 117(5):  941-986.</w:t>
            </w:r>
          </w:p>
        </w:tc>
        <w:tc>
          <w:tcPr>
            <w:tcW w:w="1479" w:type="dxa"/>
            <w:tcBorders>
              <w:bottom w:val="single" w:sz="4" w:space="0" w:color="auto"/>
            </w:tcBorders>
            <w:shd w:val="clear" w:color="auto" w:fill="FABF8F" w:themeFill="accent6" w:themeFillTint="99"/>
          </w:tcPr>
          <w:p w:rsidR="00240612" w:rsidRDefault="00240612" w:rsidP="0097398A">
            <w:pPr>
              <w:spacing w:before="60" w:after="60"/>
              <w:rPr>
                <w:rFonts w:ascii="Arial" w:hAnsi="Arial" w:cs="Arial"/>
                <w:sz w:val="20"/>
                <w:szCs w:val="20"/>
              </w:rPr>
            </w:pPr>
            <w:r>
              <w:rPr>
                <w:rFonts w:ascii="Arial" w:hAnsi="Arial" w:cs="Arial"/>
                <w:sz w:val="20"/>
                <w:szCs w:val="20"/>
              </w:rPr>
              <w:t>No</w:t>
            </w:r>
          </w:p>
        </w:tc>
      </w:tr>
      <w:tr w:rsidR="00240612" w:rsidTr="00A35849">
        <w:tc>
          <w:tcPr>
            <w:tcW w:w="1384" w:type="dxa"/>
          </w:tcPr>
          <w:p w:rsidR="00240612" w:rsidRDefault="00240612" w:rsidP="000242C4">
            <w:pPr>
              <w:spacing w:before="60" w:after="60"/>
              <w:rPr>
                <w:rFonts w:ascii="Arial" w:hAnsi="Arial" w:cs="Arial"/>
                <w:sz w:val="20"/>
                <w:szCs w:val="20"/>
              </w:rPr>
            </w:pPr>
            <w:r>
              <w:rPr>
                <w:rFonts w:ascii="Arial" w:hAnsi="Arial" w:cs="Arial"/>
                <w:sz w:val="20"/>
                <w:szCs w:val="20"/>
              </w:rPr>
              <w:t>8.3.3</w:t>
            </w:r>
          </w:p>
        </w:tc>
        <w:tc>
          <w:tcPr>
            <w:tcW w:w="6379" w:type="dxa"/>
          </w:tcPr>
          <w:p w:rsidR="00240612" w:rsidRPr="00D1221D" w:rsidRDefault="00240612" w:rsidP="0097398A">
            <w:pPr>
              <w:spacing w:before="60" w:after="60"/>
              <w:rPr>
                <w:rFonts w:ascii="Arial" w:hAnsi="Arial" w:cs="Arial"/>
                <w:sz w:val="20"/>
                <w:szCs w:val="20"/>
              </w:rPr>
            </w:pPr>
            <w:r w:rsidRPr="00D1221D">
              <w:rPr>
                <w:rFonts w:ascii="Arial" w:hAnsi="Arial" w:cs="Arial"/>
                <w:sz w:val="20"/>
                <w:szCs w:val="20"/>
              </w:rPr>
              <w:t xml:space="preserve">Robert Merton (1973).  “An Intertemporal Capital Asset Pricing </w:t>
            </w:r>
            <w:r w:rsidRPr="00D1221D">
              <w:rPr>
                <w:rFonts w:ascii="Arial" w:hAnsi="Arial" w:cs="Arial"/>
                <w:sz w:val="20"/>
                <w:szCs w:val="20"/>
              </w:rPr>
              <w:lastRenderedPageBreak/>
              <w:t xml:space="preserve">Model”, </w:t>
            </w:r>
            <w:proofErr w:type="spellStart"/>
            <w:r w:rsidRPr="00D1221D">
              <w:rPr>
                <w:rFonts w:ascii="Arial" w:hAnsi="Arial" w:cs="Arial"/>
                <w:sz w:val="20"/>
                <w:szCs w:val="20"/>
              </w:rPr>
              <w:t>Econometrica</w:t>
            </w:r>
            <w:proofErr w:type="spellEnd"/>
            <w:r w:rsidRPr="00D1221D">
              <w:rPr>
                <w:rFonts w:ascii="Arial" w:hAnsi="Arial" w:cs="Arial"/>
                <w:sz w:val="20"/>
                <w:szCs w:val="20"/>
              </w:rPr>
              <w:t>, 41(5):  867-887.</w:t>
            </w:r>
          </w:p>
        </w:tc>
        <w:tc>
          <w:tcPr>
            <w:tcW w:w="1479" w:type="dxa"/>
            <w:tcBorders>
              <w:bottom w:val="single" w:sz="4" w:space="0" w:color="auto"/>
            </w:tcBorders>
            <w:shd w:val="clear" w:color="auto" w:fill="FABF8F" w:themeFill="accent6" w:themeFillTint="99"/>
          </w:tcPr>
          <w:p w:rsidR="00240612" w:rsidRDefault="00240612" w:rsidP="0097398A">
            <w:pPr>
              <w:spacing w:before="60" w:after="60"/>
              <w:rPr>
                <w:rFonts w:ascii="Arial" w:hAnsi="Arial" w:cs="Arial"/>
                <w:sz w:val="20"/>
                <w:szCs w:val="20"/>
              </w:rPr>
            </w:pPr>
            <w:r>
              <w:rPr>
                <w:rFonts w:ascii="Arial" w:hAnsi="Arial" w:cs="Arial"/>
                <w:sz w:val="20"/>
                <w:szCs w:val="20"/>
              </w:rPr>
              <w:lastRenderedPageBreak/>
              <w:t>No</w:t>
            </w:r>
          </w:p>
        </w:tc>
      </w:tr>
      <w:tr w:rsidR="00240612" w:rsidTr="00A35849">
        <w:tc>
          <w:tcPr>
            <w:tcW w:w="1384" w:type="dxa"/>
          </w:tcPr>
          <w:p w:rsidR="00240612" w:rsidRDefault="00240612" w:rsidP="000242C4">
            <w:pPr>
              <w:spacing w:before="60" w:after="60"/>
              <w:rPr>
                <w:rFonts w:ascii="Arial" w:hAnsi="Arial" w:cs="Arial"/>
                <w:sz w:val="20"/>
                <w:szCs w:val="20"/>
              </w:rPr>
            </w:pPr>
            <w:r>
              <w:rPr>
                <w:rFonts w:ascii="Arial" w:hAnsi="Arial" w:cs="Arial"/>
                <w:sz w:val="20"/>
                <w:szCs w:val="20"/>
              </w:rPr>
              <w:lastRenderedPageBreak/>
              <w:t>8.3.3</w:t>
            </w:r>
          </w:p>
        </w:tc>
        <w:tc>
          <w:tcPr>
            <w:tcW w:w="6379" w:type="dxa"/>
          </w:tcPr>
          <w:p w:rsidR="00240612" w:rsidRPr="00D1221D" w:rsidRDefault="00240612" w:rsidP="0097398A">
            <w:pPr>
              <w:spacing w:before="60" w:after="60"/>
              <w:rPr>
                <w:rFonts w:ascii="Arial" w:hAnsi="Arial" w:cs="Arial"/>
                <w:sz w:val="20"/>
                <w:szCs w:val="20"/>
              </w:rPr>
            </w:pPr>
            <w:r w:rsidRPr="008D29F4">
              <w:rPr>
                <w:rFonts w:ascii="Arial" w:hAnsi="Arial" w:cs="Arial"/>
                <w:sz w:val="20"/>
                <w:szCs w:val="20"/>
              </w:rPr>
              <w:t xml:space="preserve">John Y. Campbell, Martin </w:t>
            </w:r>
            <w:proofErr w:type="spellStart"/>
            <w:r w:rsidRPr="008D29F4">
              <w:rPr>
                <w:rFonts w:ascii="Arial" w:hAnsi="Arial" w:cs="Arial"/>
                <w:sz w:val="20"/>
                <w:szCs w:val="20"/>
              </w:rPr>
              <w:t>Lettau</w:t>
            </w:r>
            <w:proofErr w:type="spellEnd"/>
            <w:r w:rsidRPr="008D29F4">
              <w:rPr>
                <w:rFonts w:ascii="Arial" w:hAnsi="Arial" w:cs="Arial"/>
                <w:sz w:val="20"/>
                <w:szCs w:val="20"/>
              </w:rPr>
              <w:t xml:space="preserve">, Burton G. </w:t>
            </w:r>
            <w:proofErr w:type="spellStart"/>
            <w:r w:rsidRPr="008D29F4">
              <w:rPr>
                <w:rFonts w:ascii="Arial" w:hAnsi="Arial" w:cs="Arial"/>
                <w:sz w:val="20"/>
                <w:szCs w:val="20"/>
              </w:rPr>
              <w:t>Malkiel</w:t>
            </w:r>
            <w:proofErr w:type="spellEnd"/>
            <w:r w:rsidRPr="008D29F4">
              <w:rPr>
                <w:rFonts w:ascii="Arial" w:hAnsi="Arial" w:cs="Arial"/>
                <w:sz w:val="20"/>
                <w:szCs w:val="20"/>
              </w:rPr>
              <w:t xml:space="preserve"> and </w:t>
            </w:r>
            <w:proofErr w:type="spellStart"/>
            <w:r w:rsidRPr="008D29F4">
              <w:rPr>
                <w:rFonts w:ascii="Arial" w:hAnsi="Arial" w:cs="Arial"/>
                <w:sz w:val="20"/>
                <w:szCs w:val="20"/>
              </w:rPr>
              <w:t>Yexiao</w:t>
            </w:r>
            <w:proofErr w:type="spellEnd"/>
            <w:r w:rsidRPr="008D29F4">
              <w:rPr>
                <w:rFonts w:ascii="Arial" w:hAnsi="Arial" w:cs="Arial"/>
                <w:sz w:val="20"/>
                <w:szCs w:val="20"/>
              </w:rPr>
              <w:t xml:space="preserve"> Xu (2001), “Have Individual Stocks Become More Volatile?  An Empirical Exploration of Idiosyncratic Risk”, Journal of Finance, 56(1):  1-43.</w:t>
            </w:r>
          </w:p>
        </w:tc>
        <w:tc>
          <w:tcPr>
            <w:tcW w:w="1479" w:type="dxa"/>
            <w:tcBorders>
              <w:bottom w:val="single" w:sz="4" w:space="0" w:color="auto"/>
            </w:tcBorders>
            <w:shd w:val="clear" w:color="auto" w:fill="FABF8F" w:themeFill="accent6" w:themeFillTint="99"/>
          </w:tcPr>
          <w:p w:rsidR="00240612" w:rsidRDefault="00240612" w:rsidP="0097398A">
            <w:pPr>
              <w:spacing w:before="60" w:after="60"/>
              <w:rPr>
                <w:rFonts w:ascii="Arial" w:hAnsi="Arial" w:cs="Arial"/>
                <w:sz w:val="20"/>
                <w:szCs w:val="20"/>
              </w:rPr>
            </w:pPr>
            <w:r>
              <w:rPr>
                <w:rFonts w:ascii="Arial" w:hAnsi="Arial" w:cs="Arial"/>
                <w:sz w:val="20"/>
                <w:szCs w:val="20"/>
              </w:rPr>
              <w:t>No</w:t>
            </w:r>
          </w:p>
        </w:tc>
      </w:tr>
      <w:tr w:rsidR="00240612" w:rsidTr="00DB77F9">
        <w:tc>
          <w:tcPr>
            <w:tcW w:w="1384" w:type="dxa"/>
          </w:tcPr>
          <w:p w:rsidR="00240612" w:rsidRDefault="00240612" w:rsidP="000242C4">
            <w:pPr>
              <w:spacing w:before="60" w:after="60"/>
              <w:rPr>
                <w:rFonts w:ascii="Arial" w:hAnsi="Arial" w:cs="Arial"/>
                <w:sz w:val="20"/>
                <w:szCs w:val="20"/>
              </w:rPr>
            </w:pPr>
            <w:r>
              <w:rPr>
                <w:rFonts w:ascii="Arial" w:hAnsi="Arial" w:cs="Arial"/>
                <w:sz w:val="20"/>
                <w:szCs w:val="20"/>
              </w:rPr>
              <w:t>8.3.3</w:t>
            </w:r>
          </w:p>
        </w:tc>
        <w:tc>
          <w:tcPr>
            <w:tcW w:w="6379" w:type="dxa"/>
            <w:tcBorders>
              <w:right w:val="single" w:sz="4" w:space="0" w:color="auto"/>
            </w:tcBorders>
          </w:tcPr>
          <w:p w:rsidR="00240612" w:rsidRPr="008D29F4" w:rsidRDefault="00240612" w:rsidP="0097398A">
            <w:pPr>
              <w:spacing w:before="60" w:after="60"/>
              <w:rPr>
                <w:rFonts w:ascii="Arial" w:hAnsi="Arial" w:cs="Arial"/>
                <w:sz w:val="20"/>
                <w:szCs w:val="20"/>
              </w:rPr>
            </w:pPr>
            <w:r w:rsidRPr="008D29F4">
              <w:rPr>
                <w:rFonts w:ascii="Arial" w:hAnsi="Arial" w:cs="Arial"/>
                <w:sz w:val="20"/>
                <w:szCs w:val="20"/>
              </w:rPr>
              <w:t xml:space="preserve">George M. </w:t>
            </w:r>
            <w:proofErr w:type="spellStart"/>
            <w:r w:rsidRPr="008D29F4">
              <w:rPr>
                <w:rFonts w:ascii="Arial" w:hAnsi="Arial" w:cs="Arial"/>
                <w:sz w:val="20"/>
                <w:szCs w:val="20"/>
              </w:rPr>
              <w:t>Constantinides</w:t>
            </w:r>
            <w:proofErr w:type="spellEnd"/>
            <w:r w:rsidRPr="008D29F4">
              <w:rPr>
                <w:rFonts w:ascii="Arial" w:hAnsi="Arial" w:cs="Arial"/>
                <w:sz w:val="20"/>
                <w:szCs w:val="20"/>
              </w:rPr>
              <w:t xml:space="preserve"> and Darrell </w:t>
            </w:r>
            <w:proofErr w:type="spellStart"/>
            <w:r w:rsidRPr="008D29F4">
              <w:rPr>
                <w:rFonts w:ascii="Arial" w:hAnsi="Arial" w:cs="Arial"/>
                <w:sz w:val="20"/>
                <w:szCs w:val="20"/>
              </w:rPr>
              <w:t>Duffie</w:t>
            </w:r>
            <w:proofErr w:type="spellEnd"/>
            <w:r w:rsidRPr="008D29F4">
              <w:rPr>
                <w:rFonts w:ascii="Arial" w:hAnsi="Arial" w:cs="Arial"/>
                <w:sz w:val="20"/>
                <w:szCs w:val="20"/>
              </w:rPr>
              <w:t xml:space="preserve"> (1996), “Asset Pricing with Heterogeneous Consumers”, Journal of Political Economy 104(2):  219-240</w:t>
            </w:r>
          </w:p>
        </w:tc>
        <w:tc>
          <w:tcPr>
            <w:tcW w:w="147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240612" w:rsidRDefault="00240612" w:rsidP="0097398A">
            <w:pPr>
              <w:spacing w:before="60" w:after="60"/>
              <w:rPr>
                <w:rFonts w:ascii="Arial" w:hAnsi="Arial" w:cs="Arial"/>
                <w:sz w:val="20"/>
                <w:szCs w:val="20"/>
              </w:rPr>
            </w:pPr>
            <w:r>
              <w:rPr>
                <w:rFonts w:ascii="Arial" w:hAnsi="Arial" w:cs="Arial"/>
                <w:sz w:val="20"/>
                <w:szCs w:val="20"/>
              </w:rPr>
              <w:t>No</w:t>
            </w:r>
          </w:p>
        </w:tc>
      </w:tr>
      <w:tr w:rsidR="00240612" w:rsidTr="00DB77F9">
        <w:tc>
          <w:tcPr>
            <w:tcW w:w="1384" w:type="dxa"/>
          </w:tcPr>
          <w:p w:rsidR="00240612" w:rsidRDefault="00240612" w:rsidP="000242C4">
            <w:pPr>
              <w:spacing w:before="60" w:after="60"/>
              <w:rPr>
                <w:rFonts w:ascii="Arial" w:hAnsi="Arial" w:cs="Arial"/>
                <w:sz w:val="20"/>
                <w:szCs w:val="20"/>
              </w:rPr>
            </w:pPr>
            <w:r>
              <w:rPr>
                <w:rFonts w:ascii="Arial" w:hAnsi="Arial" w:cs="Arial"/>
                <w:sz w:val="20"/>
                <w:szCs w:val="20"/>
              </w:rPr>
              <w:t>8.3.3</w:t>
            </w:r>
          </w:p>
        </w:tc>
        <w:tc>
          <w:tcPr>
            <w:tcW w:w="6379" w:type="dxa"/>
          </w:tcPr>
          <w:p w:rsidR="00240612" w:rsidRPr="008D29F4" w:rsidRDefault="00240612" w:rsidP="0097398A">
            <w:pPr>
              <w:spacing w:before="60" w:after="60"/>
              <w:rPr>
                <w:rFonts w:ascii="Arial" w:hAnsi="Arial" w:cs="Arial"/>
                <w:sz w:val="20"/>
                <w:szCs w:val="20"/>
              </w:rPr>
            </w:pPr>
            <w:proofErr w:type="spellStart"/>
            <w:r w:rsidRPr="008D29F4">
              <w:rPr>
                <w:rFonts w:ascii="Arial" w:hAnsi="Arial" w:cs="Arial"/>
                <w:sz w:val="20"/>
                <w:szCs w:val="20"/>
              </w:rPr>
              <w:t>Alon</w:t>
            </w:r>
            <w:proofErr w:type="spellEnd"/>
            <w:r w:rsidRPr="008D29F4">
              <w:rPr>
                <w:rFonts w:ascii="Arial" w:hAnsi="Arial" w:cs="Arial"/>
                <w:sz w:val="20"/>
                <w:szCs w:val="20"/>
              </w:rPr>
              <w:t xml:space="preserve"> </w:t>
            </w:r>
            <w:proofErr w:type="spellStart"/>
            <w:r w:rsidRPr="008D29F4">
              <w:rPr>
                <w:rFonts w:ascii="Arial" w:hAnsi="Arial" w:cs="Arial"/>
                <w:sz w:val="20"/>
                <w:szCs w:val="20"/>
              </w:rPr>
              <w:t>Brav</w:t>
            </w:r>
            <w:proofErr w:type="spellEnd"/>
            <w:r w:rsidRPr="008D29F4">
              <w:rPr>
                <w:rFonts w:ascii="Arial" w:hAnsi="Arial" w:cs="Arial"/>
                <w:sz w:val="20"/>
                <w:szCs w:val="20"/>
              </w:rPr>
              <w:t xml:space="preserve">, George M. </w:t>
            </w:r>
            <w:proofErr w:type="spellStart"/>
            <w:r w:rsidRPr="008D29F4">
              <w:rPr>
                <w:rFonts w:ascii="Arial" w:hAnsi="Arial" w:cs="Arial"/>
                <w:sz w:val="20"/>
                <w:szCs w:val="20"/>
              </w:rPr>
              <w:t>Constantinides</w:t>
            </w:r>
            <w:proofErr w:type="spellEnd"/>
            <w:r w:rsidRPr="008D29F4">
              <w:rPr>
                <w:rFonts w:ascii="Arial" w:hAnsi="Arial" w:cs="Arial"/>
                <w:sz w:val="20"/>
                <w:szCs w:val="20"/>
              </w:rPr>
              <w:t xml:space="preserve">, Christopher C. </w:t>
            </w:r>
            <w:proofErr w:type="spellStart"/>
            <w:r w:rsidRPr="008D29F4">
              <w:rPr>
                <w:rFonts w:ascii="Arial" w:hAnsi="Arial" w:cs="Arial"/>
                <w:sz w:val="20"/>
                <w:szCs w:val="20"/>
              </w:rPr>
              <w:t>Geczy</w:t>
            </w:r>
            <w:proofErr w:type="spellEnd"/>
            <w:r w:rsidRPr="008D29F4">
              <w:rPr>
                <w:rFonts w:ascii="Arial" w:hAnsi="Arial" w:cs="Arial"/>
                <w:sz w:val="20"/>
                <w:szCs w:val="20"/>
              </w:rPr>
              <w:t xml:space="preserve"> (2002), “Asset Pricing with Heterogeneous Consumers and Limited Participation: Empirical Evidence”, Journal of Political Economy, 110(4): 793-824</w:t>
            </w:r>
            <w:r w:rsidR="00B42808">
              <w:rPr>
                <w:rFonts w:ascii="Arial" w:hAnsi="Arial" w:cs="Arial"/>
                <w:sz w:val="20"/>
                <w:szCs w:val="20"/>
              </w:rPr>
              <w:t>.</w:t>
            </w:r>
          </w:p>
        </w:tc>
        <w:tc>
          <w:tcPr>
            <w:tcW w:w="1479" w:type="dxa"/>
            <w:tcBorders>
              <w:top w:val="single" w:sz="4" w:space="0" w:color="auto"/>
            </w:tcBorders>
            <w:shd w:val="clear" w:color="auto" w:fill="FABF8F" w:themeFill="accent6" w:themeFillTint="99"/>
          </w:tcPr>
          <w:p w:rsidR="00240612" w:rsidRDefault="00DB77F9" w:rsidP="0097398A">
            <w:pPr>
              <w:spacing w:before="60" w:after="60"/>
              <w:rPr>
                <w:rFonts w:ascii="Arial" w:hAnsi="Arial" w:cs="Arial"/>
                <w:sz w:val="20"/>
                <w:szCs w:val="20"/>
              </w:rPr>
            </w:pPr>
            <w:r>
              <w:rPr>
                <w:rFonts w:ascii="Arial" w:hAnsi="Arial" w:cs="Arial"/>
                <w:sz w:val="20"/>
                <w:szCs w:val="20"/>
              </w:rPr>
              <w:t>No</w:t>
            </w:r>
          </w:p>
        </w:tc>
      </w:tr>
      <w:tr w:rsidR="00240612" w:rsidTr="00DB77F9">
        <w:tc>
          <w:tcPr>
            <w:tcW w:w="1384" w:type="dxa"/>
          </w:tcPr>
          <w:p w:rsidR="00240612" w:rsidRDefault="00240612" w:rsidP="000242C4">
            <w:pPr>
              <w:spacing w:before="60" w:after="60"/>
              <w:rPr>
                <w:rFonts w:ascii="Arial" w:hAnsi="Arial" w:cs="Arial"/>
                <w:sz w:val="20"/>
                <w:szCs w:val="20"/>
              </w:rPr>
            </w:pPr>
            <w:r>
              <w:rPr>
                <w:rFonts w:ascii="Arial" w:hAnsi="Arial" w:cs="Arial"/>
                <w:sz w:val="20"/>
                <w:szCs w:val="20"/>
              </w:rPr>
              <w:t>8.3.3</w:t>
            </w:r>
          </w:p>
        </w:tc>
        <w:tc>
          <w:tcPr>
            <w:tcW w:w="6379" w:type="dxa"/>
          </w:tcPr>
          <w:p w:rsidR="00240612" w:rsidRPr="008D29F4" w:rsidRDefault="00240612" w:rsidP="0097398A">
            <w:pPr>
              <w:spacing w:before="60" w:after="60"/>
              <w:rPr>
                <w:rFonts w:ascii="Arial" w:hAnsi="Arial" w:cs="Arial"/>
                <w:sz w:val="20"/>
                <w:szCs w:val="20"/>
              </w:rPr>
            </w:pPr>
            <w:proofErr w:type="spellStart"/>
            <w:r w:rsidRPr="008D29F4">
              <w:rPr>
                <w:rFonts w:ascii="Arial" w:hAnsi="Arial" w:cs="Arial"/>
                <w:sz w:val="20"/>
                <w:szCs w:val="20"/>
              </w:rPr>
              <w:t>Fangjian</w:t>
            </w:r>
            <w:proofErr w:type="spellEnd"/>
            <w:r w:rsidRPr="008D29F4">
              <w:rPr>
                <w:rFonts w:ascii="Arial" w:hAnsi="Arial" w:cs="Arial"/>
                <w:sz w:val="20"/>
                <w:szCs w:val="20"/>
              </w:rPr>
              <w:t xml:space="preserve"> Fu (2009), “Idiosyncratic Risk and the cross-section of expected stock returns”, Journal of Financial Economics, 91:  24-37</w:t>
            </w:r>
          </w:p>
        </w:tc>
        <w:tc>
          <w:tcPr>
            <w:tcW w:w="1479" w:type="dxa"/>
            <w:tcBorders>
              <w:bottom w:val="single" w:sz="4" w:space="0" w:color="auto"/>
            </w:tcBorders>
          </w:tcPr>
          <w:p w:rsidR="00240612" w:rsidRDefault="00DB77F9" w:rsidP="0097398A">
            <w:pPr>
              <w:spacing w:before="60" w:after="60"/>
              <w:rPr>
                <w:rFonts w:ascii="Arial" w:hAnsi="Arial" w:cs="Arial"/>
                <w:sz w:val="20"/>
                <w:szCs w:val="20"/>
              </w:rPr>
            </w:pPr>
            <w:r>
              <w:rPr>
                <w:rFonts w:ascii="Arial" w:hAnsi="Arial" w:cs="Arial"/>
                <w:sz w:val="20"/>
                <w:szCs w:val="20"/>
              </w:rPr>
              <w:t>RES</w:t>
            </w:r>
          </w:p>
        </w:tc>
      </w:tr>
      <w:tr w:rsidR="00240612" w:rsidTr="00DB77F9">
        <w:tc>
          <w:tcPr>
            <w:tcW w:w="1384" w:type="dxa"/>
          </w:tcPr>
          <w:p w:rsidR="00240612" w:rsidRDefault="00240612" w:rsidP="000242C4">
            <w:pPr>
              <w:spacing w:before="60" w:after="60"/>
              <w:rPr>
                <w:rFonts w:ascii="Arial" w:hAnsi="Arial" w:cs="Arial"/>
                <w:sz w:val="20"/>
                <w:szCs w:val="20"/>
              </w:rPr>
            </w:pPr>
            <w:r>
              <w:rPr>
                <w:rFonts w:ascii="Arial" w:hAnsi="Arial" w:cs="Arial"/>
                <w:sz w:val="20"/>
                <w:szCs w:val="20"/>
              </w:rPr>
              <w:t>8.3.3</w:t>
            </w:r>
          </w:p>
        </w:tc>
        <w:tc>
          <w:tcPr>
            <w:tcW w:w="6379" w:type="dxa"/>
          </w:tcPr>
          <w:p w:rsidR="00240612" w:rsidRPr="008D29F4" w:rsidRDefault="00240612" w:rsidP="0097398A">
            <w:pPr>
              <w:spacing w:before="60" w:after="60"/>
              <w:rPr>
                <w:rFonts w:ascii="Arial" w:hAnsi="Arial" w:cs="Arial"/>
                <w:sz w:val="20"/>
                <w:szCs w:val="20"/>
              </w:rPr>
            </w:pPr>
            <w:r w:rsidRPr="008D29F4">
              <w:rPr>
                <w:rFonts w:ascii="Arial" w:hAnsi="Arial" w:cs="Arial"/>
                <w:sz w:val="20"/>
                <w:szCs w:val="20"/>
              </w:rPr>
              <w:t xml:space="preserve">Francis A. </w:t>
            </w:r>
            <w:proofErr w:type="spellStart"/>
            <w:r w:rsidRPr="008D29F4">
              <w:rPr>
                <w:rFonts w:ascii="Arial" w:hAnsi="Arial" w:cs="Arial"/>
                <w:sz w:val="20"/>
                <w:szCs w:val="20"/>
              </w:rPr>
              <w:t>Longstaff</w:t>
            </w:r>
            <w:proofErr w:type="spellEnd"/>
            <w:r w:rsidRPr="008D29F4">
              <w:rPr>
                <w:rFonts w:ascii="Arial" w:hAnsi="Arial" w:cs="Arial"/>
                <w:sz w:val="20"/>
                <w:szCs w:val="20"/>
              </w:rPr>
              <w:t xml:space="preserve"> (2009), “Portfolio Claustrophobia: Asset Pricing in Markets with Illiquid Assets", American Economic Review, 99(4):  1119-1144.</w:t>
            </w:r>
          </w:p>
        </w:tc>
        <w:tc>
          <w:tcPr>
            <w:tcW w:w="1479" w:type="dxa"/>
            <w:tcBorders>
              <w:bottom w:val="single" w:sz="4" w:space="0" w:color="auto"/>
            </w:tcBorders>
            <w:shd w:val="clear" w:color="auto" w:fill="FABF8F" w:themeFill="accent6" w:themeFillTint="99"/>
          </w:tcPr>
          <w:p w:rsidR="00240612" w:rsidRDefault="00DB77F9" w:rsidP="0097398A">
            <w:pPr>
              <w:spacing w:before="60" w:after="60"/>
              <w:rPr>
                <w:rFonts w:ascii="Arial" w:hAnsi="Arial" w:cs="Arial"/>
                <w:sz w:val="20"/>
                <w:szCs w:val="20"/>
              </w:rPr>
            </w:pPr>
            <w:r>
              <w:rPr>
                <w:rFonts w:ascii="Arial" w:hAnsi="Arial" w:cs="Arial"/>
                <w:sz w:val="20"/>
                <w:szCs w:val="20"/>
              </w:rPr>
              <w:t>No</w:t>
            </w:r>
          </w:p>
        </w:tc>
      </w:tr>
      <w:tr w:rsidR="00240612" w:rsidTr="00A35849">
        <w:tc>
          <w:tcPr>
            <w:tcW w:w="1384" w:type="dxa"/>
          </w:tcPr>
          <w:p w:rsidR="00240612" w:rsidRDefault="00240612" w:rsidP="0097398A">
            <w:pPr>
              <w:spacing w:before="60" w:after="60"/>
              <w:rPr>
                <w:rFonts w:ascii="Arial" w:hAnsi="Arial" w:cs="Arial"/>
                <w:sz w:val="20"/>
                <w:szCs w:val="20"/>
              </w:rPr>
            </w:pPr>
            <w:r>
              <w:rPr>
                <w:rFonts w:ascii="Arial" w:hAnsi="Arial" w:cs="Arial"/>
                <w:sz w:val="20"/>
                <w:szCs w:val="20"/>
              </w:rPr>
              <w:t>8.3.3</w:t>
            </w:r>
          </w:p>
        </w:tc>
        <w:tc>
          <w:tcPr>
            <w:tcW w:w="6379" w:type="dxa"/>
          </w:tcPr>
          <w:p w:rsidR="00240612" w:rsidRPr="008D29F4" w:rsidRDefault="00240612" w:rsidP="0097398A">
            <w:pPr>
              <w:spacing w:before="60" w:after="60"/>
              <w:rPr>
                <w:rFonts w:ascii="Arial" w:hAnsi="Arial" w:cs="Arial"/>
                <w:sz w:val="20"/>
                <w:szCs w:val="20"/>
              </w:rPr>
            </w:pPr>
            <w:r w:rsidRPr="008D29F4">
              <w:rPr>
                <w:rFonts w:ascii="Arial" w:hAnsi="Arial" w:cs="Arial"/>
                <w:sz w:val="20"/>
                <w:szCs w:val="20"/>
              </w:rPr>
              <w:t xml:space="preserve">Mark </w:t>
            </w:r>
            <w:proofErr w:type="spellStart"/>
            <w:r w:rsidRPr="008D29F4">
              <w:rPr>
                <w:rFonts w:ascii="Arial" w:hAnsi="Arial" w:cs="Arial"/>
                <w:sz w:val="20"/>
                <w:szCs w:val="20"/>
              </w:rPr>
              <w:t>Machina</w:t>
            </w:r>
            <w:proofErr w:type="spellEnd"/>
            <w:r w:rsidRPr="008D29F4">
              <w:rPr>
                <w:rFonts w:ascii="Arial" w:hAnsi="Arial" w:cs="Arial"/>
                <w:sz w:val="20"/>
                <w:szCs w:val="20"/>
              </w:rPr>
              <w:t xml:space="preserve"> (1987), "Choice Under Uncertainty: Problems Solved and Unsolved", Journal of Economic Perspectives, 1(1):  121-154.</w:t>
            </w:r>
          </w:p>
        </w:tc>
        <w:tc>
          <w:tcPr>
            <w:tcW w:w="1479" w:type="dxa"/>
            <w:shd w:val="clear" w:color="auto" w:fill="FABF8F" w:themeFill="accent6" w:themeFillTint="99"/>
          </w:tcPr>
          <w:p w:rsidR="00240612" w:rsidRDefault="00240612" w:rsidP="0097398A">
            <w:pPr>
              <w:spacing w:before="60" w:after="60"/>
              <w:rPr>
                <w:rFonts w:ascii="Arial" w:hAnsi="Arial" w:cs="Arial"/>
                <w:sz w:val="20"/>
                <w:szCs w:val="20"/>
              </w:rPr>
            </w:pPr>
            <w:r>
              <w:rPr>
                <w:rFonts w:ascii="Arial" w:hAnsi="Arial" w:cs="Arial"/>
                <w:sz w:val="20"/>
                <w:szCs w:val="20"/>
              </w:rPr>
              <w:t>No</w:t>
            </w:r>
          </w:p>
        </w:tc>
      </w:tr>
      <w:tr w:rsidR="00240612" w:rsidTr="00A35849">
        <w:tc>
          <w:tcPr>
            <w:tcW w:w="1384" w:type="dxa"/>
          </w:tcPr>
          <w:p w:rsidR="00240612" w:rsidRDefault="00240612" w:rsidP="0097398A">
            <w:pPr>
              <w:spacing w:before="60" w:after="60"/>
              <w:rPr>
                <w:rFonts w:ascii="Arial" w:hAnsi="Arial" w:cs="Arial"/>
                <w:sz w:val="20"/>
                <w:szCs w:val="20"/>
              </w:rPr>
            </w:pPr>
            <w:r>
              <w:rPr>
                <w:rFonts w:ascii="Arial" w:hAnsi="Arial" w:cs="Arial"/>
                <w:sz w:val="20"/>
                <w:szCs w:val="20"/>
              </w:rPr>
              <w:t>8.3.3</w:t>
            </w:r>
          </w:p>
        </w:tc>
        <w:tc>
          <w:tcPr>
            <w:tcW w:w="6379" w:type="dxa"/>
          </w:tcPr>
          <w:p w:rsidR="00240612" w:rsidRPr="008D29F4" w:rsidRDefault="00240612" w:rsidP="0097398A">
            <w:pPr>
              <w:spacing w:before="60" w:after="60"/>
              <w:rPr>
                <w:rFonts w:ascii="Arial" w:hAnsi="Arial" w:cs="Arial"/>
                <w:sz w:val="20"/>
                <w:szCs w:val="20"/>
              </w:rPr>
            </w:pPr>
            <w:r w:rsidRPr="008D29F4">
              <w:rPr>
                <w:rFonts w:ascii="Arial" w:hAnsi="Arial" w:cs="Arial"/>
                <w:sz w:val="20"/>
                <w:szCs w:val="20"/>
              </w:rPr>
              <w:t xml:space="preserve">Robert J Shiller (2003), "From Efficient Markets Theory to </w:t>
            </w:r>
            <w:proofErr w:type="spellStart"/>
            <w:r w:rsidRPr="008D29F4">
              <w:rPr>
                <w:rFonts w:ascii="Arial" w:hAnsi="Arial" w:cs="Arial"/>
                <w:sz w:val="20"/>
                <w:szCs w:val="20"/>
              </w:rPr>
              <w:t>Behavioral</w:t>
            </w:r>
            <w:proofErr w:type="spellEnd"/>
            <w:r w:rsidRPr="008D29F4">
              <w:rPr>
                <w:rFonts w:ascii="Arial" w:hAnsi="Arial" w:cs="Arial"/>
                <w:sz w:val="20"/>
                <w:szCs w:val="20"/>
              </w:rPr>
              <w:t xml:space="preserve"> Finance", Journal of Economic Perspectives, 17(1):  83-104.</w:t>
            </w:r>
          </w:p>
        </w:tc>
        <w:tc>
          <w:tcPr>
            <w:tcW w:w="1479" w:type="dxa"/>
            <w:tcBorders>
              <w:bottom w:val="single" w:sz="4" w:space="0" w:color="auto"/>
            </w:tcBorders>
            <w:shd w:val="clear" w:color="auto" w:fill="FABF8F" w:themeFill="accent6" w:themeFillTint="99"/>
          </w:tcPr>
          <w:p w:rsidR="00240612" w:rsidRDefault="00240612" w:rsidP="0097398A">
            <w:pPr>
              <w:spacing w:before="60" w:after="60"/>
              <w:rPr>
                <w:rFonts w:ascii="Arial" w:hAnsi="Arial" w:cs="Arial"/>
                <w:sz w:val="20"/>
                <w:szCs w:val="20"/>
              </w:rPr>
            </w:pPr>
            <w:r>
              <w:rPr>
                <w:rFonts w:ascii="Arial" w:hAnsi="Arial" w:cs="Arial"/>
                <w:sz w:val="20"/>
                <w:szCs w:val="20"/>
              </w:rPr>
              <w:t>No</w:t>
            </w:r>
          </w:p>
        </w:tc>
      </w:tr>
      <w:tr w:rsidR="00240612" w:rsidTr="00A35849">
        <w:tc>
          <w:tcPr>
            <w:tcW w:w="1384" w:type="dxa"/>
          </w:tcPr>
          <w:p w:rsidR="00240612" w:rsidRDefault="00240612" w:rsidP="0097398A">
            <w:pPr>
              <w:spacing w:before="60" w:after="60"/>
              <w:rPr>
                <w:rFonts w:ascii="Arial" w:hAnsi="Arial" w:cs="Arial"/>
                <w:sz w:val="20"/>
                <w:szCs w:val="20"/>
              </w:rPr>
            </w:pPr>
            <w:r>
              <w:rPr>
                <w:rFonts w:ascii="Arial" w:hAnsi="Arial" w:cs="Arial"/>
                <w:sz w:val="20"/>
                <w:szCs w:val="20"/>
              </w:rPr>
              <w:t>8.3.3</w:t>
            </w:r>
          </w:p>
        </w:tc>
        <w:tc>
          <w:tcPr>
            <w:tcW w:w="6379" w:type="dxa"/>
          </w:tcPr>
          <w:p w:rsidR="00240612" w:rsidRPr="008D29F4" w:rsidRDefault="00240612" w:rsidP="0097398A">
            <w:pPr>
              <w:spacing w:before="60" w:after="60"/>
              <w:rPr>
                <w:rFonts w:ascii="Arial" w:hAnsi="Arial" w:cs="Arial"/>
                <w:sz w:val="20"/>
                <w:szCs w:val="20"/>
              </w:rPr>
            </w:pPr>
            <w:r w:rsidRPr="008D29F4">
              <w:rPr>
                <w:rFonts w:ascii="Arial" w:hAnsi="Arial" w:cs="Arial"/>
                <w:sz w:val="20"/>
                <w:szCs w:val="20"/>
              </w:rPr>
              <w:t>Fisher Black (1972), “Capital Market Equilibrium with Restricted Borrowing”, Journal of Business, 45(3):  444-455.</w:t>
            </w:r>
          </w:p>
        </w:tc>
        <w:tc>
          <w:tcPr>
            <w:tcW w:w="1479" w:type="dxa"/>
            <w:shd w:val="clear" w:color="auto" w:fill="FABF8F" w:themeFill="accent6" w:themeFillTint="99"/>
          </w:tcPr>
          <w:p w:rsidR="00240612" w:rsidRDefault="00240612" w:rsidP="0097398A">
            <w:pPr>
              <w:spacing w:before="60" w:after="60"/>
              <w:rPr>
                <w:rFonts w:ascii="Arial" w:hAnsi="Arial" w:cs="Arial"/>
                <w:sz w:val="20"/>
                <w:szCs w:val="20"/>
              </w:rPr>
            </w:pPr>
            <w:r>
              <w:rPr>
                <w:rFonts w:ascii="Arial" w:hAnsi="Arial" w:cs="Arial"/>
                <w:sz w:val="20"/>
                <w:szCs w:val="20"/>
              </w:rPr>
              <w:t>No</w:t>
            </w:r>
          </w:p>
        </w:tc>
      </w:tr>
      <w:tr w:rsidR="00240612" w:rsidTr="009E5EB3">
        <w:tc>
          <w:tcPr>
            <w:tcW w:w="1384" w:type="dxa"/>
          </w:tcPr>
          <w:p w:rsidR="00240612" w:rsidRDefault="00240612" w:rsidP="0097398A">
            <w:pPr>
              <w:spacing w:before="60" w:after="60"/>
              <w:rPr>
                <w:rFonts w:ascii="Arial" w:hAnsi="Arial" w:cs="Arial"/>
                <w:sz w:val="20"/>
                <w:szCs w:val="20"/>
              </w:rPr>
            </w:pPr>
            <w:r>
              <w:rPr>
                <w:rFonts w:ascii="Arial" w:hAnsi="Arial" w:cs="Arial"/>
                <w:sz w:val="20"/>
                <w:szCs w:val="20"/>
              </w:rPr>
              <w:t>8.3.3</w:t>
            </w:r>
          </w:p>
        </w:tc>
        <w:tc>
          <w:tcPr>
            <w:tcW w:w="6379" w:type="dxa"/>
          </w:tcPr>
          <w:p w:rsidR="00240612" w:rsidRPr="008D29F4" w:rsidRDefault="00240612" w:rsidP="0097398A">
            <w:pPr>
              <w:spacing w:before="60" w:after="60"/>
              <w:rPr>
                <w:rFonts w:ascii="Arial" w:hAnsi="Arial" w:cs="Arial"/>
                <w:sz w:val="20"/>
                <w:szCs w:val="20"/>
              </w:rPr>
            </w:pPr>
            <w:r w:rsidRPr="008D29F4">
              <w:rPr>
                <w:rFonts w:ascii="Arial" w:hAnsi="Arial" w:cs="Arial"/>
                <w:sz w:val="20"/>
                <w:szCs w:val="20"/>
              </w:rPr>
              <w:t xml:space="preserve">Fischer Black, Michael C Jensen and Myron Scholes (1972), “The Capital Asset Pricing Model: Some Empirical Tests”, in Michael C Jensen (ed.), Studies in the Theory of Capital Markets, New York:  </w:t>
            </w:r>
            <w:proofErr w:type="spellStart"/>
            <w:r w:rsidRPr="008D29F4">
              <w:rPr>
                <w:rFonts w:ascii="Arial" w:hAnsi="Arial" w:cs="Arial"/>
                <w:sz w:val="20"/>
                <w:szCs w:val="20"/>
              </w:rPr>
              <w:t>Praeger</w:t>
            </w:r>
            <w:proofErr w:type="spellEnd"/>
            <w:r w:rsidRPr="008D29F4">
              <w:rPr>
                <w:rFonts w:ascii="Arial" w:hAnsi="Arial" w:cs="Arial"/>
                <w:sz w:val="20"/>
                <w:szCs w:val="20"/>
              </w:rPr>
              <w:t>.</w:t>
            </w:r>
          </w:p>
        </w:tc>
        <w:tc>
          <w:tcPr>
            <w:tcW w:w="1479" w:type="dxa"/>
          </w:tcPr>
          <w:p w:rsidR="00240612" w:rsidRDefault="00240612" w:rsidP="0097398A">
            <w:pPr>
              <w:spacing w:before="60" w:after="60"/>
              <w:rPr>
                <w:rFonts w:ascii="Arial" w:hAnsi="Arial" w:cs="Arial"/>
                <w:sz w:val="20"/>
                <w:szCs w:val="20"/>
              </w:rPr>
            </w:pPr>
            <w:r>
              <w:rPr>
                <w:rFonts w:ascii="Arial" w:hAnsi="Arial" w:cs="Arial"/>
                <w:sz w:val="20"/>
                <w:szCs w:val="20"/>
              </w:rPr>
              <w:t>Book</w:t>
            </w:r>
          </w:p>
        </w:tc>
      </w:tr>
      <w:tr w:rsidR="00240612" w:rsidTr="00E30229">
        <w:tc>
          <w:tcPr>
            <w:tcW w:w="1384" w:type="dxa"/>
          </w:tcPr>
          <w:p w:rsidR="00240612" w:rsidRDefault="00240612" w:rsidP="0097398A">
            <w:pPr>
              <w:spacing w:before="60" w:after="60"/>
              <w:rPr>
                <w:rFonts w:ascii="Arial" w:hAnsi="Arial" w:cs="Arial"/>
                <w:sz w:val="20"/>
                <w:szCs w:val="20"/>
              </w:rPr>
            </w:pPr>
            <w:r>
              <w:rPr>
                <w:rFonts w:ascii="Arial" w:hAnsi="Arial" w:cs="Arial"/>
                <w:sz w:val="20"/>
                <w:szCs w:val="20"/>
              </w:rPr>
              <w:t>8.3.3</w:t>
            </w:r>
          </w:p>
        </w:tc>
        <w:tc>
          <w:tcPr>
            <w:tcW w:w="6379" w:type="dxa"/>
          </w:tcPr>
          <w:p w:rsidR="00240612" w:rsidRPr="008D29F4" w:rsidRDefault="00240612" w:rsidP="0097398A">
            <w:pPr>
              <w:spacing w:before="60" w:after="60"/>
              <w:rPr>
                <w:rFonts w:ascii="Arial" w:hAnsi="Arial" w:cs="Arial"/>
                <w:sz w:val="20"/>
                <w:szCs w:val="20"/>
              </w:rPr>
            </w:pPr>
            <w:r w:rsidRPr="008D29F4">
              <w:rPr>
                <w:rFonts w:ascii="Arial" w:hAnsi="Arial" w:cs="Arial"/>
                <w:sz w:val="20"/>
                <w:szCs w:val="20"/>
              </w:rPr>
              <w:t xml:space="preserve">John Y Campbell, Andrew W Lo and A Craig </w:t>
            </w:r>
            <w:proofErr w:type="spellStart"/>
            <w:r w:rsidRPr="008D29F4">
              <w:rPr>
                <w:rFonts w:ascii="Arial" w:hAnsi="Arial" w:cs="Arial"/>
                <w:sz w:val="20"/>
                <w:szCs w:val="20"/>
              </w:rPr>
              <w:t>MacKinlay</w:t>
            </w:r>
            <w:proofErr w:type="spellEnd"/>
            <w:r w:rsidRPr="008D29F4">
              <w:rPr>
                <w:rFonts w:ascii="Arial" w:hAnsi="Arial" w:cs="Arial"/>
                <w:sz w:val="20"/>
                <w:szCs w:val="20"/>
              </w:rPr>
              <w:t xml:space="preserve"> (1997), The Econometrics of Financial Markets, Princeton, New Jersey: Princeton University Press</w:t>
            </w:r>
            <w:r>
              <w:rPr>
                <w:rFonts w:ascii="Arial" w:hAnsi="Arial" w:cs="Arial"/>
                <w:sz w:val="20"/>
                <w:szCs w:val="20"/>
              </w:rPr>
              <w:t>.</w:t>
            </w:r>
          </w:p>
        </w:tc>
        <w:tc>
          <w:tcPr>
            <w:tcW w:w="1479" w:type="dxa"/>
            <w:tcBorders>
              <w:bottom w:val="single" w:sz="4" w:space="0" w:color="auto"/>
            </w:tcBorders>
          </w:tcPr>
          <w:p w:rsidR="00240612" w:rsidRDefault="00240612" w:rsidP="0097398A">
            <w:pPr>
              <w:spacing w:before="60" w:after="60"/>
              <w:rPr>
                <w:rFonts w:ascii="Arial" w:hAnsi="Arial" w:cs="Arial"/>
                <w:sz w:val="20"/>
                <w:szCs w:val="20"/>
              </w:rPr>
            </w:pPr>
            <w:r>
              <w:rPr>
                <w:rFonts w:ascii="Arial" w:hAnsi="Arial" w:cs="Arial"/>
                <w:sz w:val="20"/>
                <w:szCs w:val="20"/>
              </w:rPr>
              <w:t>Book</w:t>
            </w:r>
          </w:p>
        </w:tc>
      </w:tr>
      <w:tr w:rsidR="00240612" w:rsidTr="00C2740E">
        <w:tc>
          <w:tcPr>
            <w:tcW w:w="1384" w:type="dxa"/>
          </w:tcPr>
          <w:p w:rsidR="00240612" w:rsidRDefault="00240612" w:rsidP="0097398A">
            <w:pPr>
              <w:spacing w:before="60" w:after="60"/>
              <w:rPr>
                <w:rFonts w:ascii="Arial" w:hAnsi="Arial" w:cs="Arial"/>
                <w:sz w:val="20"/>
                <w:szCs w:val="20"/>
              </w:rPr>
            </w:pPr>
            <w:r>
              <w:rPr>
                <w:rFonts w:ascii="Arial" w:hAnsi="Arial" w:cs="Arial"/>
                <w:sz w:val="20"/>
                <w:szCs w:val="20"/>
              </w:rPr>
              <w:t>8.3.3</w:t>
            </w:r>
          </w:p>
        </w:tc>
        <w:tc>
          <w:tcPr>
            <w:tcW w:w="6379" w:type="dxa"/>
          </w:tcPr>
          <w:p w:rsidR="00240612" w:rsidRPr="008D29F4" w:rsidRDefault="00240612" w:rsidP="0097398A">
            <w:pPr>
              <w:spacing w:before="60" w:after="60"/>
              <w:rPr>
                <w:rFonts w:ascii="Arial" w:hAnsi="Arial" w:cs="Arial"/>
                <w:sz w:val="20"/>
                <w:szCs w:val="20"/>
              </w:rPr>
            </w:pPr>
            <w:r w:rsidRPr="008D29F4">
              <w:rPr>
                <w:rFonts w:ascii="Arial" w:hAnsi="Arial" w:cs="Arial"/>
                <w:sz w:val="20"/>
                <w:szCs w:val="20"/>
              </w:rPr>
              <w:t xml:space="preserve">Michael McKenzie and Graham </w:t>
            </w:r>
            <w:proofErr w:type="spellStart"/>
            <w:r w:rsidRPr="008D29F4">
              <w:rPr>
                <w:rFonts w:ascii="Arial" w:hAnsi="Arial" w:cs="Arial"/>
                <w:sz w:val="20"/>
                <w:szCs w:val="20"/>
              </w:rPr>
              <w:t>Partington</w:t>
            </w:r>
            <w:proofErr w:type="spellEnd"/>
            <w:r w:rsidRPr="008D29F4">
              <w:rPr>
                <w:rFonts w:ascii="Arial" w:hAnsi="Arial" w:cs="Arial"/>
                <w:sz w:val="20"/>
                <w:szCs w:val="20"/>
              </w:rPr>
              <w:t>, Report to the AER Part A:  Return on Equity, on behalf of The Securities Industry Research Centre of Asia-Pacific (SIRCA) Limited, October 2014</w:t>
            </w:r>
            <w:r>
              <w:rPr>
                <w:rFonts w:ascii="Arial" w:hAnsi="Arial" w:cs="Arial"/>
                <w:sz w:val="20"/>
                <w:szCs w:val="20"/>
              </w:rPr>
              <w:t>.</w:t>
            </w:r>
          </w:p>
        </w:tc>
        <w:tc>
          <w:tcPr>
            <w:tcW w:w="1479" w:type="dxa"/>
            <w:tcBorders>
              <w:bottom w:val="single" w:sz="4" w:space="0" w:color="auto"/>
            </w:tcBorders>
            <w:shd w:val="clear" w:color="auto" w:fill="auto"/>
          </w:tcPr>
          <w:p w:rsidR="00240612" w:rsidRDefault="00240612" w:rsidP="0097398A">
            <w:pPr>
              <w:spacing w:before="60" w:after="60"/>
              <w:rPr>
                <w:rFonts w:ascii="Arial" w:hAnsi="Arial" w:cs="Arial"/>
                <w:sz w:val="20"/>
                <w:szCs w:val="20"/>
              </w:rPr>
            </w:pPr>
            <w:r>
              <w:rPr>
                <w:rFonts w:ascii="Arial" w:hAnsi="Arial" w:cs="Arial"/>
                <w:sz w:val="20"/>
                <w:szCs w:val="20"/>
              </w:rPr>
              <w:t>No</w:t>
            </w:r>
          </w:p>
        </w:tc>
      </w:tr>
      <w:tr w:rsidR="00240612" w:rsidTr="00C2740E">
        <w:tc>
          <w:tcPr>
            <w:tcW w:w="1384" w:type="dxa"/>
          </w:tcPr>
          <w:p w:rsidR="00240612" w:rsidRDefault="00240612" w:rsidP="0097398A">
            <w:pPr>
              <w:spacing w:before="60" w:after="60"/>
              <w:rPr>
                <w:rFonts w:ascii="Arial" w:hAnsi="Arial" w:cs="Arial"/>
                <w:sz w:val="20"/>
                <w:szCs w:val="20"/>
              </w:rPr>
            </w:pPr>
            <w:r>
              <w:rPr>
                <w:rFonts w:ascii="Arial" w:hAnsi="Arial" w:cs="Arial"/>
                <w:sz w:val="20"/>
                <w:szCs w:val="20"/>
              </w:rPr>
              <w:t>8.3.3</w:t>
            </w:r>
          </w:p>
        </w:tc>
        <w:tc>
          <w:tcPr>
            <w:tcW w:w="6379" w:type="dxa"/>
          </w:tcPr>
          <w:p w:rsidR="00240612" w:rsidRPr="008D29F4" w:rsidRDefault="00240612" w:rsidP="0097398A">
            <w:pPr>
              <w:spacing w:before="60" w:after="60"/>
              <w:rPr>
                <w:rFonts w:ascii="Arial" w:hAnsi="Arial" w:cs="Arial"/>
                <w:sz w:val="20"/>
                <w:szCs w:val="20"/>
              </w:rPr>
            </w:pPr>
            <w:r w:rsidRPr="008D29F4">
              <w:rPr>
                <w:rFonts w:ascii="Arial" w:hAnsi="Arial" w:cs="Arial"/>
                <w:sz w:val="20"/>
                <w:szCs w:val="20"/>
              </w:rPr>
              <w:t>Australian Energy Regulator, Explanatory Statement:  Rate of Return Guideline</w:t>
            </w:r>
            <w:r>
              <w:rPr>
                <w:rFonts w:ascii="Arial" w:hAnsi="Arial" w:cs="Arial"/>
                <w:sz w:val="20"/>
                <w:szCs w:val="20"/>
              </w:rPr>
              <w:t>, Appendices</w:t>
            </w:r>
            <w:r w:rsidRPr="008D29F4">
              <w:rPr>
                <w:rFonts w:ascii="Arial" w:hAnsi="Arial" w:cs="Arial"/>
                <w:sz w:val="20"/>
                <w:szCs w:val="20"/>
              </w:rPr>
              <w:t>, December 2013</w:t>
            </w:r>
            <w:r>
              <w:rPr>
                <w:rFonts w:ascii="Arial" w:hAnsi="Arial" w:cs="Arial"/>
                <w:sz w:val="20"/>
                <w:szCs w:val="20"/>
              </w:rPr>
              <w:t>.</w:t>
            </w:r>
          </w:p>
        </w:tc>
        <w:tc>
          <w:tcPr>
            <w:tcW w:w="1479" w:type="dxa"/>
            <w:tcBorders>
              <w:bottom w:val="single" w:sz="4" w:space="0" w:color="auto"/>
            </w:tcBorders>
            <w:shd w:val="clear" w:color="auto" w:fill="auto"/>
          </w:tcPr>
          <w:p w:rsidR="00240612" w:rsidRDefault="00240612" w:rsidP="0097398A">
            <w:pPr>
              <w:spacing w:before="60" w:after="60"/>
              <w:rPr>
                <w:rFonts w:ascii="Arial" w:hAnsi="Arial" w:cs="Arial"/>
                <w:sz w:val="20"/>
                <w:szCs w:val="20"/>
              </w:rPr>
            </w:pPr>
            <w:r>
              <w:rPr>
                <w:rFonts w:ascii="Arial" w:hAnsi="Arial" w:cs="Arial"/>
                <w:sz w:val="20"/>
                <w:szCs w:val="20"/>
              </w:rPr>
              <w:t>No</w:t>
            </w:r>
          </w:p>
        </w:tc>
      </w:tr>
      <w:tr w:rsidR="00240612" w:rsidTr="00DB77F9">
        <w:tc>
          <w:tcPr>
            <w:tcW w:w="1384" w:type="dxa"/>
          </w:tcPr>
          <w:p w:rsidR="00240612" w:rsidRDefault="007B3EEB" w:rsidP="0097398A">
            <w:pPr>
              <w:spacing w:before="60" w:after="60"/>
              <w:rPr>
                <w:rFonts w:ascii="Arial" w:hAnsi="Arial" w:cs="Arial"/>
                <w:sz w:val="20"/>
                <w:szCs w:val="20"/>
              </w:rPr>
            </w:pPr>
            <w:r>
              <w:rPr>
                <w:rFonts w:ascii="Arial" w:hAnsi="Arial" w:cs="Arial"/>
                <w:sz w:val="20"/>
                <w:szCs w:val="20"/>
              </w:rPr>
              <w:t>8.3.3</w:t>
            </w:r>
          </w:p>
        </w:tc>
        <w:tc>
          <w:tcPr>
            <w:tcW w:w="6379" w:type="dxa"/>
          </w:tcPr>
          <w:p w:rsidR="00240612" w:rsidRPr="008D29F4" w:rsidRDefault="00240612" w:rsidP="0097398A">
            <w:pPr>
              <w:spacing w:before="60" w:after="60"/>
              <w:rPr>
                <w:rFonts w:ascii="Arial" w:hAnsi="Arial" w:cs="Arial"/>
                <w:sz w:val="20"/>
                <w:szCs w:val="20"/>
              </w:rPr>
            </w:pPr>
            <w:r w:rsidRPr="00E013AC">
              <w:rPr>
                <w:rFonts w:ascii="Arial" w:hAnsi="Arial" w:cs="Arial"/>
                <w:sz w:val="20"/>
                <w:szCs w:val="20"/>
              </w:rPr>
              <w:t>Lawrence H Summers (1985), “On Economics and Finance”, Journal of Finance, 40(3), pages 633-635</w:t>
            </w:r>
            <w:r>
              <w:rPr>
                <w:rFonts w:ascii="Arial" w:hAnsi="Arial" w:cs="Arial"/>
                <w:sz w:val="20"/>
                <w:szCs w:val="20"/>
              </w:rPr>
              <w:t>.</w:t>
            </w:r>
          </w:p>
        </w:tc>
        <w:tc>
          <w:tcPr>
            <w:tcW w:w="1479" w:type="dxa"/>
            <w:tcBorders>
              <w:bottom w:val="single" w:sz="4" w:space="0" w:color="auto"/>
            </w:tcBorders>
            <w:shd w:val="clear" w:color="auto" w:fill="FABF8F" w:themeFill="accent6" w:themeFillTint="99"/>
          </w:tcPr>
          <w:p w:rsidR="00240612" w:rsidRDefault="00DB77F9" w:rsidP="0097398A">
            <w:pPr>
              <w:spacing w:before="60" w:after="60"/>
              <w:rPr>
                <w:rFonts w:ascii="Arial" w:hAnsi="Arial" w:cs="Arial"/>
                <w:sz w:val="20"/>
                <w:szCs w:val="20"/>
              </w:rPr>
            </w:pPr>
            <w:r>
              <w:rPr>
                <w:rFonts w:ascii="Arial" w:hAnsi="Arial" w:cs="Arial"/>
                <w:sz w:val="20"/>
                <w:szCs w:val="20"/>
              </w:rPr>
              <w:t>No</w:t>
            </w:r>
          </w:p>
        </w:tc>
      </w:tr>
      <w:tr w:rsidR="00240612" w:rsidTr="00A35849">
        <w:tc>
          <w:tcPr>
            <w:tcW w:w="1384" w:type="dxa"/>
          </w:tcPr>
          <w:p w:rsidR="00240612" w:rsidRDefault="007B3EEB" w:rsidP="0097398A">
            <w:pPr>
              <w:spacing w:before="60" w:after="60"/>
              <w:rPr>
                <w:rFonts w:ascii="Arial" w:hAnsi="Arial" w:cs="Arial"/>
                <w:sz w:val="20"/>
                <w:szCs w:val="20"/>
              </w:rPr>
            </w:pPr>
            <w:r>
              <w:rPr>
                <w:rFonts w:ascii="Arial" w:hAnsi="Arial" w:cs="Arial"/>
                <w:sz w:val="20"/>
                <w:szCs w:val="20"/>
              </w:rPr>
              <w:t>8.3.3</w:t>
            </w:r>
          </w:p>
        </w:tc>
        <w:tc>
          <w:tcPr>
            <w:tcW w:w="6379" w:type="dxa"/>
          </w:tcPr>
          <w:p w:rsidR="00240612" w:rsidRPr="008D29F4" w:rsidRDefault="00240612" w:rsidP="0097398A">
            <w:pPr>
              <w:spacing w:before="60" w:after="60"/>
              <w:rPr>
                <w:rFonts w:ascii="Arial" w:hAnsi="Arial" w:cs="Arial"/>
                <w:sz w:val="20"/>
                <w:szCs w:val="20"/>
              </w:rPr>
            </w:pPr>
            <w:r w:rsidRPr="00E013AC">
              <w:rPr>
                <w:rFonts w:ascii="Arial" w:hAnsi="Arial" w:cs="Arial"/>
                <w:sz w:val="20"/>
                <w:szCs w:val="20"/>
              </w:rPr>
              <w:t>John Y Campbell (2000), “Asset Pricing at the Mille</w:t>
            </w:r>
            <w:r>
              <w:rPr>
                <w:rFonts w:ascii="Arial" w:hAnsi="Arial" w:cs="Arial"/>
                <w:sz w:val="20"/>
                <w:szCs w:val="20"/>
              </w:rPr>
              <w:t>n</w:t>
            </w:r>
            <w:r w:rsidRPr="00E013AC">
              <w:rPr>
                <w:rFonts w:ascii="Arial" w:hAnsi="Arial" w:cs="Arial"/>
                <w:sz w:val="20"/>
                <w:szCs w:val="20"/>
              </w:rPr>
              <w:t>nium”, Journal of Finance, 55(4), pages 1515-1567</w:t>
            </w:r>
            <w:r>
              <w:rPr>
                <w:rFonts w:ascii="Arial" w:hAnsi="Arial" w:cs="Arial"/>
                <w:sz w:val="20"/>
                <w:szCs w:val="20"/>
              </w:rPr>
              <w:t>.</w:t>
            </w:r>
          </w:p>
        </w:tc>
        <w:tc>
          <w:tcPr>
            <w:tcW w:w="1479" w:type="dxa"/>
            <w:shd w:val="clear" w:color="auto" w:fill="FABF8F" w:themeFill="accent6" w:themeFillTint="99"/>
          </w:tcPr>
          <w:p w:rsidR="00240612" w:rsidRPr="00157257" w:rsidRDefault="00240612" w:rsidP="0097398A">
            <w:pPr>
              <w:spacing w:before="60" w:after="60"/>
              <w:rPr>
                <w:rFonts w:ascii="Arial" w:hAnsi="Arial" w:cs="Arial"/>
                <w:color w:val="000000" w:themeColor="text1"/>
                <w:sz w:val="20"/>
                <w:szCs w:val="20"/>
              </w:rPr>
            </w:pPr>
            <w:r w:rsidRPr="00157257">
              <w:rPr>
                <w:rFonts w:ascii="Arial" w:hAnsi="Arial" w:cs="Arial"/>
                <w:color w:val="000000" w:themeColor="text1"/>
                <w:sz w:val="20"/>
                <w:szCs w:val="20"/>
              </w:rPr>
              <w:t>No</w:t>
            </w:r>
          </w:p>
        </w:tc>
      </w:tr>
      <w:tr w:rsidR="00240612" w:rsidTr="009E5EB3">
        <w:tc>
          <w:tcPr>
            <w:tcW w:w="1384" w:type="dxa"/>
          </w:tcPr>
          <w:p w:rsidR="00240612" w:rsidRDefault="007B3EEB" w:rsidP="0097398A">
            <w:pPr>
              <w:spacing w:before="60" w:after="60"/>
              <w:rPr>
                <w:rFonts w:ascii="Arial" w:hAnsi="Arial" w:cs="Arial"/>
                <w:sz w:val="20"/>
                <w:szCs w:val="20"/>
              </w:rPr>
            </w:pPr>
            <w:r>
              <w:rPr>
                <w:rFonts w:ascii="Arial" w:hAnsi="Arial" w:cs="Arial"/>
                <w:sz w:val="20"/>
                <w:szCs w:val="20"/>
              </w:rPr>
              <w:t>8.3.3</w:t>
            </w:r>
          </w:p>
        </w:tc>
        <w:tc>
          <w:tcPr>
            <w:tcW w:w="6379" w:type="dxa"/>
          </w:tcPr>
          <w:p w:rsidR="00240612" w:rsidRPr="008D29F4" w:rsidRDefault="00240612" w:rsidP="0097398A">
            <w:pPr>
              <w:spacing w:before="60" w:after="60"/>
              <w:rPr>
                <w:rFonts w:ascii="Arial" w:hAnsi="Arial" w:cs="Arial"/>
                <w:sz w:val="20"/>
                <w:szCs w:val="20"/>
              </w:rPr>
            </w:pPr>
            <w:r w:rsidRPr="00E013AC">
              <w:rPr>
                <w:rFonts w:ascii="Arial" w:hAnsi="Arial" w:cs="Arial"/>
                <w:sz w:val="20"/>
                <w:szCs w:val="20"/>
              </w:rPr>
              <w:t>John H Cochrane (2005), Asset Pricing, revised ed., Princeton:  Princeton University Press</w:t>
            </w:r>
            <w:r>
              <w:rPr>
                <w:rFonts w:ascii="Arial" w:hAnsi="Arial" w:cs="Arial"/>
                <w:sz w:val="20"/>
                <w:szCs w:val="20"/>
              </w:rPr>
              <w:t>.</w:t>
            </w:r>
          </w:p>
        </w:tc>
        <w:tc>
          <w:tcPr>
            <w:tcW w:w="1479" w:type="dxa"/>
          </w:tcPr>
          <w:p w:rsidR="00240612" w:rsidRDefault="00240612" w:rsidP="0097398A">
            <w:pPr>
              <w:spacing w:before="60" w:after="60"/>
              <w:rPr>
                <w:rFonts w:ascii="Arial" w:hAnsi="Arial" w:cs="Arial"/>
                <w:sz w:val="20"/>
                <w:szCs w:val="20"/>
              </w:rPr>
            </w:pPr>
            <w:r>
              <w:rPr>
                <w:rFonts w:ascii="Arial" w:hAnsi="Arial" w:cs="Arial"/>
                <w:sz w:val="20"/>
                <w:szCs w:val="20"/>
              </w:rPr>
              <w:t>Book</w:t>
            </w:r>
          </w:p>
        </w:tc>
      </w:tr>
      <w:tr w:rsidR="00240612" w:rsidTr="00DE4AD8">
        <w:tc>
          <w:tcPr>
            <w:tcW w:w="1384" w:type="dxa"/>
          </w:tcPr>
          <w:p w:rsidR="00240612" w:rsidRDefault="007B3EEB" w:rsidP="0097398A">
            <w:pPr>
              <w:spacing w:before="60" w:after="60"/>
              <w:rPr>
                <w:rFonts w:ascii="Arial" w:hAnsi="Arial" w:cs="Arial"/>
                <w:sz w:val="20"/>
                <w:szCs w:val="20"/>
              </w:rPr>
            </w:pPr>
            <w:r>
              <w:rPr>
                <w:rFonts w:ascii="Arial" w:hAnsi="Arial" w:cs="Arial"/>
                <w:sz w:val="20"/>
                <w:szCs w:val="20"/>
              </w:rPr>
              <w:t>8.3.3</w:t>
            </w:r>
          </w:p>
        </w:tc>
        <w:tc>
          <w:tcPr>
            <w:tcW w:w="6379" w:type="dxa"/>
          </w:tcPr>
          <w:p w:rsidR="00240612" w:rsidRPr="008D29F4" w:rsidRDefault="00240612" w:rsidP="0097398A">
            <w:pPr>
              <w:spacing w:before="60" w:after="60"/>
              <w:rPr>
                <w:rFonts w:ascii="Arial" w:hAnsi="Arial" w:cs="Arial"/>
                <w:sz w:val="20"/>
                <w:szCs w:val="20"/>
              </w:rPr>
            </w:pPr>
            <w:proofErr w:type="spellStart"/>
            <w:r w:rsidRPr="00E013AC">
              <w:rPr>
                <w:rFonts w:ascii="Arial" w:hAnsi="Arial" w:cs="Arial"/>
                <w:sz w:val="20"/>
                <w:szCs w:val="20"/>
              </w:rPr>
              <w:t>Sumru</w:t>
            </w:r>
            <w:proofErr w:type="spellEnd"/>
            <w:r w:rsidRPr="00E013AC">
              <w:rPr>
                <w:rFonts w:ascii="Arial" w:hAnsi="Arial" w:cs="Arial"/>
                <w:sz w:val="20"/>
                <w:szCs w:val="20"/>
              </w:rPr>
              <w:t xml:space="preserve"> </w:t>
            </w:r>
            <w:proofErr w:type="spellStart"/>
            <w:r w:rsidRPr="00E013AC">
              <w:rPr>
                <w:rFonts w:ascii="Arial" w:hAnsi="Arial" w:cs="Arial"/>
                <w:sz w:val="20"/>
                <w:szCs w:val="20"/>
              </w:rPr>
              <w:t>Altug</w:t>
            </w:r>
            <w:proofErr w:type="spellEnd"/>
            <w:r w:rsidRPr="00E013AC">
              <w:rPr>
                <w:rFonts w:ascii="Arial" w:hAnsi="Arial" w:cs="Arial"/>
                <w:sz w:val="20"/>
                <w:szCs w:val="20"/>
              </w:rPr>
              <w:t xml:space="preserve"> and Pamela Labadie (2008), Asset Pricing for Dynamic Economies, Cambridge:  Cambridge University Press</w:t>
            </w:r>
            <w:r>
              <w:rPr>
                <w:rFonts w:ascii="Arial" w:hAnsi="Arial" w:cs="Arial"/>
                <w:sz w:val="20"/>
                <w:szCs w:val="20"/>
              </w:rPr>
              <w:t>.</w:t>
            </w:r>
          </w:p>
        </w:tc>
        <w:tc>
          <w:tcPr>
            <w:tcW w:w="1479" w:type="dxa"/>
            <w:tcBorders>
              <w:bottom w:val="single" w:sz="4" w:space="0" w:color="auto"/>
            </w:tcBorders>
          </w:tcPr>
          <w:p w:rsidR="00240612" w:rsidRDefault="00240612" w:rsidP="0097398A">
            <w:pPr>
              <w:spacing w:before="60" w:after="60"/>
              <w:rPr>
                <w:rFonts w:ascii="Arial" w:hAnsi="Arial" w:cs="Arial"/>
                <w:sz w:val="20"/>
                <w:szCs w:val="20"/>
              </w:rPr>
            </w:pPr>
            <w:r>
              <w:rPr>
                <w:rFonts w:ascii="Arial" w:hAnsi="Arial" w:cs="Arial"/>
                <w:sz w:val="20"/>
                <w:szCs w:val="20"/>
              </w:rPr>
              <w:t>Book</w:t>
            </w:r>
          </w:p>
        </w:tc>
      </w:tr>
      <w:tr w:rsidR="00240612" w:rsidTr="00A35849">
        <w:tc>
          <w:tcPr>
            <w:tcW w:w="1384" w:type="dxa"/>
          </w:tcPr>
          <w:p w:rsidR="00240612" w:rsidRDefault="007B3EEB" w:rsidP="0097398A">
            <w:pPr>
              <w:spacing w:before="60" w:after="60"/>
              <w:rPr>
                <w:rFonts w:ascii="Arial" w:hAnsi="Arial" w:cs="Arial"/>
                <w:sz w:val="20"/>
                <w:szCs w:val="20"/>
              </w:rPr>
            </w:pPr>
            <w:r>
              <w:rPr>
                <w:rFonts w:ascii="Arial" w:hAnsi="Arial" w:cs="Arial"/>
                <w:sz w:val="20"/>
                <w:szCs w:val="20"/>
              </w:rPr>
              <w:t>8.3.3</w:t>
            </w:r>
          </w:p>
        </w:tc>
        <w:tc>
          <w:tcPr>
            <w:tcW w:w="6379" w:type="dxa"/>
          </w:tcPr>
          <w:p w:rsidR="00240612" w:rsidRPr="008D29F4" w:rsidRDefault="00240612" w:rsidP="0097398A">
            <w:pPr>
              <w:spacing w:before="60" w:after="60"/>
              <w:rPr>
                <w:rFonts w:ascii="Arial" w:hAnsi="Arial" w:cs="Arial"/>
                <w:sz w:val="20"/>
                <w:szCs w:val="20"/>
              </w:rPr>
            </w:pPr>
            <w:r w:rsidRPr="00E013AC">
              <w:rPr>
                <w:rFonts w:ascii="Arial" w:hAnsi="Arial" w:cs="Arial"/>
                <w:sz w:val="20"/>
                <w:szCs w:val="20"/>
              </w:rPr>
              <w:t xml:space="preserve">Eugene F </w:t>
            </w:r>
            <w:proofErr w:type="spellStart"/>
            <w:r w:rsidRPr="00E013AC">
              <w:rPr>
                <w:rFonts w:ascii="Arial" w:hAnsi="Arial" w:cs="Arial"/>
                <w:sz w:val="20"/>
                <w:szCs w:val="20"/>
              </w:rPr>
              <w:t>Fama</w:t>
            </w:r>
            <w:proofErr w:type="spellEnd"/>
            <w:r w:rsidRPr="00E013AC">
              <w:rPr>
                <w:rFonts w:ascii="Arial" w:hAnsi="Arial" w:cs="Arial"/>
                <w:sz w:val="20"/>
                <w:szCs w:val="20"/>
              </w:rPr>
              <w:t xml:space="preserve"> and Kenneth R French (2004), “The Capital Asset Pricing Model:  Theory and Evidence”, Journal of Economic Perspectives, 18(3), pages 25-46.</w:t>
            </w:r>
          </w:p>
        </w:tc>
        <w:tc>
          <w:tcPr>
            <w:tcW w:w="1479" w:type="dxa"/>
            <w:shd w:val="clear" w:color="auto" w:fill="FABF8F" w:themeFill="accent6" w:themeFillTint="99"/>
          </w:tcPr>
          <w:p w:rsidR="00240612" w:rsidRDefault="00240612" w:rsidP="0097398A">
            <w:pPr>
              <w:spacing w:before="60" w:after="60"/>
              <w:rPr>
                <w:rFonts w:ascii="Arial" w:hAnsi="Arial" w:cs="Arial"/>
                <w:sz w:val="20"/>
                <w:szCs w:val="20"/>
              </w:rPr>
            </w:pPr>
            <w:r>
              <w:rPr>
                <w:rFonts w:ascii="Arial" w:hAnsi="Arial" w:cs="Arial"/>
                <w:sz w:val="20"/>
                <w:szCs w:val="20"/>
              </w:rPr>
              <w:t>No</w:t>
            </w:r>
          </w:p>
        </w:tc>
      </w:tr>
      <w:tr w:rsidR="00240612" w:rsidTr="003F6264">
        <w:tc>
          <w:tcPr>
            <w:tcW w:w="1384" w:type="dxa"/>
            <w:tcBorders>
              <w:bottom w:val="single" w:sz="4" w:space="0" w:color="auto"/>
            </w:tcBorders>
          </w:tcPr>
          <w:p w:rsidR="00240612" w:rsidRDefault="007B3EEB" w:rsidP="0097398A">
            <w:pPr>
              <w:spacing w:before="60" w:after="60"/>
              <w:rPr>
                <w:rFonts w:ascii="Arial" w:hAnsi="Arial" w:cs="Arial"/>
                <w:sz w:val="20"/>
                <w:szCs w:val="20"/>
              </w:rPr>
            </w:pPr>
            <w:r>
              <w:rPr>
                <w:rFonts w:ascii="Arial" w:hAnsi="Arial" w:cs="Arial"/>
                <w:sz w:val="20"/>
                <w:szCs w:val="20"/>
              </w:rPr>
              <w:t>8.3.3</w:t>
            </w:r>
          </w:p>
        </w:tc>
        <w:tc>
          <w:tcPr>
            <w:tcW w:w="6379" w:type="dxa"/>
          </w:tcPr>
          <w:p w:rsidR="00240612" w:rsidRPr="008D29F4" w:rsidRDefault="00240612" w:rsidP="0097398A">
            <w:pPr>
              <w:spacing w:before="60" w:after="60"/>
              <w:rPr>
                <w:rFonts w:ascii="Arial" w:hAnsi="Arial" w:cs="Arial"/>
                <w:sz w:val="20"/>
                <w:szCs w:val="20"/>
              </w:rPr>
            </w:pPr>
            <w:r w:rsidRPr="00E013AC">
              <w:rPr>
                <w:rFonts w:ascii="Arial" w:hAnsi="Arial" w:cs="Arial"/>
                <w:sz w:val="20"/>
                <w:szCs w:val="20"/>
              </w:rPr>
              <w:t xml:space="preserve">John H Cochrane (2007), “Financial Markets and the Real Economy”, in </w:t>
            </w:r>
            <w:proofErr w:type="spellStart"/>
            <w:r w:rsidRPr="00E013AC">
              <w:rPr>
                <w:rFonts w:ascii="Arial" w:hAnsi="Arial" w:cs="Arial"/>
                <w:sz w:val="20"/>
                <w:szCs w:val="20"/>
              </w:rPr>
              <w:t>Rajnish</w:t>
            </w:r>
            <w:proofErr w:type="spellEnd"/>
            <w:r w:rsidRPr="00E013AC">
              <w:rPr>
                <w:rFonts w:ascii="Arial" w:hAnsi="Arial" w:cs="Arial"/>
                <w:sz w:val="20"/>
                <w:szCs w:val="20"/>
              </w:rPr>
              <w:t xml:space="preserve"> </w:t>
            </w:r>
            <w:proofErr w:type="spellStart"/>
            <w:r w:rsidRPr="00E013AC">
              <w:rPr>
                <w:rFonts w:ascii="Arial" w:hAnsi="Arial" w:cs="Arial"/>
                <w:sz w:val="20"/>
                <w:szCs w:val="20"/>
              </w:rPr>
              <w:t>Mehra</w:t>
            </w:r>
            <w:proofErr w:type="spellEnd"/>
            <w:r w:rsidRPr="00E013AC">
              <w:rPr>
                <w:rFonts w:ascii="Arial" w:hAnsi="Arial" w:cs="Arial"/>
                <w:sz w:val="20"/>
                <w:szCs w:val="20"/>
              </w:rPr>
              <w:t xml:space="preserve"> (ed.), Handbook of the Equity Risk Premium, New York:  Elsevier</w:t>
            </w:r>
            <w:r>
              <w:rPr>
                <w:rFonts w:ascii="Arial" w:hAnsi="Arial" w:cs="Arial"/>
                <w:sz w:val="20"/>
                <w:szCs w:val="20"/>
              </w:rPr>
              <w:t>.</w:t>
            </w:r>
          </w:p>
        </w:tc>
        <w:tc>
          <w:tcPr>
            <w:tcW w:w="1479" w:type="dxa"/>
          </w:tcPr>
          <w:p w:rsidR="00240612" w:rsidRDefault="00240612" w:rsidP="0097398A">
            <w:pPr>
              <w:spacing w:before="60" w:after="60"/>
              <w:rPr>
                <w:rFonts w:ascii="Arial" w:hAnsi="Arial" w:cs="Arial"/>
                <w:sz w:val="20"/>
                <w:szCs w:val="20"/>
              </w:rPr>
            </w:pPr>
            <w:r>
              <w:rPr>
                <w:rFonts w:ascii="Arial" w:hAnsi="Arial" w:cs="Arial"/>
                <w:sz w:val="20"/>
                <w:szCs w:val="20"/>
              </w:rPr>
              <w:t>Book</w:t>
            </w:r>
          </w:p>
        </w:tc>
      </w:tr>
      <w:tr w:rsidR="00240612" w:rsidTr="00335DA3">
        <w:tc>
          <w:tcPr>
            <w:tcW w:w="1384" w:type="dxa"/>
            <w:tcBorders>
              <w:bottom w:val="single" w:sz="4" w:space="0" w:color="auto"/>
            </w:tcBorders>
            <w:shd w:val="clear" w:color="auto" w:fill="auto"/>
          </w:tcPr>
          <w:p w:rsidR="00240612" w:rsidRDefault="007B3EEB" w:rsidP="0097398A">
            <w:pPr>
              <w:spacing w:before="60" w:after="60"/>
              <w:rPr>
                <w:rFonts w:ascii="Arial" w:hAnsi="Arial" w:cs="Arial"/>
                <w:sz w:val="20"/>
                <w:szCs w:val="20"/>
              </w:rPr>
            </w:pPr>
            <w:r>
              <w:rPr>
                <w:rFonts w:ascii="Arial" w:hAnsi="Arial" w:cs="Arial"/>
                <w:sz w:val="20"/>
                <w:szCs w:val="20"/>
              </w:rPr>
              <w:t>8.3.3</w:t>
            </w:r>
          </w:p>
        </w:tc>
        <w:tc>
          <w:tcPr>
            <w:tcW w:w="6379" w:type="dxa"/>
          </w:tcPr>
          <w:p w:rsidR="00240612" w:rsidRPr="008D29F4" w:rsidRDefault="00240612" w:rsidP="006A22F0">
            <w:pPr>
              <w:spacing w:before="60" w:after="60"/>
              <w:rPr>
                <w:rFonts w:ascii="Arial" w:hAnsi="Arial" w:cs="Arial"/>
                <w:sz w:val="20"/>
                <w:szCs w:val="20"/>
              </w:rPr>
            </w:pPr>
            <w:r w:rsidRPr="00E013AC">
              <w:rPr>
                <w:rFonts w:ascii="Arial" w:hAnsi="Arial" w:cs="Arial"/>
                <w:sz w:val="20"/>
                <w:szCs w:val="20"/>
              </w:rPr>
              <w:t xml:space="preserve">Tim </w:t>
            </w:r>
            <w:proofErr w:type="spellStart"/>
            <w:r w:rsidRPr="00E013AC">
              <w:rPr>
                <w:rFonts w:ascii="Arial" w:hAnsi="Arial" w:cs="Arial"/>
                <w:sz w:val="20"/>
                <w:szCs w:val="20"/>
              </w:rPr>
              <w:t>Brailsford</w:t>
            </w:r>
            <w:proofErr w:type="spellEnd"/>
            <w:r w:rsidRPr="00E013AC">
              <w:rPr>
                <w:rFonts w:ascii="Arial" w:hAnsi="Arial" w:cs="Arial"/>
                <w:sz w:val="20"/>
                <w:szCs w:val="20"/>
              </w:rPr>
              <w:t xml:space="preserve">, Clive Gaunt and Michael A O’Brien (2012), “Size and </w:t>
            </w:r>
            <w:r w:rsidRPr="00E013AC">
              <w:rPr>
                <w:rFonts w:ascii="Arial" w:hAnsi="Arial" w:cs="Arial"/>
                <w:sz w:val="20"/>
                <w:szCs w:val="20"/>
              </w:rPr>
              <w:lastRenderedPageBreak/>
              <w:t>book-to-market factors in Australia”, Australian Journal of Management, 37(2), pages 261-2</w:t>
            </w:r>
            <w:r>
              <w:rPr>
                <w:rFonts w:ascii="Arial" w:hAnsi="Arial" w:cs="Arial"/>
                <w:sz w:val="20"/>
                <w:szCs w:val="20"/>
              </w:rPr>
              <w:t>81</w:t>
            </w:r>
            <w:r w:rsidRPr="00E013AC">
              <w:rPr>
                <w:rFonts w:ascii="Arial" w:hAnsi="Arial" w:cs="Arial"/>
                <w:sz w:val="20"/>
                <w:szCs w:val="20"/>
              </w:rPr>
              <w:t>.</w:t>
            </w:r>
          </w:p>
        </w:tc>
        <w:tc>
          <w:tcPr>
            <w:tcW w:w="1479" w:type="dxa"/>
          </w:tcPr>
          <w:p w:rsidR="00240612" w:rsidRDefault="00DB77F9" w:rsidP="0097398A">
            <w:pPr>
              <w:spacing w:before="60" w:after="60"/>
              <w:rPr>
                <w:rFonts w:ascii="Arial" w:hAnsi="Arial" w:cs="Arial"/>
                <w:sz w:val="20"/>
                <w:szCs w:val="20"/>
              </w:rPr>
            </w:pPr>
            <w:r>
              <w:rPr>
                <w:rFonts w:ascii="Arial" w:hAnsi="Arial" w:cs="Arial"/>
                <w:sz w:val="20"/>
                <w:szCs w:val="20"/>
              </w:rPr>
              <w:lastRenderedPageBreak/>
              <w:t>RES</w:t>
            </w:r>
          </w:p>
        </w:tc>
      </w:tr>
      <w:tr w:rsidR="00240612" w:rsidTr="00335DA3">
        <w:tc>
          <w:tcPr>
            <w:tcW w:w="1384" w:type="dxa"/>
            <w:shd w:val="clear" w:color="auto" w:fill="auto"/>
          </w:tcPr>
          <w:p w:rsidR="00240612" w:rsidRDefault="007B3EEB" w:rsidP="0097398A">
            <w:pPr>
              <w:spacing w:before="60" w:after="60"/>
              <w:rPr>
                <w:rFonts w:ascii="Arial" w:hAnsi="Arial" w:cs="Arial"/>
                <w:sz w:val="20"/>
                <w:szCs w:val="20"/>
              </w:rPr>
            </w:pPr>
            <w:r>
              <w:rPr>
                <w:rFonts w:ascii="Arial" w:hAnsi="Arial" w:cs="Arial"/>
                <w:sz w:val="20"/>
                <w:szCs w:val="20"/>
              </w:rPr>
              <w:lastRenderedPageBreak/>
              <w:t>8.3.3</w:t>
            </w:r>
          </w:p>
        </w:tc>
        <w:tc>
          <w:tcPr>
            <w:tcW w:w="6379" w:type="dxa"/>
          </w:tcPr>
          <w:p w:rsidR="00240612" w:rsidRPr="008D29F4" w:rsidRDefault="00240612" w:rsidP="00335DA3">
            <w:pPr>
              <w:spacing w:before="60" w:after="60"/>
              <w:rPr>
                <w:rFonts w:ascii="Arial" w:hAnsi="Arial" w:cs="Arial"/>
                <w:sz w:val="20"/>
                <w:szCs w:val="20"/>
              </w:rPr>
            </w:pPr>
            <w:r w:rsidRPr="003F6264">
              <w:rPr>
                <w:rFonts w:ascii="Arial" w:hAnsi="Arial" w:cs="Arial"/>
                <w:sz w:val="20"/>
                <w:szCs w:val="20"/>
              </w:rPr>
              <w:t xml:space="preserve">Tim </w:t>
            </w:r>
            <w:proofErr w:type="spellStart"/>
            <w:r w:rsidRPr="003F6264">
              <w:rPr>
                <w:rFonts w:ascii="Arial" w:hAnsi="Arial" w:cs="Arial"/>
                <w:sz w:val="20"/>
                <w:szCs w:val="20"/>
              </w:rPr>
              <w:t>Brailsford</w:t>
            </w:r>
            <w:proofErr w:type="spellEnd"/>
            <w:r w:rsidRPr="003F6264">
              <w:rPr>
                <w:rFonts w:ascii="Arial" w:hAnsi="Arial" w:cs="Arial"/>
                <w:sz w:val="20"/>
                <w:szCs w:val="20"/>
              </w:rPr>
              <w:t>, Clive Gaunt and Michael A O’Brien (2012), “The investment value of the value premium”, Pacific-Basin Finance Journal, 20, page 4</w:t>
            </w:r>
            <w:r>
              <w:rPr>
                <w:rFonts w:ascii="Arial" w:hAnsi="Arial" w:cs="Arial"/>
                <w:sz w:val="20"/>
                <w:szCs w:val="20"/>
              </w:rPr>
              <w:t>16-437.</w:t>
            </w:r>
          </w:p>
        </w:tc>
        <w:tc>
          <w:tcPr>
            <w:tcW w:w="1479" w:type="dxa"/>
            <w:tcBorders>
              <w:bottom w:val="single" w:sz="4" w:space="0" w:color="auto"/>
            </w:tcBorders>
          </w:tcPr>
          <w:p w:rsidR="00240612" w:rsidRDefault="00DB77F9" w:rsidP="0097398A">
            <w:pPr>
              <w:spacing w:before="60" w:after="60"/>
              <w:rPr>
                <w:rFonts w:ascii="Arial" w:hAnsi="Arial" w:cs="Arial"/>
                <w:sz w:val="20"/>
                <w:szCs w:val="20"/>
              </w:rPr>
            </w:pPr>
            <w:r>
              <w:rPr>
                <w:rFonts w:ascii="Arial" w:hAnsi="Arial" w:cs="Arial"/>
                <w:sz w:val="20"/>
                <w:szCs w:val="20"/>
              </w:rPr>
              <w:t>RES</w:t>
            </w:r>
          </w:p>
        </w:tc>
      </w:tr>
      <w:tr w:rsidR="00240612" w:rsidTr="00C2740E">
        <w:tc>
          <w:tcPr>
            <w:tcW w:w="1384" w:type="dxa"/>
          </w:tcPr>
          <w:p w:rsidR="00240612" w:rsidRDefault="007B3EEB" w:rsidP="0097398A">
            <w:pPr>
              <w:spacing w:before="60" w:after="60"/>
              <w:rPr>
                <w:rFonts w:ascii="Arial" w:hAnsi="Arial" w:cs="Arial"/>
                <w:sz w:val="20"/>
                <w:szCs w:val="20"/>
              </w:rPr>
            </w:pPr>
            <w:r>
              <w:rPr>
                <w:rFonts w:ascii="Arial" w:hAnsi="Arial" w:cs="Arial"/>
                <w:sz w:val="20"/>
                <w:szCs w:val="20"/>
              </w:rPr>
              <w:t>8.3.3</w:t>
            </w:r>
          </w:p>
        </w:tc>
        <w:tc>
          <w:tcPr>
            <w:tcW w:w="6379" w:type="dxa"/>
          </w:tcPr>
          <w:p w:rsidR="00240612" w:rsidRPr="008D29F4" w:rsidRDefault="00240612" w:rsidP="003F6264">
            <w:pPr>
              <w:spacing w:before="60" w:after="60"/>
              <w:rPr>
                <w:rFonts w:ascii="Arial" w:hAnsi="Arial" w:cs="Arial"/>
                <w:sz w:val="20"/>
                <w:szCs w:val="20"/>
              </w:rPr>
            </w:pPr>
            <w:r>
              <w:rPr>
                <w:rFonts w:ascii="Arial" w:hAnsi="Arial" w:cs="Arial"/>
                <w:sz w:val="20"/>
                <w:szCs w:val="20"/>
              </w:rPr>
              <w:t xml:space="preserve">Economic Regulation Authority, </w:t>
            </w:r>
            <w:r w:rsidRPr="003F6264">
              <w:rPr>
                <w:rFonts w:ascii="Arial" w:hAnsi="Arial" w:cs="Arial"/>
                <w:sz w:val="20"/>
                <w:szCs w:val="20"/>
              </w:rPr>
              <w:t>Draft Decision on Proposed Revisions to the Access Arrangement for the Mid-West and South-West Gas Distribution System</w:t>
            </w:r>
            <w:r>
              <w:rPr>
                <w:rFonts w:ascii="Arial" w:hAnsi="Arial" w:cs="Arial"/>
                <w:sz w:val="20"/>
                <w:szCs w:val="20"/>
              </w:rPr>
              <w:t>, October 2014.</w:t>
            </w:r>
          </w:p>
        </w:tc>
        <w:tc>
          <w:tcPr>
            <w:tcW w:w="1479" w:type="dxa"/>
            <w:tcBorders>
              <w:bottom w:val="single" w:sz="4" w:space="0" w:color="auto"/>
            </w:tcBorders>
            <w:shd w:val="clear" w:color="auto" w:fill="auto"/>
          </w:tcPr>
          <w:p w:rsidR="00240612" w:rsidRDefault="00240612" w:rsidP="0097398A">
            <w:pPr>
              <w:spacing w:before="60" w:after="60"/>
              <w:rPr>
                <w:rFonts w:ascii="Arial" w:hAnsi="Arial" w:cs="Arial"/>
                <w:sz w:val="20"/>
                <w:szCs w:val="20"/>
              </w:rPr>
            </w:pPr>
            <w:r>
              <w:rPr>
                <w:rFonts w:ascii="Arial" w:hAnsi="Arial" w:cs="Arial"/>
                <w:sz w:val="20"/>
                <w:szCs w:val="20"/>
              </w:rPr>
              <w:t>No</w:t>
            </w:r>
          </w:p>
        </w:tc>
      </w:tr>
      <w:tr w:rsidR="00240612" w:rsidTr="00A35849">
        <w:tc>
          <w:tcPr>
            <w:tcW w:w="1384" w:type="dxa"/>
          </w:tcPr>
          <w:p w:rsidR="00240612" w:rsidRDefault="007B3EEB" w:rsidP="0097398A">
            <w:pPr>
              <w:spacing w:before="60" w:after="60"/>
              <w:rPr>
                <w:rFonts w:ascii="Arial" w:hAnsi="Arial" w:cs="Arial"/>
                <w:sz w:val="20"/>
                <w:szCs w:val="20"/>
              </w:rPr>
            </w:pPr>
            <w:r>
              <w:rPr>
                <w:rFonts w:ascii="Arial" w:hAnsi="Arial" w:cs="Arial"/>
                <w:sz w:val="20"/>
                <w:szCs w:val="20"/>
              </w:rPr>
              <w:t>8.3.3</w:t>
            </w:r>
          </w:p>
        </w:tc>
        <w:tc>
          <w:tcPr>
            <w:tcW w:w="6379" w:type="dxa"/>
          </w:tcPr>
          <w:p w:rsidR="00240612" w:rsidRPr="008D29F4" w:rsidRDefault="00240612" w:rsidP="0097398A">
            <w:pPr>
              <w:spacing w:before="60" w:after="60"/>
              <w:rPr>
                <w:rFonts w:ascii="Arial" w:hAnsi="Arial" w:cs="Arial"/>
                <w:sz w:val="20"/>
                <w:szCs w:val="20"/>
              </w:rPr>
            </w:pPr>
            <w:r w:rsidRPr="003F6264">
              <w:rPr>
                <w:rFonts w:ascii="Arial" w:hAnsi="Arial" w:cs="Arial"/>
                <w:sz w:val="20"/>
                <w:szCs w:val="20"/>
              </w:rPr>
              <w:t xml:space="preserve">Todd D </w:t>
            </w:r>
            <w:proofErr w:type="spellStart"/>
            <w:r w:rsidRPr="003F6264">
              <w:rPr>
                <w:rFonts w:ascii="Arial" w:hAnsi="Arial" w:cs="Arial"/>
                <w:sz w:val="20"/>
                <w:szCs w:val="20"/>
              </w:rPr>
              <w:t>Jick</w:t>
            </w:r>
            <w:proofErr w:type="spellEnd"/>
            <w:r w:rsidRPr="003F6264">
              <w:rPr>
                <w:rFonts w:ascii="Arial" w:hAnsi="Arial" w:cs="Arial"/>
                <w:sz w:val="20"/>
                <w:szCs w:val="20"/>
              </w:rPr>
              <w:t xml:space="preserve"> (1979), “Mixing Qualitative and Quantitative Methods:  Triangulation in Action”, Administrative Science Quarterly, 24, pages 602-611.</w:t>
            </w:r>
          </w:p>
        </w:tc>
        <w:tc>
          <w:tcPr>
            <w:tcW w:w="1479" w:type="dxa"/>
            <w:tcBorders>
              <w:bottom w:val="single" w:sz="4" w:space="0" w:color="auto"/>
            </w:tcBorders>
            <w:shd w:val="clear" w:color="auto" w:fill="FABF8F" w:themeFill="accent6" w:themeFillTint="99"/>
          </w:tcPr>
          <w:p w:rsidR="00240612" w:rsidRDefault="00240612" w:rsidP="0097398A">
            <w:pPr>
              <w:spacing w:before="60" w:after="60"/>
              <w:rPr>
                <w:rFonts w:ascii="Arial" w:hAnsi="Arial" w:cs="Arial"/>
                <w:sz w:val="20"/>
                <w:szCs w:val="20"/>
              </w:rPr>
            </w:pPr>
            <w:r>
              <w:rPr>
                <w:rFonts w:ascii="Arial" w:hAnsi="Arial" w:cs="Arial"/>
                <w:sz w:val="20"/>
                <w:szCs w:val="20"/>
              </w:rPr>
              <w:t>No</w:t>
            </w:r>
          </w:p>
        </w:tc>
      </w:tr>
      <w:tr w:rsidR="00240612" w:rsidTr="00C2740E">
        <w:tc>
          <w:tcPr>
            <w:tcW w:w="1384" w:type="dxa"/>
            <w:tcBorders>
              <w:bottom w:val="single" w:sz="4" w:space="0" w:color="auto"/>
            </w:tcBorders>
          </w:tcPr>
          <w:p w:rsidR="00240612" w:rsidRDefault="00240612" w:rsidP="0097398A">
            <w:pPr>
              <w:spacing w:before="60" w:after="60"/>
              <w:rPr>
                <w:rFonts w:ascii="Arial" w:hAnsi="Arial" w:cs="Arial"/>
                <w:sz w:val="20"/>
                <w:szCs w:val="20"/>
              </w:rPr>
            </w:pPr>
            <w:r>
              <w:rPr>
                <w:rFonts w:ascii="Arial" w:hAnsi="Arial" w:cs="Arial"/>
                <w:sz w:val="20"/>
                <w:szCs w:val="20"/>
              </w:rPr>
              <w:t>8.3.4</w:t>
            </w:r>
          </w:p>
        </w:tc>
        <w:tc>
          <w:tcPr>
            <w:tcW w:w="6379" w:type="dxa"/>
          </w:tcPr>
          <w:p w:rsidR="00240612" w:rsidRPr="008D29F4" w:rsidRDefault="00240612" w:rsidP="0097398A">
            <w:pPr>
              <w:spacing w:before="60" w:after="60"/>
              <w:rPr>
                <w:rFonts w:ascii="Arial" w:hAnsi="Arial" w:cs="Arial"/>
                <w:sz w:val="20"/>
                <w:szCs w:val="20"/>
              </w:rPr>
            </w:pPr>
            <w:r w:rsidRPr="003F6264">
              <w:rPr>
                <w:rFonts w:ascii="Arial" w:hAnsi="Arial" w:cs="Arial"/>
                <w:sz w:val="20"/>
                <w:szCs w:val="20"/>
              </w:rPr>
              <w:t xml:space="preserve">SFG Consulting, Cost of equity in the Black Capital Asset Pricing Model Report for Jemena Gas Networks, </w:t>
            </w:r>
            <w:proofErr w:type="spellStart"/>
            <w:r w:rsidRPr="003F6264">
              <w:rPr>
                <w:rFonts w:ascii="Arial" w:hAnsi="Arial" w:cs="Arial"/>
                <w:sz w:val="20"/>
                <w:szCs w:val="20"/>
              </w:rPr>
              <w:t>ActewAGL</w:t>
            </w:r>
            <w:proofErr w:type="spellEnd"/>
            <w:r w:rsidRPr="003F6264">
              <w:rPr>
                <w:rFonts w:ascii="Arial" w:hAnsi="Arial" w:cs="Arial"/>
                <w:sz w:val="20"/>
                <w:szCs w:val="20"/>
              </w:rPr>
              <w:t xml:space="preserve">, Networks NSW, </w:t>
            </w:r>
            <w:proofErr w:type="spellStart"/>
            <w:r w:rsidRPr="003F6264">
              <w:rPr>
                <w:rFonts w:ascii="Arial" w:hAnsi="Arial" w:cs="Arial"/>
                <w:sz w:val="20"/>
                <w:szCs w:val="20"/>
              </w:rPr>
              <w:t>Transend</w:t>
            </w:r>
            <w:proofErr w:type="spellEnd"/>
            <w:r w:rsidRPr="003F6264">
              <w:rPr>
                <w:rFonts w:ascii="Arial" w:hAnsi="Arial" w:cs="Arial"/>
                <w:sz w:val="20"/>
                <w:szCs w:val="20"/>
              </w:rPr>
              <w:t>, Ergon and SA Power Network, 22 May 2014.</w:t>
            </w:r>
          </w:p>
        </w:tc>
        <w:tc>
          <w:tcPr>
            <w:tcW w:w="1479" w:type="dxa"/>
            <w:tcBorders>
              <w:bottom w:val="single" w:sz="4" w:space="0" w:color="auto"/>
            </w:tcBorders>
            <w:shd w:val="clear" w:color="auto" w:fill="auto"/>
          </w:tcPr>
          <w:p w:rsidR="00240612" w:rsidRDefault="00240612" w:rsidP="0097398A">
            <w:pPr>
              <w:spacing w:before="60" w:after="60"/>
              <w:rPr>
                <w:rFonts w:ascii="Arial" w:hAnsi="Arial" w:cs="Arial"/>
                <w:sz w:val="20"/>
                <w:szCs w:val="20"/>
              </w:rPr>
            </w:pPr>
            <w:r>
              <w:rPr>
                <w:rFonts w:ascii="Arial" w:hAnsi="Arial" w:cs="Arial"/>
                <w:sz w:val="20"/>
                <w:szCs w:val="20"/>
              </w:rPr>
              <w:t>No</w:t>
            </w:r>
          </w:p>
        </w:tc>
      </w:tr>
      <w:tr w:rsidR="00240612" w:rsidTr="00C2740E">
        <w:tc>
          <w:tcPr>
            <w:tcW w:w="1384" w:type="dxa"/>
            <w:shd w:val="clear" w:color="auto" w:fill="auto"/>
          </w:tcPr>
          <w:p w:rsidR="00240612" w:rsidRPr="00BE4604" w:rsidRDefault="00240612" w:rsidP="0097398A">
            <w:pPr>
              <w:spacing w:before="60" w:after="60"/>
              <w:rPr>
                <w:rFonts w:ascii="Arial" w:hAnsi="Arial" w:cs="Arial"/>
                <w:sz w:val="20"/>
                <w:szCs w:val="20"/>
              </w:rPr>
            </w:pPr>
            <w:r w:rsidRPr="00BE4604">
              <w:rPr>
                <w:rFonts w:ascii="Arial" w:hAnsi="Arial" w:cs="Arial"/>
                <w:sz w:val="20"/>
                <w:szCs w:val="20"/>
              </w:rPr>
              <w:t>8.3.4</w:t>
            </w:r>
          </w:p>
        </w:tc>
        <w:tc>
          <w:tcPr>
            <w:tcW w:w="6379" w:type="dxa"/>
          </w:tcPr>
          <w:p w:rsidR="00240612" w:rsidRPr="008D29F4" w:rsidRDefault="00240612" w:rsidP="00BE4604">
            <w:pPr>
              <w:spacing w:before="60" w:after="60"/>
              <w:rPr>
                <w:rFonts w:ascii="Arial" w:hAnsi="Arial" w:cs="Arial"/>
                <w:sz w:val="20"/>
                <w:szCs w:val="20"/>
              </w:rPr>
            </w:pPr>
            <w:r>
              <w:rPr>
                <w:rFonts w:ascii="Arial" w:hAnsi="Arial" w:cs="Arial"/>
                <w:sz w:val="20"/>
                <w:szCs w:val="20"/>
              </w:rPr>
              <w:t xml:space="preserve">CEG (Competition Economists Group), Estimating the cost of equity, </w:t>
            </w:r>
            <w:r w:rsidRPr="003F6264">
              <w:rPr>
                <w:rFonts w:ascii="Arial" w:hAnsi="Arial" w:cs="Arial"/>
                <w:sz w:val="20"/>
                <w:szCs w:val="20"/>
              </w:rPr>
              <w:t xml:space="preserve">Attachment 7.03 to </w:t>
            </w:r>
            <w:proofErr w:type="spellStart"/>
            <w:r w:rsidRPr="003F6264">
              <w:rPr>
                <w:rFonts w:ascii="Arial" w:hAnsi="Arial" w:cs="Arial"/>
                <w:sz w:val="20"/>
                <w:szCs w:val="20"/>
              </w:rPr>
              <w:t>Ausgri</w:t>
            </w:r>
            <w:r>
              <w:rPr>
                <w:rFonts w:ascii="Arial" w:hAnsi="Arial" w:cs="Arial"/>
                <w:sz w:val="20"/>
                <w:szCs w:val="20"/>
              </w:rPr>
              <w:t>d’s</w:t>
            </w:r>
            <w:proofErr w:type="spellEnd"/>
            <w:r>
              <w:rPr>
                <w:rFonts w:ascii="Arial" w:hAnsi="Arial" w:cs="Arial"/>
                <w:sz w:val="20"/>
                <w:szCs w:val="20"/>
              </w:rPr>
              <w:t xml:space="preserve"> revised regulatory proposal, </w:t>
            </w:r>
            <w:r w:rsidRPr="003F6264">
              <w:rPr>
                <w:rFonts w:ascii="Arial" w:hAnsi="Arial" w:cs="Arial"/>
                <w:sz w:val="20"/>
                <w:szCs w:val="20"/>
              </w:rPr>
              <w:t>January 2015</w:t>
            </w:r>
            <w:r>
              <w:rPr>
                <w:rFonts w:ascii="Arial" w:hAnsi="Arial" w:cs="Arial"/>
                <w:sz w:val="20"/>
                <w:szCs w:val="20"/>
              </w:rPr>
              <w:t>.</w:t>
            </w:r>
          </w:p>
        </w:tc>
        <w:tc>
          <w:tcPr>
            <w:tcW w:w="1479" w:type="dxa"/>
            <w:tcBorders>
              <w:bottom w:val="single" w:sz="4" w:space="0" w:color="auto"/>
            </w:tcBorders>
            <w:shd w:val="clear" w:color="auto" w:fill="auto"/>
          </w:tcPr>
          <w:p w:rsidR="00240612" w:rsidRDefault="00240612" w:rsidP="0097398A">
            <w:pPr>
              <w:spacing w:before="60" w:after="60"/>
              <w:rPr>
                <w:rFonts w:ascii="Arial" w:hAnsi="Arial" w:cs="Arial"/>
                <w:sz w:val="20"/>
                <w:szCs w:val="20"/>
              </w:rPr>
            </w:pPr>
            <w:r>
              <w:rPr>
                <w:rFonts w:ascii="Arial" w:hAnsi="Arial" w:cs="Arial"/>
                <w:sz w:val="20"/>
                <w:szCs w:val="20"/>
              </w:rPr>
              <w:t>No</w:t>
            </w:r>
          </w:p>
        </w:tc>
      </w:tr>
      <w:tr w:rsidR="00240612" w:rsidTr="00C2740E">
        <w:tc>
          <w:tcPr>
            <w:tcW w:w="1384" w:type="dxa"/>
          </w:tcPr>
          <w:p w:rsidR="00240612" w:rsidRDefault="00240612" w:rsidP="0097398A">
            <w:pPr>
              <w:spacing w:before="60" w:after="60"/>
              <w:rPr>
                <w:rFonts w:ascii="Arial" w:hAnsi="Arial" w:cs="Arial"/>
                <w:sz w:val="20"/>
                <w:szCs w:val="20"/>
              </w:rPr>
            </w:pPr>
            <w:r>
              <w:rPr>
                <w:rFonts w:ascii="Arial" w:hAnsi="Arial" w:cs="Arial"/>
                <w:sz w:val="20"/>
                <w:szCs w:val="20"/>
              </w:rPr>
              <w:t>8.3.4</w:t>
            </w:r>
          </w:p>
        </w:tc>
        <w:tc>
          <w:tcPr>
            <w:tcW w:w="6379" w:type="dxa"/>
          </w:tcPr>
          <w:p w:rsidR="00240612" w:rsidRPr="008D29F4" w:rsidRDefault="00240612" w:rsidP="00BE4604">
            <w:pPr>
              <w:spacing w:before="60" w:after="60"/>
              <w:rPr>
                <w:rFonts w:ascii="Arial" w:hAnsi="Arial" w:cs="Arial"/>
                <w:sz w:val="20"/>
                <w:szCs w:val="20"/>
              </w:rPr>
            </w:pPr>
            <w:r w:rsidRPr="003F6264">
              <w:rPr>
                <w:rFonts w:ascii="Arial" w:hAnsi="Arial" w:cs="Arial"/>
                <w:sz w:val="20"/>
                <w:szCs w:val="20"/>
              </w:rPr>
              <w:t>SFG Consulting, The required return on equity:  Response to ATCO Gas Draft Decision, 24 November 2014</w:t>
            </w:r>
          </w:p>
        </w:tc>
        <w:tc>
          <w:tcPr>
            <w:tcW w:w="1479" w:type="dxa"/>
            <w:tcBorders>
              <w:bottom w:val="single" w:sz="4" w:space="0" w:color="auto"/>
            </w:tcBorders>
            <w:shd w:val="clear" w:color="auto" w:fill="auto"/>
          </w:tcPr>
          <w:p w:rsidR="00240612" w:rsidRDefault="00240612" w:rsidP="0097398A">
            <w:pPr>
              <w:spacing w:before="60" w:after="60"/>
              <w:rPr>
                <w:rFonts w:ascii="Arial" w:hAnsi="Arial" w:cs="Arial"/>
                <w:sz w:val="20"/>
                <w:szCs w:val="20"/>
              </w:rPr>
            </w:pPr>
            <w:r>
              <w:rPr>
                <w:rFonts w:ascii="Arial" w:hAnsi="Arial" w:cs="Arial"/>
                <w:sz w:val="20"/>
                <w:szCs w:val="20"/>
              </w:rPr>
              <w:t>No</w:t>
            </w:r>
          </w:p>
        </w:tc>
      </w:tr>
      <w:tr w:rsidR="00240612" w:rsidTr="00C2740E">
        <w:tc>
          <w:tcPr>
            <w:tcW w:w="1384" w:type="dxa"/>
          </w:tcPr>
          <w:p w:rsidR="00240612" w:rsidRDefault="00240612" w:rsidP="0097398A">
            <w:pPr>
              <w:spacing w:before="60" w:after="60"/>
              <w:rPr>
                <w:rFonts w:ascii="Arial" w:hAnsi="Arial" w:cs="Arial"/>
                <w:sz w:val="20"/>
                <w:szCs w:val="20"/>
              </w:rPr>
            </w:pPr>
            <w:r>
              <w:rPr>
                <w:rFonts w:ascii="Arial" w:hAnsi="Arial" w:cs="Arial"/>
                <w:sz w:val="20"/>
                <w:szCs w:val="20"/>
              </w:rPr>
              <w:t>8.3.4</w:t>
            </w:r>
          </w:p>
        </w:tc>
        <w:tc>
          <w:tcPr>
            <w:tcW w:w="6379" w:type="dxa"/>
          </w:tcPr>
          <w:p w:rsidR="00240612" w:rsidRPr="008D29F4" w:rsidRDefault="00240612" w:rsidP="0097398A">
            <w:pPr>
              <w:spacing w:before="60" w:after="60"/>
              <w:rPr>
                <w:rFonts w:ascii="Arial" w:hAnsi="Arial" w:cs="Arial"/>
                <w:sz w:val="20"/>
                <w:szCs w:val="20"/>
              </w:rPr>
            </w:pPr>
            <w:r w:rsidRPr="003F6264">
              <w:rPr>
                <w:rFonts w:ascii="Arial" w:hAnsi="Arial" w:cs="Arial"/>
                <w:sz w:val="20"/>
                <w:szCs w:val="20"/>
              </w:rPr>
              <w:t xml:space="preserve">SFG Consulting, Alternative versions of the dividend discount model: and the implied cost of equity:  Report for Jemena Gas Networks, </w:t>
            </w:r>
            <w:proofErr w:type="spellStart"/>
            <w:r w:rsidRPr="003F6264">
              <w:rPr>
                <w:rFonts w:ascii="Arial" w:hAnsi="Arial" w:cs="Arial"/>
                <w:sz w:val="20"/>
                <w:szCs w:val="20"/>
              </w:rPr>
              <w:t>ActewAGL</w:t>
            </w:r>
            <w:proofErr w:type="spellEnd"/>
            <w:r w:rsidRPr="003F6264">
              <w:rPr>
                <w:rFonts w:ascii="Arial" w:hAnsi="Arial" w:cs="Arial"/>
                <w:sz w:val="20"/>
                <w:szCs w:val="20"/>
              </w:rPr>
              <w:t xml:space="preserve">, APA, Ergon, Networks NSW, </w:t>
            </w:r>
            <w:proofErr w:type="spellStart"/>
            <w:r w:rsidRPr="003F6264">
              <w:rPr>
                <w:rFonts w:ascii="Arial" w:hAnsi="Arial" w:cs="Arial"/>
                <w:sz w:val="20"/>
                <w:szCs w:val="20"/>
              </w:rPr>
              <w:t>Transend</w:t>
            </w:r>
            <w:proofErr w:type="spellEnd"/>
            <w:r w:rsidRPr="003F6264">
              <w:rPr>
                <w:rFonts w:ascii="Arial" w:hAnsi="Arial" w:cs="Arial"/>
                <w:sz w:val="20"/>
                <w:szCs w:val="20"/>
              </w:rPr>
              <w:t xml:space="preserve"> and </w:t>
            </w:r>
            <w:proofErr w:type="spellStart"/>
            <w:r w:rsidRPr="003F6264">
              <w:rPr>
                <w:rFonts w:ascii="Arial" w:hAnsi="Arial" w:cs="Arial"/>
                <w:sz w:val="20"/>
                <w:szCs w:val="20"/>
              </w:rPr>
              <w:t>TransGrid</w:t>
            </w:r>
            <w:proofErr w:type="spellEnd"/>
            <w:r w:rsidRPr="003F6264">
              <w:rPr>
                <w:rFonts w:ascii="Arial" w:hAnsi="Arial" w:cs="Arial"/>
                <w:sz w:val="20"/>
                <w:szCs w:val="20"/>
              </w:rPr>
              <w:t>, 15 May 2014</w:t>
            </w:r>
          </w:p>
        </w:tc>
        <w:tc>
          <w:tcPr>
            <w:tcW w:w="1479" w:type="dxa"/>
            <w:tcBorders>
              <w:bottom w:val="single" w:sz="4" w:space="0" w:color="auto"/>
            </w:tcBorders>
            <w:shd w:val="clear" w:color="auto" w:fill="auto"/>
          </w:tcPr>
          <w:p w:rsidR="00240612" w:rsidRDefault="00240612" w:rsidP="0097398A">
            <w:pPr>
              <w:spacing w:before="60" w:after="60"/>
              <w:rPr>
                <w:rFonts w:ascii="Arial" w:hAnsi="Arial" w:cs="Arial"/>
                <w:sz w:val="20"/>
                <w:szCs w:val="20"/>
              </w:rPr>
            </w:pPr>
            <w:r>
              <w:rPr>
                <w:rFonts w:ascii="Arial" w:hAnsi="Arial" w:cs="Arial"/>
                <w:sz w:val="20"/>
                <w:szCs w:val="20"/>
              </w:rPr>
              <w:t>No</w:t>
            </w:r>
          </w:p>
        </w:tc>
      </w:tr>
      <w:tr w:rsidR="00240612" w:rsidTr="00C2740E">
        <w:tc>
          <w:tcPr>
            <w:tcW w:w="1384" w:type="dxa"/>
            <w:tcBorders>
              <w:bottom w:val="single" w:sz="4" w:space="0" w:color="auto"/>
            </w:tcBorders>
          </w:tcPr>
          <w:p w:rsidR="00240612" w:rsidRDefault="00240612" w:rsidP="0097398A">
            <w:pPr>
              <w:spacing w:before="60" w:after="60"/>
              <w:rPr>
                <w:rFonts w:ascii="Arial" w:hAnsi="Arial" w:cs="Arial"/>
                <w:sz w:val="20"/>
                <w:szCs w:val="20"/>
              </w:rPr>
            </w:pPr>
            <w:r>
              <w:rPr>
                <w:rFonts w:ascii="Arial" w:hAnsi="Arial" w:cs="Arial"/>
                <w:sz w:val="20"/>
                <w:szCs w:val="20"/>
              </w:rPr>
              <w:t>8.3.4</w:t>
            </w:r>
          </w:p>
        </w:tc>
        <w:tc>
          <w:tcPr>
            <w:tcW w:w="6379" w:type="dxa"/>
          </w:tcPr>
          <w:p w:rsidR="00240612" w:rsidRPr="008D29F4" w:rsidRDefault="00240612" w:rsidP="0097398A">
            <w:pPr>
              <w:spacing w:before="60" w:after="60"/>
              <w:rPr>
                <w:rFonts w:ascii="Arial" w:hAnsi="Arial" w:cs="Arial"/>
                <w:sz w:val="20"/>
                <w:szCs w:val="20"/>
              </w:rPr>
            </w:pPr>
            <w:r w:rsidRPr="003F6264">
              <w:rPr>
                <w:rFonts w:ascii="Arial" w:hAnsi="Arial" w:cs="Arial"/>
                <w:sz w:val="20"/>
                <w:szCs w:val="20"/>
              </w:rPr>
              <w:t xml:space="preserve">SFG Consulting, The </w:t>
            </w:r>
            <w:proofErr w:type="spellStart"/>
            <w:r w:rsidRPr="003F6264">
              <w:rPr>
                <w:rFonts w:ascii="Arial" w:hAnsi="Arial" w:cs="Arial"/>
                <w:sz w:val="20"/>
                <w:szCs w:val="20"/>
              </w:rPr>
              <w:t>Fama</w:t>
            </w:r>
            <w:proofErr w:type="spellEnd"/>
            <w:r w:rsidRPr="003F6264">
              <w:rPr>
                <w:rFonts w:ascii="Arial" w:hAnsi="Arial" w:cs="Arial"/>
                <w:sz w:val="20"/>
                <w:szCs w:val="20"/>
              </w:rPr>
              <w:t xml:space="preserve">-French model:  Report for Jemena Gas Networks, </w:t>
            </w:r>
            <w:proofErr w:type="spellStart"/>
            <w:r w:rsidRPr="003F6264">
              <w:rPr>
                <w:rFonts w:ascii="Arial" w:hAnsi="Arial" w:cs="Arial"/>
                <w:sz w:val="20"/>
                <w:szCs w:val="20"/>
              </w:rPr>
              <w:t>ActewAGL</w:t>
            </w:r>
            <w:proofErr w:type="spellEnd"/>
            <w:r w:rsidRPr="003F6264">
              <w:rPr>
                <w:rFonts w:ascii="Arial" w:hAnsi="Arial" w:cs="Arial"/>
                <w:sz w:val="20"/>
                <w:szCs w:val="20"/>
              </w:rPr>
              <w:t xml:space="preserve">, Ergon, </w:t>
            </w:r>
            <w:proofErr w:type="spellStart"/>
            <w:r w:rsidRPr="003F6264">
              <w:rPr>
                <w:rFonts w:ascii="Arial" w:hAnsi="Arial" w:cs="Arial"/>
                <w:sz w:val="20"/>
                <w:szCs w:val="20"/>
              </w:rPr>
              <w:t>Transend</w:t>
            </w:r>
            <w:proofErr w:type="spellEnd"/>
            <w:r w:rsidRPr="003F6264">
              <w:rPr>
                <w:rFonts w:ascii="Arial" w:hAnsi="Arial" w:cs="Arial"/>
                <w:sz w:val="20"/>
                <w:szCs w:val="20"/>
              </w:rPr>
              <w:t xml:space="preserve">, </w:t>
            </w:r>
            <w:proofErr w:type="spellStart"/>
            <w:r w:rsidRPr="003F6264">
              <w:rPr>
                <w:rFonts w:ascii="Arial" w:hAnsi="Arial" w:cs="Arial"/>
                <w:sz w:val="20"/>
                <w:szCs w:val="20"/>
              </w:rPr>
              <w:t>TransGrid</w:t>
            </w:r>
            <w:proofErr w:type="spellEnd"/>
            <w:r w:rsidRPr="003F6264">
              <w:rPr>
                <w:rFonts w:ascii="Arial" w:hAnsi="Arial" w:cs="Arial"/>
                <w:sz w:val="20"/>
                <w:szCs w:val="20"/>
              </w:rPr>
              <w:t xml:space="preserve">, and SA </w:t>
            </w:r>
            <w:proofErr w:type="spellStart"/>
            <w:r w:rsidRPr="003F6264">
              <w:rPr>
                <w:rFonts w:ascii="Arial" w:hAnsi="Arial" w:cs="Arial"/>
                <w:sz w:val="20"/>
                <w:szCs w:val="20"/>
              </w:rPr>
              <w:t>PowerNetworks</w:t>
            </w:r>
            <w:proofErr w:type="spellEnd"/>
            <w:r w:rsidRPr="003F6264">
              <w:rPr>
                <w:rFonts w:ascii="Arial" w:hAnsi="Arial" w:cs="Arial"/>
                <w:sz w:val="20"/>
                <w:szCs w:val="20"/>
              </w:rPr>
              <w:t>, 13 May 2014</w:t>
            </w:r>
            <w:r>
              <w:rPr>
                <w:rFonts w:ascii="Arial" w:hAnsi="Arial" w:cs="Arial"/>
                <w:sz w:val="20"/>
                <w:szCs w:val="20"/>
              </w:rPr>
              <w:t>.</w:t>
            </w:r>
          </w:p>
        </w:tc>
        <w:tc>
          <w:tcPr>
            <w:tcW w:w="1479" w:type="dxa"/>
            <w:shd w:val="clear" w:color="auto" w:fill="auto"/>
          </w:tcPr>
          <w:p w:rsidR="00240612" w:rsidRDefault="00240612" w:rsidP="0097398A">
            <w:pPr>
              <w:spacing w:before="60" w:after="60"/>
              <w:rPr>
                <w:rFonts w:ascii="Arial" w:hAnsi="Arial" w:cs="Arial"/>
                <w:sz w:val="20"/>
                <w:szCs w:val="20"/>
              </w:rPr>
            </w:pPr>
            <w:r>
              <w:rPr>
                <w:rFonts w:ascii="Arial" w:hAnsi="Arial" w:cs="Arial"/>
                <w:sz w:val="20"/>
                <w:szCs w:val="20"/>
              </w:rPr>
              <w:t>No</w:t>
            </w:r>
          </w:p>
        </w:tc>
      </w:tr>
      <w:tr w:rsidR="00240612" w:rsidTr="00C2740E">
        <w:tc>
          <w:tcPr>
            <w:tcW w:w="1384" w:type="dxa"/>
            <w:tcBorders>
              <w:bottom w:val="single" w:sz="4" w:space="0" w:color="auto"/>
            </w:tcBorders>
            <w:shd w:val="clear" w:color="auto" w:fill="auto"/>
          </w:tcPr>
          <w:p w:rsidR="00240612" w:rsidRDefault="00240612" w:rsidP="0097398A">
            <w:pPr>
              <w:spacing w:before="60" w:after="60"/>
              <w:rPr>
                <w:rFonts w:ascii="Arial" w:hAnsi="Arial" w:cs="Arial"/>
                <w:sz w:val="20"/>
                <w:szCs w:val="20"/>
              </w:rPr>
            </w:pPr>
            <w:r>
              <w:rPr>
                <w:rFonts w:ascii="Arial" w:hAnsi="Arial" w:cs="Arial"/>
                <w:sz w:val="20"/>
                <w:szCs w:val="20"/>
              </w:rPr>
              <w:t>8.4.2</w:t>
            </w:r>
          </w:p>
        </w:tc>
        <w:tc>
          <w:tcPr>
            <w:tcW w:w="6379" w:type="dxa"/>
          </w:tcPr>
          <w:p w:rsidR="00240612" w:rsidRPr="008D29F4" w:rsidRDefault="00240612" w:rsidP="0097398A">
            <w:pPr>
              <w:spacing w:before="60" w:after="60"/>
              <w:rPr>
                <w:rFonts w:ascii="Arial" w:hAnsi="Arial" w:cs="Arial"/>
                <w:sz w:val="20"/>
                <w:szCs w:val="20"/>
              </w:rPr>
            </w:pPr>
            <w:r w:rsidRPr="000F1A1C">
              <w:rPr>
                <w:rFonts w:ascii="Arial" w:hAnsi="Arial" w:cs="Arial"/>
                <w:sz w:val="20"/>
                <w:szCs w:val="20"/>
              </w:rPr>
              <w:t xml:space="preserve">Australian Energy Regulator, Final Decision </w:t>
            </w:r>
            <w:proofErr w:type="spellStart"/>
            <w:r w:rsidRPr="000F1A1C">
              <w:rPr>
                <w:rFonts w:ascii="Arial" w:hAnsi="Arial" w:cs="Arial"/>
                <w:sz w:val="20"/>
                <w:szCs w:val="20"/>
              </w:rPr>
              <w:t>Directlink</w:t>
            </w:r>
            <w:proofErr w:type="spellEnd"/>
            <w:r w:rsidRPr="000F1A1C">
              <w:rPr>
                <w:rFonts w:ascii="Arial" w:hAnsi="Arial" w:cs="Arial"/>
                <w:sz w:val="20"/>
                <w:szCs w:val="20"/>
              </w:rPr>
              <w:t xml:space="preserve"> Transmission determination 2015-16 to 2019-20, Attachment 3 - rate of return, April 2014</w:t>
            </w:r>
            <w:r>
              <w:rPr>
                <w:rFonts w:ascii="Arial" w:hAnsi="Arial" w:cs="Arial"/>
                <w:sz w:val="20"/>
                <w:szCs w:val="20"/>
              </w:rPr>
              <w:t>.</w:t>
            </w:r>
          </w:p>
        </w:tc>
        <w:tc>
          <w:tcPr>
            <w:tcW w:w="1479" w:type="dxa"/>
            <w:shd w:val="clear" w:color="auto" w:fill="auto"/>
          </w:tcPr>
          <w:p w:rsidR="00240612" w:rsidRDefault="00240612" w:rsidP="0097398A">
            <w:pPr>
              <w:spacing w:before="60" w:after="60"/>
              <w:rPr>
                <w:rFonts w:ascii="Arial" w:hAnsi="Arial" w:cs="Arial"/>
                <w:sz w:val="20"/>
                <w:szCs w:val="20"/>
              </w:rPr>
            </w:pPr>
            <w:r>
              <w:rPr>
                <w:rFonts w:ascii="Arial" w:hAnsi="Arial" w:cs="Arial"/>
                <w:sz w:val="20"/>
                <w:szCs w:val="20"/>
              </w:rPr>
              <w:t>No</w:t>
            </w:r>
          </w:p>
        </w:tc>
      </w:tr>
      <w:tr w:rsidR="00240612" w:rsidTr="00A35849">
        <w:tc>
          <w:tcPr>
            <w:tcW w:w="1384" w:type="dxa"/>
            <w:shd w:val="clear" w:color="auto" w:fill="auto"/>
          </w:tcPr>
          <w:p w:rsidR="00240612" w:rsidRDefault="00240612" w:rsidP="0097398A">
            <w:pPr>
              <w:spacing w:before="60" w:after="60"/>
              <w:rPr>
                <w:rFonts w:ascii="Arial" w:hAnsi="Arial" w:cs="Arial"/>
                <w:sz w:val="20"/>
                <w:szCs w:val="20"/>
              </w:rPr>
            </w:pPr>
            <w:r>
              <w:rPr>
                <w:rFonts w:ascii="Arial" w:hAnsi="Arial" w:cs="Arial"/>
                <w:sz w:val="20"/>
                <w:szCs w:val="20"/>
              </w:rPr>
              <w:t>8.4.3</w:t>
            </w:r>
          </w:p>
        </w:tc>
        <w:tc>
          <w:tcPr>
            <w:tcW w:w="6379" w:type="dxa"/>
          </w:tcPr>
          <w:p w:rsidR="00240612" w:rsidRPr="008D29F4" w:rsidRDefault="00240612" w:rsidP="0097398A">
            <w:pPr>
              <w:spacing w:before="60" w:after="60"/>
              <w:rPr>
                <w:rFonts w:ascii="Arial" w:hAnsi="Arial" w:cs="Arial"/>
                <w:sz w:val="20"/>
                <w:szCs w:val="20"/>
              </w:rPr>
            </w:pPr>
            <w:proofErr w:type="spellStart"/>
            <w:r w:rsidRPr="003F6264">
              <w:rPr>
                <w:rFonts w:ascii="Arial" w:hAnsi="Arial" w:cs="Arial"/>
                <w:sz w:val="20"/>
                <w:szCs w:val="20"/>
              </w:rPr>
              <w:t>Ivailo</w:t>
            </w:r>
            <w:proofErr w:type="spellEnd"/>
            <w:r w:rsidRPr="003F6264">
              <w:rPr>
                <w:rFonts w:ascii="Arial" w:hAnsi="Arial" w:cs="Arial"/>
                <w:sz w:val="20"/>
                <w:szCs w:val="20"/>
              </w:rPr>
              <w:t xml:space="preserve"> </w:t>
            </w:r>
            <w:proofErr w:type="spellStart"/>
            <w:r w:rsidRPr="003F6264">
              <w:rPr>
                <w:rFonts w:ascii="Arial" w:hAnsi="Arial" w:cs="Arial"/>
                <w:sz w:val="20"/>
                <w:szCs w:val="20"/>
              </w:rPr>
              <w:t>Arsov</w:t>
            </w:r>
            <w:proofErr w:type="spellEnd"/>
            <w:r w:rsidRPr="003F6264">
              <w:rPr>
                <w:rFonts w:ascii="Arial" w:hAnsi="Arial" w:cs="Arial"/>
                <w:sz w:val="20"/>
                <w:szCs w:val="20"/>
              </w:rPr>
              <w:t xml:space="preserve">, Matthew Brooks and Mitch </w:t>
            </w:r>
            <w:proofErr w:type="spellStart"/>
            <w:r w:rsidRPr="003F6264">
              <w:rPr>
                <w:rFonts w:ascii="Arial" w:hAnsi="Arial" w:cs="Arial"/>
                <w:sz w:val="20"/>
                <w:szCs w:val="20"/>
              </w:rPr>
              <w:t>Kosev</w:t>
            </w:r>
            <w:proofErr w:type="spellEnd"/>
            <w:r w:rsidRPr="003F6264">
              <w:rPr>
                <w:rFonts w:ascii="Arial" w:hAnsi="Arial" w:cs="Arial"/>
                <w:sz w:val="20"/>
                <w:szCs w:val="20"/>
              </w:rPr>
              <w:t>, “New Measures of Australian Corporate Credit Spreads”, Reserve Bank of Australia Bulletin, December Quarter 2013, pages 15-16</w:t>
            </w:r>
            <w:r>
              <w:rPr>
                <w:rFonts w:ascii="Arial" w:hAnsi="Arial" w:cs="Arial"/>
                <w:sz w:val="20"/>
                <w:szCs w:val="20"/>
              </w:rPr>
              <w:t>.</w:t>
            </w:r>
          </w:p>
        </w:tc>
        <w:tc>
          <w:tcPr>
            <w:tcW w:w="1479" w:type="dxa"/>
            <w:tcBorders>
              <w:bottom w:val="single" w:sz="4" w:space="0" w:color="auto"/>
            </w:tcBorders>
            <w:shd w:val="clear" w:color="auto" w:fill="FABF8F" w:themeFill="accent6" w:themeFillTint="99"/>
          </w:tcPr>
          <w:p w:rsidR="00240612" w:rsidRDefault="00240612" w:rsidP="0097398A">
            <w:pPr>
              <w:spacing w:before="60" w:after="60"/>
              <w:rPr>
                <w:rFonts w:ascii="Arial" w:hAnsi="Arial" w:cs="Arial"/>
                <w:sz w:val="20"/>
                <w:szCs w:val="20"/>
              </w:rPr>
            </w:pPr>
            <w:r>
              <w:rPr>
                <w:rFonts w:ascii="Arial" w:hAnsi="Arial" w:cs="Arial"/>
                <w:sz w:val="20"/>
                <w:szCs w:val="20"/>
              </w:rPr>
              <w:t>No</w:t>
            </w:r>
          </w:p>
        </w:tc>
      </w:tr>
      <w:tr w:rsidR="00240612" w:rsidTr="00C2740E">
        <w:tc>
          <w:tcPr>
            <w:tcW w:w="1384" w:type="dxa"/>
          </w:tcPr>
          <w:p w:rsidR="00240612" w:rsidRDefault="00240612" w:rsidP="0097398A">
            <w:pPr>
              <w:spacing w:before="60" w:after="60"/>
              <w:rPr>
                <w:rFonts w:ascii="Arial" w:hAnsi="Arial" w:cs="Arial"/>
                <w:sz w:val="20"/>
                <w:szCs w:val="20"/>
              </w:rPr>
            </w:pPr>
            <w:r>
              <w:rPr>
                <w:rFonts w:ascii="Arial" w:hAnsi="Arial" w:cs="Arial"/>
                <w:sz w:val="20"/>
                <w:szCs w:val="20"/>
              </w:rPr>
              <w:t>8.4.3</w:t>
            </w:r>
          </w:p>
        </w:tc>
        <w:tc>
          <w:tcPr>
            <w:tcW w:w="6379" w:type="dxa"/>
          </w:tcPr>
          <w:p w:rsidR="00240612" w:rsidRPr="008D29F4" w:rsidRDefault="00240612" w:rsidP="005E4B4A">
            <w:pPr>
              <w:spacing w:before="60" w:after="60"/>
              <w:rPr>
                <w:rFonts w:ascii="Arial" w:hAnsi="Arial" w:cs="Arial"/>
                <w:sz w:val="20"/>
                <w:szCs w:val="20"/>
              </w:rPr>
            </w:pPr>
            <w:r w:rsidRPr="003F6264">
              <w:rPr>
                <w:rFonts w:ascii="Arial" w:hAnsi="Arial" w:cs="Arial"/>
                <w:sz w:val="20"/>
                <w:szCs w:val="20"/>
              </w:rPr>
              <w:t>CEG (Competition Economists Group), Efficient use of interest rate swaps to manage interest rate risk</w:t>
            </w:r>
            <w:r w:rsidR="005E4B4A">
              <w:rPr>
                <w:rFonts w:ascii="Arial" w:hAnsi="Arial" w:cs="Arial"/>
                <w:sz w:val="20"/>
                <w:szCs w:val="20"/>
              </w:rPr>
              <w:t>,</w:t>
            </w:r>
            <w:r w:rsidRPr="003F6264">
              <w:rPr>
                <w:rFonts w:ascii="Arial" w:hAnsi="Arial" w:cs="Arial"/>
                <w:sz w:val="20"/>
                <w:szCs w:val="20"/>
              </w:rPr>
              <w:t xml:space="preserve"> June 2015</w:t>
            </w:r>
            <w:r>
              <w:rPr>
                <w:rFonts w:ascii="Arial" w:hAnsi="Arial" w:cs="Arial"/>
                <w:sz w:val="20"/>
                <w:szCs w:val="20"/>
              </w:rPr>
              <w:t>.</w:t>
            </w:r>
          </w:p>
        </w:tc>
        <w:tc>
          <w:tcPr>
            <w:tcW w:w="1479" w:type="dxa"/>
            <w:tcBorders>
              <w:bottom w:val="single" w:sz="4" w:space="0" w:color="auto"/>
            </w:tcBorders>
            <w:shd w:val="clear" w:color="auto" w:fill="auto"/>
          </w:tcPr>
          <w:p w:rsidR="00240612" w:rsidRDefault="00240612" w:rsidP="0097398A">
            <w:pPr>
              <w:spacing w:before="60" w:after="60"/>
              <w:rPr>
                <w:rFonts w:ascii="Arial" w:hAnsi="Arial" w:cs="Arial"/>
                <w:sz w:val="20"/>
                <w:szCs w:val="20"/>
              </w:rPr>
            </w:pPr>
            <w:r>
              <w:rPr>
                <w:rFonts w:ascii="Arial" w:hAnsi="Arial" w:cs="Arial"/>
                <w:sz w:val="20"/>
                <w:szCs w:val="20"/>
              </w:rPr>
              <w:t>No</w:t>
            </w:r>
          </w:p>
        </w:tc>
      </w:tr>
      <w:tr w:rsidR="005E4B4A" w:rsidTr="00F8066A">
        <w:tc>
          <w:tcPr>
            <w:tcW w:w="1384" w:type="dxa"/>
            <w:shd w:val="clear" w:color="auto" w:fill="auto"/>
          </w:tcPr>
          <w:p w:rsidR="005E4B4A" w:rsidRPr="0088044D" w:rsidRDefault="002C65ED" w:rsidP="0097398A">
            <w:pPr>
              <w:spacing w:before="60" w:after="60"/>
              <w:rPr>
                <w:rFonts w:ascii="Arial" w:hAnsi="Arial" w:cs="Arial"/>
                <w:color w:val="000000" w:themeColor="text1"/>
                <w:sz w:val="20"/>
                <w:szCs w:val="20"/>
              </w:rPr>
            </w:pPr>
            <w:r>
              <w:rPr>
                <w:rFonts w:ascii="Arial" w:hAnsi="Arial" w:cs="Arial"/>
                <w:color w:val="000000" w:themeColor="text1"/>
                <w:sz w:val="20"/>
                <w:szCs w:val="20"/>
              </w:rPr>
              <w:t>8.3.3</w:t>
            </w:r>
          </w:p>
        </w:tc>
        <w:tc>
          <w:tcPr>
            <w:tcW w:w="6379" w:type="dxa"/>
          </w:tcPr>
          <w:p w:rsidR="005E4B4A" w:rsidRPr="003F6264" w:rsidRDefault="002C65ED" w:rsidP="005E4B4A">
            <w:pPr>
              <w:spacing w:before="60" w:after="60"/>
              <w:rPr>
                <w:rFonts w:ascii="Arial" w:hAnsi="Arial" w:cs="Arial"/>
                <w:sz w:val="20"/>
                <w:szCs w:val="20"/>
              </w:rPr>
            </w:pPr>
            <w:r w:rsidRPr="005E4B4A">
              <w:rPr>
                <w:rFonts w:ascii="Arial" w:hAnsi="Arial" w:cs="Arial"/>
                <w:sz w:val="20"/>
                <w:szCs w:val="20"/>
              </w:rPr>
              <w:t>Commonwealth of Australia, Financial System Inquiry Final Report, November 2014</w:t>
            </w:r>
            <w:r>
              <w:rPr>
                <w:rFonts w:ascii="Arial" w:hAnsi="Arial" w:cs="Arial"/>
                <w:sz w:val="20"/>
                <w:szCs w:val="20"/>
              </w:rPr>
              <w:t>.</w:t>
            </w:r>
          </w:p>
        </w:tc>
        <w:tc>
          <w:tcPr>
            <w:tcW w:w="1479" w:type="dxa"/>
            <w:tcBorders>
              <w:bottom w:val="single" w:sz="4" w:space="0" w:color="auto"/>
            </w:tcBorders>
            <w:shd w:val="clear" w:color="auto" w:fill="FABF8F" w:themeFill="accent6" w:themeFillTint="99"/>
          </w:tcPr>
          <w:p w:rsidR="005E4B4A" w:rsidRDefault="002C65ED" w:rsidP="0097398A">
            <w:pPr>
              <w:spacing w:before="60" w:after="60"/>
              <w:rPr>
                <w:rFonts w:ascii="Arial" w:hAnsi="Arial" w:cs="Arial"/>
                <w:sz w:val="20"/>
                <w:szCs w:val="20"/>
              </w:rPr>
            </w:pPr>
            <w:r>
              <w:rPr>
                <w:rFonts w:ascii="Arial" w:hAnsi="Arial" w:cs="Arial"/>
                <w:sz w:val="20"/>
                <w:szCs w:val="20"/>
              </w:rPr>
              <w:t>No</w:t>
            </w:r>
          </w:p>
        </w:tc>
      </w:tr>
      <w:tr w:rsidR="002C65ED" w:rsidTr="00F8066A">
        <w:tc>
          <w:tcPr>
            <w:tcW w:w="1384" w:type="dxa"/>
            <w:shd w:val="clear" w:color="auto" w:fill="auto"/>
          </w:tcPr>
          <w:p w:rsidR="002C65ED" w:rsidRPr="0088044D" w:rsidRDefault="002C65ED" w:rsidP="0097398A">
            <w:pPr>
              <w:spacing w:before="60" w:after="60"/>
              <w:rPr>
                <w:rFonts w:ascii="Arial" w:hAnsi="Arial" w:cs="Arial"/>
                <w:color w:val="000000" w:themeColor="text1"/>
                <w:sz w:val="20"/>
                <w:szCs w:val="20"/>
              </w:rPr>
            </w:pPr>
            <w:r>
              <w:rPr>
                <w:rFonts w:ascii="Arial" w:hAnsi="Arial" w:cs="Arial"/>
                <w:color w:val="000000" w:themeColor="text1"/>
                <w:sz w:val="20"/>
                <w:szCs w:val="20"/>
              </w:rPr>
              <w:t>8.3.3</w:t>
            </w:r>
          </w:p>
        </w:tc>
        <w:tc>
          <w:tcPr>
            <w:tcW w:w="6379" w:type="dxa"/>
          </w:tcPr>
          <w:p w:rsidR="002C65ED" w:rsidRPr="005E4B4A" w:rsidRDefault="002C65ED" w:rsidP="005E4B4A">
            <w:pPr>
              <w:spacing w:before="60" w:after="60"/>
              <w:rPr>
                <w:rFonts w:ascii="Arial" w:hAnsi="Arial" w:cs="Arial"/>
                <w:sz w:val="20"/>
                <w:szCs w:val="20"/>
              </w:rPr>
            </w:pPr>
            <w:proofErr w:type="spellStart"/>
            <w:r w:rsidRPr="005E4B4A">
              <w:rPr>
                <w:rFonts w:ascii="Arial" w:hAnsi="Arial" w:cs="Arial"/>
                <w:sz w:val="20"/>
                <w:szCs w:val="20"/>
              </w:rPr>
              <w:t>Mihovil</w:t>
            </w:r>
            <w:proofErr w:type="spellEnd"/>
            <w:r w:rsidRPr="005E4B4A">
              <w:rPr>
                <w:rFonts w:ascii="Arial" w:hAnsi="Arial" w:cs="Arial"/>
                <w:sz w:val="20"/>
                <w:szCs w:val="20"/>
              </w:rPr>
              <w:t xml:space="preserve"> </w:t>
            </w:r>
            <w:proofErr w:type="spellStart"/>
            <w:r w:rsidRPr="005E4B4A">
              <w:rPr>
                <w:rFonts w:ascii="Arial" w:hAnsi="Arial" w:cs="Arial"/>
                <w:sz w:val="20"/>
                <w:szCs w:val="20"/>
              </w:rPr>
              <w:t>Matic</w:t>
            </w:r>
            <w:proofErr w:type="spellEnd"/>
            <w:r w:rsidRPr="005E4B4A">
              <w:rPr>
                <w:rFonts w:ascii="Arial" w:hAnsi="Arial" w:cs="Arial"/>
                <w:sz w:val="20"/>
                <w:szCs w:val="20"/>
              </w:rPr>
              <w:t xml:space="preserve">, Adam </w:t>
            </w:r>
            <w:proofErr w:type="spellStart"/>
            <w:r w:rsidRPr="005E4B4A">
              <w:rPr>
                <w:rFonts w:ascii="Arial" w:hAnsi="Arial" w:cs="Arial"/>
                <w:sz w:val="20"/>
                <w:szCs w:val="20"/>
              </w:rPr>
              <w:t>Gorajek</w:t>
            </w:r>
            <w:proofErr w:type="spellEnd"/>
            <w:r w:rsidRPr="005E4B4A">
              <w:rPr>
                <w:rFonts w:ascii="Arial" w:hAnsi="Arial" w:cs="Arial"/>
                <w:sz w:val="20"/>
                <w:szCs w:val="20"/>
              </w:rPr>
              <w:t xml:space="preserve"> and Chris Stewart, “Small Business Funding in Australia”, Reserve Bank of Australia, Small Business Finance Roundtable, May 2012</w:t>
            </w:r>
            <w:r>
              <w:rPr>
                <w:rFonts w:ascii="Arial" w:hAnsi="Arial" w:cs="Arial"/>
                <w:sz w:val="20"/>
                <w:szCs w:val="20"/>
              </w:rPr>
              <w:t>.</w:t>
            </w:r>
          </w:p>
        </w:tc>
        <w:tc>
          <w:tcPr>
            <w:tcW w:w="1479" w:type="dxa"/>
            <w:tcBorders>
              <w:bottom w:val="single" w:sz="4" w:space="0" w:color="auto"/>
            </w:tcBorders>
            <w:shd w:val="clear" w:color="auto" w:fill="FABF8F" w:themeFill="accent6" w:themeFillTint="99"/>
          </w:tcPr>
          <w:p w:rsidR="002C65ED" w:rsidRDefault="002C65ED" w:rsidP="0097398A">
            <w:pPr>
              <w:spacing w:before="60" w:after="60"/>
              <w:rPr>
                <w:rFonts w:ascii="Arial" w:hAnsi="Arial" w:cs="Arial"/>
                <w:sz w:val="20"/>
                <w:szCs w:val="20"/>
              </w:rPr>
            </w:pPr>
            <w:r>
              <w:rPr>
                <w:rFonts w:ascii="Arial" w:hAnsi="Arial" w:cs="Arial"/>
                <w:sz w:val="20"/>
                <w:szCs w:val="20"/>
              </w:rPr>
              <w:t>No</w:t>
            </w:r>
          </w:p>
        </w:tc>
      </w:tr>
      <w:tr w:rsidR="002C65ED" w:rsidTr="00F8066A">
        <w:tc>
          <w:tcPr>
            <w:tcW w:w="1384" w:type="dxa"/>
            <w:shd w:val="clear" w:color="auto" w:fill="auto"/>
          </w:tcPr>
          <w:p w:rsidR="002C65ED" w:rsidRPr="0088044D" w:rsidRDefault="002C65ED" w:rsidP="0097398A">
            <w:pPr>
              <w:spacing w:before="60" w:after="60"/>
              <w:rPr>
                <w:rFonts w:ascii="Arial" w:hAnsi="Arial" w:cs="Arial"/>
                <w:color w:val="000000" w:themeColor="text1"/>
                <w:sz w:val="20"/>
                <w:szCs w:val="20"/>
              </w:rPr>
            </w:pPr>
            <w:r>
              <w:rPr>
                <w:rFonts w:ascii="Arial" w:hAnsi="Arial" w:cs="Arial"/>
                <w:color w:val="000000" w:themeColor="text1"/>
                <w:sz w:val="20"/>
                <w:szCs w:val="20"/>
              </w:rPr>
              <w:t>8.3.3</w:t>
            </w:r>
          </w:p>
        </w:tc>
        <w:tc>
          <w:tcPr>
            <w:tcW w:w="6379" w:type="dxa"/>
          </w:tcPr>
          <w:p w:rsidR="002C65ED" w:rsidRPr="005E4B4A" w:rsidRDefault="002C65ED" w:rsidP="005E4B4A">
            <w:pPr>
              <w:spacing w:before="60" w:after="60"/>
              <w:rPr>
                <w:rFonts w:ascii="Arial" w:hAnsi="Arial" w:cs="Arial"/>
                <w:sz w:val="20"/>
                <w:szCs w:val="20"/>
              </w:rPr>
            </w:pPr>
            <w:r w:rsidRPr="0088044D">
              <w:rPr>
                <w:rFonts w:ascii="Arial" w:hAnsi="Arial" w:cs="Arial"/>
                <w:sz w:val="20"/>
                <w:szCs w:val="20"/>
              </w:rPr>
              <w:t>Reserve Bank of Australia, Statement on Monetary Policy, May 2015</w:t>
            </w:r>
            <w:r>
              <w:rPr>
                <w:rFonts w:ascii="Arial" w:hAnsi="Arial" w:cs="Arial"/>
                <w:sz w:val="20"/>
                <w:szCs w:val="20"/>
              </w:rPr>
              <w:t>.</w:t>
            </w:r>
          </w:p>
        </w:tc>
        <w:tc>
          <w:tcPr>
            <w:tcW w:w="1479" w:type="dxa"/>
            <w:tcBorders>
              <w:bottom w:val="single" w:sz="4" w:space="0" w:color="auto"/>
            </w:tcBorders>
            <w:shd w:val="clear" w:color="auto" w:fill="FABF8F" w:themeFill="accent6" w:themeFillTint="99"/>
          </w:tcPr>
          <w:p w:rsidR="002C65ED" w:rsidRDefault="002C65ED" w:rsidP="0097398A">
            <w:pPr>
              <w:spacing w:before="60" w:after="60"/>
              <w:rPr>
                <w:rFonts w:ascii="Arial" w:hAnsi="Arial" w:cs="Arial"/>
                <w:sz w:val="20"/>
                <w:szCs w:val="20"/>
              </w:rPr>
            </w:pPr>
            <w:r>
              <w:rPr>
                <w:rFonts w:ascii="Arial" w:hAnsi="Arial" w:cs="Arial"/>
                <w:sz w:val="20"/>
                <w:szCs w:val="20"/>
              </w:rPr>
              <w:t>No</w:t>
            </w:r>
          </w:p>
        </w:tc>
      </w:tr>
      <w:tr w:rsidR="002C65ED" w:rsidTr="00C2740E">
        <w:tc>
          <w:tcPr>
            <w:tcW w:w="1384" w:type="dxa"/>
          </w:tcPr>
          <w:p w:rsidR="002C65ED" w:rsidRDefault="002C65ED" w:rsidP="0097398A">
            <w:pPr>
              <w:spacing w:before="60" w:after="60"/>
              <w:rPr>
                <w:rFonts w:ascii="Arial" w:hAnsi="Arial" w:cs="Arial"/>
                <w:sz w:val="20"/>
                <w:szCs w:val="20"/>
              </w:rPr>
            </w:pPr>
            <w:r>
              <w:rPr>
                <w:rFonts w:ascii="Arial" w:hAnsi="Arial" w:cs="Arial"/>
                <w:sz w:val="20"/>
                <w:szCs w:val="20"/>
              </w:rPr>
              <w:t>8.7.2</w:t>
            </w:r>
          </w:p>
        </w:tc>
        <w:tc>
          <w:tcPr>
            <w:tcW w:w="6379" w:type="dxa"/>
          </w:tcPr>
          <w:p w:rsidR="002C65ED" w:rsidRDefault="002C65ED" w:rsidP="0097398A">
            <w:pPr>
              <w:spacing w:before="60" w:after="60"/>
              <w:rPr>
                <w:rFonts w:ascii="Arial" w:hAnsi="Arial" w:cs="Arial"/>
                <w:sz w:val="20"/>
                <w:szCs w:val="20"/>
              </w:rPr>
            </w:pPr>
            <w:r w:rsidRPr="00992556">
              <w:rPr>
                <w:rFonts w:ascii="Arial" w:hAnsi="Arial" w:cs="Arial"/>
                <w:sz w:val="20"/>
                <w:szCs w:val="20"/>
              </w:rPr>
              <w:t xml:space="preserve">Frontier Economics, </w:t>
            </w:r>
            <w:r w:rsidRPr="00992556">
              <w:rPr>
                <w:rFonts w:ascii="Arial" w:hAnsi="Arial" w:cs="Arial"/>
                <w:i/>
                <w:sz w:val="20"/>
                <w:szCs w:val="20"/>
              </w:rPr>
              <w:t xml:space="preserve">An appropriate regulatory estimate of gamma:  Report prepared for </w:t>
            </w:r>
            <w:proofErr w:type="spellStart"/>
            <w:r w:rsidRPr="00992556">
              <w:rPr>
                <w:rFonts w:ascii="Arial" w:hAnsi="Arial" w:cs="Arial"/>
                <w:i/>
                <w:sz w:val="20"/>
                <w:szCs w:val="20"/>
              </w:rPr>
              <w:t>ActewAGL</w:t>
            </w:r>
            <w:proofErr w:type="spellEnd"/>
            <w:r w:rsidRPr="00992556">
              <w:rPr>
                <w:rFonts w:ascii="Arial" w:hAnsi="Arial" w:cs="Arial"/>
                <w:i/>
                <w:sz w:val="20"/>
                <w:szCs w:val="20"/>
              </w:rPr>
              <w:t xml:space="preserve"> Distribution, AGN, APA, </w:t>
            </w:r>
            <w:proofErr w:type="spellStart"/>
            <w:r w:rsidRPr="00992556">
              <w:rPr>
                <w:rFonts w:ascii="Arial" w:hAnsi="Arial" w:cs="Arial"/>
                <w:i/>
                <w:sz w:val="20"/>
                <w:szCs w:val="20"/>
              </w:rPr>
              <w:t>Ausnet</w:t>
            </w:r>
            <w:proofErr w:type="spellEnd"/>
            <w:r w:rsidRPr="00992556">
              <w:rPr>
                <w:rFonts w:ascii="Arial" w:hAnsi="Arial" w:cs="Arial"/>
                <w:i/>
                <w:sz w:val="20"/>
                <w:szCs w:val="20"/>
              </w:rPr>
              <w:t xml:space="preserve"> </w:t>
            </w:r>
            <w:proofErr w:type="spellStart"/>
            <w:r w:rsidRPr="00992556">
              <w:rPr>
                <w:rFonts w:ascii="Arial" w:hAnsi="Arial" w:cs="Arial"/>
                <w:i/>
                <w:sz w:val="20"/>
                <w:szCs w:val="20"/>
              </w:rPr>
              <w:t>Serivces</w:t>
            </w:r>
            <w:proofErr w:type="spellEnd"/>
            <w:r w:rsidRPr="00992556">
              <w:rPr>
                <w:rFonts w:ascii="Arial" w:hAnsi="Arial" w:cs="Arial"/>
                <w:i/>
                <w:sz w:val="20"/>
                <w:szCs w:val="20"/>
              </w:rPr>
              <w:t xml:space="preserve">, </w:t>
            </w:r>
            <w:proofErr w:type="spellStart"/>
            <w:r w:rsidRPr="00992556">
              <w:rPr>
                <w:rFonts w:ascii="Arial" w:hAnsi="Arial" w:cs="Arial"/>
                <w:i/>
                <w:sz w:val="20"/>
                <w:szCs w:val="20"/>
              </w:rPr>
              <w:t>Citipower</w:t>
            </w:r>
            <w:proofErr w:type="spellEnd"/>
            <w:r w:rsidRPr="00992556">
              <w:rPr>
                <w:rFonts w:ascii="Arial" w:hAnsi="Arial" w:cs="Arial"/>
                <w:i/>
                <w:sz w:val="20"/>
                <w:szCs w:val="20"/>
              </w:rPr>
              <w:t xml:space="preserve">, Ergon, Energex, Jemena Electricity Networks, </w:t>
            </w:r>
            <w:proofErr w:type="spellStart"/>
            <w:r w:rsidRPr="00992556">
              <w:rPr>
                <w:rFonts w:ascii="Arial" w:hAnsi="Arial" w:cs="Arial"/>
                <w:i/>
                <w:sz w:val="20"/>
                <w:szCs w:val="20"/>
              </w:rPr>
              <w:t>Powercor</w:t>
            </w:r>
            <w:proofErr w:type="spellEnd"/>
            <w:r w:rsidRPr="00992556">
              <w:rPr>
                <w:rFonts w:ascii="Arial" w:hAnsi="Arial" w:cs="Arial"/>
                <w:i/>
                <w:sz w:val="20"/>
                <w:szCs w:val="20"/>
              </w:rPr>
              <w:t>, SA Power Networks and United Energy</w:t>
            </w:r>
            <w:r w:rsidRPr="00992556">
              <w:rPr>
                <w:rFonts w:ascii="Arial" w:hAnsi="Arial" w:cs="Arial"/>
                <w:sz w:val="20"/>
                <w:szCs w:val="20"/>
              </w:rPr>
              <w:t>, June 2015</w:t>
            </w:r>
            <w:r>
              <w:rPr>
                <w:rFonts w:ascii="Arial" w:hAnsi="Arial" w:cs="Arial"/>
                <w:sz w:val="20"/>
                <w:szCs w:val="20"/>
              </w:rPr>
              <w:t>.</w:t>
            </w:r>
          </w:p>
        </w:tc>
        <w:tc>
          <w:tcPr>
            <w:tcW w:w="1479" w:type="dxa"/>
            <w:shd w:val="clear" w:color="auto" w:fill="auto"/>
          </w:tcPr>
          <w:p w:rsidR="002C65ED" w:rsidRDefault="002C65ED" w:rsidP="0097398A">
            <w:pPr>
              <w:spacing w:before="60" w:after="60"/>
              <w:rPr>
                <w:rFonts w:ascii="Arial" w:hAnsi="Arial" w:cs="Arial"/>
                <w:sz w:val="20"/>
                <w:szCs w:val="20"/>
              </w:rPr>
            </w:pPr>
            <w:r>
              <w:rPr>
                <w:rFonts w:ascii="Arial" w:hAnsi="Arial" w:cs="Arial"/>
                <w:sz w:val="20"/>
                <w:szCs w:val="20"/>
              </w:rPr>
              <w:t>No</w:t>
            </w:r>
          </w:p>
        </w:tc>
      </w:tr>
      <w:tr w:rsidR="002C65ED" w:rsidTr="00C2740E">
        <w:tc>
          <w:tcPr>
            <w:tcW w:w="1384" w:type="dxa"/>
          </w:tcPr>
          <w:p w:rsidR="002C65ED" w:rsidRDefault="002C65ED" w:rsidP="0097398A">
            <w:pPr>
              <w:spacing w:before="60" w:after="60"/>
              <w:rPr>
                <w:rFonts w:ascii="Arial" w:hAnsi="Arial" w:cs="Arial"/>
                <w:sz w:val="20"/>
                <w:szCs w:val="20"/>
              </w:rPr>
            </w:pPr>
            <w:r>
              <w:rPr>
                <w:rFonts w:ascii="Arial" w:hAnsi="Arial" w:cs="Arial"/>
                <w:sz w:val="20"/>
                <w:szCs w:val="20"/>
              </w:rPr>
              <w:t>8.7.2</w:t>
            </w:r>
          </w:p>
        </w:tc>
        <w:tc>
          <w:tcPr>
            <w:tcW w:w="6379" w:type="dxa"/>
          </w:tcPr>
          <w:p w:rsidR="002C65ED" w:rsidRPr="00992556" w:rsidRDefault="002C65ED" w:rsidP="0097398A">
            <w:pPr>
              <w:spacing w:before="60" w:after="60"/>
              <w:rPr>
                <w:rFonts w:ascii="Arial" w:hAnsi="Arial" w:cs="Arial"/>
                <w:sz w:val="20"/>
                <w:szCs w:val="20"/>
              </w:rPr>
            </w:pPr>
            <w:r w:rsidRPr="00992556">
              <w:rPr>
                <w:rFonts w:ascii="Arial" w:hAnsi="Arial" w:cs="Arial"/>
                <w:sz w:val="20"/>
                <w:szCs w:val="20"/>
              </w:rPr>
              <w:t xml:space="preserve">Application by Energex Limited (No. 2) [2010] </w:t>
            </w:r>
            <w:proofErr w:type="spellStart"/>
            <w:r w:rsidRPr="00992556">
              <w:rPr>
                <w:rFonts w:ascii="Arial" w:hAnsi="Arial" w:cs="Arial"/>
                <w:sz w:val="20"/>
                <w:szCs w:val="20"/>
              </w:rPr>
              <w:t>ACompT</w:t>
            </w:r>
            <w:proofErr w:type="spellEnd"/>
            <w:r w:rsidRPr="00992556">
              <w:rPr>
                <w:rFonts w:ascii="Arial" w:hAnsi="Arial" w:cs="Arial"/>
                <w:sz w:val="20"/>
                <w:szCs w:val="20"/>
              </w:rPr>
              <w:t xml:space="preserve"> 7</w:t>
            </w:r>
            <w:r>
              <w:rPr>
                <w:rFonts w:ascii="Arial" w:hAnsi="Arial" w:cs="Arial"/>
                <w:sz w:val="20"/>
                <w:szCs w:val="20"/>
              </w:rPr>
              <w:t>.</w:t>
            </w:r>
          </w:p>
        </w:tc>
        <w:tc>
          <w:tcPr>
            <w:tcW w:w="1479" w:type="dxa"/>
            <w:shd w:val="clear" w:color="auto" w:fill="auto"/>
          </w:tcPr>
          <w:p w:rsidR="002C65ED" w:rsidRDefault="002C65ED" w:rsidP="0097398A">
            <w:pPr>
              <w:spacing w:before="60" w:after="60"/>
              <w:rPr>
                <w:rFonts w:ascii="Arial" w:hAnsi="Arial" w:cs="Arial"/>
                <w:sz w:val="20"/>
                <w:szCs w:val="20"/>
              </w:rPr>
            </w:pPr>
            <w:r>
              <w:rPr>
                <w:rFonts w:ascii="Arial" w:hAnsi="Arial" w:cs="Arial"/>
                <w:sz w:val="20"/>
                <w:szCs w:val="20"/>
              </w:rPr>
              <w:t>No</w:t>
            </w:r>
          </w:p>
        </w:tc>
      </w:tr>
      <w:tr w:rsidR="002C65ED" w:rsidTr="00C2740E">
        <w:tc>
          <w:tcPr>
            <w:tcW w:w="1384" w:type="dxa"/>
          </w:tcPr>
          <w:p w:rsidR="002C65ED" w:rsidRDefault="002C65ED" w:rsidP="00992556">
            <w:pPr>
              <w:spacing w:before="60" w:after="60"/>
              <w:rPr>
                <w:rFonts w:ascii="Arial" w:hAnsi="Arial" w:cs="Arial"/>
                <w:sz w:val="20"/>
                <w:szCs w:val="20"/>
              </w:rPr>
            </w:pPr>
            <w:r>
              <w:rPr>
                <w:rFonts w:ascii="Arial" w:hAnsi="Arial" w:cs="Arial"/>
                <w:sz w:val="20"/>
                <w:szCs w:val="20"/>
              </w:rPr>
              <w:t>8.7.2</w:t>
            </w:r>
          </w:p>
        </w:tc>
        <w:tc>
          <w:tcPr>
            <w:tcW w:w="6379" w:type="dxa"/>
          </w:tcPr>
          <w:p w:rsidR="002C65ED" w:rsidRDefault="002C65ED" w:rsidP="00992556">
            <w:pPr>
              <w:spacing w:before="60" w:after="60"/>
              <w:rPr>
                <w:rFonts w:ascii="Arial" w:hAnsi="Arial" w:cs="Arial"/>
                <w:sz w:val="20"/>
                <w:szCs w:val="20"/>
              </w:rPr>
            </w:pPr>
            <w:r w:rsidRPr="00992556">
              <w:rPr>
                <w:rFonts w:ascii="Arial" w:hAnsi="Arial" w:cs="Arial"/>
                <w:sz w:val="20"/>
                <w:szCs w:val="20"/>
              </w:rPr>
              <w:t xml:space="preserve">Application by Energex Limited (Gamma) (No 5) [2011] </w:t>
            </w:r>
            <w:proofErr w:type="spellStart"/>
            <w:r w:rsidRPr="00992556">
              <w:rPr>
                <w:rFonts w:ascii="Arial" w:hAnsi="Arial" w:cs="Arial"/>
                <w:sz w:val="20"/>
                <w:szCs w:val="20"/>
              </w:rPr>
              <w:t>ACompT</w:t>
            </w:r>
            <w:proofErr w:type="spellEnd"/>
            <w:r w:rsidRPr="00992556">
              <w:rPr>
                <w:rFonts w:ascii="Arial" w:hAnsi="Arial" w:cs="Arial"/>
                <w:sz w:val="20"/>
                <w:szCs w:val="20"/>
              </w:rPr>
              <w:t xml:space="preserve"> 9.</w:t>
            </w:r>
          </w:p>
        </w:tc>
        <w:tc>
          <w:tcPr>
            <w:tcW w:w="1479" w:type="dxa"/>
            <w:shd w:val="clear" w:color="auto" w:fill="auto"/>
          </w:tcPr>
          <w:p w:rsidR="002C65ED" w:rsidRDefault="002C65ED" w:rsidP="00992556">
            <w:pPr>
              <w:spacing w:before="60" w:after="60"/>
              <w:rPr>
                <w:rFonts w:ascii="Arial" w:hAnsi="Arial" w:cs="Arial"/>
                <w:sz w:val="20"/>
                <w:szCs w:val="20"/>
              </w:rPr>
            </w:pPr>
            <w:r>
              <w:rPr>
                <w:rFonts w:ascii="Arial" w:hAnsi="Arial" w:cs="Arial"/>
                <w:sz w:val="20"/>
                <w:szCs w:val="20"/>
              </w:rPr>
              <w:t>No</w:t>
            </w:r>
          </w:p>
        </w:tc>
      </w:tr>
      <w:tr w:rsidR="002C65ED" w:rsidTr="00C2740E">
        <w:tc>
          <w:tcPr>
            <w:tcW w:w="1384" w:type="dxa"/>
          </w:tcPr>
          <w:p w:rsidR="002C65ED" w:rsidRDefault="002C65ED" w:rsidP="0097398A">
            <w:pPr>
              <w:spacing w:before="60" w:after="60"/>
              <w:rPr>
                <w:rFonts w:ascii="Arial" w:hAnsi="Arial" w:cs="Arial"/>
                <w:sz w:val="20"/>
                <w:szCs w:val="20"/>
              </w:rPr>
            </w:pPr>
            <w:r>
              <w:rPr>
                <w:rFonts w:ascii="Arial" w:hAnsi="Arial" w:cs="Arial"/>
                <w:sz w:val="20"/>
                <w:szCs w:val="20"/>
              </w:rPr>
              <w:t>8.7.3</w:t>
            </w:r>
          </w:p>
        </w:tc>
        <w:tc>
          <w:tcPr>
            <w:tcW w:w="6379" w:type="dxa"/>
          </w:tcPr>
          <w:p w:rsidR="002C65ED" w:rsidRDefault="002C65ED" w:rsidP="007133C1">
            <w:pPr>
              <w:spacing w:before="60" w:after="60"/>
              <w:rPr>
                <w:rFonts w:ascii="Arial" w:hAnsi="Arial" w:cs="Arial"/>
                <w:sz w:val="20"/>
                <w:szCs w:val="20"/>
              </w:rPr>
            </w:pPr>
            <w:proofErr w:type="spellStart"/>
            <w:r w:rsidRPr="007133C1">
              <w:rPr>
                <w:rFonts w:ascii="Arial" w:hAnsi="Arial" w:cs="Arial"/>
                <w:sz w:val="20"/>
                <w:szCs w:val="20"/>
              </w:rPr>
              <w:t>Duc</w:t>
            </w:r>
            <w:proofErr w:type="spellEnd"/>
            <w:r w:rsidRPr="007133C1">
              <w:rPr>
                <w:rFonts w:ascii="Arial" w:hAnsi="Arial" w:cs="Arial"/>
                <w:sz w:val="20"/>
                <w:szCs w:val="20"/>
              </w:rPr>
              <w:t xml:space="preserve"> Vo, </w:t>
            </w:r>
            <w:proofErr w:type="spellStart"/>
            <w:r w:rsidRPr="007133C1">
              <w:rPr>
                <w:rFonts w:ascii="Arial" w:hAnsi="Arial" w:cs="Arial"/>
                <w:sz w:val="20"/>
                <w:szCs w:val="20"/>
              </w:rPr>
              <w:t>Beauden</w:t>
            </w:r>
            <w:proofErr w:type="spellEnd"/>
            <w:r w:rsidRPr="007133C1">
              <w:rPr>
                <w:rFonts w:ascii="Arial" w:hAnsi="Arial" w:cs="Arial"/>
                <w:sz w:val="20"/>
                <w:szCs w:val="20"/>
              </w:rPr>
              <w:t xml:space="preserve"> </w:t>
            </w:r>
            <w:proofErr w:type="spellStart"/>
            <w:r w:rsidRPr="007133C1">
              <w:rPr>
                <w:rFonts w:ascii="Arial" w:hAnsi="Arial" w:cs="Arial"/>
                <w:sz w:val="20"/>
                <w:szCs w:val="20"/>
              </w:rPr>
              <w:t>Gellard</w:t>
            </w:r>
            <w:proofErr w:type="spellEnd"/>
            <w:r w:rsidRPr="007133C1">
              <w:rPr>
                <w:rFonts w:ascii="Arial" w:hAnsi="Arial" w:cs="Arial"/>
                <w:sz w:val="20"/>
                <w:szCs w:val="20"/>
              </w:rPr>
              <w:t>, Stefan Mero (2013), “Estimating the Market Value of Franking Credits:  Empirical Evidence from Australia”, paper presented at 42nd Australian Conference of Economists.</w:t>
            </w:r>
          </w:p>
        </w:tc>
        <w:tc>
          <w:tcPr>
            <w:tcW w:w="1479" w:type="dxa"/>
            <w:shd w:val="clear" w:color="auto" w:fill="auto"/>
          </w:tcPr>
          <w:p w:rsidR="002C65ED" w:rsidRDefault="002C65ED" w:rsidP="0097398A">
            <w:pPr>
              <w:spacing w:before="60" w:after="60"/>
              <w:rPr>
                <w:rFonts w:ascii="Arial" w:hAnsi="Arial" w:cs="Arial"/>
                <w:sz w:val="20"/>
                <w:szCs w:val="20"/>
              </w:rPr>
            </w:pPr>
            <w:r>
              <w:rPr>
                <w:rFonts w:ascii="Arial" w:hAnsi="Arial" w:cs="Arial"/>
                <w:sz w:val="20"/>
                <w:szCs w:val="20"/>
              </w:rPr>
              <w:t>No</w:t>
            </w:r>
          </w:p>
        </w:tc>
      </w:tr>
      <w:tr w:rsidR="002C65ED" w:rsidTr="00F106C8">
        <w:tc>
          <w:tcPr>
            <w:tcW w:w="9242" w:type="dxa"/>
            <w:gridSpan w:val="3"/>
            <w:shd w:val="clear" w:color="auto" w:fill="BFBFBF" w:themeFill="background1" w:themeFillShade="BF"/>
          </w:tcPr>
          <w:p w:rsidR="002C65ED" w:rsidRPr="00F106C8" w:rsidRDefault="002C65ED" w:rsidP="0097398A">
            <w:pPr>
              <w:spacing w:before="60" w:after="60"/>
              <w:rPr>
                <w:rFonts w:ascii="Arial" w:hAnsi="Arial" w:cs="Arial"/>
                <w:b/>
                <w:sz w:val="20"/>
                <w:szCs w:val="20"/>
              </w:rPr>
            </w:pPr>
            <w:r w:rsidRPr="00F106C8">
              <w:rPr>
                <w:rFonts w:ascii="Arial" w:hAnsi="Arial" w:cs="Arial"/>
                <w:b/>
                <w:sz w:val="20"/>
                <w:szCs w:val="20"/>
              </w:rPr>
              <w:lastRenderedPageBreak/>
              <w:t>Asset Management Plan</w:t>
            </w:r>
          </w:p>
        </w:tc>
      </w:tr>
      <w:tr w:rsidR="002C65ED" w:rsidTr="00E057BB">
        <w:tc>
          <w:tcPr>
            <w:tcW w:w="9242" w:type="dxa"/>
            <w:gridSpan w:val="3"/>
          </w:tcPr>
          <w:p w:rsidR="002C65ED" w:rsidRPr="00275487" w:rsidRDefault="002C65ED" w:rsidP="0097398A">
            <w:pPr>
              <w:spacing w:before="60" w:after="60"/>
              <w:rPr>
                <w:rFonts w:ascii="Arial" w:hAnsi="Arial" w:cs="Arial"/>
                <w:b/>
                <w:i/>
                <w:sz w:val="20"/>
                <w:szCs w:val="20"/>
              </w:rPr>
            </w:pPr>
            <w:r w:rsidRPr="00275487">
              <w:rPr>
                <w:rFonts w:ascii="Arial" w:hAnsi="Arial" w:cs="Arial"/>
                <w:b/>
                <w:i/>
                <w:sz w:val="20"/>
                <w:szCs w:val="20"/>
              </w:rPr>
              <w:t>Project justifications</w:t>
            </w:r>
          </w:p>
        </w:tc>
      </w:tr>
      <w:tr w:rsidR="002C65ED" w:rsidTr="00C2740E">
        <w:tc>
          <w:tcPr>
            <w:tcW w:w="1384" w:type="dxa"/>
          </w:tcPr>
          <w:p w:rsidR="002C65ED" w:rsidRDefault="002C65ED" w:rsidP="0097398A">
            <w:pPr>
              <w:spacing w:before="60" w:after="60"/>
              <w:rPr>
                <w:rFonts w:ascii="Arial" w:hAnsi="Arial" w:cs="Arial"/>
                <w:sz w:val="20"/>
                <w:szCs w:val="20"/>
              </w:rPr>
            </w:pPr>
            <w:r>
              <w:rPr>
                <w:rFonts w:ascii="Arial" w:hAnsi="Arial" w:cs="Arial"/>
                <w:sz w:val="20"/>
                <w:szCs w:val="20"/>
              </w:rPr>
              <w:t>Item 1</w:t>
            </w:r>
          </w:p>
        </w:tc>
        <w:tc>
          <w:tcPr>
            <w:tcW w:w="6379" w:type="dxa"/>
          </w:tcPr>
          <w:p w:rsidR="002C65ED" w:rsidRDefault="002C65ED" w:rsidP="0097398A">
            <w:pPr>
              <w:spacing w:before="60" w:after="60"/>
              <w:rPr>
                <w:rFonts w:ascii="Arial" w:hAnsi="Arial" w:cs="Arial"/>
                <w:sz w:val="20"/>
                <w:szCs w:val="20"/>
              </w:rPr>
            </w:pPr>
            <w:r>
              <w:rPr>
                <w:rFonts w:ascii="Arial" w:hAnsi="Arial" w:cs="Arial"/>
                <w:sz w:val="20"/>
                <w:szCs w:val="20"/>
              </w:rPr>
              <w:t>Coating assessments – 9 documents</w:t>
            </w:r>
          </w:p>
        </w:tc>
        <w:tc>
          <w:tcPr>
            <w:tcW w:w="1479" w:type="dxa"/>
            <w:shd w:val="clear" w:color="auto" w:fill="auto"/>
          </w:tcPr>
          <w:p w:rsidR="002C65ED" w:rsidRDefault="00511413" w:rsidP="0097398A">
            <w:pPr>
              <w:spacing w:before="60" w:after="60"/>
              <w:rPr>
                <w:rFonts w:ascii="Arial" w:hAnsi="Arial" w:cs="Arial"/>
                <w:sz w:val="20"/>
                <w:szCs w:val="20"/>
              </w:rPr>
            </w:pPr>
            <w:r>
              <w:rPr>
                <w:rFonts w:ascii="Arial" w:hAnsi="Arial" w:cs="Arial"/>
                <w:sz w:val="20"/>
                <w:szCs w:val="20"/>
              </w:rPr>
              <w:t>No</w:t>
            </w:r>
          </w:p>
        </w:tc>
      </w:tr>
      <w:tr w:rsidR="002C65ED" w:rsidTr="00C2740E">
        <w:tc>
          <w:tcPr>
            <w:tcW w:w="1384" w:type="dxa"/>
          </w:tcPr>
          <w:p w:rsidR="002C65ED" w:rsidRDefault="002C65ED" w:rsidP="0097398A">
            <w:pPr>
              <w:spacing w:before="60" w:after="60"/>
              <w:rPr>
                <w:rFonts w:ascii="Arial" w:hAnsi="Arial" w:cs="Arial"/>
                <w:sz w:val="20"/>
                <w:szCs w:val="20"/>
              </w:rPr>
            </w:pPr>
            <w:r>
              <w:rPr>
                <w:rFonts w:ascii="Arial" w:hAnsi="Arial" w:cs="Arial"/>
                <w:sz w:val="20"/>
                <w:szCs w:val="20"/>
              </w:rPr>
              <w:t>Item 3</w:t>
            </w:r>
          </w:p>
        </w:tc>
        <w:tc>
          <w:tcPr>
            <w:tcW w:w="6379" w:type="dxa"/>
          </w:tcPr>
          <w:p w:rsidR="002C65ED" w:rsidRDefault="002C65ED" w:rsidP="0097398A">
            <w:pPr>
              <w:spacing w:before="60" w:after="60"/>
              <w:rPr>
                <w:rFonts w:ascii="Arial" w:hAnsi="Arial" w:cs="Arial"/>
                <w:sz w:val="20"/>
                <w:szCs w:val="20"/>
              </w:rPr>
            </w:pPr>
            <w:r>
              <w:rPr>
                <w:rFonts w:ascii="Arial" w:hAnsi="Arial" w:cs="Arial"/>
                <w:sz w:val="20"/>
                <w:szCs w:val="20"/>
              </w:rPr>
              <w:t>Pipeline Integrity Management Plan – APA Assets</w:t>
            </w:r>
          </w:p>
        </w:tc>
        <w:tc>
          <w:tcPr>
            <w:tcW w:w="1479" w:type="dxa"/>
            <w:shd w:val="clear" w:color="auto" w:fill="auto"/>
          </w:tcPr>
          <w:p w:rsidR="002C65ED" w:rsidRDefault="00511413" w:rsidP="0097398A">
            <w:pPr>
              <w:spacing w:before="60" w:after="60"/>
              <w:rPr>
                <w:rFonts w:ascii="Arial" w:hAnsi="Arial" w:cs="Arial"/>
                <w:sz w:val="20"/>
                <w:szCs w:val="20"/>
              </w:rPr>
            </w:pPr>
            <w:r>
              <w:rPr>
                <w:rFonts w:ascii="Arial" w:hAnsi="Arial" w:cs="Arial"/>
                <w:sz w:val="20"/>
                <w:szCs w:val="20"/>
              </w:rPr>
              <w:t>No</w:t>
            </w:r>
          </w:p>
        </w:tc>
      </w:tr>
      <w:tr w:rsidR="002C65ED" w:rsidTr="00C2740E">
        <w:tc>
          <w:tcPr>
            <w:tcW w:w="1384" w:type="dxa"/>
          </w:tcPr>
          <w:p w:rsidR="002C65ED" w:rsidRDefault="002C65ED" w:rsidP="0097398A">
            <w:pPr>
              <w:spacing w:before="60" w:after="60"/>
              <w:rPr>
                <w:rFonts w:ascii="Arial" w:hAnsi="Arial" w:cs="Arial"/>
                <w:sz w:val="20"/>
                <w:szCs w:val="20"/>
              </w:rPr>
            </w:pPr>
          </w:p>
        </w:tc>
        <w:tc>
          <w:tcPr>
            <w:tcW w:w="6379" w:type="dxa"/>
          </w:tcPr>
          <w:p w:rsidR="002C65ED" w:rsidRDefault="002C65ED" w:rsidP="0097398A">
            <w:pPr>
              <w:spacing w:before="60" w:after="60"/>
              <w:rPr>
                <w:rFonts w:ascii="Arial" w:hAnsi="Arial" w:cs="Arial"/>
                <w:sz w:val="20"/>
                <w:szCs w:val="20"/>
              </w:rPr>
            </w:pPr>
            <w:r>
              <w:rPr>
                <w:rFonts w:ascii="Arial" w:hAnsi="Arial" w:cs="Arial"/>
                <w:sz w:val="20"/>
                <w:szCs w:val="20"/>
              </w:rPr>
              <w:t>FFP Assessment of 14 Inch Natural Gas pipeline</w:t>
            </w:r>
          </w:p>
        </w:tc>
        <w:tc>
          <w:tcPr>
            <w:tcW w:w="1479" w:type="dxa"/>
            <w:shd w:val="clear" w:color="auto" w:fill="auto"/>
          </w:tcPr>
          <w:p w:rsidR="002C65ED" w:rsidRDefault="00511413" w:rsidP="0097398A">
            <w:pPr>
              <w:spacing w:before="60" w:after="60"/>
              <w:rPr>
                <w:rFonts w:ascii="Arial" w:hAnsi="Arial" w:cs="Arial"/>
                <w:sz w:val="20"/>
                <w:szCs w:val="20"/>
              </w:rPr>
            </w:pPr>
            <w:r>
              <w:rPr>
                <w:rFonts w:ascii="Arial" w:hAnsi="Arial" w:cs="Arial"/>
                <w:sz w:val="20"/>
                <w:szCs w:val="20"/>
              </w:rPr>
              <w:t>No</w:t>
            </w:r>
          </w:p>
        </w:tc>
      </w:tr>
      <w:tr w:rsidR="002C65ED" w:rsidTr="00C2740E">
        <w:tc>
          <w:tcPr>
            <w:tcW w:w="1384" w:type="dxa"/>
          </w:tcPr>
          <w:p w:rsidR="002C65ED" w:rsidRDefault="002C65ED" w:rsidP="0097398A">
            <w:pPr>
              <w:spacing w:before="60" w:after="60"/>
              <w:rPr>
                <w:rFonts w:ascii="Arial" w:hAnsi="Arial" w:cs="Arial"/>
                <w:sz w:val="20"/>
                <w:szCs w:val="20"/>
              </w:rPr>
            </w:pPr>
            <w:r>
              <w:rPr>
                <w:rFonts w:ascii="Arial" w:hAnsi="Arial" w:cs="Arial"/>
                <w:sz w:val="20"/>
                <w:szCs w:val="20"/>
              </w:rPr>
              <w:t>Item 4</w:t>
            </w:r>
          </w:p>
        </w:tc>
        <w:tc>
          <w:tcPr>
            <w:tcW w:w="6379" w:type="dxa"/>
          </w:tcPr>
          <w:p w:rsidR="002C65ED" w:rsidRDefault="002C65ED" w:rsidP="0097398A">
            <w:pPr>
              <w:spacing w:before="60" w:after="60"/>
              <w:rPr>
                <w:rFonts w:ascii="Arial" w:hAnsi="Arial" w:cs="Arial"/>
                <w:sz w:val="20"/>
                <w:szCs w:val="20"/>
              </w:rPr>
            </w:pPr>
            <w:r>
              <w:rPr>
                <w:rFonts w:ascii="Arial" w:hAnsi="Arial" w:cs="Arial"/>
                <w:sz w:val="20"/>
                <w:szCs w:val="20"/>
              </w:rPr>
              <w:t>APA In Line Inspection Policy</w:t>
            </w:r>
          </w:p>
        </w:tc>
        <w:tc>
          <w:tcPr>
            <w:tcW w:w="1479" w:type="dxa"/>
            <w:shd w:val="clear" w:color="auto" w:fill="auto"/>
          </w:tcPr>
          <w:p w:rsidR="002C65ED" w:rsidRDefault="002C65ED" w:rsidP="0097398A">
            <w:pPr>
              <w:spacing w:before="60" w:after="60"/>
              <w:rPr>
                <w:rFonts w:ascii="Arial" w:hAnsi="Arial" w:cs="Arial"/>
                <w:sz w:val="20"/>
                <w:szCs w:val="20"/>
              </w:rPr>
            </w:pPr>
            <w:r>
              <w:rPr>
                <w:rFonts w:ascii="Arial" w:hAnsi="Arial" w:cs="Arial"/>
                <w:sz w:val="20"/>
                <w:szCs w:val="20"/>
              </w:rPr>
              <w:t>No</w:t>
            </w:r>
          </w:p>
        </w:tc>
      </w:tr>
      <w:tr w:rsidR="002C65ED" w:rsidTr="00C2740E">
        <w:tc>
          <w:tcPr>
            <w:tcW w:w="1384" w:type="dxa"/>
          </w:tcPr>
          <w:p w:rsidR="002C65ED" w:rsidRDefault="002C65ED" w:rsidP="0097398A">
            <w:pPr>
              <w:spacing w:before="60" w:after="60"/>
              <w:rPr>
                <w:rFonts w:ascii="Arial" w:hAnsi="Arial" w:cs="Arial"/>
                <w:sz w:val="20"/>
                <w:szCs w:val="20"/>
              </w:rPr>
            </w:pPr>
            <w:r>
              <w:rPr>
                <w:rFonts w:ascii="Arial" w:hAnsi="Arial" w:cs="Arial"/>
                <w:sz w:val="20"/>
                <w:szCs w:val="20"/>
              </w:rPr>
              <w:t>Item 8</w:t>
            </w:r>
          </w:p>
        </w:tc>
        <w:tc>
          <w:tcPr>
            <w:tcW w:w="6379" w:type="dxa"/>
          </w:tcPr>
          <w:p w:rsidR="002C65ED" w:rsidRDefault="002C65ED" w:rsidP="00790E9B">
            <w:pPr>
              <w:spacing w:before="60" w:after="60"/>
              <w:rPr>
                <w:rFonts w:ascii="Arial" w:hAnsi="Arial" w:cs="Arial"/>
                <w:sz w:val="20"/>
                <w:szCs w:val="20"/>
              </w:rPr>
            </w:pPr>
            <w:r>
              <w:rPr>
                <w:rFonts w:ascii="Arial" w:hAnsi="Arial" w:cs="Arial"/>
                <w:sz w:val="20"/>
                <w:szCs w:val="20"/>
              </w:rPr>
              <w:t>Hazardous Area Dossier – various assets – 28 documents</w:t>
            </w:r>
          </w:p>
        </w:tc>
        <w:tc>
          <w:tcPr>
            <w:tcW w:w="1479" w:type="dxa"/>
            <w:shd w:val="clear" w:color="auto" w:fill="auto"/>
          </w:tcPr>
          <w:p w:rsidR="002C65ED" w:rsidRDefault="00511413" w:rsidP="0097398A">
            <w:pPr>
              <w:spacing w:before="60" w:after="60"/>
              <w:rPr>
                <w:rFonts w:ascii="Arial" w:hAnsi="Arial" w:cs="Arial"/>
                <w:sz w:val="20"/>
                <w:szCs w:val="20"/>
              </w:rPr>
            </w:pPr>
            <w:r>
              <w:rPr>
                <w:rFonts w:ascii="Arial" w:hAnsi="Arial" w:cs="Arial"/>
                <w:sz w:val="20"/>
                <w:szCs w:val="20"/>
              </w:rPr>
              <w:t>No</w:t>
            </w:r>
          </w:p>
        </w:tc>
      </w:tr>
      <w:tr w:rsidR="002C65ED" w:rsidTr="00C2740E">
        <w:tc>
          <w:tcPr>
            <w:tcW w:w="1384" w:type="dxa"/>
          </w:tcPr>
          <w:p w:rsidR="002C65ED" w:rsidRDefault="002C65ED" w:rsidP="0097398A">
            <w:pPr>
              <w:spacing w:before="60" w:after="60"/>
              <w:rPr>
                <w:rFonts w:ascii="Arial" w:hAnsi="Arial" w:cs="Arial"/>
                <w:sz w:val="20"/>
                <w:szCs w:val="20"/>
              </w:rPr>
            </w:pPr>
            <w:r>
              <w:rPr>
                <w:rFonts w:ascii="Arial" w:hAnsi="Arial" w:cs="Arial"/>
                <w:sz w:val="20"/>
                <w:szCs w:val="20"/>
              </w:rPr>
              <w:t>Item 13</w:t>
            </w:r>
          </w:p>
        </w:tc>
        <w:tc>
          <w:tcPr>
            <w:tcW w:w="6379" w:type="dxa"/>
          </w:tcPr>
          <w:p w:rsidR="002C65ED" w:rsidRDefault="002C65ED" w:rsidP="0097398A">
            <w:pPr>
              <w:spacing w:before="60" w:after="60"/>
              <w:rPr>
                <w:rFonts w:ascii="Arial" w:hAnsi="Arial" w:cs="Arial"/>
                <w:sz w:val="20"/>
                <w:szCs w:val="20"/>
              </w:rPr>
            </w:pPr>
            <w:r>
              <w:rPr>
                <w:rFonts w:ascii="Arial" w:hAnsi="Arial" w:cs="Arial"/>
                <w:sz w:val="20"/>
                <w:szCs w:val="20"/>
              </w:rPr>
              <w:t>AGP CP Report 2014</w:t>
            </w:r>
          </w:p>
        </w:tc>
        <w:tc>
          <w:tcPr>
            <w:tcW w:w="1479" w:type="dxa"/>
            <w:shd w:val="clear" w:color="auto" w:fill="auto"/>
          </w:tcPr>
          <w:p w:rsidR="002C65ED" w:rsidRDefault="00511413" w:rsidP="0097398A">
            <w:pPr>
              <w:spacing w:before="60" w:after="60"/>
              <w:rPr>
                <w:rFonts w:ascii="Arial" w:hAnsi="Arial" w:cs="Arial"/>
                <w:sz w:val="20"/>
                <w:szCs w:val="20"/>
              </w:rPr>
            </w:pPr>
            <w:r>
              <w:rPr>
                <w:rFonts w:ascii="Arial" w:hAnsi="Arial" w:cs="Arial"/>
                <w:sz w:val="20"/>
                <w:szCs w:val="20"/>
              </w:rPr>
              <w:t>No</w:t>
            </w:r>
          </w:p>
        </w:tc>
      </w:tr>
      <w:tr w:rsidR="002C65ED" w:rsidTr="00C2740E">
        <w:tc>
          <w:tcPr>
            <w:tcW w:w="1384" w:type="dxa"/>
          </w:tcPr>
          <w:p w:rsidR="002C65ED" w:rsidRDefault="002C65ED" w:rsidP="0097398A">
            <w:pPr>
              <w:spacing w:before="60" w:after="60"/>
              <w:rPr>
                <w:rFonts w:ascii="Arial" w:hAnsi="Arial" w:cs="Arial"/>
                <w:sz w:val="20"/>
                <w:szCs w:val="20"/>
              </w:rPr>
            </w:pPr>
            <w:r>
              <w:rPr>
                <w:rFonts w:ascii="Arial" w:hAnsi="Arial" w:cs="Arial"/>
                <w:sz w:val="20"/>
                <w:szCs w:val="20"/>
              </w:rPr>
              <w:t>Item 14</w:t>
            </w:r>
          </w:p>
        </w:tc>
        <w:tc>
          <w:tcPr>
            <w:tcW w:w="6379" w:type="dxa"/>
          </w:tcPr>
          <w:p w:rsidR="002C65ED" w:rsidRDefault="002C65ED" w:rsidP="0097398A">
            <w:pPr>
              <w:spacing w:before="60" w:after="60"/>
              <w:rPr>
                <w:rFonts w:ascii="Arial" w:hAnsi="Arial" w:cs="Arial"/>
                <w:sz w:val="20"/>
                <w:szCs w:val="20"/>
              </w:rPr>
            </w:pPr>
            <w:r>
              <w:rPr>
                <w:rFonts w:ascii="Arial" w:hAnsi="Arial" w:cs="Arial"/>
                <w:sz w:val="20"/>
                <w:szCs w:val="20"/>
              </w:rPr>
              <w:t>APA Gas Pipeline LFI Study Review</w:t>
            </w:r>
            <w:bookmarkStart w:id="0" w:name="_GoBack"/>
            <w:bookmarkEnd w:id="0"/>
          </w:p>
        </w:tc>
        <w:tc>
          <w:tcPr>
            <w:tcW w:w="1479" w:type="dxa"/>
            <w:shd w:val="clear" w:color="auto" w:fill="auto"/>
          </w:tcPr>
          <w:p w:rsidR="002C65ED" w:rsidRDefault="00511413" w:rsidP="0097398A">
            <w:pPr>
              <w:spacing w:before="60" w:after="60"/>
              <w:rPr>
                <w:rFonts w:ascii="Arial" w:hAnsi="Arial" w:cs="Arial"/>
                <w:sz w:val="20"/>
                <w:szCs w:val="20"/>
              </w:rPr>
            </w:pPr>
            <w:r>
              <w:rPr>
                <w:rFonts w:ascii="Arial" w:hAnsi="Arial" w:cs="Arial"/>
                <w:sz w:val="20"/>
                <w:szCs w:val="20"/>
              </w:rPr>
              <w:t>No</w:t>
            </w:r>
          </w:p>
        </w:tc>
      </w:tr>
      <w:tr w:rsidR="002C65ED" w:rsidTr="00C2740E">
        <w:tc>
          <w:tcPr>
            <w:tcW w:w="1384" w:type="dxa"/>
          </w:tcPr>
          <w:p w:rsidR="002C65ED" w:rsidRDefault="002C65ED" w:rsidP="0097398A">
            <w:pPr>
              <w:spacing w:before="60" w:after="60"/>
              <w:rPr>
                <w:rFonts w:ascii="Arial" w:hAnsi="Arial" w:cs="Arial"/>
                <w:sz w:val="20"/>
                <w:szCs w:val="20"/>
              </w:rPr>
            </w:pPr>
          </w:p>
        </w:tc>
        <w:tc>
          <w:tcPr>
            <w:tcW w:w="6379" w:type="dxa"/>
          </w:tcPr>
          <w:p w:rsidR="002C65ED" w:rsidRDefault="002C65ED" w:rsidP="0097398A">
            <w:pPr>
              <w:spacing w:before="60" w:after="60"/>
              <w:rPr>
                <w:rFonts w:ascii="Arial" w:hAnsi="Arial" w:cs="Arial"/>
                <w:sz w:val="20"/>
                <w:szCs w:val="20"/>
              </w:rPr>
            </w:pPr>
            <w:r>
              <w:rPr>
                <w:rFonts w:ascii="Arial" w:hAnsi="Arial" w:cs="Arial"/>
                <w:sz w:val="20"/>
                <w:szCs w:val="20"/>
              </w:rPr>
              <w:t>AC mitigation study Katherine</w:t>
            </w:r>
          </w:p>
        </w:tc>
        <w:tc>
          <w:tcPr>
            <w:tcW w:w="1479" w:type="dxa"/>
            <w:shd w:val="clear" w:color="auto" w:fill="auto"/>
          </w:tcPr>
          <w:p w:rsidR="002C65ED" w:rsidRDefault="00511413" w:rsidP="0097398A">
            <w:pPr>
              <w:spacing w:before="60" w:after="60"/>
              <w:rPr>
                <w:rFonts w:ascii="Arial" w:hAnsi="Arial" w:cs="Arial"/>
                <w:sz w:val="20"/>
                <w:szCs w:val="20"/>
              </w:rPr>
            </w:pPr>
            <w:r>
              <w:rPr>
                <w:rFonts w:ascii="Arial" w:hAnsi="Arial" w:cs="Arial"/>
                <w:sz w:val="20"/>
                <w:szCs w:val="20"/>
              </w:rPr>
              <w:t>No</w:t>
            </w:r>
          </w:p>
        </w:tc>
      </w:tr>
      <w:tr w:rsidR="002C65ED" w:rsidTr="00C2740E">
        <w:tc>
          <w:tcPr>
            <w:tcW w:w="1384" w:type="dxa"/>
          </w:tcPr>
          <w:p w:rsidR="002C65ED" w:rsidRDefault="002C65ED" w:rsidP="0097398A">
            <w:pPr>
              <w:spacing w:before="60" w:after="60"/>
              <w:rPr>
                <w:rFonts w:ascii="Arial" w:hAnsi="Arial" w:cs="Arial"/>
                <w:sz w:val="20"/>
                <w:szCs w:val="20"/>
              </w:rPr>
            </w:pPr>
            <w:r>
              <w:rPr>
                <w:rFonts w:ascii="Arial" w:hAnsi="Arial" w:cs="Arial"/>
                <w:sz w:val="20"/>
                <w:szCs w:val="20"/>
              </w:rPr>
              <w:t>Item 15</w:t>
            </w:r>
          </w:p>
        </w:tc>
        <w:tc>
          <w:tcPr>
            <w:tcW w:w="6379" w:type="dxa"/>
          </w:tcPr>
          <w:p w:rsidR="002C65ED" w:rsidRDefault="002C65ED" w:rsidP="0097398A">
            <w:pPr>
              <w:spacing w:before="60" w:after="60"/>
              <w:rPr>
                <w:rFonts w:ascii="Arial" w:hAnsi="Arial" w:cs="Arial"/>
                <w:sz w:val="20"/>
                <w:szCs w:val="20"/>
              </w:rPr>
            </w:pPr>
            <w:r>
              <w:rPr>
                <w:rFonts w:ascii="Arial" w:hAnsi="Arial" w:cs="Arial"/>
                <w:sz w:val="20"/>
                <w:szCs w:val="20"/>
              </w:rPr>
              <w:t>Channel Island Bridge Project FEED report and appendices – 6 documents</w:t>
            </w:r>
          </w:p>
        </w:tc>
        <w:tc>
          <w:tcPr>
            <w:tcW w:w="1479" w:type="dxa"/>
            <w:shd w:val="clear" w:color="auto" w:fill="auto"/>
          </w:tcPr>
          <w:p w:rsidR="002C65ED" w:rsidRDefault="002C65ED" w:rsidP="0097398A">
            <w:pPr>
              <w:spacing w:before="60" w:after="60"/>
              <w:rPr>
                <w:rFonts w:ascii="Arial" w:hAnsi="Arial" w:cs="Arial"/>
                <w:sz w:val="20"/>
                <w:szCs w:val="20"/>
              </w:rPr>
            </w:pPr>
            <w:r>
              <w:rPr>
                <w:rFonts w:ascii="Arial" w:hAnsi="Arial" w:cs="Arial"/>
                <w:sz w:val="20"/>
                <w:szCs w:val="20"/>
              </w:rPr>
              <w:t>Yes</w:t>
            </w:r>
          </w:p>
        </w:tc>
      </w:tr>
    </w:tbl>
    <w:p w:rsidR="0097398A" w:rsidRDefault="0097398A">
      <w:pPr>
        <w:rPr>
          <w:rFonts w:ascii="Arial" w:hAnsi="Arial" w:cs="Arial"/>
          <w:sz w:val="20"/>
          <w:szCs w:val="20"/>
        </w:rPr>
      </w:pPr>
    </w:p>
    <w:p w:rsidR="0097398A" w:rsidRPr="001C1B37" w:rsidRDefault="0097398A">
      <w:pPr>
        <w:rPr>
          <w:rFonts w:ascii="Arial" w:hAnsi="Arial" w:cs="Arial"/>
          <w:sz w:val="20"/>
          <w:szCs w:val="20"/>
        </w:rPr>
      </w:pPr>
    </w:p>
    <w:sectPr w:rsidR="0097398A" w:rsidRPr="001C1B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98A"/>
    <w:rsid w:val="0002134B"/>
    <w:rsid w:val="00047759"/>
    <w:rsid w:val="000F1A1C"/>
    <w:rsid w:val="000F7086"/>
    <w:rsid w:val="00157257"/>
    <w:rsid w:val="00163A6E"/>
    <w:rsid w:val="00164639"/>
    <w:rsid w:val="001A402F"/>
    <w:rsid w:val="001C1B37"/>
    <w:rsid w:val="001E5EAD"/>
    <w:rsid w:val="001E7814"/>
    <w:rsid w:val="00230F07"/>
    <w:rsid w:val="00240612"/>
    <w:rsid w:val="00256681"/>
    <w:rsid w:val="00275487"/>
    <w:rsid w:val="002C65ED"/>
    <w:rsid w:val="002F36E3"/>
    <w:rsid w:val="00335DA3"/>
    <w:rsid w:val="003F6264"/>
    <w:rsid w:val="00487FD4"/>
    <w:rsid w:val="004B6CF8"/>
    <w:rsid w:val="00511413"/>
    <w:rsid w:val="00517832"/>
    <w:rsid w:val="00536F3D"/>
    <w:rsid w:val="005963AF"/>
    <w:rsid w:val="005A3071"/>
    <w:rsid w:val="005A5CE7"/>
    <w:rsid w:val="005E3F63"/>
    <w:rsid w:val="005E4B4A"/>
    <w:rsid w:val="005E598B"/>
    <w:rsid w:val="006A22F0"/>
    <w:rsid w:val="006A7249"/>
    <w:rsid w:val="007133C1"/>
    <w:rsid w:val="00790E9B"/>
    <w:rsid w:val="007B3EEB"/>
    <w:rsid w:val="00822C45"/>
    <w:rsid w:val="0088044D"/>
    <w:rsid w:val="008D29F4"/>
    <w:rsid w:val="00911FCE"/>
    <w:rsid w:val="00965199"/>
    <w:rsid w:val="0097398A"/>
    <w:rsid w:val="00983578"/>
    <w:rsid w:val="00992556"/>
    <w:rsid w:val="009C7F00"/>
    <w:rsid w:val="009E5EB3"/>
    <w:rsid w:val="00A35849"/>
    <w:rsid w:val="00B42808"/>
    <w:rsid w:val="00B557BD"/>
    <w:rsid w:val="00BE4604"/>
    <w:rsid w:val="00C2740E"/>
    <w:rsid w:val="00C66CCC"/>
    <w:rsid w:val="00CC61B8"/>
    <w:rsid w:val="00CD5CC8"/>
    <w:rsid w:val="00D00443"/>
    <w:rsid w:val="00D1207D"/>
    <w:rsid w:val="00D1221D"/>
    <w:rsid w:val="00D565A8"/>
    <w:rsid w:val="00DA2195"/>
    <w:rsid w:val="00DB3906"/>
    <w:rsid w:val="00DB77F9"/>
    <w:rsid w:val="00DC63A1"/>
    <w:rsid w:val="00DE4AD8"/>
    <w:rsid w:val="00E013AC"/>
    <w:rsid w:val="00E30229"/>
    <w:rsid w:val="00EA7DDC"/>
    <w:rsid w:val="00EB51B5"/>
    <w:rsid w:val="00F106C8"/>
    <w:rsid w:val="00F5169C"/>
    <w:rsid w:val="00F8066A"/>
    <w:rsid w:val="00FA51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Heading1-noTOC">
    <w:name w:val="AA Heading 1 - no TOC"/>
    <w:basedOn w:val="Normal"/>
    <w:next w:val="Normal"/>
    <w:link w:val="AAHeading1-noTOCChar"/>
    <w:qFormat/>
    <w:rsid w:val="0097398A"/>
    <w:pPr>
      <w:spacing w:after="360"/>
      <w:ind w:left="567"/>
    </w:pPr>
    <w:rPr>
      <w:rFonts w:ascii="Arial" w:hAnsi="Arial" w:cs="Arial"/>
      <w:b/>
      <w:sz w:val="40"/>
      <w:szCs w:val="20"/>
    </w:rPr>
  </w:style>
  <w:style w:type="character" w:customStyle="1" w:styleId="AAHeading1-noTOCChar">
    <w:name w:val="AA Heading 1 - no TOC Char"/>
    <w:basedOn w:val="DefaultParagraphFont"/>
    <w:link w:val="AAHeading1-noTOC"/>
    <w:rsid w:val="0097398A"/>
    <w:rPr>
      <w:rFonts w:ascii="Arial" w:hAnsi="Arial" w:cs="Arial"/>
      <w:b/>
      <w:sz w:val="40"/>
      <w:szCs w:val="20"/>
    </w:rPr>
  </w:style>
  <w:style w:type="table" w:styleId="TableGrid">
    <w:name w:val="Table Grid"/>
    <w:basedOn w:val="TableNormal"/>
    <w:uiPriority w:val="59"/>
    <w:rsid w:val="00973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724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C6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5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Heading1-noTOC">
    <w:name w:val="AA Heading 1 - no TOC"/>
    <w:basedOn w:val="Normal"/>
    <w:next w:val="Normal"/>
    <w:link w:val="AAHeading1-noTOCChar"/>
    <w:qFormat/>
    <w:rsid w:val="0097398A"/>
    <w:pPr>
      <w:spacing w:after="360"/>
      <w:ind w:left="567"/>
    </w:pPr>
    <w:rPr>
      <w:rFonts w:ascii="Arial" w:hAnsi="Arial" w:cs="Arial"/>
      <w:b/>
      <w:sz w:val="40"/>
      <w:szCs w:val="20"/>
    </w:rPr>
  </w:style>
  <w:style w:type="character" w:customStyle="1" w:styleId="AAHeading1-noTOCChar">
    <w:name w:val="AA Heading 1 - no TOC Char"/>
    <w:basedOn w:val="DefaultParagraphFont"/>
    <w:link w:val="AAHeading1-noTOC"/>
    <w:rsid w:val="0097398A"/>
    <w:rPr>
      <w:rFonts w:ascii="Arial" w:hAnsi="Arial" w:cs="Arial"/>
      <w:b/>
      <w:sz w:val="40"/>
      <w:szCs w:val="20"/>
    </w:rPr>
  </w:style>
  <w:style w:type="table" w:styleId="TableGrid">
    <w:name w:val="Table Grid"/>
    <w:basedOn w:val="TableNormal"/>
    <w:uiPriority w:val="59"/>
    <w:rsid w:val="00973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724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C6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5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1650</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APA Group</Company>
  <LinksUpToDate>false</LinksUpToDate>
  <CharactersWithSpaces>11033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dc:creator>
  <cp:lastModifiedBy>APA</cp:lastModifiedBy>
  <cp:revision>4</cp:revision>
  <dcterms:created xsi:type="dcterms:W3CDTF">2015-08-03T06:20:00Z</dcterms:created>
  <dcterms:modified xsi:type="dcterms:W3CDTF">2015-08-04T05:05:00Z</dcterms:modified>
</cp:coreProperties>
</file>