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D27" w:rsidRDefault="000B7B69" w:rsidP="000E3D27">
      <w:pPr>
        <w:ind w:left="-284"/>
        <w:jc w:val="center"/>
        <w:rPr>
          <w:rFonts w:cs="Arial"/>
          <w:sz w:val="24"/>
        </w:rPr>
      </w:pPr>
      <w:bookmarkStart w:id="0" w:name="_Toc425494104"/>
      <w:r w:rsidRPr="002349D7">
        <w:rPr>
          <w:rFonts w:cs="Arial"/>
          <w:noProof/>
          <w:sz w:val="24"/>
          <w:lang w:val="en-AU" w:eastAsia="en-AU"/>
        </w:rPr>
        <mc:AlternateContent>
          <mc:Choice Requires="wps">
            <w:drawing>
              <wp:anchor distT="0" distB="0" distL="114300" distR="114300" simplePos="0" relativeHeight="251776000" behindDoc="0" locked="0" layoutInCell="1" allowOverlap="1" wp14:anchorId="03D953A5" wp14:editId="6ACE5F06">
                <wp:simplePos x="0" y="0"/>
                <wp:positionH relativeFrom="column">
                  <wp:posOffset>1821180</wp:posOffset>
                </wp:positionH>
                <wp:positionV relativeFrom="paragraph">
                  <wp:posOffset>-5731510</wp:posOffset>
                </wp:positionV>
                <wp:extent cx="4305300" cy="210502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105025"/>
                        </a:xfrm>
                        <a:prstGeom prst="rect">
                          <a:avLst/>
                        </a:prstGeom>
                        <a:noFill/>
                        <a:ln w="9525">
                          <a:noFill/>
                          <a:miter lim="800000"/>
                          <a:headEnd/>
                          <a:tailEnd/>
                        </a:ln>
                      </wps:spPr>
                      <wps:txbx>
                        <w:txbxContent>
                          <w:p w:rsidR="001B5FF8" w:rsidRPr="007A2DE3" w:rsidRDefault="001B5FF8" w:rsidP="00722C30">
                            <w:pPr>
                              <w:spacing w:after="240"/>
                              <w:rPr>
                                <w:rFonts w:cs="Arial"/>
                                <w:b/>
                                <w:color w:val="FFFFFF" w:themeColor="background1"/>
                                <w:sz w:val="36"/>
                                <w:szCs w:val="36"/>
                              </w:rPr>
                            </w:pPr>
                            <w:r w:rsidRPr="007905BA">
                              <w:rPr>
                                <w:rFonts w:cs="Arial"/>
                                <w:b/>
                                <w:noProof/>
                                <w:color w:val="FFFFFF" w:themeColor="background1"/>
                                <w:sz w:val="40"/>
                                <w:szCs w:val="40"/>
                              </w:rPr>
                              <w:t>Revised Tariff Structure Statement</w:t>
                            </w:r>
                          </w:p>
                          <w:p w:rsidR="001B5FF8" w:rsidRDefault="001B5FF8" w:rsidP="005F59F0">
                            <w:pPr>
                              <w:rPr>
                                <w:rFonts w:cs="Arial"/>
                                <w:color w:val="FFFFFF" w:themeColor="background1"/>
                                <w:sz w:val="24"/>
                              </w:rPr>
                            </w:pPr>
                            <w:r>
                              <w:rPr>
                                <w:rFonts w:cs="Arial"/>
                                <w:color w:val="FFFFFF" w:themeColor="background1"/>
                                <w:sz w:val="24"/>
                              </w:rPr>
                              <w:t>October</w:t>
                            </w:r>
                            <w:r w:rsidRPr="00BB1F15">
                              <w:rPr>
                                <w:rFonts w:cs="Arial"/>
                                <w:color w:val="FFFFFF" w:themeColor="background1"/>
                                <w:sz w:val="24"/>
                              </w:rPr>
                              <w:t xml:space="preserve"> 2016</w:t>
                            </w:r>
                          </w:p>
                          <w:p w:rsidR="001B5FF8" w:rsidRDefault="001B5FF8" w:rsidP="005F59F0">
                            <w:pPr>
                              <w:rPr>
                                <w:rFonts w:cs="Arial"/>
                                <w:color w:val="FFFFFF" w:themeColor="background1"/>
                                <w:sz w:val="24"/>
                              </w:rPr>
                            </w:pPr>
                          </w:p>
                          <w:p w:rsidR="001B5FF8" w:rsidRDefault="001B5FF8" w:rsidP="005F59F0">
                            <w:pPr>
                              <w:rPr>
                                <w:rFonts w:cs="Arial"/>
                                <w:color w:val="FFFFFF" w:themeColor="background1"/>
                                <w:sz w:val="24"/>
                              </w:rPr>
                            </w:pPr>
                          </w:p>
                          <w:p w:rsidR="001B5FF8" w:rsidRPr="00F93A72" w:rsidRDefault="001B5FF8" w:rsidP="005F59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3.4pt;margin-top:-451.3pt;width:339pt;height:165.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" filled="f" stroked="f">
                <v:textbox>
                  <w:txbxContent>
                    <w:p w:rsidR="001B5FF8" w:rsidRPr="007A2DE3" w:rsidRDefault="001B5FF8" w:rsidP="00722C30">
                      <w:pPr>
                        <w:spacing w:after="240"/>
                        <w:rPr>
                          <w:rFonts w:cs="Arial"/>
                          <w:b/>
                          <w:color w:val="FFFFFF" w:themeColor="background1"/>
                          <w:sz w:val="36"/>
                          <w:szCs w:val="36"/>
                        </w:rPr>
                      </w:pPr>
                      <w:r w:rsidRPr="007905BA">
                        <w:rPr>
                          <w:rFonts w:cs="Arial"/>
                          <w:b/>
                          <w:noProof/>
                          <w:color w:val="FFFFFF" w:themeColor="background1"/>
                          <w:sz w:val="40"/>
                          <w:szCs w:val="40"/>
                        </w:rPr>
                        <w:t>Revised Tariff Structure Statement</w:t>
                      </w:r>
                    </w:p>
                    <w:p w:rsidR="001B5FF8" w:rsidRDefault="001B5FF8" w:rsidP="005F59F0">
                      <w:pPr>
                        <w:rPr>
                          <w:rFonts w:cs="Arial"/>
                          <w:color w:val="FFFFFF" w:themeColor="background1"/>
                          <w:sz w:val="24"/>
                        </w:rPr>
                      </w:pPr>
                      <w:r>
                        <w:rPr>
                          <w:rFonts w:cs="Arial"/>
                          <w:color w:val="FFFFFF" w:themeColor="background1"/>
                          <w:sz w:val="24"/>
                        </w:rPr>
                        <w:t>October</w:t>
                      </w:r>
                      <w:r w:rsidRPr="00BB1F15">
                        <w:rPr>
                          <w:rFonts w:cs="Arial"/>
                          <w:color w:val="FFFFFF" w:themeColor="background1"/>
                          <w:sz w:val="24"/>
                        </w:rPr>
                        <w:t xml:space="preserve"> 2016</w:t>
                      </w:r>
                    </w:p>
                    <w:p w:rsidR="001B5FF8" w:rsidRDefault="001B5FF8" w:rsidP="005F59F0">
                      <w:pPr>
                        <w:rPr>
                          <w:rFonts w:cs="Arial"/>
                          <w:color w:val="FFFFFF" w:themeColor="background1"/>
                          <w:sz w:val="24"/>
                        </w:rPr>
                      </w:pPr>
                    </w:p>
                    <w:p w:rsidR="001B5FF8" w:rsidRDefault="001B5FF8" w:rsidP="005F59F0">
                      <w:pPr>
                        <w:rPr>
                          <w:rFonts w:cs="Arial"/>
                          <w:color w:val="FFFFFF" w:themeColor="background1"/>
                          <w:sz w:val="24"/>
                        </w:rPr>
                      </w:pPr>
                    </w:p>
                    <w:p w:rsidR="001B5FF8" w:rsidRPr="00F93A72" w:rsidRDefault="001B5FF8" w:rsidP="005F59F0"/>
                  </w:txbxContent>
                </v:textbox>
              </v:shape>
            </w:pict>
          </mc:Fallback>
        </mc:AlternateContent>
      </w:r>
      <w:r w:rsidR="005F59F0">
        <w:rPr>
          <w:rFonts w:cs="Arial"/>
          <w:noProof/>
          <w:sz w:val="24"/>
          <w:lang w:val="en-AU" w:eastAsia="en-AU"/>
        </w:rPr>
        <w:drawing>
          <wp:anchor distT="0" distB="0" distL="114300" distR="114300" simplePos="0" relativeHeight="251778048" behindDoc="0" locked="0" layoutInCell="1" allowOverlap="1" wp14:anchorId="25375FEE" wp14:editId="65951360">
            <wp:simplePos x="0" y="0"/>
            <wp:positionH relativeFrom="column">
              <wp:posOffset>-17145</wp:posOffset>
            </wp:positionH>
            <wp:positionV relativeFrom="paragraph">
              <wp:posOffset>15875</wp:posOffset>
            </wp:positionV>
            <wp:extent cx="6839585" cy="3815080"/>
            <wp:effectExtent l="0" t="0" r="0" b="0"/>
            <wp:wrapTopAndBottom/>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6.jpg"/>
                    <pic:cNvPicPr/>
                  </pic:nvPicPr>
                  <pic:blipFill>
                    <a:blip r:embed="rId13">
                      <a:extLst>
                        <a:ext uri="{28A0092B-C50C-407E-A947-70E740481C1C}">
                          <a14:useLocalDpi xmlns:a14="http://schemas.microsoft.com/office/drawing/2010/main" val="0"/>
                        </a:ext>
                      </a:extLst>
                    </a:blip>
                    <a:stretch>
                      <a:fillRect/>
                    </a:stretch>
                  </pic:blipFill>
                  <pic:spPr>
                    <a:xfrm>
                      <a:off x="0" y="0"/>
                      <a:ext cx="6839585" cy="3815080"/>
                    </a:xfrm>
                    <a:prstGeom prst="rect">
                      <a:avLst/>
                    </a:prstGeom>
                  </pic:spPr>
                </pic:pic>
              </a:graphicData>
            </a:graphic>
            <wp14:sizeRelH relativeFrom="margin">
              <wp14:pctWidth>0</wp14:pctWidth>
            </wp14:sizeRelH>
            <wp14:sizeRelV relativeFrom="margin">
              <wp14:pctHeight>0</wp14:pctHeight>
            </wp14:sizeRelV>
          </wp:anchor>
        </w:drawing>
      </w:r>
      <w:r w:rsidR="005F59F0" w:rsidRPr="001439BF">
        <w:rPr>
          <w:noProof/>
          <w:lang w:val="en-AU" w:eastAsia="en-AU"/>
        </w:rPr>
        <w:drawing>
          <wp:anchor distT="0" distB="0" distL="114300" distR="114300" simplePos="0" relativeHeight="251773952" behindDoc="0" locked="0" layoutInCell="1" allowOverlap="1" wp14:anchorId="430E7FC5" wp14:editId="34C2981C">
            <wp:simplePos x="0" y="0"/>
            <wp:positionH relativeFrom="column">
              <wp:posOffset>-17145</wp:posOffset>
            </wp:positionH>
            <wp:positionV relativeFrom="paragraph">
              <wp:posOffset>3830955</wp:posOffset>
            </wp:positionV>
            <wp:extent cx="6838950" cy="6076950"/>
            <wp:effectExtent l="0" t="0" r="0" b="0"/>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 blue 292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38950" cy="6076950"/>
                    </a:xfrm>
                    <a:prstGeom prst="rect">
                      <a:avLst/>
                    </a:prstGeom>
                  </pic:spPr>
                </pic:pic>
              </a:graphicData>
            </a:graphic>
            <wp14:sizeRelH relativeFrom="page">
              <wp14:pctWidth>0</wp14:pctWidth>
            </wp14:sizeRelH>
            <wp14:sizeRelV relativeFrom="page">
              <wp14:pctHeight>0</wp14:pctHeight>
            </wp14:sizeRelV>
          </wp:anchor>
        </w:drawing>
      </w:r>
    </w:p>
    <w:p w:rsidR="000E3D27" w:rsidRDefault="000E3D27" w:rsidP="000E3D27">
      <w:pPr>
        <w:rPr>
          <w:rFonts w:cs="Arial"/>
          <w:sz w:val="24"/>
        </w:rPr>
        <w:sectPr w:rsidR="000E3D27" w:rsidSect="00BE0834">
          <w:footerReference w:type="default" r:id="rId15"/>
          <w:pgSz w:w="11906" w:h="16838"/>
          <w:pgMar w:top="567" w:right="567" w:bottom="567" w:left="567" w:header="567" w:footer="567" w:gutter="0"/>
          <w:cols w:space="708"/>
          <w:titlePg/>
          <w:docGrid w:linePitch="360"/>
        </w:sectPr>
      </w:pPr>
    </w:p>
    <w:p w:rsidR="00FC0981" w:rsidRPr="00722C30" w:rsidRDefault="00FC0981" w:rsidP="00FB1F98">
      <w:pPr>
        <w:spacing w:before="120" w:after="120"/>
        <w:ind w:left="851"/>
        <w:rPr>
          <w:b/>
          <w:color w:val="0065A6"/>
          <w:sz w:val="28"/>
          <w:szCs w:val="28"/>
        </w:rPr>
      </w:pPr>
      <w:r w:rsidRPr="00722C30">
        <w:rPr>
          <w:b/>
          <w:color w:val="0065A6"/>
          <w:sz w:val="28"/>
          <w:szCs w:val="28"/>
        </w:rPr>
        <w:lastRenderedPageBreak/>
        <w:t>Contents</w:t>
      </w:r>
    </w:p>
    <w:bookmarkStart w:id="1" w:name="_Toc429068786"/>
    <w:bookmarkStart w:id="2" w:name="_Ref303361081"/>
    <w:p w:rsidR="003B28D8" w:rsidRDefault="00E874A3">
      <w:pPr>
        <w:pStyle w:val="TOC1"/>
        <w:rPr>
          <w:rFonts w:asciiTheme="minorHAnsi" w:eastAsiaTheme="minorEastAsia" w:hAnsiTheme="minorHAnsi" w:cstheme="minorBidi"/>
          <w:b w:val="0"/>
          <w:noProof/>
          <w:color w:val="auto"/>
          <w:szCs w:val="22"/>
          <w:lang w:val="en-AU"/>
        </w:rPr>
      </w:pPr>
      <w:r w:rsidRPr="000D6076">
        <w:rPr>
          <w:caps/>
          <w:noProof/>
          <w:highlight w:val="yellow"/>
        </w:rPr>
        <w:fldChar w:fldCharType="begin"/>
      </w:r>
      <w:r w:rsidRPr="000D6076">
        <w:rPr>
          <w:caps/>
          <w:noProof/>
          <w:highlight w:val="yellow"/>
        </w:rPr>
        <w:instrText xml:space="preserve"> TOC \o "1-2" </w:instrText>
      </w:r>
      <w:r w:rsidRPr="000D6076">
        <w:rPr>
          <w:caps/>
          <w:noProof/>
          <w:highlight w:val="yellow"/>
        </w:rPr>
        <w:fldChar w:fldCharType="separate"/>
      </w:r>
      <w:r w:rsidR="003B28D8">
        <w:rPr>
          <w:noProof/>
        </w:rPr>
        <w:t>1</w:t>
      </w:r>
      <w:r w:rsidR="003B28D8">
        <w:rPr>
          <w:rFonts w:asciiTheme="minorHAnsi" w:eastAsiaTheme="minorEastAsia" w:hAnsiTheme="minorHAnsi" w:cstheme="minorBidi"/>
          <w:b w:val="0"/>
          <w:noProof/>
          <w:color w:val="auto"/>
          <w:szCs w:val="22"/>
          <w:lang w:val="en-AU"/>
        </w:rPr>
        <w:tab/>
      </w:r>
      <w:r w:rsidR="003B28D8">
        <w:rPr>
          <w:noProof/>
        </w:rPr>
        <w:t>Executive Summary</w:t>
      </w:r>
      <w:r w:rsidR="003B28D8">
        <w:rPr>
          <w:noProof/>
        </w:rPr>
        <w:tab/>
      </w:r>
      <w:r w:rsidR="003B28D8">
        <w:rPr>
          <w:noProof/>
        </w:rPr>
        <w:fldChar w:fldCharType="begin"/>
      </w:r>
      <w:r w:rsidR="003B28D8">
        <w:rPr>
          <w:noProof/>
        </w:rPr>
        <w:instrText xml:space="preserve"> PAGEREF _Toc475527402 \h </w:instrText>
      </w:r>
      <w:r w:rsidR="003B28D8">
        <w:rPr>
          <w:noProof/>
        </w:rPr>
      </w:r>
      <w:r w:rsidR="003B28D8">
        <w:rPr>
          <w:noProof/>
        </w:rPr>
        <w:fldChar w:fldCharType="separate"/>
      </w:r>
      <w:r w:rsidR="00BE0834">
        <w:rPr>
          <w:noProof/>
        </w:rPr>
        <w:t>3</w:t>
      </w:r>
      <w:r w:rsidR="003B28D8">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1.1</w:t>
      </w:r>
      <w:r>
        <w:rPr>
          <w:rFonts w:asciiTheme="minorHAnsi" w:eastAsiaTheme="minorEastAsia" w:hAnsiTheme="minorHAnsi" w:cstheme="minorBidi"/>
          <w:noProof/>
          <w:sz w:val="22"/>
          <w:szCs w:val="22"/>
          <w:lang w:val="en-AU"/>
        </w:rPr>
        <w:tab/>
      </w:r>
      <w:r>
        <w:rPr>
          <w:noProof/>
        </w:rPr>
        <w:t>Stakeholder Engagement</w:t>
      </w:r>
      <w:r>
        <w:rPr>
          <w:noProof/>
        </w:rPr>
        <w:tab/>
      </w:r>
      <w:r>
        <w:rPr>
          <w:noProof/>
        </w:rPr>
        <w:fldChar w:fldCharType="begin"/>
      </w:r>
      <w:r>
        <w:rPr>
          <w:noProof/>
        </w:rPr>
        <w:instrText xml:space="preserve"> PAGEREF _Toc475527403 \h </w:instrText>
      </w:r>
      <w:r>
        <w:rPr>
          <w:noProof/>
        </w:rPr>
      </w:r>
      <w:r>
        <w:rPr>
          <w:noProof/>
        </w:rPr>
        <w:fldChar w:fldCharType="separate"/>
      </w:r>
      <w:r w:rsidR="00BE0834">
        <w:rPr>
          <w:noProof/>
        </w:rPr>
        <w:t>3</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1.2</w:t>
      </w:r>
      <w:r>
        <w:rPr>
          <w:rFonts w:asciiTheme="minorHAnsi" w:eastAsiaTheme="minorEastAsia" w:hAnsiTheme="minorHAnsi" w:cstheme="minorBidi"/>
          <w:noProof/>
          <w:sz w:val="22"/>
          <w:szCs w:val="22"/>
          <w:lang w:val="en-AU"/>
        </w:rPr>
        <w:tab/>
      </w:r>
      <w:r>
        <w:rPr>
          <w:noProof/>
        </w:rPr>
        <w:t>Our approach to developing proposed tariffs</w:t>
      </w:r>
      <w:r>
        <w:rPr>
          <w:noProof/>
        </w:rPr>
        <w:tab/>
      </w:r>
      <w:r>
        <w:rPr>
          <w:noProof/>
        </w:rPr>
        <w:fldChar w:fldCharType="begin"/>
      </w:r>
      <w:r>
        <w:rPr>
          <w:noProof/>
        </w:rPr>
        <w:instrText xml:space="preserve"> PAGEREF _Toc475527404 \h </w:instrText>
      </w:r>
      <w:r>
        <w:rPr>
          <w:noProof/>
        </w:rPr>
      </w:r>
      <w:r>
        <w:rPr>
          <w:noProof/>
        </w:rPr>
        <w:fldChar w:fldCharType="separate"/>
      </w:r>
      <w:r w:rsidR="00BE0834">
        <w:rPr>
          <w:noProof/>
        </w:rPr>
        <w:t>4</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1.3</w:t>
      </w:r>
      <w:r>
        <w:rPr>
          <w:rFonts w:asciiTheme="minorHAnsi" w:eastAsiaTheme="minorEastAsia" w:hAnsiTheme="minorHAnsi" w:cstheme="minorBidi"/>
          <w:noProof/>
          <w:sz w:val="22"/>
          <w:szCs w:val="22"/>
          <w:lang w:val="en-AU"/>
        </w:rPr>
        <w:tab/>
      </w:r>
      <w:r>
        <w:rPr>
          <w:noProof/>
        </w:rPr>
        <w:t>Proposed reforms</w:t>
      </w:r>
      <w:r>
        <w:rPr>
          <w:noProof/>
        </w:rPr>
        <w:tab/>
      </w:r>
      <w:r>
        <w:rPr>
          <w:noProof/>
        </w:rPr>
        <w:fldChar w:fldCharType="begin"/>
      </w:r>
      <w:r>
        <w:rPr>
          <w:noProof/>
        </w:rPr>
        <w:instrText xml:space="preserve"> PAGEREF _Toc475527405 \h </w:instrText>
      </w:r>
      <w:r>
        <w:rPr>
          <w:noProof/>
        </w:rPr>
      </w:r>
      <w:r>
        <w:rPr>
          <w:noProof/>
        </w:rPr>
        <w:fldChar w:fldCharType="separate"/>
      </w:r>
      <w:r w:rsidR="00BE0834">
        <w:rPr>
          <w:noProof/>
        </w:rPr>
        <w:t>4</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1.4</w:t>
      </w:r>
      <w:r>
        <w:rPr>
          <w:rFonts w:asciiTheme="minorHAnsi" w:eastAsiaTheme="minorEastAsia" w:hAnsiTheme="minorHAnsi" w:cstheme="minorBidi"/>
          <w:noProof/>
          <w:sz w:val="22"/>
          <w:szCs w:val="22"/>
          <w:lang w:val="en-AU"/>
        </w:rPr>
        <w:tab/>
      </w:r>
      <w:r>
        <w:rPr>
          <w:noProof/>
        </w:rPr>
        <w:t>Indicative prices</w:t>
      </w:r>
      <w:r>
        <w:rPr>
          <w:noProof/>
        </w:rPr>
        <w:tab/>
      </w:r>
      <w:r>
        <w:rPr>
          <w:noProof/>
        </w:rPr>
        <w:fldChar w:fldCharType="begin"/>
      </w:r>
      <w:r>
        <w:rPr>
          <w:noProof/>
        </w:rPr>
        <w:instrText xml:space="preserve"> PAGEREF _Toc475527406 \h </w:instrText>
      </w:r>
      <w:r>
        <w:rPr>
          <w:noProof/>
        </w:rPr>
      </w:r>
      <w:r>
        <w:rPr>
          <w:noProof/>
        </w:rPr>
        <w:fldChar w:fldCharType="separate"/>
      </w:r>
      <w:r w:rsidR="00BE0834">
        <w:rPr>
          <w:noProof/>
        </w:rPr>
        <w:t>6</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1.5</w:t>
      </w:r>
      <w:r>
        <w:rPr>
          <w:rFonts w:asciiTheme="minorHAnsi" w:eastAsiaTheme="minorEastAsia" w:hAnsiTheme="minorHAnsi" w:cstheme="minorBidi"/>
          <w:noProof/>
          <w:sz w:val="22"/>
          <w:szCs w:val="22"/>
          <w:lang w:val="en-AU"/>
        </w:rPr>
        <w:tab/>
      </w:r>
      <w:r w:rsidRPr="000416DF">
        <w:rPr>
          <w:rFonts w:cs="Arial"/>
          <w:noProof/>
        </w:rPr>
        <w:t>Potential</w:t>
      </w:r>
      <w:r>
        <w:rPr>
          <w:noProof/>
        </w:rPr>
        <w:t xml:space="preserve"> areas of future tariff reform</w:t>
      </w:r>
      <w:r>
        <w:rPr>
          <w:noProof/>
        </w:rPr>
        <w:tab/>
      </w:r>
      <w:r>
        <w:rPr>
          <w:noProof/>
        </w:rPr>
        <w:fldChar w:fldCharType="begin"/>
      </w:r>
      <w:r>
        <w:rPr>
          <w:noProof/>
        </w:rPr>
        <w:instrText xml:space="preserve"> PAGEREF _Toc475527407 \h </w:instrText>
      </w:r>
      <w:r>
        <w:rPr>
          <w:noProof/>
        </w:rPr>
      </w:r>
      <w:r>
        <w:rPr>
          <w:noProof/>
        </w:rPr>
        <w:fldChar w:fldCharType="separate"/>
      </w:r>
      <w:r w:rsidR="00BE0834">
        <w:rPr>
          <w:noProof/>
        </w:rPr>
        <w:t>10</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1.6</w:t>
      </w:r>
      <w:r>
        <w:rPr>
          <w:rFonts w:asciiTheme="minorHAnsi" w:eastAsiaTheme="minorEastAsia" w:hAnsiTheme="minorHAnsi" w:cstheme="minorBidi"/>
          <w:noProof/>
          <w:sz w:val="22"/>
          <w:szCs w:val="22"/>
          <w:lang w:val="en-AU"/>
        </w:rPr>
        <w:tab/>
      </w:r>
      <w:r>
        <w:rPr>
          <w:noProof/>
        </w:rPr>
        <w:t>Feedback</w:t>
      </w:r>
      <w:r>
        <w:rPr>
          <w:noProof/>
        </w:rPr>
        <w:tab/>
      </w:r>
      <w:r>
        <w:rPr>
          <w:noProof/>
        </w:rPr>
        <w:fldChar w:fldCharType="begin"/>
      </w:r>
      <w:r>
        <w:rPr>
          <w:noProof/>
        </w:rPr>
        <w:instrText xml:space="preserve"> PAGEREF _Toc475527408 \h </w:instrText>
      </w:r>
      <w:r>
        <w:rPr>
          <w:noProof/>
        </w:rPr>
      </w:r>
      <w:r>
        <w:rPr>
          <w:noProof/>
        </w:rPr>
        <w:fldChar w:fldCharType="separate"/>
      </w:r>
      <w:r w:rsidR="00BE0834">
        <w:rPr>
          <w:noProof/>
        </w:rPr>
        <w:t>10</w:t>
      </w:r>
      <w:r>
        <w:rPr>
          <w:noProof/>
        </w:rPr>
        <w:fldChar w:fldCharType="end"/>
      </w:r>
    </w:p>
    <w:p w:rsidR="003B28D8" w:rsidRDefault="003B28D8">
      <w:pPr>
        <w:pStyle w:val="TOC1"/>
        <w:rPr>
          <w:rFonts w:asciiTheme="minorHAnsi" w:eastAsiaTheme="minorEastAsia" w:hAnsiTheme="minorHAnsi" w:cstheme="minorBidi"/>
          <w:b w:val="0"/>
          <w:noProof/>
          <w:color w:val="auto"/>
          <w:szCs w:val="22"/>
          <w:lang w:val="en-AU"/>
        </w:rPr>
      </w:pPr>
      <w:r>
        <w:rPr>
          <w:noProof/>
        </w:rPr>
        <w:t>2</w:t>
      </w:r>
      <w:r>
        <w:rPr>
          <w:rFonts w:asciiTheme="minorHAnsi" w:eastAsiaTheme="minorEastAsia" w:hAnsiTheme="minorHAnsi" w:cstheme="minorBidi"/>
          <w:b w:val="0"/>
          <w:noProof/>
          <w:color w:val="auto"/>
          <w:szCs w:val="22"/>
          <w:lang w:val="en-AU"/>
        </w:rPr>
        <w:tab/>
      </w:r>
      <w:r>
        <w:rPr>
          <w:noProof/>
        </w:rPr>
        <w:t>Introduction</w:t>
      </w:r>
      <w:r>
        <w:rPr>
          <w:noProof/>
        </w:rPr>
        <w:tab/>
      </w:r>
      <w:r>
        <w:rPr>
          <w:noProof/>
        </w:rPr>
        <w:fldChar w:fldCharType="begin"/>
      </w:r>
      <w:r>
        <w:rPr>
          <w:noProof/>
        </w:rPr>
        <w:instrText xml:space="preserve"> PAGEREF _Toc475527409 \h </w:instrText>
      </w:r>
      <w:r>
        <w:rPr>
          <w:noProof/>
        </w:rPr>
      </w:r>
      <w:r>
        <w:rPr>
          <w:noProof/>
        </w:rPr>
        <w:fldChar w:fldCharType="separate"/>
      </w:r>
      <w:r w:rsidR="00BE0834">
        <w:rPr>
          <w:noProof/>
        </w:rPr>
        <w:t>11</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2.1</w:t>
      </w:r>
      <w:r>
        <w:rPr>
          <w:rFonts w:asciiTheme="minorHAnsi" w:eastAsiaTheme="minorEastAsia" w:hAnsiTheme="minorHAnsi" w:cstheme="minorBidi"/>
          <w:noProof/>
          <w:sz w:val="22"/>
          <w:szCs w:val="22"/>
          <w:lang w:val="en-AU"/>
        </w:rPr>
        <w:tab/>
      </w:r>
      <w:r>
        <w:rPr>
          <w:noProof/>
        </w:rPr>
        <w:t>Ausgrid’s network</w:t>
      </w:r>
      <w:r>
        <w:rPr>
          <w:noProof/>
        </w:rPr>
        <w:tab/>
      </w:r>
      <w:r>
        <w:rPr>
          <w:noProof/>
        </w:rPr>
        <w:fldChar w:fldCharType="begin"/>
      </w:r>
      <w:r>
        <w:rPr>
          <w:noProof/>
        </w:rPr>
        <w:instrText xml:space="preserve"> PAGEREF _Toc475527410 \h </w:instrText>
      </w:r>
      <w:r>
        <w:rPr>
          <w:noProof/>
        </w:rPr>
      </w:r>
      <w:r>
        <w:rPr>
          <w:noProof/>
        </w:rPr>
        <w:fldChar w:fldCharType="separate"/>
      </w:r>
      <w:r w:rsidR="00BE0834">
        <w:rPr>
          <w:noProof/>
        </w:rPr>
        <w:t>11</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2.2</w:t>
      </w:r>
      <w:r>
        <w:rPr>
          <w:rFonts w:asciiTheme="minorHAnsi" w:eastAsiaTheme="minorEastAsia" w:hAnsiTheme="minorHAnsi" w:cstheme="minorBidi"/>
          <w:noProof/>
          <w:sz w:val="22"/>
          <w:szCs w:val="22"/>
          <w:lang w:val="en-AU"/>
        </w:rPr>
        <w:tab/>
      </w:r>
      <w:r>
        <w:rPr>
          <w:noProof/>
        </w:rPr>
        <w:t>Regulatory and legal requirement for Tariff Structure Statement</w:t>
      </w:r>
      <w:r>
        <w:rPr>
          <w:noProof/>
        </w:rPr>
        <w:tab/>
      </w:r>
      <w:r>
        <w:rPr>
          <w:noProof/>
        </w:rPr>
        <w:fldChar w:fldCharType="begin"/>
      </w:r>
      <w:r>
        <w:rPr>
          <w:noProof/>
        </w:rPr>
        <w:instrText xml:space="preserve"> PAGEREF _Toc475527411 \h </w:instrText>
      </w:r>
      <w:r>
        <w:rPr>
          <w:noProof/>
        </w:rPr>
      </w:r>
      <w:r>
        <w:rPr>
          <w:noProof/>
        </w:rPr>
        <w:fldChar w:fldCharType="separate"/>
      </w:r>
      <w:r w:rsidR="00BE0834">
        <w:rPr>
          <w:noProof/>
        </w:rPr>
        <w:t>11</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2.3</w:t>
      </w:r>
      <w:r>
        <w:rPr>
          <w:rFonts w:asciiTheme="minorHAnsi" w:eastAsiaTheme="minorEastAsia" w:hAnsiTheme="minorHAnsi" w:cstheme="minorBidi"/>
          <w:noProof/>
          <w:sz w:val="22"/>
          <w:szCs w:val="22"/>
          <w:lang w:val="en-AU"/>
        </w:rPr>
        <w:tab/>
      </w:r>
      <w:r>
        <w:rPr>
          <w:noProof/>
        </w:rPr>
        <w:t>Overview of developments in our regulatory environment</w:t>
      </w:r>
      <w:r>
        <w:rPr>
          <w:noProof/>
        </w:rPr>
        <w:tab/>
      </w:r>
      <w:r>
        <w:rPr>
          <w:noProof/>
        </w:rPr>
        <w:fldChar w:fldCharType="begin"/>
      </w:r>
      <w:r>
        <w:rPr>
          <w:noProof/>
        </w:rPr>
        <w:instrText xml:space="preserve"> PAGEREF _Toc475527412 \h </w:instrText>
      </w:r>
      <w:r>
        <w:rPr>
          <w:noProof/>
        </w:rPr>
      </w:r>
      <w:r>
        <w:rPr>
          <w:noProof/>
        </w:rPr>
        <w:fldChar w:fldCharType="separate"/>
      </w:r>
      <w:r w:rsidR="00BE0834">
        <w:rPr>
          <w:noProof/>
        </w:rPr>
        <w:t>11</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2.4</w:t>
      </w:r>
      <w:r>
        <w:rPr>
          <w:rFonts w:asciiTheme="minorHAnsi" w:eastAsiaTheme="minorEastAsia" w:hAnsiTheme="minorHAnsi" w:cstheme="minorBidi"/>
          <w:noProof/>
          <w:sz w:val="22"/>
          <w:szCs w:val="22"/>
          <w:lang w:val="en-AU"/>
        </w:rPr>
        <w:tab/>
      </w:r>
      <w:r>
        <w:rPr>
          <w:noProof/>
        </w:rPr>
        <w:t>Demand management and the interaction with network pricing</w:t>
      </w:r>
      <w:r>
        <w:rPr>
          <w:noProof/>
        </w:rPr>
        <w:tab/>
      </w:r>
      <w:r>
        <w:rPr>
          <w:noProof/>
        </w:rPr>
        <w:fldChar w:fldCharType="begin"/>
      </w:r>
      <w:r>
        <w:rPr>
          <w:noProof/>
        </w:rPr>
        <w:instrText xml:space="preserve"> PAGEREF _Toc475527413 \h </w:instrText>
      </w:r>
      <w:r>
        <w:rPr>
          <w:noProof/>
        </w:rPr>
      </w:r>
      <w:r>
        <w:rPr>
          <w:noProof/>
        </w:rPr>
        <w:fldChar w:fldCharType="separate"/>
      </w:r>
      <w:r w:rsidR="00BE0834">
        <w:rPr>
          <w:noProof/>
        </w:rPr>
        <w:t>12</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2.5</w:t>
      </w:r>
      <w:r>
        <w:rPr>
          <w:rFonts w:asciiTheme="minorHAnsi" w:eastAsiaTheme="minorEastAsia" w:hAnsiTheme="minorHAnsi" w:cstheme="minorBidi"/>
          <w:noProof/>
          <w:sz w:val="22"/>
          <w:szCs w:val="22"/>
          <w:lang w:val="en-AU"/>
        </w:rPr>
        <w:tab/>
      </w:r>
      <w:r>
        <w:rPr>
          <w:noProof/>
        </w:rPr>
        <w:t>Structure of this TSS</w:t>
      </w:r>
      <w:r>
        <w:rPr>
          <w:noProof/>
        </w:rPr>
        <w:tab/>
      </w:r>
      <w:r>
        <w:rPr>
          <w:noProof/>
        </w:rPr>
        <w:fldChar w:fldCharType="begin"/>
      </w:r>
      <w:r>
        <w:rPr>
          <w:noProof/>
        </w:rPr>
        <w:instrText xml:space="preserve"> PAGEREF _Toc475527414 \h </w:instrText>
      </w:r>
      <w:r>
        <w:rPr>
          <w:noProof/>
        </w:rPr>
      </w:r>
      <w:r>
        <w:rPr>
          <w:noProof/>
        </w:rPr>
        <w:fldChar w:fldCharType="separate"/>
      </w:r>
      <w:r w:rsidR="00BE0834">
        <w:rPr>
          <w:noProof/>
        </w:rPr>
        <w:t>13</w:t>
      </w:r>
      <w:r>
        <w:rPr>
          <w:noProof/>
        </w:rPr>
        <w:fldChar w:fldCharType="end"/>
      </w:r>
    </w:p>
    <w:p w:rsidR="003B28D8" w:rsidRDefault="003B28D8">
      <w:pPr>
        <w:pStyle w:val="TOC1"/>
        <w:rPr>
          <w:rFonts w:asciiTheme="minorHAnsi" w:eastAsiaTheme="minorEastAsia" w:hAnsiTheme="minorHAnsi" w:cstheme="minorBidi"/>
          <w:b w:val="0"/>
          <w:noProof/>
          <w:color w:val="auto"/>
          <w:szCs w:val="22"/>
          <w:lang w:val="en-AU"/>
        </w:rPr>
      </w:pPr>
      <w:r>
        <w:rPr>
          <w:noProof/>
        </w:rPr>
        <w:t>3</w:t>
      </w:r>
      <w:r>
        <w:rPr>
          <w:rFonts w:asciiTheme="minorHAnsi" w:eastAsiaTheme="minorEastAsia" w:hAnsiTheme="minorHAnsi" w:cstheme="minorBidi"/>
          <w:b w:val="0"/>
          <w:noProof/>
          <w:color w:val="auto"/>
          <w:szCs w:val="22"/>
          <w:lang w:val="en-AU"/>
        </w:rPr>
        <w:tab/>
      </w:r>
      <w:r>
        <w:rPr>
          <w:noProof/>
        </w:rPr>
        <w:t>Proposed Tariff Classes</w:t>
      </w:r>
      <w:r>
        <w:rPr>
          <w:noProof/>
        </w:rPr>
        <w:tab/>
      </w:r>
      <w:r>
        <w:rPr>
          <w:noProof/>
        </w:rPr>
        <w:fldChar w:fldCharType="begin"/>
      </w:r>
      <w:r>
        <w:rPr>
          <w:noProof/>
        </w:rPr>
        <w:instrText xml:space="preserve"> PAGEREF _Toc475527415 \h </w:instrText>
      </w:r>
      <w:r>
        <w:rPr>
          <w:noProof/>
        </w:rPr>
      </w:r>
      <w:r>
        <w:rPr>
          <w:noProof/>
        </w:rPr>
        <w:fldChar w:fldCharType="separate"/>
      </w:r>
      <w:r w:rsidR="00BE0834">
        <w:rPr>
          <w:noProof/>
        </w:rPr>
        <w:t>14</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3.1</w:t>
      </w:r>
      <w:r>
        <w:rPr>
          <w:rFonts w:asciiTheme="minorHAnsi" w:eastAsiaTheme="minorEastAsia" w:hAnsiTheme="minorHAnsi" w:cstheme="minorBidi"/>
          <w:noProof/>
          <w:sz w:val="22"/>
          <w:szCs w:val="22"/>
          <w:lang w:val="en-AU"/>
        </w:rPr>
        <w:tab/>
      </w:r>
      <w:r>
        <w:rPr>
          <w:noProof/>
        </w:rPr>
        <w:t>Rule requirement</w:t>
      </w:r>
      <w:r>
        <w:rPr>
          <w:noProof/>
        </w:rPr>
        <w:tab/>
      </w:r>
      <w:r>
        <w:rPr>
          <w:noProof/>
        </w:rPr>
        <w:fldChar w:fldCharType="begin"/>
      </w:r>
      <w:r>
        <w:rPr>
          <w:noProof/>
        </w:rPr>
        <w:instrText xml:space="preserve"> PAGEREF _Toc475527416 \h </w:instrText>
      </w:r>
      <w:r>
        <w:rPr>
          <w:noProof/>
        </w:rPr>
      </w:r>
      <w:r>
        <w:rPr>
          <w:noProof/>
        </w:rPr>
        <w:fldChar w:fldCharType="separate"/>
      </w:r>
      <w:r w:rsidR="00BE0834">
        <w:rPr>
          <w:noProof/>
        </w:rPr>
        <w:t>14</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3.2</w:t>
      </w:r>
      <w:r>
        <w:rPr>
          <w:rFonts w:asciiTheme="minorHAnsi" w:eastAsiaTheme="minorEastAsia" w:hAnsiTheme="minorHAnsi" w:cstheme="minorBidi"/>
          <w:noProof/>
          <w:sz w:val="22"/>
          <w:szCs w:val="22"/>
          <w:lang w:val="en-AU"/>
        </w:rPr>
        <w:tab/>
      </w:r>
      <w:r>
        <w:rPr>
          <w:noProof/>
        </w:rPr>
        <w:t>Tariff classes</w:t>
      </w:r>
      <w:r>
        <w:rPr>
          <w:noProof/>
        </w:rPr>
        <w:tab/>
      </w:r>
      <w:r>
        <w:rPr>
          <w:noProof/>
        </w:rPr>
        <w:fldChar w:fldCharType="begin"/>
      </w:r>
      <w:r>
        <w:rPr>
          <w:noProof/>
        </w:rPr>
        <w:instrText xml:space="preserve"> PAGEREF _Toc475527417 \h </w:instrText>
      </w:r>
      <w:r>
        <w:rPr>
          <w:noProof/>
        </w:rPr>
      </w:r>
      <w:r>
        <w:rPr>
          <w:noProof/>
        </w:rPr>
        <w:fldChar w:fldCharType="separate"/>
      </w:r>
      <w:r w:rsidR="00BE0834">
        <w:rPr>
          <w:noProof/>
        </w:rPr>
        <w:t>14</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3.3</w:t>
      </w:r>
      <w:r>
        <w:rPr>
          <w:rFonts w:asciiTheme="minorHAnsi" w:eastAsiaTheme="minorEastAsia" w:hAnsiTheme="minorHAnsi" w:cstheme="minorBidi"/>
          <w:noProof/>
          <w:sz w:val="22"/>
          <w:szCs w:val="22"/>
          <w:lang w:val="en-AU"/>
        </w:rPr>
        <w:tab/>
      </w:r>
      <w:r>
        <w:rPr>
          <w:noProof/>
        </w:rPr>
        <w:t>Future issues to consider</w:t>
      </w:r>
      <w:r>
        <w:rPr>
          <w:noProof/>
        </w:rPr>
        <w:tab/>
      </w:r>
      <w:r>
        <w:rPr>
          <w:noProof/>
        </w:rPr>
        <w:fldChar w:fldCharType="begin"/>
      </w:r>
      <w:r>
        <w:rPr>
          <w:noProof/>
        </w:rPr>
        <w:instrText xml:space="preserve"> PAGEREF _Toc475527418 \h </w:instrText>
      </w:r>
      <w:r>
        <w:rPr>
          <w:noProof/>
        </w:rPr>
      </w:r>
      <w:r>
        <w:rPr>
          <w:noProof/>
        </w:rPr>
        <w:fldChar w:fldCharType="separate"/>
      </w:r>
      <w:r w:rsidR="00BE0834">
        <w:rPr>
          <w:noProof/>
        </w:rPr>
        <w:t>15</w:t>
      </w:r>
      <w:r>
        <w:rPr>
          <w:noProof/>
        </w:rPr>
        <w:fldChar w:fldCharType="end"/>
      </w:r>
    </w:p>
    <w:p w:rsidR="003B28D8" w:rsidRDefault="003B28D8">
      <w:pPr>
        <w:pStyle w:val="TOC1"/>
        <w:rPr>
          <w:rFonts w:asciiTheme="minorHAnsi" w:eastAsiaTheme="minorEastAsia" w:hAnsiTheme="minorHAnsi" w:cstheme="minorBidi"/>
          <w:b w:val="0"/>
          <w:noProof/>
          <w:color w:val="auto"/>
          <w:szCs w:val="22"/>
          <w:lang w:val="en-AU"/>
        </w:rPr>
      </w:pPr>
      <w:r>
        <w:rPr>
          <w:noProof/>
        </w:rPr>
        <w:t>4</w:t>
      </w:r>
      <w:r>
        <w:rPr>
          <w:rFonts w:asciiTheme="minorHAnsi" w:eastAsiaTheme="minorEastAsia" w:hAnsiTheme="minorHAnsi" w:cstheme="minorBidi"/>
          <w:b w:val="0"/>
          <w:noProof/>
          <w:color w:val="auto"/>
          <w:szCs w:val="22"/>
          <w:lang w:val="en-AU"/>
        </w:rPr>
        <w:tab/>
      </w:r>
      <w:r>
        <w:rPr>
          <w:noProof/>
        </w:rPr>
        <w:t>Proposed procedure for assigning or re-assigning retail customers to tariffs</w:t>
      </w:r>
      <w:r>
        <w:rPr>
          <w:noProof/>
        </w:rPr>
        <w:tab/>
      </w:r>
      <w:r>
        <w:rPr>
          <w:noProof/>
        </w:rPr>
        <w:fldChar w:fldCharType="begin"/>
      </w:r>
      <w:r>
        <w:rPr>
          <w:noProof/>
        </w:rPr>
        <w:instrText xml:space="preserve"> PAGEREF _Toc475527419 \h </w:instrText>
      </w:r>
      <w:r>
        <w:rPr>
          <w:noProof/>
        </w:rPr>
      </w:r>
      <w:r>
        <w:rPr>
          <w:noProof/>
        </w:rPr>
        <w:fldChar w:fldCharType="separate"/>
      </w:r>
      <w:r w:rsidR="00BE0834">
        <w:rPr>
          <w:noProof/>
        </w:rPr>
        <w:t>16</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4.1</w:t>
      </w:r>
      <w:r>
        <w:rPr>
          <w:rFonts w:asciiTheme="minorHAnsi" w:eastAsiaTheme="minorEastAsia" w:hAnsiTheme="minorHAnsi" w:cstheme="minorBidi"/>
          <w:noProof/>
          <w:sz w:val="22"/>
          <w:szCs w:val="22"/>
          <w:lang w:val="en-AU"/>
        </w:rPr>
        <w:tab/>
      </w:r>
      <w:r>
        <w:rPr>
          <w:noProof/>
        </w:rPr>
        <w:t>The assignment of new retail customers</w:t>
      </w:r>
      <w:r>
        <w:rPr>
          <w:noProof/>
        </w:rPr>
        <w:tab/>
      </w:r>
      <w:r>
        <w:rPr>
          <w:noProof/>
        </w:rPr>
        <w:fldChar w:fldCharType="begin"/>
      </w:r>
      <w:r>
        <w:rPr>
          <w:noProof/>
        </w:rPr>
        <w:instrText xml:space="preserve"> PAGEREF _Toc475527420 \h </w:instrText>
      </w:r>
      <w:r>
        <w:rPr>
          <w:noProof/>
        </w:rPr>
      </w:r>
      <w:r>
        <w:rPr>
          <w:noProof/>
        </w:rPr>
        <w:fldChar w:fldCharType="separate"/>
      </w:r>
      <w:r w:rsidR="00BE0834">
        <w:rPr>
          <w:noProof/>
        </w:rPr>
        <w:t>17</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4.2</w:t>
      </w:r>
      <w:r>
        <w:rPr>
          <w:rFonts w:asciiTheme="minorHAnsi" w:eastAsiaTheme="minorEastAsia" w:hAnsiTheme="minorHAnsi" w:cstheme="minorBidi"/>
          <w:noProof/>
          <w:sz w:val="22"/>
          <w:szCs w:val="22"/>
          <w:lang w:val="en-AU"/>
        </w:rPr>
        <w:tab/>
      </w:r>
      <w:r>
        <w:rPr>
          <w:noProof/>
        </w:rPr>
        <w:t>The re-assignement of existing retail customers</w:t>
      </w:r>
      <w:r>
        <w:rPr>
          <w:noProof/>
        </w:rPr>
        <w:tab/>
      </w:r>
      <w:r>
        <w:rPr>
          <w:noProof/>
        </w:rPr>
        <w:fldChar w:fldCharType="begin"/>
      </w:r>
      <w:r>
        <w:rPr>
          <w:noProof/>
        </w:rPr>
        <w:instrText xml:space="preserve"> PAGEREF _Toc475527421 \h </w:instrText>
      </w:r>
      <w:r>
        <w:rPr>
          <w:noProof/>
        </w:rPr>
      </w:r>
      <w:r>
        <w:rPr>
          <w:noProof/>
        </w:rPr>
        <w:fldChar w:fldCharType="separate"/>
      </w:r>
      <w:r w:rsidR="00BE0834">
        <w:rPr>
          <w:noProof/>
        </w:rPr>
        <w:t>20</w:t>
      </w:r>
      <w:r>
        <w:rPr>
          <w:noProof/>
        </w:rPr>
        <w:fldChar w:fldCharType="end"/>
      </w:r>
    </w:p>
    <w:p w:rsidR="003B28D8" w:rsidRDefault="003B28D8">
      <w:pPr>
        <w:pStyle w:val="TOC1"/>
        <w:rPr>
          <w:rFonts w:asciiTheme="minorHAnsi" w:eastAsiaTheme="minorEastAsia" w:hAnsiTheme="minorHAnsi" w:cstheme="minorBidi"/>
          <w:b w:val="0"/>
          <w:noProof/>
          <w:color w:val="auto"/>
          <w:szCs w:val="22"/>
          <w:lang w:val="en-AU"/>
        </w:rPr>
      </w:pPr>
      <w:r>
        <w:rPr>
          <w:noProof/>
        </w:rPr>
        <w:t>5</w:t>
      </w:r>
      <w:r>
        <w:rPr>
          <w:rFonts w:asciiTheme="minorHAnsi" w:eastAsiaTheme="minorEastAsia" w:hAnsiTheme="minorHAnsi" w:cstheme="minorBidi"/>
          <w:b w:val="0"/>
          <w:noProof/>
          <w:color w:val="auto"/>
          <w:szCs w:val="22"/>
          <w:lang w:val="en-AU"/>
        </w:rPr>
        <w:tab/>
      </w:r>
      <w:r>
        <w:rPr>
          <w:noProof/>
        </w:rPr>
        <w:t>Long Run Marginal Cost</w:t>
      </w:r>
      <w:r>
        <w:rPr>
          <w:noProof/>
        </w:rPr>
        <w:tab/>
      </w:r>
      <w:r>
        <w:rPr>
          <w:noProof/>
        </w:rPr>
        <w:fldChar w:fldCharType="begin"/>
      </w:r>
      <w:r>
        <w:rPr>
          <w:noProof/>
        </w:rPr>
        <w:instrText xml:space="preserve"> PAGEREF _Toc475527422 \h </w:instrText>
      </w:r>
      <w:r>
        <w:rPr>
          <w:noProof/>
        </w:rPr>
      </w:r>
      <w:r>
        <w:rPr>
          <w:noProof/>
        </w:rPr>
        <w:fldChar w:fldCharType="separate"/>
      </w:r>
      <w:r w:rsidR="00BE0834">
        <w:rPr>
          <w:noProof/>
        </w:rPr>
        <w:t>24</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5.1</w:t>
      </w:r>
      <w:r>
        <w:rPr>
          <w:rFonts w:asciiTheme="minorHAnsi" w:eastAsiaTheme="minorEastAsia" w:hAnsiTheme="minorHAnsi" w:cstheme="minorBidi"/>
          <w:noProof/>
          <w:sz w:val="22"/>
          <w:szCs w:val="22"/>
          <w:lang w:val="en-AU"/>
        </w:rPr>
        <w:tab/>
      </w:r>
      <w:r>
        <w:rPr>
          <w:noProof/>
        </w:rPr>
        <w:t>Our approach to estimating LRMC</w:t>
      </w:r>
      <w:r>
        <w:rPr>
          <w:noProof/>
        </w:rPr>
        <w:tab/>
      </w:r>
      <w:r>
        <w:rPr>
          <w:noProof/>
        </w:rPr>
        <w:fldChar w:fldCharType="begin"/>
      </w:r>
      <w:r>
        <w:rPr>
          <w:noProof/>
        </w:rPr>
        <w:instrText xml:space="preserve"> PAGEREF _Toc475527423 \h </w:instrText>
      </w:r>
      <w:r>
        <w:rPr>
          <w:noProof/>
        </w:rPr>
      </w:r>
      <w:r>
        <w:rPr>
          <w:noProof/>
        </w:rPr>
        <w:fldChar w:fldCharType="separate"/>
      </w:r>
      <w:r w:rsidR="00BE0834">
        <w:rPr>
          <w:noProof/>
        </w:rPr>
        <w:t>24</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5.2</w:t>
      </w:r>
      <w:r>
        <w:rPr>
          <w:rFonts w:asciiTheme="minorHAnsi" w:eastAsiaTheme="minorEastAsia" w:hAnsiTheme="minorHAnsi" w:cstheme="minorBidi"/>
          <w:noProof/>
          <w:sz w:val="22"/>
          <w:szCs w:val="22"/>
          <w:lang w:val="en-AU"/>
        </w:rPr>
        <w:tab/>
      </w:r>
      <w:r>
        <w:rPr>
          <w:noProof/>
        </w:rPr>
        <w:t>Application of LRMC to tariffs</w:t>
      </w:r>
      <w:r>
        <w:rPr>
          <w:noProof/>
        </w:rPr>
        <w:tab/>
      </w:r>
      <w:r>
        <w:rPr>
          <w:noProof/>
        </w:rPr>
        <w:fldChar w:fldCharType="begin"/>
      </w:r>
      <w:r>
        <w:rPr>
          <w:noProof/>
        </w:rPr>
        <w:instrText xml:space="preserve"> PAGEREF _Toc475527424 \h </w:instrText>
      </w:r>
      <w:r>
        <w:rPr>
          <w:noProof/>
        </w:rPr>
      </w:r>
      <w:r>
        <w:rPr>
          <w:noProof/>
        </w:rPr>
        <w:fldChar w:fldCharType="separate"/>
      </w:r>
      <w:r w:rsidR="00BE0834">
        <w:rPr>
          <w:noProof/>
        </w:rPr>
        <w:t>25</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5.3</w:t>
      </w:r>
      <w:r>
        <w:rPr>
          <w:rFonts w:asciiTheme="minorHAnsi" w:eastAsiaTheme="minorEastAsia" w:hAnsiTheme="minorHAnsi" w:cstheme="minorBidi"/>
          <w:noProof/>
          <w:sz w:val="22"/>
          <w:szCs w:val="22"/>
          <w:lang w:val="en-AU"/>
        </w:rPr>
        <w:tab/>
      </w:r>
      <w:r>
        <w:rPr>
          <w:noProof/>
        </w:rPr>
        <w:t>Converting LRMC to a peak energy charge</w:t>
      </w:r>
      <w:r>
        <w:rPr>
          <w:noProof/>
        </w:rPr>
        <w:tab/>
      </w:r>
      <w:r>
        <w:rPr>
          <w:noProof/>
        </w:rPr>
        <w:fldChar w:fldCharType="begin"/>
      </w:r>
      <w:r>
        <w:rPr>
          <w:noProof/>
        </w:rPr>
        <w:instrText xml:space="preserve"> PAGEREF _Toc475527425 \h </w:instrText>
      </w:r>
      <w:r>
        <w:rPr>
          <w:noProof/>
        </w:rPr>
      </w:r>
      <w:r>
        <w:rPr>
          <w:noProof/>
        </w:rPr>
        <w:fldChar w:fldCharType="separate"/>
      </w:r>
      <w:r w:rsidR="00BE0834">
        <w:rPr>
          <w:noProof/>
        </w:rPr>
        <w:t>25</w:t>
      </w:r>
      <w:r>
        <w:rPr>
          <w:noProof/>
        </w:rPr>
        <w:fldChar w:fldCharType="end"/>
      </w:r>
    </w:p>
    <w:p w:rsidR="003B28D8" w:rsidRDefault="003B28D8">
      <w:pPr>
        <w:pStyle w:val="TOC1"/>
        <w:rPr>
          <w:rFonts w:asciiTheme="minorHAnsi" w:eastAsiaTheme="minorEastAsia" w:hAnsiTheme="minorHAnsi" w:cstheme="minorBidi"/>
          <w:b w:val="0"/>
          <w:noProof/>
          <w:color w:val="auto"/>
          <w:szCs w:val="22"/>
          <w:lang w:val="en-AU"/>
        </w:rPr>
      </w:pPr>
      <w:r>
        <w:rPr>
          <w:noProof/>
        </w:rPr>
        <w:t>6</w:t>
      </w:r>
      <w:r>
        <w:rPr>
          <w:rFonts w:asciiTheme="minorHAnsi" w:eastAsiaTheme="minorEastAsia" w:hAnsiTheme="minorHAnsi" w:cstheme="minorBidi"/>
          <w:b w:val="0"/>
          <w:noProof/>
          <w:color w:val="auto"/>
          <w:szCs w:val="22"/>
          <w:lang w:val="en-AU"/>
        </w:rPr>
        <w:tab/>
      </w:r>
      <w:r>
        <w:rPr>
          <w:noProof/>
        </w:rPr>
        <w:t>Peak periods for time of use tariffs</w:t>
      </w:r>
      <w:r>
        <w:rPr>
          <w:noProof/>
        </w:rPr>
        <w:tab/>
      </w:r>
      <w:r>
        <w:rPr>
          <w:noProof/>
        </w:rPr>
        <w:fldChar w:fldCharType="begin"/>
      </w:r>
      <w:r>
        <w:rPr>
          <w:noProof/>
        </w:rPr>
        <w:instrText xml:space="preserve"> PAGEREF _Toc475527426 \h </w:instrText>
      </w:r>
      <w:r>
        <w:rPr>
          <w:noProof/>
        </w:rPr>
      </w:r>
      <w:r>
        <w:rPr>
          <w:noProof/>
        </w:rPr>
        <w:fldChar w:fldCharType="separate"/>
      </w:r>
      <w:r w:rsidR="00BE0834">
        <w:rPr>
          <w:noProof/>
        </w:rPr>
        <w:t>28</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6.1</w:t>
      </w:r>
      <w:r>
        <w:rPr>
          <w:rFonts w:asciiTheme="minorHAnsi" w:eastAsiaTheme="minorEastAsia" w:hAnsiTheme="minorHAnsi" w:cstheme="minorBidi"/>
          <w:noProof/>
          <w:sz w:val="22"/>
          <w:szCs w:val="22"/>
          <w:lang w:val="en-AU"/>
        </w:rPr>
        <w:tab/>
      </w:r>
      <w:r>
        <w:rPr>
          <w:noProof/>
        </w:rPr>
        <w:t>The introduction of seasonal peak periods</w:t>
      </w:r>
      <w:r>
        <w:rPr>
          <w:noProof/>
        </w:rPr>
        <w:tab/>
      </w:r>
      <w:r>
        <w:rPr>
          <w:noProof/>
        </w:rPr>
        <w:fldChar w:fldCharType="begin"/>
      </w:r>
      <w:r>
        <w:rPr>
          <w:noProof/>
        </w:rPr>
        <w:instrText xml:space="preserve"> PAGEREF _Toc475527427 \h </w:instrText>
      </w:r>
      <w:r>
        <w:rPr>
          <w:noProof/>
        </w:rPr>
      </w:r>
      <w:r>
        <w:rPr>
          <w:noProof/>
        </w:rPr>
        <w:fldChar w:fldCharType="separate"/>
      </w:r>
      <w:r w:rsidR="00BE0834">
        <w:rPr>
          <w:noProof/>
        </w:rPr>
        <w:t>28</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6.2</w:t>
      </w:r>
      <w:r>
        <w:rPr>
          <w:rFonts w:asciiTheme="minorHAnsi" w:eastAsiaTheme="minorEastAsia" w:hAnsiTheme="minorHAnsi" w:cstheme="minorBidi"/>
          <w:noProof/>
          <w:sz w:val="22"/>
          <w:szCs w:val="22"/>
          <w:lang w:val="en-AU"/>
        </w:rPr>
        <w:tab/>
      </w:r>
      <w:r>
        <w:rPr>
          <w:noProof/>
        </w:rPr>
        <w:t>The summer peak period</w:t>
      </w:r>
      <w:r>
        <w:rPr>
          <w:noProof/>
        </w:rPr>
        <w:tab/>
      </w:r>
      <w:r>
        <w:rPr>
          <w:noProof/>
        </w:rPr>
        <w:fldChar w:fldCharType="begin"/>
      </w:r>
      <w:r>
        <w:rPr>
          <w:noProof/>
        </w:rPr>
        <w:instrText xml:space="preserve"> PAGEREF _Toc475527428 \h </w:instrText>
      </w:r>
      <w:r>
        <w:rPr>
          <w:noProof/>
        </w:rPr>
      </w:r>
      <w:r>
        <w:rPr>
          <w:noProof/>
        </w:rPr>
        <w:fldChar w:fldCharType="separate"/>
      </w:r>
      <w:r w:rsidR="00BE0834">
        <w:rPr>
          <w:noProof/>
        </w:rPr>
        <w:t>30</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6.3</w:t>
      </w:r>
      <w:r>
        <w:rPr>
          <w:rFonts w:asciiTheme="minorHAnsi" w:eastAsiaTheme="minorEastAsia" w:hAnsiTheme="minorHAnsi" w:cstheme="minorBidi"/>
          <w:noProof/>
          <w:sz w:val="22"/>
          <w:szCs w:val="22"/>
          <w:lang w:val="en-AU"/>
        </w:rPr>
        <w:tab/>
      </w:r>
      <w:r>
        <w:rPr>
          <w:noProof/>
        </w:rPr>
        <w:t>The winter peak period</w:t>
      </w:r>
      <w:r>
        <w:rPr>
          <w:noProof/>
        </w:rPr>
        <w:tab/>
      </w:r>
      <w:r>
        <w:rPr>
          <w:noProof/>
        </w:rPr>
        <w:fldChar w:fldCharType="begin"/>
      </w:r>
      <w:r>
        <w:rPr>
          <w:noProof/>
        </w:rPr>
        <w:instrText xml:space="preserve"> PAGEREF _Toc475527429 \h </w:instrText>
      </w:r>
      <w:r>
        <w:rPr>
          <w:noProof/>
        </w:rPr>
      </w:r>
      <w:r>
        <w:rPr>
          <w:noProof/>
        </w:rPr>
        <w:fldChar w:fldCharType="separate"/>
      </w:r>
      <w:r w:rsidR="00BE0834">
        <w:rPr>
          <w:noProof/>
        </w:rPr>
        <w:t>35</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6.4</w:t>
      </w:r>
      <w:r>
        <w:rPr>
          <w:rFonts w:asciiTheme="minorHAnsi" w:eastAsiaTheme="minorEastAsia" w:hAnsiTheme="minorHAnsi" w:cstheme="minorBidi"/>
          <w:noProof/>
          <w:sz w:val="22"/>
          <w:szCs w:val="22"/>
          <w:lang w:val="en-AU"/>
        </w:rPr>
        <w:tab/>
      </w:r>
      <w:r>
        <w:rPr>
          <w:noProof/>
        </w:rPr>
        <w:t>Summary of peak periods</w:t>
      </w:r>
      <w:r>
        <w:rPr>
          <w:noProof/>
        </w:rPr>
        <w:tab/>
      </w:r>
      <w:r>
        <w:rPr>
          <w:noProof/>
        </w:rPr>
        <w:fldChar w:fldCharType="begin"/>
      </w:r>
      <w:r>
        <w:rPr>
          <w:noProof/>
        </w:rPr>
        <w:instrText xml:space="preserve"> PAGEREF _Toc475527430 \h </w:instrText>
      </w:r>
      <w:r>
        <w:rPr>
          <w:noProof/>
        </w:rPr>
      </w:r>
      <w:r>
        <w:rPr>
          <w:noProof/>
        </w:rPr>
        <w:fldChar w:fldCharType="separate"/>
      </w:r>
      <w:r w:rsidR="00BE0834">
        <w:rPr>
          <w:noProof/>
        </w:rPr>
        <w:t>37</w:t>
      </w:r>
      <w:r>
        <w:rPr>
          <w:noProof/>
        </w:rPr>
        <w:fldChar w:fldCharType="end"/>
      </w:r>
    </w:p>
    <w:p w:rsidR="003B28D8" w:rsidRDefault="003B28D8">
      <w:pPr>
        <w:pStyle w:val="TOC1"/>
        <w:rPr>
          <w:rFonts w:asciiTheme="minorHAnsi" w:eastAsiaTheme="minorEastAsia" w:hAnsiTheme="minorHAnsi" w:cstheme="minorBidi"/>
          <w:b w:val="0"/>
          <w:noProof/>
          <w:color w:val="auto"/>
          <w:szCs w:val="22"/>
          <w:lang w:val="en-AU"/>
        </w:rPr>
      </w:pPr>
      <w:r>
        <w:rPr>
          <w:noProof/>
        </w:rPr>
        <w:t>7</w:t>
      </w:r>
      <w:r>
        <w:rPr>
          <w:rFonts w:asciiTheme="minorHAnsi" w:eastAsiaTheme="minorEastAsia" w:hAnsiTheme="minorHAnsi" w:cstheme="minorBidi"/>
          <w:b w:val="0"/>
          <w:noProof/>
          <w:color w:val="auto"/>
          <w:szCs w:val="22"/>
          <w:lang w:val="en-AU"/>
        </w:rPr>
        <w:tab/>
      </w:r>
      <w:r>
        <w:rPr>
          <w:noProof/>
        </w:rPr>
        <w:t>Approach to Residual Cost Recovery</w:t>
      </w:r>
      <w:r>
        <w:rPr>
          <w:noProof/>
        </w:rPr>
        <w:tab/>
      </w:r>
      <w:r>
        <w:rPr>
          <w:noProof/>
        </w:rPr>
        <w:fldChar w:fldCharType="begin"/>
      </w:r>
      <w:r>
        <w:rPr>
          <w:noProof/>
        </w:rPr>
        <w:instrText xml:space="preserve"> PAGEREF _Toc475527431 \h </w:instrText>
      </w:r>
      <w:r>
        <w:rPr>
          <w:noProof/>
        </w:rPr>
      </w:r>
      <w:r>
        <w:rPr>
          <w:noProof/>
        </w:rPr>
        <w:fldChar w:fldCharType="separate"/>
      </w:r>
      <w:r w:rsidR="00BE0834">
        <w:rPr>
          <w:noProof/>
        </w:rPr>
        <w:t>39</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7.1</w:t>
      </w:r>
      <w:r>
        <w:rPr>
          <w:rFonts w:asciiTheme="minorHAnsi" w:eastAsiaTheme="minorEastAsia" w:hAnsiTheme="minorHAnsi" w:cstheme="minorBidi"/>
          <w:noProof/>
          <w:sz w:val="22"/>
          <w:szCs w:val="22"/>
          <w:lang w:val="en-AU"/>
        </w:rPr>
        <w:tab/>
      </w:r>
      <w:r>
        <w:rPr>
          <w:noProof/>
        </w:rPr>
        <w:t>Allocating residual costs to tariff classes</w:t>
      </w:r>
      <w:r>
        <w:rPr>
          <w:noProof/>
        </w:rPr>
        <w:tab/>
      </w:r>
      <w:r>
        <w:rPr>
          <w:noProof/>
        </w:rPr>
        <w:fldChar w:fldCharType="begin"/>
      </w:r>
      <w:r>
        <w:rPr>
          <w:noProof/>
        </w:rPr>
        <w:instrText xml:space="preserve"> PAGEREF _Toc475527432 \h </w:instrText>
      </w:r>
      <w:r>
        <w:rPr>
          <w:noProof/>
        </w:rPr>
      </w:r>
      <w:r>
        <w:rPr>
          <w:noProof/>
        </w:rPr>
        <w:fldChar w:fldCharType="separate"/>
      </w:r>
      <w:r w:rsidR="00BE0834">
        <w:rPr>
          <w:noProof/>
        </w:rPr>
        <w:t>40</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7.2</w:t>
      </w:r>
      <w:r>
        <w:rPr>
          <w:rFonts w:asciiTheme="minorHAnsi" w:eastAsiaTheme="minorEastAsia" w:hAnsiTheme="minorHAnsi" w:cstheme="minorBidi"/>
          <w:noProof/>
          <w:sz w:val="22"/>
          <w:szCs w:val="22"/>
          <w:lang w:val="en-AU"/>
        </w:rPr>
        <w:tab/>
      </w:r>
      <w:r>
        <w:rPr>
          <w:noProof/>
        </w:rPr>
        <w:t>Allocating residual costs to tariffs</w:t>
      </w:r>
      <w:r>
        <w:rPr>
          <w:noProof/>
        </w:rPr>
        <w:tab/>
      </w:r>
      <w:r>
        <w:rPr>
          <w:noProof/>
        </w:rPr>
        <w:fldChar w:fldCharType="begin"/>
      </w:r>
      <w:r>
        <w:rPr>
          <w:noProof/>
        </w:rPr>
        <w:instrText xml:space="preserve"> PAGEREF _Toc475527433 \h </w:instrText>
      </w:r>
      <w:r>
        <w:rPr>
          <w:noProof/>
        </w:rPr>
      </w:r>
      <w:r>
        <w:rPr>
          <w:noProof/>
        </w:rPr>
        <w:fldChar w:fldCharType="separate"/>
      </w:r>
      <w:r w:rsidR="00BE0834">
        <w:rPr>
          <w:noProof/>
        </w:rPr>
        <w:t>41</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7.3</w:t>
      </w:r>
      <w:r>
        <w:rPr>
          <w:rFonts w:asciiTheme="minorHAnsi" w:eastAsiaTheme="minorEastAsia" w:hAnsiTheme="minorHAnsi" w:cstheme="minorBidi"/>
          <w:noProof/>
          <w:sz w:val="22"/>
          <w:szCs w:val="22"/>
          <w:lang w:val="en-AU"/>
        </w:rPr>
        <w:tab/>
      </w:r>
      <w:r>
        <w:rPr>
          <w:noProof/>
        </w:rPr>
        <w:t>Allocating residual costs to charging parameters</w:t>
      </w:r>
      <w:r>
        <w:rPr>
          <w:noProof/>
        </w:rPr>
        <w:tab/>
      </w:r>
      <w:r>
        <w:rPr>
          <w:noProof/>
        </w:rPr>
        <w:fldChar w:fldCharType="begin"/>
      </w:r>
      <w:r>
        <w:rPr>
          <w:noProof/>
        </w:rPr>
        <w:instrText xml:space="preserve"> PAGEREF _Toc475527434 \h </w:instrText>
      </w:r>
      <w:r>
        <w:rPr>
          <w:noProof/>
        </w:rPr>
      </w:r>
      <w:r>
        <w:rPr>
          <w:noProof/>
        </w:rPr>
        <w:fldChar w:fldCharType="separate"/>
      </w:r>
      <w:r w:rsidR="00BE0834">
        <w:rPr>
          <w:noProof/>
        </w:rPr>
        <w:t>41</w:t>
      </w:r>
      <w:r>
        <w:rPr>
          <w:noProof/>
        </w:rPr>
        <w:fldChar w:fldCharType="end"/>
      </w:r>
    </w:p>
    <w:p w:rsidR="003B28D8" w:rsidRDefault="003B28D8">
      <w:pPr>
        <w:pStyle w:val="TOC1"/>
        <w:rPr>
          <w:rFonts w:asciiTheme="minorHAnsi" w:eastAsiaTheme="minorEastAsia" w:hAnsiTheme="minorHAnsi" w:cstheme="minorBidi"/>
          <w:b w:val="0"/>
          <w:noProof/>
          <w:color w:val="auto"/>
          <w:szCs w:val="22"/>
          <w:lang w:val="en-AU"/>
        </w:rPr>
      </w:pPr>
      <w:r>
        <w:rPr>
          <w:noProof/>
        </w:rPr>
        <w:t>8</w:t>
      </w:r>
      <w:r>
        <w:rPr>
          <w:rFonts w:asciiTheme="minorHAnsi" w:eastAsiaTheme="minorEastAsia" w:hAnsiTheme="minorHAnsi" w:cstheme="minorBidi"/>
          <w:b w:val="0"/>
          <w:noProof/>
          <w:color w:val="auto"/>
          <w:szCs w:val="22"/>
          <w:lang w:val="en-AU"/>
        </w:rPr>
        <w:tab/>
      </w:r>
      <w:r>
        <w:rPr>
          <w:noProof/>
        </w:rPr>
        <w:t>Departure from Efficient Pricing Principles</w:t>
      </w:r>
      <w:r>
        <w:rPr>
          <w:noProof/>
        </w:rPr>
        <w:tab/>
      </w:r>
      <w:r>
        <w:rPr>
          <w:noProof/>
        </w:rPr>
        <w:fldChar w:fldCharType="begin"/>
      </w:r>
      <w:r>
        <w:rPr>
          <w:noProof/>
        </w:rPr>
        <w:instrText xml:space="preserve"> PAGEREF _Toc475527435 \h </w:instrText>
      </w:r>
      <w:r>
        <w:rPr>
          <w:noProof/>
        </w:rPr>
      </w:r>
      <w:r>
        <w:rPr>
          <w:noProof/>
        </w:rPr>
        <w:fldChar w:fldCharType="separate"/>
      </w:r>
      <w:r w:rsidR="00BE0834">
        <w:rPr>
          <w:noProof/>
        </w:rPr>
        <w:t>43</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8.1</w:t>
      </w:r>
      <w:r>
        <w:rPr>
          <w:rFonts w:asciiTheme="minorHAnsi" w:eastAsiaTheme="minorEastAsia" w:hAnsiTheme="minorHAnsi" w:cstheme="minorBidi"/>
          <w:noProof/>
          <w:sz w:val="22"/>
          <w:szCs w:val="22"/>
          <w:lang w:val="en-AU"/>
        </w:rPr>
        <w:tab/>
      </w:r>
      <w:r>
        <w:rPr>
          <w:noProof/>
        </w:rPr>
        <w:t>The strictly ‘efficient’ tariff</w:t>
      </w:r>
      <w:r>
        <w:rPr>
          <w:noProof/>
        </w:rPr>
        <w:tab/>
      </w:r>
      <w:r>
        <w:rPr>
          <w:noProof/>
        </w:rPr>
        <w:fldChar w:fldCharType="begin"/>
      </w:r>
      <w:r>
        <w:rPr>
          <w:noProof/>
        </w:rPr>
        <w:instrText xml:space="preserve"> PAGEREF _Toc475527436 \h </w:instrText>
      </w:r>
      <w:r>
        <w:rPr>
          <w:noProof/>
        </w:rPr>
      </w:r>
      <w:r>
        <w:rPr>
          <w:noProof/>
        </w:rPr>
        <w:fldChar w:fldCharType="separate"/>
      </w:r>
      <w:r w:rsidR="00BE0834">
        <w:rPr>
          <w:noProof/>
        </w:rPr>
        <w:t>43</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8.2</w:t>
      </w:r>
      <w:r>
        <w:rPr>
          <w:rFonts w:asciiTheme="minorHAnsi" w:eastAsiaTheme="minorEastAsia" w:hAnsiTheme="minorHAnsi" w:cstheme="minorBidi"/>
          <w:noProof/>
          <w:sz w:val="22"/>
          <w:szCs w:val="22"/>
          <w:lang w:val="en-AU"/>
        </w:rPr>
        <w:tab/>
      </w:r>
      <w:r>
        <w:rPr>
          <w:noProof/>
        </w:rPr>
        <w:t>Ausgrid’s transition to efficient tariffs</w:t>
      </w:r>
      <w:r>
        <w:rPr>
          <w:noProof/>
        </w:rPr>
        <w:tab/>
      </w:r>
      <w:r>
        <w:rPr>
          <w:noProof/>
        </w:rPr>
        <w:fldChar w:fldCharType="begin"/>
      </w:r>
      <w:r>
        <w:rPr>
          <w:noProof/>
        </w:rPr>
        <w:instrText xml:space="preserve"> PAGEREF _Toc475527437 \h </w:instrText>
      </w:r>
      <w:r>
        <w:rPr>
          <w:noProof/>
        </w:rPr>
      </w:r>
      <w:r>
        <w:rPr>
          <w:noProof/>
        </w:rPr>
        <w:fldChar w:fldCharType="separate"/>
      </w:r>
      <w:r w:rsidR="00BE0834">
        <w:rPr>
          <w:noProof/>
        </w:rPr>
        <w:t>44</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8.3</w:t>
      </w:r>
      <w:r>
        <w:rPr>
          <w:rFonts w:asciiTheme="minorHAnsi" w:eastAsiaTheme="minorEastAsia" w:hAnsiTheme="minorHAnsi" w:cstheme="minorBidi"/>
          <w:noProof/>
          <w:sz w:val="22"/>
          <w:szCs w:val="22"/>
          <w:lang w:val="en-AU"/>
        </w:rPr>
        <w:tab/>
      </w:r>
      <w:r>
        <w:rPr>
          <w:noProof/>
        </w:rPr>
        <w:t>Key reforms proposed by Ausgrid</w:t>
      </w:r>
      <w:r>
        <w:rPr>
          <w:noProof/>
        </w:rPr>
        <w:tab/>
      </w:r>
      <w:r>
        <w:rPr>
          <w:noProof/>
        </w:rPr>
        <w:fldChar w:fldCharType="begin"/>
      </w:r>
      <w:r>
        <w:rPr>
          <w:noProof/>
        </w:rPr>
        <w:instrText xml:space="preserve"> PAGEREF _Toc475527438 \h </w:instrText>
      </w:r>
      <w:r>
        <w:rPr>
          <w:noProof/>
        </w:rPr>
      </w:r>
      <w:r>
        <w:rPr>
          <w:noProof/>
        </w:rPr>
        <w:fldChar w:fldCharType="separate"/>
      </w:r>
      <w:r w:rsidR="00BE0834">
        <w:rPr>
          <w:noProof/>
        </w:rPr>
        <w:t>46</w:t>
      </w:r>
      <w:r>
        <w:rPr>
          <w:noProof/>
        </w:rPr>
        <w:fldChar w:fldCharType="end"/>
      </w:r>
    </w:p>
    <w:p w:rsidR="003B28D8" w:rsidRDefault="003B28D8">
      <w:pPr>
        <w:pStyle w:val="TOC1"/>
        <w:rPr>
          <w:rFonts w:asciiTheme="minorHAnsi" w:eastAsiaTheme="minorEastAsia" w:hAnsiTheme="minorHAnsi" w:cstheme="minorBidi"/>
          <w:b w:val="0"/>
          <w:noProof/>
          <w:color w:val="auto"/>
          <w:szCs w:val="22"/>
          <w:lang w:val="en-AU"/>
        </w:rPr>
      </w:pPr>
      <w:r>
        <w:rPr>
          <w:noProof/>
        </w:rPr>
        <w:t>9</w:t>
      </w:r>
      <w:r>
        <w:rPr>
          <w:rFonts w:asciiTheme="minorHAnsi" w:eastAsiaTheme="minorEastAsia" w:hAnsiTheme="minorHAnsi" w:cstheme="minorBidi"/>
          <w:b w:val="0"/>
          <w:noProof/>
          <w:color w:val="auto"/>
          <w:szCs w:val="22"/>
          <w:lang w:val="en-AU"/>
        </w:rPr>
        <w:tab/>
      </w:r>
      <w:r>
        <w:rPr>
          <w:noProof/>
        </w:rPr>
        <w:t>Indicative Prices</w:t>
      </w:r>
      <w:r>
        <w:rPr>
          <w:noProof/>
        </w:rPr>
        <w:tab/>
      </w:r>
      <w:r>
        <w:rPr>
          <w:noProof/>
        </w:rPr>
        <w:fldChar w:fldCharType="begin"/>
      </w:r>
      <w:r>
        <w:rPr>
          <w:noProof/>
        </w:rPr>
        <w:instrText xml:space="preserve"> PAGEREF _Toc475527439 \h </w:instrText>
      </w:r>
      <w:r>
        <w:rPr>
          <w:noProof/>
        </w:rPr>
      </w:r>
      <w:r>
        <w:rPr>
          <w:noProof/>
        </w:rPr>
        <w:fldChar w:fldCharType="separate"/>
      </w:r>
      <w:r w:rsidR="00BE0834">
        <w:rPr>
          <w:noProof/>
        </w:rPr>
        <w:t>55</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9.1</w:t>
      </w:r>
      <w:r>
        <w:rPr>
          <w:rFonts w:asciiTheme="minorHAnsi" w:eastAsiaTheme="minorEastAsia" w:hAnsiTheme="minorHAnsi" w:cstheme="minorBidi"/>
          <w:noProof/>
          <w:sz w:val="22"/>
          <w:szCs w:val="22"/>
          <w:lang w:val="en-AU"/>
        </w:rPr>
        <w:tab/>
      </w:r>
      <w:r>
        <w:rPr>
          <w:noProof/>
        </w:rPr>
        <w:t>Our approach to developing indicative prices</w:t>
      </w:r>
      <w:r>
        <w:rPr>
          <w:noProof/>
        </w:rPr>
        <w:tab/>
      </w:r>
      <w:r>
        <w:rPr>
          <w:noProof/>
        </w:rPr>
        <w:fldChar w:fldCharType="begin"/>
      </w:r>
      <w:r>
        <w:rPr>
          <w:noProof/>
        </w:rPr>
        <w:instrText xml:space="preserve"> PAGEREF _Toc475527440 \h </w:instrText>
      </w:r>
      <w:r>
        <w:rPr>
          <w:noProof/>
        </w:rPr>
      </w:r>
      <w:r>
        <w:rPr>
          <w:noProof/>
        </w:rPr>
        <w:fldChar w:fldCharType="separate"/>
      </w:r>
      <w:r w:rsidR="00BE0834">
        <w:rPr>
          <w:noProof/>
        </w:rPr>
        <w:t>55</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9.2</w:t>
      </w:r>
      <w:r>
        <w:rPr>
          <w:rFonts w:asciiTheme="minorHAnsi" w:eastAsiaTheme="minorEastAsia" w:hAnsiTheme="minorHAnsi" w:cstheme="minorBidi"/>
          <w:noProof/>
          <w:sz w:val="22"/>
          <w:szCs w:val="22"/>
          <w:lang w:val="en-AU"/>
        </w:rPr>
        <w:tab/>
      </w:r>
      <w:r>
        <w:rPr>
          <w:noProof/>
        </w:rPr>
        <w:t>How to interpret indicative prices and customer bill impacts</w:t>
      </w:r>
      <w:r>
        <w:rPr>
          <w:noProof/>
        </w:rPr>
        <w:tab/>
      </w:r>
      <w:r>
        <w:rPr>
          <w:noProof/>
        </w:rPr>
        <w:fldChar w:fldCharType="begin"/>
      </w:r>
      <w:r>
        <w:rPr>
          <w:noProof/>
        </w:rPr>
        <w:instrText xml:space="preserve"> PAGEREF _Toc475527441 \h </w:instrText>
      </w:r>
      <w:r>
        <w:rPr>
          <w:noProof/>
        </w:rPr>
      </w:r>
      <w:r>
        <w:rPr>
          <w:noProof/>
        </w:rPr>
        <w:fldChar w:fldCharType="separate"/>
      </w:r>
      <w:r w:rsidR="00BE0834">
        <w:rPr>
          <w:noProof/>
        </w:rPr>
        <w:t>55</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9.3</w:t>
      </w:r>
      <w:r>
        <w:rPr>
          <w:rFonts w:asciiTheme="minorHAnsi" w:eastAsiaTheme="minorEastAsia" w:hAnsiTheme="minorHAnsi" w:cstheme="minorBidi"/>
          <w:noProof/>
          <w:sz w:val="22"/>
          <w:szCs w:val="22"/>
          <w:lang w:val="en-AU"/>
        </w:rPr>
        <w:tab/>
      </w:r>
      <w:r>
        <w:rPr>
          <w:noProof/>
        </w:rPr>
        <w:t>Indicative prices for residential and small business customers</w:t>
      </w:r>
      <w:r>
        <w:rPr>
          <w:noProof/>
        </w:rPr>
        <w:tab/>
      </w:r>
      <w:r>
        <w:rPr>
          <w:noProof/>
        </w:rPr>
        <w:fldChar w:fldCharType="begin"/>
      </w:r>
      <w:r>
        <w:rPr>
          <w:noProof/>
        </w:rPr>
        <w:instrText xml:space="preserve"> PAGEREF _Toc475527442 \h </w:instrText>
      </w:r>
      <w:r>
        <w:rPr>
          <w:noProof/>
        </w:rPr>
      </w:r>
      <w:r>
        <w:rPr>
          <w:noProof/>
        </w:rPr>
        <w:fldChar w:fldCharType="separate"/>
      </w:r>
      <w:r w:rsidR="00BE0834">
        <w:rPr>
          <w:noProof/>
        </w:rPr>
        <w:t>56</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9.4</w:t>
      </w:r>
      <w:r>
        <w:rPr>
          <w:rFonts w:asciiTheme="minorHAnsi" w:eastAsiaTheme="minorEastAsia" w:hAnsiTheme="minorHAnsi" w:cstheme="minorBidi"/>
          <w:noProof/>
          <w:sz w:val="22"/>
          <w:szCs w:val="22"/>
          <w:lang w:val="en-AU"/>
        </w:rPr>
        <w:tab/>
      </w:r>
      <w:r>
        <w:rPr>
          <w:noProof/>
        </w:rPr>
        <w:t>Indicative prices for low voltage TOU Capacity tariffs</w:t>
      </w:r>
      <w:r>
        <w:rPr>
          <w:noProof/>
        </w:rPr>
        <w:tab/>
      </w:r>
      <w:r>
        <w:rPr>
          <w:noProof/>
        </w:rPr>
        <w:fldChar w:fldCharType="begin"/>
      </w:r>
      <w:r>
        <w:rPr>
          <w:noProof/>
        </w:rPr>
        <w:instrText xml:space="preserve"> PAGEREF _Toc475527443 \h </w:instrText>
      </w:r>
      <w:r>
        <w:rPr>
          <w:noProof/>
        </w:rPr>
      </w:r>
      <w:r>
        <w:rPr>
          <w:noProof/>
        </w:rPr>
        <w:fldChar w:fldCharType="separate"/>
      </w:r>
      <w:r w:rsidR="00BE0834">
        <w:rPr>
          <w:noProof/>
        </w:rPr>
        <w:t>58</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9.5</w:t>
      </w:r>
      <w:r>
        <w:rPr>
          <w:rFonts w:asciiTheme="minorHAnsi" w:eastAsiaTheme="minorEastAsia" w:hAnsiTheme="minorHAnsi" w:cstheme="minorBidi"/>
          <w:noProof/>
          <w:sz w:val="22"/>
          <w:szCs w:val="22"/>
          <w:lang w:val="en-AU"/>
        </w:rPr>
        <w:tab/>
      </w:r>
      <w:r>
        <w:rPr>
          <w:noProof/>
        </w:rPr>
        <w:t>Indicative prices for High and Sub-transmision Voltage TOU Capacity Tariffs (published only), and the new transmission-connected tariff</w:t>
      </w:r>
      <w:r>
        <w:rPr>
          <w:noProof/>
        </w:rPr>
        <w:tab/>
      </w:r>
      <w:r>
        <w:rPr>
          <w:noProof/>
        </w:rPr>
        <w:fldChar w:fldCharType="begin"/>
      </w:r>
      <w:r>
        <w:rPr>
          <w:noProof/>
        </w:rPr>
        <w:instrText xml:space="preserve"> PAGEREF _Toc475527444 \h </w:instrText>
      </w:r>
      <w:r>
        <w:rPr>
          <w:noProof/>
        </w:rPr>
      </w:r>
      <w:r>
        <w:rPr>
          <w:noProof/>
        </w:rPr>
        <w:fldChar w:fldCharType="separate"/>
      </w:r>
      <w:r w:rsidR="00BE0834">
        <w:rPr>
          <w:noProof/>
        </w:rPr>
        <w:t>59</w:t>
      </w:r>
      <w:r>
        <w:rPr>
          <w:noProof/>
        </w:rPr>
        <w:fldChar w:fldCharType="end"/>
      </w:r>
    </w:p>
    <w:p w:rsidR="003B28D8" w:rsidRDefault="003B28D8">
      <w:pPr>
        <w:pStyle w:val="TOC1"/>
        <w:rPr>
          <w:rFonts w:asciiTheme="minorHAnsi" w:eastAsiaTheme="minorEastAsia" w:hAnsiTheme="minorHAnsi" w:cstheme="minorBidi"/>
          <w:b w:val="0"/>
          <w:noProof/>
          <w:color w:val="auto"/>
          <w:szCs w:val="22"/>
          <w:lang w:val="en-AU"/>
        </w:rPr>
      </w:pPr>
      <w:r>
        <w:rPr>
          <w:noProof/>
        </w:rPr>
        <w:t>10</w:t>
      </w:r>
      <w:r>
        <w:rPr>
          <w:rFonts w:asciiTheme="minorHAnsi" w:eastAsiaTheme="minorEastAsia" w:hAnsiTheme="minorHAnsi" w:cstheme="minorBidi"/>
          <w:b w:val="0"/>
          <w:noProof/>
          <w:color w:val="auto"/>
          <w:szCs w:val="22"/>
          <w:lang w:val="en-AU"/>
        </w:rPr>
        <w:tab/>
      </w:r>
      <w:r>
        <w:rPr>
          <w:noProof/>
        </w:rPr>
        <w:t>Customer Impacts Analysis</w:t>
      </w:r>
      <w:r>
        <w:rPr>
          <w:noProof/>
        </w:rPr>
        <w:tab/>
      </w:r>
      <w:r>
        <w:rPr>
          <w:noProof/>
        </w:rPr>
        <w:fldChar w:fldCharType="begin"/>
      </w:r>
      <w:r>
        <w:rPr>
          <w:noProof/>
        </w:rPr>
        <w:instrText xml:space="preserve"> PAGEREF _Toc475527445 \h </w:instrText>
      </w:r>
      <w:r>
        <w:rPr>
          <w:noProof/>
        </w:rPr>
      </w:r>
      <w:r>
        <w:rPr>
          <w:noProof/>
        </w:rPr>
        <w:fldChar w:fldCharType="separate"/>
      </w:r>
      <w:r w:rsidR="00BE0834">
        <w:rPr>
          <w:noProof/>
        </w:rPr>
        <w:t>60</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10.1</w:t>
      </w:r>
      <w:r>
        <w:rPr>
          <w:rFonts w:asciiTheme="minorHAnsi" w:eastAsiaTheme="minorEastAsia" w:hAnsiTheme="minorHAnsi" w:cstheme="minorBidi"/>
          <w:noProof/>
          <w:sz w:val="22"/>
          <w:szCs w:val="22"/>
          <w:lang w:val="en-AU"/>
        </w:rPr>
        <w:tab/>
      </w:r>
      <w:r>
        <w:rPr>
          <w:noProof/>
        </w:rPr>
        <w:t>Residential Customers</w:t>
      </w:r>
      <w:r>
        <w:rPr>
          <w:noProof/>
        </w:rPr>
        <w:tab/>
      </w:r>
      <w:r>
        <w:rPr>
          <w:noProof/>
        </w:rPr>
        <w:fldChar w:fldCharType="begin"/>
      </w:r>
      <w:r>
        <w:rPr>
          <w:noProof/>
        </w:rPr>
        <w:instrText xml:space="preserve"> PAGEREF _Toc475527446 \h </w:instrText>
      </w:r>
      <w:r>
        <w:rPr>
          <w:noProof/>
        </w:rPr>
      </w:r>
      <w:r>
        <w:rPr>
          <w:noProof/>
        </w:rPr>
        <w:fldChar w:fldCharType="separate"/>
      </w:r>
      <w:r w:rsidR="00BE0834">
        <w:rPr>
          <w:noProof/>
        </w:rPr>
        <w:t>60</w:t>
      </w:r>
      <w:r>
        <w:rPr>
          <w:noProof/>
        </w:rPr>
        <w:fldChar w:fldCharType="end"/>
      </w:r>
    </w:p>
    <w:p w:rsidR="003B28D8" w:rsidRDefault="003B28D8">
      <w:pPr>
        <w:pStyle w:val="TOC2"/>
        <w:rPr>
          <w:rFonts w:asciiTheme="minorHAnsi" w:eastAsiaTheme="minorEastAsia" w:hAnsiTheme="minorHAnsi" w:cstheme="minorBidi"/>
          <w:noProof/>
          <w:sz w:val="22"/>
          <w:szCs w:val="22"/>
          <w:lang w:val="en-AU"/>
        </w:rPr>
      </w:pPr>
      <w:r>
        <w:rPr>
          <w:noProof/>
        </w:rPr>
        <w:t>10.2</w:t>
      </w:r>
      <w:r>
        <w:rPr>
          <w:rFonts w:asciiTheme="minorHAnsi" w:eastAsiaTheme="minorEastAsia" w:hAnsiTheme="minorHAnsi" w:cstheme="minorBidi"/>
          <w:noProof/>
          <w:sz w:val="22"/>
          <w:szCs w:val="22"/>
          <w:lang w:val="en-AU"/>
        </w:rPr>
        <w:tab/>
      </w:r>
      <w:r>
        <w:rPr>
          <w:noProof/>
        </w:rPr>
        <w:t>Business Customers</w:t>
      </w:r>
      <w:r>
        <w:rPr>
          <w:noProof/>
        </w:rPr>
        <w:tab/>
      </w:r>
      <w:r>
        <w:rPr>
          <w:noProof/>
        </w:rPr>
        <w:fldChar w:fldCharType="begin"/>
      </w:r>
      <w:r>
        <w:rPr>
          <w:noProof/>
        </w:rPr>
        <w:instrText xml:space="preserve"> PAGEREF _Toc475527447 \h </w:instrText>
      </w:r>
      <w:r>
        <w:rPr>
          <w:noProof/>
        </w:rPr>
      </w:r>
      <w:r>
        <w:rPr>
          <w:noProof/>
        </w:rPr>
        <w:fldChar w:fldCharType="separate"/>
      </w:r>
      <w:r w:rsidR="00BE0834">
        <w:rPr>
          <w:noProof/>
        </w:rPr>
        <w:t>62</w:t>
      </w:r>
      <w:r>
        <w:rPr>
          <w:noProof/>
        </w:rPr>
        <w:fldChar w:fldCharType="end"/>
      </w:r>
    </w:p>
    <w:p w:rsidR="0024227E" w:rsidRDefault="00E874A3" w:rsidP="00BD7A0B">
      <w:pPr>
        <w:pStyle w:val="BodyText"/>
        <w:rPr>
          <w:rFonts w:asciiTheme="minorHAnsi" w:eastAsiaTheme="minorEastAsia" w:hAnsiTheme="minorHAnsi" w:cstheme="minorBidi"/>
          <w:szCs w:val="22"/>
        </w:rPr>
      </w:pPr>
      <w:r w:rsidRPr="000D6076">
        <w:rPr>
          <w:highlight w:val="yellow"/>
        </w:rPr>
        <w:fldChar w:fldCharType="end"/>
      </w:r>
    </w:p>
    <w:p w:rsidR="0024227E" w:rsidRDefault="0024227E" w:rsidP="007D0321">
      <w:pPr>
        <w:pStyle w:val="BodyText"/>
      </w:pPr>
    </w:p>
    <w:p w:rsidR="00A36721" w:rsidRPr="00B50A16" w:rsidRDefault="00A36721" w:rsidP="00722C30">
      <w:pPr>
        <w:pStyle w:val="Heading1"/>
      </w:pPr>
      <w:bookmarkStart w:id="3" w:name="_Toc475527402"/>
      <w:bookmarkEnd w:id="1"/>
      <w:bookmarkEnd w:id="2"/>
      <w:r w:rsidRPr="00B50A16">
        <w:lastRenderedPageBreak/>
        <w:t>Executive Summary</w:t>
      </w:r>
      <w:bookmarkEnd w:id="3"/>
    </w:p>
    <w:p w:rsidR="007D4442" w:rsidRPr="00722C30" w:rsidRDefault="00247423" w:rsidP="00BD7A0B">
      <w:pPr>
        <w:pStyle w:val="BodyText"/>
        <w:rPr>
          <w:rStyle w:val="AERbody"/>
          <w:lang w:val="en-US"/>
        </w:rPr>
      </w:pPr>
      <w:r w:rsidRPr="00722C30">
        <w:rPr>
          <w:rStyle w:val="AERbody"/>
          <w:lang w:val="en-US"/>
        </w:rPr>
        <w:t xml:space="preserve">Ausgrid is pleased to submit our </w:t>
      </w:r>
      <w:r w:rsidR="00490BE4" w:rsidRPr="00722C30">
        <w:rPr>
          <w:rStyle w:val="AERbody"/>
          <w:lang w:val="en-US"/>
        </w:rPr>
        <w:t xml:space="preserve">revised </w:t>
      </w:r>
      <w:r w:rsidRPr="00722C30">
        <w:rPr>
          <w:rStyle w:val="AERbody"/>
          <w:lang w:val="en-US"/>
        </w:rPr>
        <w:t>Tariff Structure Statement (TSS)</w:t>
      </w:r>
      <w:r w:rsidR="007D4442" w:rsidRPr="00722C30">
        <w:rPr>
          <w:rStyle w:val="AERbody"/>
          <w:lang w:val="en-US"/>
        </w:rPr>
        <w:t xml:space="preserve">, which </w:t>
      </w:r>
      <w:r w:rsidR="007B4C10" w:rsidRPr="00722C30">
        <w:rPr>
          <w:rStyle w:val="AERbody"/>
          <w:lang w:val="en-US"/>
        </w:rPr>
        <w:t>describes</w:t>
      </w:r>
      <w:r w:rsidRPr="00722C30">
        <w:rPr>
          <w:rStyle w:val="AERbody"/>
          <w:lang w:val="en-US"/>
        </w:rPr>
        <w:t xml:space="preserve"> our approach </w:t>
      </w:r>
      <w:r w:rsidR="007B4C10" w:rsidRPr="00722C30">
        <w:rPr>
          <w:rStyle w:val="AERbody"/>
          <w:lang w:val="en-US"/>
        </w:rPr>
        <w:t xml:space="preserve">to </w:t>
      </w:r>
      <w:r w:rsidRPr="00722C30">
        <w:rPr>
          <w:rStyle w:val="AERbody"/>
          <w:lang w:val="en-US"/>
        </w:rPr>
        <w:t>setting tariffs</w:t>
      </w:r>
      <w:r w:rsidR="007B4C10" w:rsidRPr="00722C30">
        <w:rPr>
          <w:rStyle w:val="AERbody"/>
          <w:lang w:val="en-US"/>
        </w:rPr>
        <w:t xml:space="preserve"> along with our proposed tariff structures and indicative prices for the </w:t>
      </w:r>
      <w:r w:rsidRPr="00722C30">
        <w:rPr>
          <w:rStyle w:val="AERbody"/>
          <w:lang w:val="en-US"/>
        </w:rPr>
        <w:t>1 July 2017 to 30 June 2019</w:t>
      </w:r>
      <w:r w:rsidR="007B4C10" w:rsidRPr="00722C30">
        <w:rPr>
          <w:rStyle w:val="AERbody"/>
          <w:lang w:val="en-US"/>
        </w:rPr>
        <w:t xml:space="preserve"> period</w:t>
      </w:r>
      <w:r w:rsidRPr="00722C30">
        <w:rPr>
          <w:rStyle w:val="AERbody"/>
          <w:lang w:val="en-US"/>
        </w:rPr>
        <w:t xml:space="preserve">. </w:t>
      </w:r>
    </w:p>
    <w:p w:rsidR="0031623F" w:rsidRPr="00722C30" w:rsidRDefault="0031623F" w:rsidP="007D0321">
      <w:pPr>
        <w:pStyle w:val="BodyText"/>
        <w:rPr>
          <w:rStyle w:val="AERbody"/>
          <w:lang w:val="en-US"/>
        </w:rPr>
      </w:pPr>
      <w:r w:rsidRPr="00722C30">
        <w:rPr>
          <w:rStyle w:val="AERbody"/>
          <w:lang w:val="en-US"/>
        </w:rPr>
        <w:t>The National Electricity Rules (NER</w:t>
      </w:r>
      <w:r w:rsidR="00DF694F">
        <w:rPr>
          <w:rStyle w:val="AERbody"/>
          <w:lang w:val="en-US"/>
        </w:rPr>
        <w:t>)</w:t>
      </w:r>
      <w:r w:rsidRPr="00722C30">
        <w:rPr>
          <w:rStyle w:val="AERbody"/>
          <w:lang w:val="en-US"/>
        </w:rPr>
        <w:t xml:space="preserve"> require Ausgrid to transition towards more efficient, cost reflective tariffs, where the nature and speed of this shift is guided by the corresponding impacts on our customers. Therefore, Ausgrid proposes tariff reforms directed at striking an appropriate balance between: </w:t>
      </w:r>
    </w:p>
    <w:p w:rsidR="0031623F" w:rsidRPr="0075101A" w:rsidRDefault="0031623F" w:rsidP="00722C30">
      <w:pPr>
        <w:pStyle w:val="Bulletedtext"/>
      </w:pPr>
      <w:r>
        <w:t>i</w:t>
      </w:r>
      <w:r w:rsidRPr="0075101A">
        <w:t>mproving the efficiency of our tariffs</w:t>
      </w:r>
      <w:r>
        <w:t xml:space="preserve"> for the long term interests of customers</w:t>
      </w:r>
      <w:r w:rsidRPr="0075101A">
        <w:t>; and</w:t>
      </w:r>
    </w:p>
    <w:p w:rsidR="0031623F" w:rsidRDefault="0031623F" w:rsidP="00722C30">
      <w:pPr>
        <w:pStyle w:val="Bulletedtext"/>
      </w:pPr>
      <w:proofErr w:type="gramStart"/>
      <w:r>
        <w:t>a</w:t>
      </w:r>
      <w:r w:rsidRPr="0075101A">
        <w:t>voiding</w:t>
      </w:r>
      <w:proofErr w:type="gramEnd"/>
      <w:r w:rsidRPr="0075101A">
        <w:t xml:space="preserve"> unacceptable</w:t>
      </w:r>
      <w:r>
        <w:t xml:space="preserve"> customer bill impacts from year-to-year.</w:t>
      </w:r>
    </w:p>
    <w:p w:rsidR="0031623F" w:rsidRPr="00722C30" w:rsidRDefault="0031623F" w:rsidP="00BD7A0B">
      <w:pPr>
        <w:pStyle w:val="BodyText"/>
        <w:rPr>
          <w:rStyle w:val="AERbody"/>
        </w:rPr>
      </w:pPr>
      <w:r w:rsidRPr="00722C30">
        <w:rPr>
          <w:rStyle w:val="AERbody"/>
        </w:rPr>
        <w:t>Importantly, tariffs that better reflect underlying cost drivers promote economic efficiency by encouraging our customers to make efficient consumption decisions that can reduce both their energy bill and the cost of providing the electricity network service they demand. Importantly, the regulatory framework governing the services we provide ensures that improvements in efficiency (cost savings) are ultimately passed on to customers through lower prices. It follows that tariff reform has the potential to provide significant and long-lasting benefits to our customers.</w:t>
      </w:r>
    </w:p>
    <w:p w:rsidR="009024A6" w:rsidRPr="00722C30" w:rsidRDefault="009024A6" w:rsidP="007D0321">
      <w:pPr>
        <w:pStyle w:val="BodyText"/>
        <w:rPr>
          <w:rStyle w:val="AERbody"/>
        </w:rPr>
      </w:pPr>
      <w:r w:rsidRPr="00722C30">
        <w:rPr>
          <w:rStyle w:val="AERbody"/>
        </w:rPr>
        <w:t>The appendi</w:t>
      </w:r>
      <w:r w:rsidR="00B347AF">
        <w:rPr>
          <w:rStyle w:val="AERbody"/>
        </w:rPr>
        <w:t>ces</w:t>
      </w:r>
      <w:r w:rsidRPr="00722C30">
        <w:rPr>
          <w:rStyle w:val="AERbody"/>
        </w:rPr>
        <w:t xml:space="preserve"> to this document constitutes an important element of our TSS and include more detail on the matters discussed in this document</w:t>
      </w:r>
      <w:r w:rsidR="00B17C8B">
        <w:rPr>
          <w:rStyle w:val="AERbody"/>
        </w:rPr>
        <w:t>,</w:t>
      </w:r>
      <w:r w:rsidRPr="00722C30">
        <w:rPr>
          <w:rStyle w:val="AERbody"/>
        </w:rPr>
        <w:t xml:space="preserve"> along with further information required by the NER</w:t>
      </w:r>
      <w:r w:rsidR="00696664" w:rsidRPr="00722C30">
        <w:rPr>
          <w:rStyle w:val="AERbody"/>
        </w:rPr>
        <w:t xml:space="preserve"> or requested by the </w:t>
      </w:r>
      <w:r w:rsidR="00DF694F">
        <w:rPr>
          <w:rStyle w:val="AERbody"/>
        </w:rPr>
        <w:t>Australian Energy Regulator (</w:t>
      </w:r>
      <w:r w:rsidR="00696664" w:rsidRPr="00722C30">
        <w:rPr>
          <w:rStyle w:val="AERbody"/>
        </w:rPr>
        <w:t>AER</w:t>
      </w:r>
      <w:r w:rsidR="00DF694F">
        <w:rPr>
          <w:rStyle w:val="AERbody"/>
        </w:rPr>
        <w:t>)</w:t>
      </w:r>
      <w:r w:rsidRPr="00722C30">
        <w:rPr>
          <w:rStyle w:val="AERbody"/>
        </w:rPr>
        <w:t>.</w:t>
      </w:r>
    </w:p>
    <w:p w:rsidR="007B4C10" w:rsidRPr="00B50A16" w:rsidRDefault="00D55B9A" w:rsidP="00722C30">
      <w:pPr>
        <w:pStyle w:val="Heading2"/>
      </w:pPr>
      <w:bookmarkStart w:id="4" w:name="_Toc462126844"/>
      <w:bookmarkStart w:id="5" w:name="_Toc462129004"/>
      <w:bookmarkStart w:id="6" w:name="_Toc462126845"/>
      <w:bookmarkStart w:id="7" w:name="_Toc462129005"/>
      <w:bookmarkStart w:id="8" w:name="_Toc462126846"/>
      <w:bookmarkStart w:id="9" w:name="_Toc462129006"/>
      <w:bookmarkStart w:id="10" w:name="_Toc462126847"/>
      <w:bookmarkStart w:id="11" w:name="_Toc462129007"/>
      <w:bookmarkStart w:id="12" w:name="_Toc475527403"/>
      <w:bookmarkEnd w:id="4"/>
      <w:bookmarkEnd w:id="5"/>
      <w:bookmarkEnd w:id="6"/>
      <w:bookmarkEnd w:id="7"/>
      <w:bookmarkEnd w:id="8"/>
      <w:bookmarkEnd w:id="9"/>
      <w:bookmarkEnd w:id="10"/>
      <w:bookmarkEnd w:id="11"/>
      <w:r w:rsidRPr="00B55EF3">
        <w:t>Stakeholder</w:t>
      </w:r>
      <w:r w:rsidR="007B4C10" w:rsidRPr="00B50A16">
        <w:t xml:space="preserve"> Engagement</w:t>
      </w:r>
      <w:bookmarkEnd w:id="12"/>
    </w:p>
    <w:p w:rsidR="007B4C10" w:rsidRPr="00722C30" w:rsidRDefault="007D4442" w:rsidP="00BD7A0B">
      <w:pPr>
        <w:pStyle w:val="BodyText"/>
        <w:rPr>
          <w:rStyle w:val="AERbody"/>
          <w:lang w:val="en-US"/>
        </w:rPr>
      </w:pPr>
      <w:r w:rsidRPr="00722C30">
        <w:rPr>
          <w:rStyle w:val="AERbody"/>
          <w:lang w:val="en-US"/>
        </w:rPr>
        <w:t>Since tariff reform has the potential to affect all of our customers, Ausgrid consulted extensively with our stakeholders throughout the process of developing this TSS.</w:t>
      </w:r>
    </w:p>
    <w:p w:rsidR="00021F72" w:rsidRPr="00722C30" w:rsidRDefault="00D55B9A" w:rsidP="007D0321">
      <w:pPr>
        <w:pStyle w:val="BodyText"/>
        <w:rPr>
          <w:rStyle w:val="AERbody"/>
          <w:lang w:val="en-US"/>
        </w:rPr>
      </w:pPr>
      <w:r w:rsidRPr="00722C30">
        <w:rPr>
          <w:rStyle w:val="AERbody"/>
          <w:lang w:val="en-US"/>
        </w:rPr>
        <w:t xml:space="preserve">Ausgrid commenced engaging with stakeholder in 2013/14 and continued to work closely with stakeholders up until the </w:t>
      </w:r>
      <w:r w:rsidR="00D932FD" w:rsidRPr="00722C30">
        <w:rPr>
          <w:rStyle w:val="AERbody"/>
          <w:lang w:val="en-US"/>
        </w:rPr>
        <w:t>submission</w:t>
      </w:r>
      <w:r w:rsidRPr="00722C30">
        <w:rPr>
          <w:rStyle w:val="AERbody"/>
          <w:lang w:val="en-US"/>
        </w:rPr>
        <w:t xml:space="preserve"> of this revised TSS. </w:t>
      </w:r>
      <w:r w:rsidR="00021F72" w:rsidRPr="00722C30">
        <w:rPr>
          <w:rStyle w:val="AERbody"/>
          <w:lang w:val="en-US"/>
        </w:rPr>
        <w:t xml:space="preserve">This included the release of an issues paper for comment, providing feedback to stakeholders, one-on-one interviews with stakeholders, an on-line portal for comments, social media dialogue and feedback as well as multiple </w:t>
      </w:r>
      <w:r w:rsidRPr="00722C30">
        <w:rPr>
          <w:rStyle w:val="AERbody"/>
          <w:lang w:val="en-US"/>
        </w:rPr>
        <w:t>presentations</w:t>
      </w:r>
      <w:r w:rsidR="00021F72" w:rsidRPr="00722C30">
        <w:rPr>
          <w:rStyle w:val="AERbody"/>
          <w:lang w:val="en-US"/>
        </w:rPr>
        <w:t xml:space="preserve"> and workshops.</w:t>
      </w:r>
    </w:p>
    <w:p w:rsidR="000D15C6" w:rsidRPr="00722C30" w:rsidRDefault="002A7B32" w:rsidP="007D0321">
      <w:pPr>
        <w:pStyle w:val="BodyText"/>
        <w:rPr>
          <w:rStyle w:val="AERbody"/>
          <w:lang w:val="en-US"/>
        </w:rPr>
      </w:pPr>
      <w:r w:rsidRPr="00722C30">
        <w:rPr>
          <w:rStyle w:val="AERbody"/>
          <w:lang w:val="en-US"/>
        </w:rPr>
        <w:t>In the week after the AER’s draft decision, Ausgrid held a briefing session for stakeholder</w:t>
      </w:r>
      <w:r w:rsidR="00295DB7" w:rsidRPr="00722C30">
        <w:rPr>
          <w:rStyle w:val="AERbody"/>
          <w:lang w:val="en-US"/>
        </w:rPr>
        <w:t>s</w:t>
      </w:r>
      <w:r w:rsidRPr="00722C30">
        <w:rPr>
          <w:rStyle w:val="AERbody"/>
          <w:lang w:val="en-US"/>
        </w:rPr>
        <w:t xml:space="preserve"> to outline the key issues and implications arising from the AER’s feedback. Ausgrid then issued </w:t>
      </w:r>
      <w:r w:rsidR="00295DB7" w:rsidRPr="00722C30">
        <w:rPr>
          <w:rStyle w:val="AERbody"/>
          <w:lang w:val="en-US"/>
        </w:rPr>
        <w:t xml:space="preserve">and invited submissions on </w:t>
      </w:r>
      <w:r w:rsidRPr="00722C30">
        <w:rPr>
          <w:rStyle w:val="AERbody"/>
          <w:lang w:val="en-US"/>
        </w:rPr>
        <w:t xml:space="preserve">a short options paper </w:t>
      </w:r>
      <w:r w:rsidR="00295DB7" w:rsidRPr="00722C30">
        <w:rPr>
          <w:rStyle w:val="AERbody"/>
          <w:lang w:val="en-US"/>
        </w:rPr>
        <w:t>that was circulated to stakeholders. After undertaking further analyses</w:t>
      </w:r>
      <w:r w:rsidR="000D15C6" w:rsidRPr="00722C30">
        <w:rPr>
          <w:rStyle w:val="AERbody"/>
          <w:lang w:val="en-US"/>
        </w:rPr>
        <w:t xml:space="preserve"> and considering stakeholder’s submissions</w:t>
      </w:r>
      <w:r w:rsidR="00295DB7" w:rsidRPr="00722C30">
        <w:rPr>
          <w:rStyle w:val="AERbody"/>
          <w:lang w:val="en-US"/>
        </w:rPr>
        <w:t xml:space="preserve">, Ausgrid again met with stakeholders in mid-September to discuss Ausgrid’s preferred approach in the revised TSS and, importantly, to understand stakeholder views on that approach. </w:t>
      </w:r>
    </w:p>
    <w:p w:rsidR="002A7B32" w:rsidRPr="00722C30" w:rsidRDefault="00295DB7" w:rsidP="007D0321">
      <w:pPr>
        <w:pStyle w:val="BodyText"/>
        <w:rPr>
          <w:rStyle w:val="AERbody"/>
          <w:lang w:val="en-US"/>
        </w:rPr>
      </w:pPr>
      <w:r w:rsidRPr="00722C30">
        <w:rPr>
          <w:rStyle w:val="AERbody"/>
          <w:lang w:val="en-US"/>
        </w:rPr>
        <w:t>A key focus in this session was on what further reforms could practically be included in the revised TSS and, with these practicalities in mind, Ausgrid and stakeholders agreed on a number of key areas of focus for the next TSS.</w:t>
      </w:r>
    </w:p>
    <w:p w:rsidR="00D55B9A" w:rsidRPr="00722C30" w:rsidRDefault="00021F72" w:rsidP="007D0321">
      <w:pPr>
        <w:pStyle w:val="BodyText"/>
        <w:rPr>
          <w:rStyle w:val="AERbody"/>
          <w:lang w:val="en-US"/>
        </w:rPr>
      </w:pPr>
      <w:r w:rsidRPr="00722C30">
        <w:rPr>
          <w:rStyle w:val="AERbody"/>
          <w:lang w:val="en-US"/>
        </w:rPr>
        <w:t>The stakeholder feedback elicited from this process was invaluable to the development of this TSS. It enabled us to propose reforms that would provide the most benefit to customers and to identify and mitigate any potential adverse customer implications.</w:t>
      </w:r>
      <w:r w:rsidR="008F5B1D" w:rsidRPr="00722C30">
        <w:rPr>
          <w:rStyle w:val="AERbody"/>
          <w:lang w:val="en-US"/>
        </w:rPr>
        <w:t xml:space="preserve"> </w:t>
      </w:r>
      <w:r w:rsidRPr="00722C30">
        <w:rPr>
          <w:rStyle w:val="AERbody"/>
          <w:lang w:val="en-US"/>
        </w:rPr>
        <w:t xml:space="preserve">A detailed description of our consultations process and an explanation of the feedback we received </w:t>
      </w:r>
      <w:r w:rsidR="002375DC" w:rsidRPr="00722C30">
        <w:rPr>
          <w:rStyle w:val="AERbody"/>
          <w:lang w:val="en-US"/>
        </w:rPr>
        <w:t>are</w:t>
      </w:r>
      <w:r w:rsidRPr="00722C30">
        <w:rPr>
          <w:rStyle w:val="AERbody"/>
          <w:lang w:val="en-US"/>
        </w:rPr>
        <w:t xml:space="preserve"> </w:t>
      </w:r>
      <w:r w:rsidRPr="00F93A72">
        <w:rPr>
          <w:rStyle w:val="AERbody"/>
          <w:lang w:val="en-US"/>
        </w:rPr>
        <w:t xml:space="preserve">presented in Appendix </w:t>
      </w:r>
      <w:r w:rsidR="00DC68FA" w:rsidRPr="00F93A72">
        <w:rPr>
          <w:rStyle w:val="AERbody"/>
          <w:lang w:val="en-US"/>
        </w:rPr>
        <w:t>A</w:t>
      </w:r>
      <w:r w:rsidRPr="00F93A72">
        <w:rPr>
          <w:rStyle w:val="AERbody"/>
          <w:lang w:val="en-US"/>
        </w:rPr>
        <w:t>.</w:t>
      </w:r>
    </w:p>
    <w:p w:rsidR="008F5B1D" w:rsidRPr="00722C30" w:rsidRDefault="008F5B1D" w:rsidP="007D0321">
      <w:pPr>
        <w:pStyle w:val="BodyText"/>
        <w:rPr>
          <w:rStyle w:val="AERbody"/>
          <w:lang w:val="en-US"/>
        </w:rPr>
      </w:pPr>
      <w:r w:rsidRPr="00722C30">
        <w:rPr>
          <w:rStyle w:val="AERbody"/>
          <w:lang w:val="en-US"/>
        </w:rPr>
        <w:t xml:space="preserve">Ausgrid also engaged closely with the AER throughout this process. This included submissions to the AER issues paper, attending AER workshops and forums as well as multiple meetings with the AER that continued right up to the weeks prior to submission </w:t>
      </w:r>
      <w:r w:rsidR="0031623F" w:rsidRPr="00722C30">
        <w:rPr>
          <w:rStyle w:val="AERbody"/>
          <w:lang w:val="en-US"/>
        </w:rPr>
        <w:t xml:space="preserve">of </w:t>
      </w:r>
      <w:r w:rsidRPr="00722C30">
        <w:rPr>
          <w:rStyle w:val="AERbody"/>
          <w:lang w:val="en-US"/>
        </w:rPr>
        <w:t xml:space="preserve">this </w:t>
      </w:r>
      <w:r w:rsidR="00295DB7" w:rsidRPr="00722C30">
        <w:rPr>
          <w:rStyle w:val="AERbody"/>
          <w:lang w:val="en-US"/>
        </w:rPr>
        <w:t xml:space="preserve">revised </w:t>
      </w:r>
      <w:r w:rsidRPr="00722C30">
        <w:rPr>
          <w:rStyle w:val="AERbody"/>
          <w:lang w:val="en-US"/>
        </w:rPr>
        <w:t xml:space="preserve">TSS. Further, many elements of this </w:t>
      </w:r>
      <w:r w:rsidR="00295DB7" w:rsidRPr="00722C30">
        <w:rPr>
          <w:rStyle w:val="AERbody"/>
          <w:lang w:val="en-US"/>
        </w:rPr>
        <w:t xml:space="preserve">revised </w:t>
      </w:r>
      <w:r w:rsidRPr="00722C30">
        <w:rPr>
          <w:rStyle w:val="AERbody"/>
          <w:lang w:val="en-US"/>
        </w:rPr>
        <w:t>TSS reflect feedback provided by the AER on Ausgrid’s initial TSS.</w:t>
      </w:r>
    </w:p>
    <w:p w:rsidR="007B4C10" w:rsidRPr="00461E45" w:rsidRDefault="007B4C10" w:rsidP="00722C30">
      <w:pPr>
        <w:pStyle w:val="Heading2"/>
      </w:pPr>
      <w:bookmarkStart w:id="13" w:name="_Toc475527404"/>
      <w:r w:rsidRPr="00461E45">
        <w:lastRenderedPageBreak/>
        <w:t xml:space="preserve">Our approach to </w:t>
      </w:r>
      <w:r w:rsidR="00021F72">
        <w:t>developing proposed tariffs</w:t>
      </w:r>
      <w:bookmarkEnd w:id="13"/>
    </w:p>
    <w:p w:rsidR="0031623F" w:rsidRPr="00722C30" w:rsidRDefault="0031623F" w:rsidP="00BD7A0B">
      <w:pPr>
        <w:pStyle w:val="BodyText"/>
        <w:rPr>
          <w:rStyle w:val="AERbody"/>
        </w:rPr>
      </w:pPr>
      <w:r w:rsidRPr="00722C30">
        <w:rPr>
          <w:rStyle w:val="AERbody"/>
        </w:rPr>
        <w:t>Consistent with the framework established by the NER, our approach to developing our proposed tariffs broadly involved:</w:t>
      </w:r>
    </w:p>
    <w:p w:rsidR="0031623F" w:rsidRDefault="0031623F" w:rsidP="00722C30">
      <w:pPr>
        <w:pStyle w:val="Bulletedtext"/>
      </w:pPr>
      <w:r w:rsidRPr="0075101A">
        <w:t>developing</w:t>
      </w:r>
      <w:r>
        <w:t xml:space="preserve"> an ‘efficient tariff’ directed purely at the promotion of economic efficiency;</w:t>
      </w:r>
    </w:p>
    <w:p w:rsidR="0031623F" w:rsidRDefault="0031623F" w:rsidP="00722C30">
      <w:pPr>
        <w:pStyle w:val="Bulletedtext"/>
      </w:pPr>
      <w:r>
        <w:t xml:space="preserve">evaluating the customer impacts arising from this ‘efficient tariff’, which we deemed unacceptable; </w:t>
      </w:r>
    </w:p>
    <w:p w:rsidR="0031623F" w:rsidRDefault="0031623F" w:rsidP="00722C30">
      <w:pPr>
        <w:pStyle w:val="Bulletedtext"/>
      </w:pPr>
      <w:r>
        <w:t>developing proposed reforms that strike a better balance between the promotion of economic efficiency for the long term interest of consumers and the mitigation of adverse customer bill impacts from year-to-year</w:t>
      </w:r>
      <w:r w:rsidR="00295DB7">
        <w:t>;</w:t>
      </w:r>
      <w:r w:rsidR="00295DB7" w:rsidRPr="00295DB7">
        <w:t xml:space="preserve"> </w:t>
      </w:r>
      <w:r w:rsidR="00295DB7">
        <w:t>and</w:t>
      </w:r>
    </w:p>
    <w:p w:rsidR="00295DB7" w:rsidRDefault="00295DB7" w:rsidP="00722C30">
      <w:pPr>
        <w:pStyle w:val="Bulletedtext"/>
      </w:pPr>
      <w:proofErr w:type="gramStart"/>
      <w:r>
        <w:t>engaging</w:t>
      </w:r>
      <w:proofErr w:type="gramEnd"/>
      <w:r>
        <w:t xml:space="preserve"> with stakeholders throughout this process.</w:t>
      </w:r>
    </w:p>
    <w:p w:rsidR="0031623F" w:rsidRDefault="0031623F" w:rsidP="00BD7A0B">
      <w:pPr>
        <w:pStyle w:val="BodyText"/>
      </w:pPr>
      <w:r>
        <w:t xml:space="preserve">Our assessment of customer bill impacts was a key element of this process and enabled us to ensure that our proposed reforms either delivered a cost saving to customers, or kept bill changes in line with the rate of consumer price inflation (CPI). Our assessment of customer impacts is presented in </w:t>
      </w:r>
      <w:r w:rsidR="00552276">
        <w:t xml:space="preserve">section </w:t>
      </w:r>
      <w:r w:rsidR="00552276">
        <w:fldChar w:fldCharType="begin"/>
      </w:r>
      <w:r w:rsidR="00552276">
        <w:instrText xml:space="preserve"> REF _Ref462065804 \r \h </w:instrText>
      </w:r>
      <w:r w:rsidR="00552276">
        <w:fldChar w:fldCharType="separate"/>
      </w:r>
      <w:r w:rsidR="00BE0834">
        <w:t>10</w:t>
      </w:r>
      <w:r w:rsidR="00552276">
        <w:fldChar w:fldCharType="end"/>
      </w:r>
      <w:r>
        <w:t>.</w:t>
      </w:r>
    </w:p>
    <w:p w:rsidR="007B4C10" w:rsidRPr="00461E45" w:rsidRDefault="007B4C10" w:rsidP="00722C30">
      <w:pPr>
        <w:pStyle w:val="Heading2"/>
      </w:pPr>
      <w:bookmarkStart w:id="14" w:name="_Toc462126850"/>
      <w:bookmarkStart w:id="15" w:name="_Toc462129010"/>
      <w:bookmarkStart w:id="16" w:name="_Toc462126851"/>
      <w:bookmarkStart w:id="17" w:name="_Toc462129011"/>
      <w:bookmarkStart w:id="18" w:name="_Toc462126852"/>
      <w:bookmarkStart w:id="19" w:name="_Toc462129012"/>
      <w:bookmarkStart w:id="20" w:name="_Toc462126853"/>
      <w:bookmarkStart w:id="21" w:name="_Toc462129013"/>
      <w:bookmarkStart w:id="22" w:name="_Toc462126854"/>
      <w:bookmarkStart w:id="23" w:name="_Toc462129014"/>
      <w:bookmarkStart w:id="24" w:name="_Toc475527405"/>
      <w:bookmarkEnd w:id="14"/>
      <w:bookmarkEnd w:id="15"/>
      <w:bookmarkEnd w:id="16"/>
      <w:bookmarkEnd w:id="17"/>
      <w:bookmarkEnd w:id="18"/>
      <w:bookmarkEnd w:id="19"/>
      <w:bookmarkEnd w:id="20"/>
      <w:bookmarkEnd w:id="21"/>
      <w:bookmarkEnd w:id="22"/>
      <w:bookmarkEnd w:id="23"/>
      <w:r w:rsidRPr="00461E45">
        <w:t>Proposed reforms</w:t>
      </w:r>
      <w:bookmarkEnd w:id="24"/>
    </w:p>
    <w:p w:rsidR="00FA4D6B" w:rsidRDefault="00D932FD" w:rsidP="00BD7A0B">
      <w:pPr>
        <w:pStyle w:val="BodyText"/>
      </w:pPr>
      <w:r>
        <w:t xml:space="preserve">Following an extensive consultation process spanning </w:t>
      </w:r>
      <w:r w:rsidR="00FA4D6B">
        <w:t>multiple</w:t>
      </w:r>
      <w:r>
        <w:t xml:space="preserve"> years</w:t>
      </w:r>
      <w:r w:rsidR="00DF694F">
        <w:t xml:space="preserve"> as well as </w:t>
      </w:r>
      <w:r>
        <w:t>detailed consideration of potential tariff reform options and the associated efficiency and customer bill implications, Ausgrid</w:t>
      </w:r>
      <w:r w:rsidR="00B17C8B">
        <w:t xml:space="preserve"> developed a set of</w:t>
      </w:r>
      <w:r>
        <w:t xml:space="preserve"> </w:t>
      </w:r>
      <w:r w:rsidR="00B17C8B">
        <w:t xml:space="preserve">tariff </w:t>
      </w:r>
      <w:r>
        <w:t xml:space="preserve">reforms </w:t>
      </w:r>
      <w:r w:rsidR="00B17C8B">
        <w:t xml:space="preserve">that are </w:t>
      </w:r>
      <w:r w:rsidR="00FA4D6B">
        <w:t xml:space="preserve">are briefly </w:t>
      </w:r>
      <w:r w:rsidR="00420024">
        <w:t>summarised</w:t>
      </w:r>
      <w:r w:rsidR="00D54FEB">
        <w:t xml:space="preserve"> in the figure</w:t>
      </w:r>
      <w:r w:rsidR="00FA4D6B">
        <w:t xml:space="preserve"> below.</w:t>
      </w:r>
    </w:p>
    <w:p w:rsidR="007B4C10" w:rsidRDefault="00FA4D6B" w:rsidP="007D0321">
      <w:pPr>
        <w:pStyle w:val="BodyText"/>
      </w:pPr>
      <w:r>
        <w:t xml:space="preserve">A detailed description of </w:t>
      </w:r>
      <w:r w:rsidR="0031623F">
        <w:t>Ausgrid’s tariff structure</w:t>
      </w:r>
      <w:r>
        <w:t xml:space="preserve"> reforms</w:t>
      </w:r>
      <w:r w:rsidR="00B83494">
        <w:t>, incorporating the AER’s feedback</w:t>
      </w:r>
      <w:r>
        <w:t xml:space="preserve">, and the reasons they were selected is included in section </w:t>
      </w:r>
      <w:r>
        <w:fldChar w:fldCharType="begin"/>
      </w:r>
      <w:r>
        <w:instrText xml:space="preserve"> REF _Ref461802674 \r \h </w:instrText>
      </w:r>
      <w:r>
        <w:fldChar w:fldCharType="separate"/>
      </w:r>
      <w:r w:rsidR="00BE0834">
        <w:t>6</w:t>
      </w:r>
      <w:r>
        <w:fldChar w:fldCharType="end"/>
      </w:r>
      <w:r>
        <w:t xml:space="preserve"> and section </w:t>
      </w:r>
      <w:r>
        <w:fldChar w:fldCharType="begin"/>
      </w:r>
      <w:r>
        <w:instrText xml:space="preserve"> REF _Ref461802681 \r \h </w:instrText>
      </w:r>
      <w:r>
        <w:fldChar w:fldCharType="separate"/>
      </w:r>
      <w:r w:rsidR="00BE0834">
        <w:t>8.3</w:t>
      </w:r>
      <w:r>
        <w:fldChar w:fldCharType="end"/>
      </w:r>
      <w:r>
        <w:t xml:space="preserve">, as well as in </w:t>
      </w:r>
      <w:r w:rsidR="00DC68FA" w:rsidRPr="00F93A72">
        <w:t>Appendix A</w:t>
      </w:r>
      <w:r w:rsidRPr="00F93A72">
        <w:t>.</w:t>
      </w:r>
    </w:p>
    <w:p w:rsidR="00D652AB" w:rsidRDefault="00D652AB">
      <w:pPr>
        <w:spacing w:after="0"/>
        <w:rPr>
          <w:rFonts w:ascii="Arial Bold" w:hAnsi="Arial Bold"/>
          <w:b/>
          <w:szCs w:val="18"/>
          <w:lang w:val="en-AU" w:eastAsia="en-AU"/>
        </w:rPr>
      </w:pPr>
      <w:r>
        <w:br w:type="page"/>
      </w:r>
    </w:p>
    <w:p w:rsidR="00C97A01" w:rsidRPr="00722C30" w:rsidRDefault="00E52075" w:rsidP="00722C30">
      <w:pPr>
        <w:pStyle w:val="Caption"/>
      </w:pPr>
      <w:r w:rsidRPr="00722C30">
        <w:lastRenderedPageBreak/>
        <w:t xml:space="preserve">Figure </w:t>
      </w:r>
      <w:fldSimple w:instr=" SEQ Figure \* ARABIC ">
        <w:r w:rsidR="00BE0834">
          <w:rPr>
            <w:noProof/>
          </w:rPr>
          <w:t>1</w:t>
        </w:r>
      </w:fldSimple>
      <w:r w:rsidRPr="00722C30">
        <w:t xml:space="preserve"> – Key reforms</w:t>
      </w:r>
      <w:r w:rsidR="0031623F" w:rsidRPr="00722C30">
        <w:t xml:space="preserve"> </w:t>
      </w:r>
      <w:r w:rsidRPr="00722C30">
        <w:t>in this TSS</w:t>
      </w:r>
      <w:r w:rsidR="00E85156" w:rsidRPr="00722C30">
        <w:t>, incorporating feedback from the AER</w:t>
      </w:r>
    </w:p>
    <w:tbl>
      <w:tblPr>
        <w:tblStyle w:val="TableGrid"/>
        <w:tblW w:w="0" w:type="auto"/>
        <w:tblInd w:w="851" w:type="dxa"/>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tblLook w:val="04A0" w:firstRow="1" w:lastRow="0" w:firstColumn="1" w:lastColumn="0" w:noHBand="0" w:noVBand="1"/>
      </w:tblPr>
      <w:tblGrid>
        <w:gridCol w:w="3376"/>
        <w:gridCol w:w="5744"/>
      </w:tblGrid>
      <w:tr w:rsidR="009C4F6F" w:rsidTr="00722C30">
        <w:tc>
          <w:tcPr>
            <w:tcW w:w="3652" w:type="dxa"/>
            <w:shd w:val="clear" w:color="auto" w:fill="0065A6"/>
          </w:tcPr>
          <w:p w:rsidR="009C4F6F" w:rsidRPr="00722C30" w:rsidRDefault="009C4F6F" w:rsidP="009C4F6F">
            <w:pPr>
              <w:spacing w:before="120" w:after="120" w:line="240" w:lineRule="exact"/>
              <w:rPr>
                <w:b/>
                <w:color w:val="FFFFFF" w:themeColor="background1"/>
              </w:rPr>
            </w:pPr>
            <w:r w:rsidRPr="00722C30">
              <w:rPr>
                <w:b/>
                <w:color w:val="FFFFFF" w:themeColor="background1"/>
              </w:rPr>
              <w:t>Proposed Reform</w:t>
            </w:r>
          </w:p>
        </w:tc>
        <w:tc>
          <w:tcPr>
            <w:tcW w:w="6378" w:type="dxa"/>
            <w:shd w:val="clear" w:color="auto" w:fill="0065A6"/>
          </w:tcPr>
          <w:p w:rsidR="009C4F6F" w:rsidRPr="00722C30" w:rsidRDefault="009C4F6F" w:rsidP="007B4C10">
            <w:pPr>
              <w:spacing w:before="120" w:after="240" w:line="240" w:lineRule="exact"/>
              <w:rPr>
                <w:b/>
                <w:color w:val="FFFFFF" w:themeColor="background1"/>
                <w:lang w:val="en-AU"/>
              </w:rPr>
            </w:pPr>
            <w:r w:rsidRPr="00722C30">
              <w:rPr>
                <w:b/>
                <w:color w:val="FFFFFF" w:themeColor="background1"/>
                <w:lang w:val="en-AU"/>
              </w:rPr>
              <w:t>Key reasons</w:t>
            </w:r>
          </w:p>
        </w:tc>
      </w:tr>
      <w:tr w:rsidR="009C4F6F" w:rsidTr="00722C30">
        <w:tc>
          <w:tcPr>
            <w:tcW w:w="3652" w:type="dxa"/>
            <w:shd w:val="clear" w:color="auto" w:fill="C6D9F1" w:themeFill="text2" w:themeFillTint="33"/>
          </w:tcPr>
          <w:p w:rsidR="009C4F6F" w:rsidRPr="0075101A" w:rsidRDefault="009C4F6F">
            <w:pPr>
              <w:spacing w:before="120" w:after="120" w:line="240" w:lineRule="exact"/>
              <w:rPr>
                <w:b/>
              </w:rPr>
            </w:pPr>
            <w:r w:rsidRPr="0075101A">
              <w:rPr>
                <w:b/>
              </w:rPr>
              <w:t>Replace the declining block tariff (DBT) with a flat tariff</w:t>
            </w:r>
          </w:p>
        </w:tc>
        <w:tc>
          <w:tcPr>
            <w:tcW w:w="6378" w:type="dxa"/>
            <w:shd w:val="clear" w:color="auto" w:fill="C6D9F1" w:themeFill="text2" w:themeFillTint="33"/>
          </w:tcPr>
          <w:p w:rsidR="009C4F6F" w:rsidRDefault="0031623F" w:rsidP="0068721E">
            <w:pPr>
              <w:spacing w:before="120" w:after="120" w:line="240" w:lineRule="exact"/>
              <w:rPr>
                <w:lang w:val="en-AU"/>
              </w:rPr>
            </w:pPr>
            <w:r>
              <w:rPr>
                <w:lang w:val="en-AU"/>
              </w:rPr>
              <w:t xml:space="preserve">While a flat tariff reduces the flexibility for </w:t>
            </w:r>
            <w:proofErr w:type="spellStart"/>
            <w:r>
              <w:rPr>
                <w:lang w:val="en-AU"/>
              </w:rPr>
              <w:t>Ausgrid</w:t>
            </w:r>
            <w:proofErr w:type="spellEnd"/>
            <w:r>
              <w:rPr>
                <w:lang w:val="en-AU"/>
              </w:rPr>
              <w:t xml:space="preserve"> to manage the bill impact of transitioning to a usage charge that reflects long run marginal cost</w:t>
            </w:r>
            <w:r w:rsidR="00420024">
              <w:rPr>
                <w:lang w:val="en-AU"/>
              </w:rPr>
              <w:t xml:space="preserve"> (LRMC)</w:t>
            </w:r>
            <w:r>
              <w:rPr>
                <w:lang w:val="en-AU"/>
              </w:rPr>
              <w:t xml:space="preserve">, </w:t>
            </w:r>
            <w:r w:rsidR="00420024">
              <w:rPr>
                <w:lang w:val="en-AU"/>
              </w:rPr>
              <w:t>in the AER’s opinion,</w:t>
            </w:r>
            <w:r>
              <w:rPr>
                <w:lang w:val="en-AU"/>
              </w:rPr>
              <w:t xml:space="preserve"> a flat tariff </w:t>
            </w:r>
            <w:r w:rsidR="00420024">
              <w:rPr>
                <w:lang w:val="en-AU"/>
              </w:rPr>
              <w:t>strikes</w:t>
            </w:r>
            <w:r>
              <w:rPr>
                <w:lang w:val="en-AU"/>
              </w:rPr>
              <w:t xml:space="preserve"> a better balance between customer impact and more quickly reducing usage charges to reflect estimated long run marginal cost. </w:t>
            </w:r>
            <w:proofErr w:type="spellStart"/>
            <w:r w:rsidR="00E85156">
              <w:rPr>
                <w:lang w:val="en-AU"/>
              </w:rPr>
              <w:t>Ausgrid</w:t>
            </w:r>
            <w:proofErr w:type="spellEnd"/>
            <w:r w:rsidR="00E85156">
              <w:rPr>
                <w:lang w:val="en-AU"/>
              </w:rPr>
              <w:t xml:space="preserve"> supports the AER’s view on this matter, and so </w:t>
            </w:r>
            <w:proofErr w:type="spellStart"/>
            <w:r>
              <w:rPr>
                <w:lang w:val="en-AU"/>
              </w:rPr>
              <w:t>Ausgrid</w:t>
            </w:r>
            <w:proofErr w:type="spellEnd"/>
            <w:r>
              <w:rPr>
                <w:lang w:val="en-AU"/>
              </w:rPr>
              <w:t xml:space="preserve"> </w:t>
            </w:r>
            <w:r w:rsidR="00420024">
              <w:rPr>
                <w:lang w:val="en-AU"/>
              </w:rPr>
              <w:t>is comfortable with reflecting the</w:t>
            </w:r>
            <w:r>
              <w:rPr>
                <w:lang w:val="en-AU"/>
              </w:rPr>
              <w:t xml:space="preserve"> AER’s preference for a flat tariff structure</w:t>
            </w:r>
            <w:r w:rsidR="00420024">
              <w:rPr>
                <w:lang w:val="en-AU"/>
              </w:rPr>
              <w:t xml:space="preserve"> in this TSS</w:t>
            </w:r>
            <w:r>
              <w:rPr>
                <w:lang w:val="en-AU"/>
              </w:rPr>
              <w:t>.</w:t>
            </w:r>
            <w:r w:rsidR="009C4F6F">
              <w:rPr>
                <w:lang w:val="en-AU"/>
              </w:rPr>
              <w:t xml:space="preserve"> </w:t>
            </w:r>
          </w:p>
        </w:tc>
      </w:tr>
      <w:tr w:rsidR="009C4F6F" w:rsidTr="00722C30">
        <w:tc>
          <w:tcPr>
            <w:tcW w:w="3652" w:type="dxa"/>
            <w:shd w:val="clear" w:color="auto" w:fill="DEEAF6"/>
          </w:tcPr>
          <w:p w:rsidR="009C4F6F" w:rsidRPr="0075101A" w:rsidRDefault="009C4F6F">
            <w:pPr>
              <w:spacing w:before="120" w:after="120" w:line="240" w:lineRule="exact"/>
              <w:rPr>
                <w:b/>
              </w:rPr>
            </w:pPr>
            <w:r w:rsidRPr="0075101A">
              <w:rPr>
                <w:b/>
              </w:rPr>
              <w:t>Apply a re-balancing constraint to limit increases in fixed charges</w:t>
            </w:r>
          </w:p>
        </w:tc>
        <w:tc>
          <w:tcPr>
            <w:tcW w:w="6378" w:type="dxa"/>
            <w:shd w:val="clear" w:color="auto" w:fill="DEEAF6"/>
          </w:tcPr>
          <w:p w:rsidR="009C4F6F" w:rsidRDefault="00F97E2E" w:rsidP="0068721E">
            <w:pPr>
              <w:spacing w:before="120" w:after="120" w:line="240" w:lineRule="exact"/>
              <w:rPr>
                <w:lang w:val="en-AU"/>
              </w:rPr>
            </w:pPr>
            <w:r>
              <w:rPr>
                <w:lang w:val="en-AU"/>
              </w:rPr>
              <w:t>More efficient tariffs involve</w:t>
            </w:r>
            <w:r w:rsidR="009C4F6F">
              <w:rPr>
                <w:lang w:val="en-AU"/>
              </w:rPr>
              <w:t xml:space="preserve"> high</w:t>
            </w:r>
            <w:r>
              <w:rPr>
                <w:lang w:val="en-AU"/>
              </w:rPr>
              <w:t>er</w:t>
            </w:r>
            <w:r w:rsidR="009C4F6F">
              <w:rPr>
                <w:lang w:val="en-AU"/>
              </w:rPr>
              <w:t xml:space="preserve"> fixed charges</w:t>
            </w:r>
            <w:r w:rsidR="006A76A6">
              <w:rPr>
                <w:lang w:val="en-AU"/>
              </w:rPr>
              <w:t xml:space="preserve"> – a</w:t>
            </w:r>
            <w:r w:rsidR="009C4F6F">
              <w:rPr>
                <w:lang w:val="en-AU"/>
              </w:rPr>
              <w:t xml:space="preserve"> rebalancing constraint </w:t>
            </w:r>
            <w:r>
              <w:rPr>
                <w:lang w:val="en-AU"/>
              </w:rPr>
              <w:t xml:space="preserve">that </w:t>
            </w:r>
            <w:r w:rsidR="009C4F6F">
              <w:rPr>
                <w:lang w:val="en-AU"/>
              </w:rPr>
              <w:t xml:space="preserve">limits </w:t>
            </w:r>
            <w:r>
              <w:rPr>
                <w:lang w:val="en-AU"/>
              </w:rPr>
              <w:t>increases in fixed charges provides certainty to customers and mitigates the risk of adverse bill impacts.</w:t>
            </w:r>
          </w:p>
        </w:tc>
      </w:tr>
      <w:tr w:rsidR="009C4F6F" w:rsidTr="00722C30">
        <w:trPr>
          <w:trHeight w:val="1387"/>
        </w:trPr>
        <w:tc>
          <w:tcPr>
            <w:tcW w:w="3652" w:type="dxa"/>
            <w:shd w:val="clear" w:color="auto" w:fill="C6D9F1" w:themeFill="text2" w:themeFillTint="33"/>
          </w:tcPr>
          <w:p w:rsidR="009C4F6F" w:rsidRPr="0075101A" w:rsidRDefault="00F97E2E">
            <w:pPr>
              <w:spacing w:before="120" w:after="120" w:line="240" w:lineRule="exact"/>
              <w:rPr>
                <w:b/>
              </w:rPr>
            </w:pPr>
            <w:r w:rsidRPr="0075101A">
              <w:rPr>
                <w:b/>
              </w:rPr>
              <w:t xml:space="preserve">Introduce seasonal peak periods </w:t>
            </w:r>
          </w:p>
        </w:tc>
        <w:tc>
          <w:tcPr>
            <w:tcW w:w="6378" w:type="dxa"/>
            <w:shd w:val="clear" w:color="auto" w:fill="C6D9F1" w:themeFill="text2" w:themeFillTint="33"/>
          </w:tcPr>
          <w:p w:rsidR="009C4F6F" w:rsidRDefault="00F97E2E" w:rsidP="0068721E">
            <w:pPr>
              <w:spacing w:before="120" w:after="120" w:line="240" w:lineRule="exact"/>
              <w:rPr>
                <w:lang w:val="en-AU"/>
              </w:rPr>
            </w:pPr>
            <w:r>
              <w:rPr>
                <w:lang w:val="en-AU"/>
              </w:rPr>
              <w:t>Peak periods in the summer and winter months only will better align the application of a peak price with the timing of peak demand. Further, replacing the</w:t>
            </w:r>
            <w:r w:rsidR="00B17C8B">
              <w:rPr>
                <w:lang w:val="en-AU"/>
              </w:rPr>
              <w:t xml:space="preserve"> former</w:t>
            </w:r>
            <w:r>
              <w:rPr>
                <w:lang w:val="en-AU"/>
              </w:rPr>
              <w:t xml:space="preserve"> peak period with a</w:t>
            </w:r>
            <w:r w:rsidR="00587692">
              <w:rPr>
                <w:lang w:val="en-AU"/>
              </w:rPr>
              <w:t xml:space="preserve"> (much cheaper) shoulder period</w:t>
            </w:r>
            <w:r w:rsidR="00B17C8B">
              <w:rPr>
                <w:lang w:val="en-AU"/>
              </w:rPr>
              <w:t xml:space="preserve"> </w:t>
            </w:r>
            <w:r>
              <w:rPr>
                <w:lang w:val="en-AU"/>
              </w:rPr>
              <w:t>in the non-summer and non-winter months has favourable customer bill impacts.</w:t>
            </w:r>
          </w:p>
        </w:tc>
      </w:tr>
      <w:tr w:rsidR="009C4F6F" w:rsidTr="00722C30">
        <w:tc>
          <w:tcPr>
            <w:tcW w:w="3652" w:type="dxa"/>
            <w:shd w:val="clear" w:color="auto" w:fill="DEEAF6"/>
          </w:tcPr>
          <w:p w:rsidR="009C4F6F" w:rsidRPr="0075101A" w:rsidRDefault="00F97E2E">
            <w:pPr>
              <w:spacing w:before="120" w:after="120" w:line="240" w:lineRule="exact"/>
              <w:rPr>
                <w:b/>
              </w:rPr>
            </w:pPr>
            <w:r w:rsidRPr="0075101A">
              <w:rPr>
                <w:b/>
              </w:rPr>
              <w:t>Reform</w:t>
            </w:r>
            <w:r w:rsidR="009C4F6F" w:rsidRPr="0075101A">
              <w:rPr>
                <w:b/>
              </w:rPr>
              <w:t xml:space="preserve"> the winter peak period for residential customers</w:t>
            </w:r>
          </w:p>
        </w:tc>
        <w:tc>
          <w:tcPr>
            <w:tcW w:w="6378" w:type="dxa"/>
            <w:shd w:val="clear" w:color="auto" w:fill="DEEAF6"/>
          </w:tcPr>
          <w:p w:rsidR="009C4F6F" w:rsidRDefault="00F97E2E" w:rsidP="0068721E">
            <w:pPr>
              <w:spacing w:before="120" w:after="120" w:line="240" w:lineRule="exact"/>
              <w:rPr>
                <w:lang w:val="en-AU"/>
              </w:rPr>
            </w:pPr>
            <w:r>
              <w:rPr>
                <w:lang w:val="en-AU"/>
              </w:rPr>
              <w:t>A 5pm to 9pm peak period for residential customers in the winter months will better target the timing of peak demand in the winter months, which is driven by residential customers.</w:t>
            </w:r>
          </w:p>
        </w:tc>
      </w:tr>
      <w:tr w:rsidR="009C4F6F" w:rsidTr="00722C30">
        <w:trPr>
          <w:trHeight w:val="920"/>
        </w:trPr>
        <w:tc>
          <w:tcPr>
            <w:tcW w:w="3652" w:type="dxa"/>
            <w:shd w:val="clear" w:color="auto" w:fill="C6D9F1" w:themeFill="text2" w:themeFillTint="33"/>
          </w:tcPr>
          <w:p w:rsidR="009C4F6F" w:rsidRPr="0075101A" w:rsidRDefault="00E85156">
            <w:pPr>
              <w:spacing w:before="120" w:after="120" w:line="240" w:lineRule="exact"/>
              <w:rPr>
                <w:b/>
              </w:rPr>
            </w:pPr>
            <w:r>
              <w:rPr>
                <w:b/>
              </w:rPr>
              <w:t>Assigning new customers and reassigning some existing customers to more cost reflective tariffs</w:t>
            </w:r>
          </w:p>
        </w:tc>
        <w:tc>
          <w:tcPr>
            <w:tcW w:w="6378" w:type="dxa"/>
            <w:shd w:val="clear" w:color="auto" w:fill="C6D9F1" w:themeFill="text2" w:themeFillTint="33"/>
          </w:tcPr>
          <w:p w:rsidR="009C4F6F" w:rsidRDefault="00F97E2E" w:rsidP="0068721E">
            <w:pPr>
              <w:spacing w:before="120" w:after="120" w:line="240" w:lineRule="exact"/>
              <w:rPr>
                <w:lang w:val="en-AU"/>
              </w:rPr>
            </w:pPr>
            <w:r>
              <w:rPr>
                <w:lang w:val="en-AU"/>
              </w:rPr>
              <w:t>This ensures that a greater proportion of customers are assigned to more cost reflective tariffs, with the option to opt-out to transitional tariffs.</w:t>
            </w:r>
          </w:p>
        </w:tc>
      </w:tr>
      <w:tr w:rsidR="009C4F6F" w:rsidTr="00722C30">
        <w:tc>
          <w:tcPr>
            <w:tcW w:w="3652" w:type="dxa"/>
            <w:shd w:val="clear" w:color="auto" w:fill="DEEAF6"/>
          </w:tcPr>
          <w:p w:rsidR="009C4F6F" w:rsidRPr="0075101A" w:rsidRDefault="00F97E2E">
            <w:pPr>
              <w:spacing w:before="120" w:after="120" w:line="240" w:lineRule="exact"/>
              <w:rPr>
                <w:b/>
              </w:rPr>
            </w:pPr>
            <w:r w:rsidRPr="0075101A">
              <w:rPr>
                <w:b/>
              </w:rPr>
              <w:t>Introduce</w:t>
            </w:r>
            <w:r w:rsidR="009C4F6F" w:rsidRPr="0075101A">
              <w:rPr>
                <w:b/>
              </w:rPr>
              <w:t xml:space="preserve"> new transitional tariffs </w:t>
            </w:r>
            <w:r w:rsidR="00E85156">
              <w:rPr>
                <w:b/>
              </w:rPr>
              <w:t>to mitigate customer bill impacts arising from changes to our assignment and reassignment process</w:t>
            </w:r>
          </w:p>
        </w:tc>
        <w:tc>
          <w:tcPr>
            <w:tcW w:w="6378" w:type="dxa"/>
            <w:shd w:val="clear" w:color="auto" w:fill="DEEAF6"/>
          </w:tcPr>
          <w:p w:rsidR="009C4F6F" w:rsidRDefault="00DF694F" w:rsidP="0068721E">
            <w:pPr>
              <w:spacing w:before="120" w:after="120" w:line="240" w:lineRule="exact"/>
              <w:rPr>
                <w:lang w:val="en-AU"/>
              </w:rPr>
            </w:pPr>
            <w:r>
              <w:rPr>
                <w:lang w:val="en-AU"/>
              </w:rPr>
              <w:t xml:space="preserve">Transitional tariffs enable </w:t>
            </w:r>
            <w:r w:rsidR="00F97E2E">
              <w:rPr>
                <w:lang w:val="en-AU"/>
              </w:rPr>
              <w:t>customers to be transitioned to more efficient, cost reflective tariffs while managing the customer bill impacts from year-to-year.</w:t>
            </w:r>
          </w:p>
        </w:tc>
      </w:tr>
      <w:tr w:rsidR="009C4F6F" w:rsidTr="00722C30">
        <w:trPr>
          <w:trHeight w:val="976"/>
        </w:trPr>
        <w:tc>
          <w:tcPr>
            <w:tcW w:w="3652" w:type="dxa"/>
            <w:shd w:val="clear" w:color="auto" w:fill="C6D9F1" w:themeFill="text2" w:themeFillTint="33"/>
          </w:tcPr>
          <w:p w:rsidR="009C4F6F" w:rsidRPr="0075101A" w:rsidRDefault="00FA4D6B">
            <w:pPr>
              <w:spacing w:before="120" w:after="120" w:line="240" w:lineRule="exact"/>
              <w:rPr>
                <w:b/>
              </w:rPr>
            </w:pPr>
            <w:r>
              <w:rPr>
                <w:b/>
              </w:rPr>
              <w:t>Remove</w:t>
            </w:r>
            <w:r w:rsidR="009C4F6F" w:rsidRPr="0075101A">
              <w:rPr>
                <w:b/>
              </w:rPr>
              <w:t xml:space="preserve"> the shoulder period on weekends for small business customers</w:t>
            </w:r>
          </w:p>
        </w:tc>
        <w:tc>
          <w:tcPr>
            <w:tcW w:w="6378" w:type="dxa"/>
            <w:shd w:val="clear" w:color="auto" w:fill="C6D9F1" w:themeFill="text2" w:themeFillTint="33"/>
          </w:tcPr>
          <w:p w:rsidR="009C4F6F" w:rsidRDefault="00DF694F" w:rsidP="0068721E">
            <w:pPr>
              <w:spacing w:before="120" w:after="120" w:line="240" w:lineRule="exact"/>
              <w:rPr>
                <w:lang w:val="en-AU"/>
              </w:rPr>
            </w:pPr>
            <w:r>
              <w:rPr>
                <w:lang w:val="en-AU"/>
              </w:rPr>
              <w:t xml:space="preserve">This aligns </w:t>
            </w:r>
            <w:r w:rsidR="00F97E2E">
              <w:rPr>
                <w:lang w:val="en-AU"/>
              </w:rPr>
              <w:t xml:space="preserve">the treatment of small business customers </w:t>
            </w:r>
            <w:r w:rsidR="00FA4D6B">
              <w:rPr>
                <w:lang w:val="en-AU"/>
              </w:rPr>
              <w:t xml:space="preserve">on weekends </w:t>
            </w:r>
            <w:r w:rsidR="00F97E2E">
              <w:rPr>
                <w:lang w:val="en-AU"/>
              </w:rPr>
              <w:t>wi</w:t>
            </w:r>
            <w:r w:rsidR="00FA4D6B">
              <w:rPr>
                <w:lang w:val="en-AU"/>
              </w:rPr>
              <w:t>th that of medium and large business customers. This reform has immaterial implications for price stability</w:t>
            </w:r>
            <w:r w:rsidR="00E85156">
              <w:rPr>
                <w:lang w:val="en-AU"/>
              </w:rPr>
              <w:t xml:space="preserve"> across the relevant customer segments</w:t>
            </w:r>
            <w:r w:rsidR="00FA4D6B">
              <w:rPr>
                <w:lang w:val="en-AU"/>
              </w:rPr>
              <w:t>.</w:t>
            </w:r>
          </w:p>
        </w:tc>
      </w:tr>
      <w:tr w:rsidR="009C4F6F" w:rsidTr="00722C30">
        <w:tc>
          <w:tcPr>
            <w:tcW w:w="3652" w:type="dxa"/>
            <w:shd w:val="clear" w:color="auto" w:fill="DEEAF6"/>
          </w:tcPr>
          <w:p w:rsidR="009C4F6F" w:rsidRPr="0075101A" w:rsidRDefault="00FA4D6B">
            <w:pPr>
              <w:spacing w:before="120" w:after="120" w:line="240" w:lineRule="exact"/>
              <w:rPr>
                <w:b/>
                <w:lang w:val="en-AU"/>
              </w:rPr>
            </w:pPr>
            <w:r>
              <w:rPr>
                <w:b/>
              </w:rPr>
              <w:t>Introduce</w:t>
            </w:r>
            <w:r w:rsidR="009C4F6F" w:rsidRPr="0075101A">
              <w:rPr>
                <w:b/>
              </w:rPr>
              <w:t xml:space="preserve"> a new tariff for </w:t>
            </w:r>
            <w:r w:rsidR="001C1A24">
              <w:rPr>
                <w:b/>
              </w:rPr>
              <w:t xml:space="preserve">new </w:t>
            </w:r>
            <w:r w:rsidR="009C4F6F" w:rsidRPr="0075101A">
              <w:rPr>
                <w:b/>
              </w:rPr>
              <w:t>transmission-connected customers</w:t>
            </w:r>
          </w:p>
        </w:tc>
        <w:tc>
          <w:tcPr>
            <w:tcW w:w="6378" w:type="dxa"/>
            <w:shd w:val="clear" w:color="auto" w:fill="DEEAF6"/>
          </w:tcPr>
          <w:p w:rsidR="009C4F6F" w:rsidRDefault="00DF694F" w:rsidP="0068721E">
            <w:pPr>
              <w:spacing w:before="120" w:after="120" w:line="240" w:lineRule="exact"/>
              <w:rPr>
                <w:lang w:val="en-AU"/>
              </w:rPr>
            </w:pPr>
            <w:r>
              <w:rPr>
                <w:lang w:val="en-AU"/>
              </w:rPr>
              <w:t>This i</w:t>
            </w:r>
            <w:r w:rsidR="00FA4D6B">
              <w:rPr>
                <w:lang w:val="en-AU"/>
              </w:rPr>
              <w:t>mproves the cost reflectivity of tariffs by ensuring that these customers do not bear the cost of services they do not use.</w:t>
            </w:r>
          </w:p>
        </w:tc>
      </w:tr>
    </w:tbl>
    <w:p w:rsidR="00B55EF3" w:rsidRDefault="00B55EF3" w:rsidP="00BD7A0B">
      <w:pPr>
        <w:pStyle w:val="BodyText"/>
      </w:pPr>
    </w:p>
    <w:p w:rsidR="00D652AB" w:rsidRDefault="00D652AB">
      <w:pPr>
        <w:spacing w:after="0"/>
        <w:rPr>
          <w:rFonts w:eastAsia="Cambria"/>
          <w:b/>
          <w:noProof/>
          <w:color w:val="0065A6"/>
          <w:sz w:val="26"/>
          <w:szCs w:val="30"/>
          <w:lang w:val="en-AU" w:eastAsia="en-AU"/>
        </w:rPr>
      </w:pPr>
      <w:r>
        <w:br w:type="page"/>
      </w:r>
    </w:p>
    <w:p w:rsidR="007B4C10" w:rsidRPr="00461E45" w:rsidRDefault="007B4C10" w:rsidP="00722C30">
      <w:pPr>
        <w:pStyle w:val="Heading2"/>
      </w:pPr>
      <w:bookmarkStart w:id="25" w:name="_Toc475527406"/>
      <w:r w:rsidRPr="00461E45">
        <w:lastRenderedPageBreak/>
        <w:t>Indicative prices</w:t>
      </w:r>
      <w:bookmarkEnd w:id="25"/>
    </w:p>
    <w:p w:rsidR="00BF42F4" w:rsidRPr="00722C30" w:rsidRDefault="00FA4D6B" w:rsidP="00BD7A0B">
      <w:pPr>
        <w:pStyle w:val="BodyText"/>
        <w:rPr>
          <w:rStyle w:val="AERbody"/>
          <w:lang w:val="en-US"/>
        </w:rPr>
      </w:pPr>
      <w:r w:rsidRPr="00722C30">
        <w:rPr>
          <w:rStyle w:val="AERbody"/>
          <w:lang w:val="en-US"/>
        </w:rPr>
        <w:t xml:space="preserve">We include below indicative prices </w:t>
      </w:r>
      <w:r w:rsidR="00BF42F4" w:rsidRPr="00722C30">
        <w:rPr>
          <w:rStyle w:val="AERbody"/>
          <w:lang w:val="en-US"/>
        </w:rPr>
        <w:t xml:space="preserve">to provide stakeholders with an understanding of the potential pricing outcomes </w:t>
      </w:r>
      <w:r w:rsidR="00461E45" w:rsidRPr="00722C30">
        <w:rPr>
          <w:rStyle w:val="AERbody"/>
        </w:rPr>
        <w:t>arising</w:t>
      </w:r>
      <w:r w:rsidR="00BF42F4" w:rsidRPr="00722C30">
        <w:rPr>
          <w:rStyle w:val="AERbody"/>
        </w:rPr>
        <w:t xml:space="preserve"> from application of this TSS.</w:t>
      </w:r>
      <w:r w:rsidR="00DC68FA">
        <w:rPr>
          <w:rStyle w:val="AERbody"/>
        </w:rPr>
        <w:t xml:space="preserve"> </w:t>
      </w:r>
    </w:p>
    <w:p w:rsidR="00BF42F4" w:rsidRPr="00722C30" w:rsidRDefault="00461E45" w:rsidP="007D0321">
      <w:pPr>
        <w:pStyle w:val="BodyText"/>
        <w:rPr>
          <w:rStyle w:val="AERbody"/>
        </w:rPr>
      </w:pPr>
      <w:r w:rsidRPr="00722C30">
        <w:rPr>
          <w:rStyle w:val="AERbody"/>
          <w:lang w:val="en-US"/>
        </w:rPr>
        <w:t xml:space="preserve">The next stage in the pricing process is for Ausgrid to submit to the AER an annual pricing </w:t>
      </w:r>
      <w:r w:rsidR="00BF42F4" w:rsidRPr="00722C30">
        <w:rPr>
          <w:rStyle w:val="AERbody"/>
        </w:rPr>
        <w:t xml:space="preserve">proposal for assessment against the requirements of the NER. </w:t>
      </w:r>
    </w:p>
    <w:p w:rsidR="00BF42F4" w:rsidRPr="00722C30" w:rsidRDefault="003D7F43" w:rsidP="007D0321">
      <w:pPr>
        <w:pStyle w:val="BodyText"/>
        <w:rPr>
          <w:rStyle w:val="AERbody"/>
          <w:lang w:val="en-US"/>
        </w:rPr>
      </w:pPr>
      <w:r w:rsidRPr="00722C30">
        <w:rPr>
          <w:rStyle w:val="AERbody"/>
          <w:lang w:val="en-US"/>
        </w:rPr>
        <w:t xml:space="preserve">It is important to bear in mind that </w:t>
      </w:r>
      <w:r w:rsidR="00461E45" w:rsidRPr="00722C30">
        <w:rPr>
          <w:rStyle w:val="AERbody"/>
          <w:lang w:val="en-US"/>
        </w:rPr>
        <w:t>the</w:t>
      </w:r>
      <w:r w:rsidRPr="00722C30">
        <w:rPr>
          <w:rStyle w:val="AERbody"/>
          <w:lang w:val="en-US"/>
        </w:rPr>
        <w:t xml:space="preserve"> prices </w:t>
      </w:r>
      <w:r w:rsidR="00461E45" w:rsidRPr="00722C30">
        <w:rPr>
          <w:rStyle w:val="AERbody"/>
          <w:lang w:val="en-US"/>
        </w:rPr>
        <w:t xml:space="preserve">presented below </w:t>
      </w:r>
      <w:r w:rsidRPr="00722C30">
        <w:rPr>
          <w:rStyle w:val="AERbody"/>
          <w:lang w:val="en-US"/>
        </w:rPr>
        <w:t xml:space="preserve">are indicative only. </w:t>
      </w:r>
      <w:r w:rsidR="000312EB" w:rsidRPr="00722C30">
        <w:rPr>
          <w:rStyle w:val="AERbody"/>
          <w:lang w:val="en-US"/>
        </w:rPr>
        <w:t>Ausgrid operates under a revenue cap framework, which means that if our revenue exceeds or is below the annual revenue requirement determined by the AER, adjustments will be made to future prices to reflect this excess or shortfall.</w:t>
      </w:r>
      <w:r w:rsidR="00BF42F4" w:rsidRPr="00722C30">
        <w:rPr>
          <w:rStyle w:val="AERbody"/>
          <w:lang w:val="en-US"/>
        </w:rPr>
        <w:t xml:space="preserve"> However, there is considerable uncertainty as to the </w:t>
      </w:r>
      <w:r w:rsidR="000312EB" w:rsidRPr="00722C30">
        <w:rPr>
          <w:rStyle w:val="AERbody"/>
          <w:lang w:val="en-US"/>
        </w:rPr>
        <w:t xml:space="preserve">annual </w:t>
      </w:r>
      <w:r w:rsidR="00BF42F4" w:rsidRPr="00722C30">
        <w:rPr>
          <w:rStyle w:val="AERbody"/>
          <w:lang w:val="en-US"/>
        </w:rPr>
        <w:t xml:space="preserve">revenue </w:t>
      </w:r>
      <w:r w:rsidR="000312EB" w:rsidRPr="00722C30">
        <w:rPr>
          <w:rStyle w:val="AERbody"/>
          <w:lang w:val="en-US"/>
        </w:rPr>
        <w:t xml:space="preserve">requirement </w:t>
      </w:r>
      <w:r w:rsidR="00BF42F4" w:rsidRPr="00722C30">
        <w:rPr>
          <w:rStyle w:val="AERbody"/>
          <w:lang w:val="en-US"/>
        </w:rPr>
        <w:t>in the current regulatory control period</w:t>
      </w:r>
      <w:r w:rsidR="000312EB" w:rsidRPr="00722C30">
        <w:rPr>
          <w:rStyle w:val="AERbody"/>
          <w:lang w:val="en-US"/>
        </w:rPr>
        <w:t xml:space="preserve"> due to the Australian Competition Tribunal’s (the Tribunal’s) decision to set aside the AER’s final </w:t>
      </w:r>
      <w:r w:rsidR="00232B2A" w:rsidRPr="00722C30">
        <w:rPr>
          <w:rStyle w:val="AERbody"/>
          <w:lang w:val="en-US"/>
        </w:rPr>
        <w:t xml:space="preserve">revenue reset </w:t>
      </w:r>
      <w:r w:rsidR="000312EB" w:rsidRPr="00722C30">
        <w:rPr>
          <w:rStyle w:val="AERbody"/>
          <w:lang w:val="en-US"/>
        </w:rPr>
        <w:t>decision, and the AER’s application for judicial review of the Tribunal’s decision, which is underway at the time of preparing this TSS. Further,</w:t>
      </w:r>
      <w:r w:rsidR="00BF42F4" w:rsidRPr="00722C30">
        <w:rPr>
          <w:rStyle w:val="AERbody"/>
          <w:lang w:val="en-US"/>
        </w:rPr>
        <w:t xml:space="preserve"> changes in expected use of our network may also lead to departures from the illustrative prices presented below.</w:t>
      </w:r>
    </w:p>
    <w:p w:rsidR="00BF42F4" w:rsidRPr="00722C30" w:rsidRDefault="000312EB" w:rsidP="007D0321">
      <w:pPr>
        <w:pStyle w:val="BodyText"/>
        <w:rPr>
          <w:rStyle w:val="AERbody"/>
        </w:rPr>
      </w:pPr>
      <w:r w:rsidRPr="00722C30">
        <w:rPr>
          <w:rStyle w:val="AERbody"/>
          <w:lang w:val="en-US"/>
        </w:rPr>
        <w:t xml:space="preserve">Prior to the commencement of each year in a regulatory control period, Ausgrid is required to submit to the AER actual prices for the forthcoming year </w:t>
      </w:r>
      <w:r w:rsidR="00BF42F4" w:rsidRPr="00722C30">
        <w:rPr>
          <w:rStyle w:val="AERbody"/>
          <w:lang w:val="en-US"/>
        </w:rPr>
        <w:t>in an annual pricing proposal</w:t>
      </w:r>
      <w:r w:rsidRPr="00722C30">
        <w:rPr>
          <w:rStyle w:val="AERbody"/>
        </w:rPr>
        <w:t>, which the AER assesses</w:t>
      </w:r>
      <w:r w:rsidR="00BF42F4" w:rsidRPr="00722C30">
        <w:rPr>
          <w:rStyle w:val="AERbody"/>
        </w:rPr>
        <w:t xml:space="preserve"> against the requirements of the NER. Ausgrid is required to explain any material variation in prices between that in </w:t>
      </w:r>
      <w:r w:rsidR="00FD5970" w:rsidRPr="00722C30">
        <w:rPr>
          <w:rStyle w:val="AERbody"/>
        </w:rPr>
        <w:t>the annual pricing proposal and</w:t>
      </w:r>
      <w:r w:rsidR="00BF42F4" w:rsidRPr="00722C30">
        <w:rPr>
          <w:rStyle w:val="AERbody"/>
        </w:rPr>
        <w:t xml:space="preserve"> the indicative prices </w:t>
      </w:r>
      <w:r w:rsidR="002375DC" w:rsidRPr="00722C30">
        <w:rPr>
          <w:rStyle w:val="AERbody"/>
        </w:rPr>
        <w:t>presented in</w:t>
      </w:r>
      <w:r w:rsidR="00BF42F4" w:rsidRPr="00722C30">
        <w:rPr>
          <w:rStyle w:val="AERbody"/>
        </w:rPr>
        <w:t xml:space="preserve"> this TSS.</w:t>
      </w:r>
    </w:p>
    <w:p w:rsidR="003D7F43" w:rsidRDefault="003D7F43" w:rsidP="00722C30">
      <w:pPr>
        <w:pStyle w:val="Heading3"/>
      </w:pPr>
      <w:r>
        <w:t>How to interpret indicative prices and customer impacts</w:t>
      </w:r>
    </w:p>
    <w:p w:rsidR="003D7F43" w:rsidRPr="00722C30" w:rsidRDefault="003D7F43" w:rsidP="00BD7A0B">
      <w:pPr>
        <w:pStyle w:val="BodyText"/>
        <w:rPr>
          <w:rStyle w:val="AERbody"/>
        </w:rPr>
      </w:pPr>
      <w:r w:rsidRPr="00722C30">
        <w:rPr>
          <w:rStyle w:val="AERbody"/>
        </w:rPr>
        <w:t xml:space="preserve">It is of fundamental importance that the customer bill impacts arising from the reforms proposed in this TSS are not inferred from inspection of the indicative prices alone. </w:t>
      </w:r>
    </w:p>
    <w:p w:rsidR="003D7F43" w:rsidRPr="00722C30" w:rsidRDefault="003D7F43" w:rsidP="007D0321">
      <w:pPr>
        <w:pStyle w:val="BodyText"/>
        <w:rPr>
          <w:rStyle w:val="AERbody"/>
        </w:rPr>
      </w:pPr>
      <w:r w:rsidRPr="00722C30">
        <w:rPr>
          <w:rStyle w:val="AERbody"/>
        </w:rPr>
        <w:t>The proposed introduction of seasonality and narrowing of the winter peak period for residential customers gives rise to a substantial reallocation of our customers’ usage from the peak period to the shoulder period. In other words, a substantial proportion of a customer’s usage that would previously have fallen in the peak period will now fall in a shoulder period, where the applicable price is approximately 80 per cent cheaper than in the peak period.</w:t>
      </w:r>
    </w:p>
    <w:p w:rsidR="00B50A16" w:rsidRDefault="00B50A16">
      <w:pPr>
        <w:spacing w:after="0"/>
        <w:rPr>
          <w:rFonts w:ascii="Arial Bold" w:hAnsi="Arial Bold"/>
          <w:b/>
          <w:szCs w:val="18"/>
          <w:lang w:val="en-AU" w:eastAsia="en-AU"/>
        </w:rPr>
      </w:pPr>
      <w:bookmarkStart w:id="26" w:name="_Ref462678159"/>
      <w:r>
        <w:rPr>
          <w:i/>
        </w:rPr>
        <w:br w:type="page"/>
      </w:r>
    </w:p>
    <w:p w:rsidR="003D7F43" w:rsidRPr="0071162E" w:rsidRDefault="00E52075" w:rsidP="00E00754">
      <w:pPr>
        <w:pStyle w:val="Caption"/>
      </w:pPr>
      <w:r w:rsidRPr="0071162E">
        <w:lastRenderedPageBreak/>
        <w:t xml:space="preserve">Table </w:t>
      </w:r>
      <w:fldSimple w:instr=" SEQ Table \* ARABIC ">
        <w:r w:rsidR="00BE0834">
          <w:rPr>
            <w:noProof/>
          </w:rPr>
          <w:t>1</w:t>
        </w:r>
      </w:fldSimple>
      <w:bookmarkEnd w:id="26"/>
      <w:r w:rsidRPr="0071162E">
        <w:t xml:space="preserve"> – </w:t>
      </w:r>
      <w:proofErr w:type="spellStart"/>
      <w:r w:rsidRPr="0071162E">
        <w:t>Ausgrid’s</w:t>
      </w:r>
      <w:proofErr w:type="spellEnd"/>
      <w:r w:rsidRPr="0071162E">
        <w:t xml:space="preserve"> Indicative NUOS (Excl. GST) Prices – Residential and Small Business Customer, by Published Tariff</w:t>
      </w:r>
    </w:p>
    <w:tbl>
      <w:tblPr>
        <w:tblW w:w="9840" w:type="dxa"/>
        <w:tblInd w:w="108" w:type="dxa"/>
        <w:tblBorders>
          <w:insideH w:val="single" w:sz="4" w:space="0" w:color="FFFFFF" w:themeColor="background1"/>
          <w:insideV w:val="single" w:sz="4" w:space="0" w:color="FFFFFF" w:themeColor="background1"/>
        </w:tblBorders>
        <w:tblLayout w:type="fixed"/>
        <w:tblCellMar>
          <w:top w:w="28" w:type="dxa"/>
          <w:left w:w="57" w:type="dxa"/>
          <w:right w:w="57" w:type="dxa"/>
        </w:tblCellMar>
        <w:tblLook w:val="01E0" w:firstRow="1" w:lastRow="1" w:firstColumn="1" w:lastColumn="1" w:noHBand="0" w:noVBand="0"/>
      </w:tblPr>
      <w:tblGrid>
        <w:gridCol w:w="792"/>
        <w:gridCol w:w="1675"/>
        <w:gridCol w:w="2565"/>
        <w:gridCol w:w="1063"/>
        <w:gridCol w:w="1258"/>
        <w:gridCol w:w="1258"/>
        <w:gridCol w:w="1229"/>
      </w:tblGrid>
      <w:tr w:rsidR="00A623F1" w:rsidRPr="00B50A16" w:rsidTr="00F93A72">
        <w:trPr>
          <w:trHeight w:hRule="exact" w:val="731"/>
        </w:trPr>
        <w:tc>
          <w:tcPr>
            <w:tcW w:w="792" w:type="dxa"/>
            <w:shd w:val="clear" w:color="auto" w:fill="0065A6"/>
          </w:tcPr>
          <w:p w:rsidR="003D7F43" w:rsidRPr="00722C30" w:rsidRDefault="003D7F43" w:rsidP="00461E45">
            <w:pPr>
              <w:spacing w:before="120" w:after="120"/>
              <w:ind w:left="34"/>
              <w:jc w:val="center"/>
              <w:rPr>
                <w:rFonts w:cs="Arial"/>
                <w:b/>
                <w:bCs/>
                <w:color w:val="FFFFFF" w:themeColor="background1"/>
                <w:szCs w:val="18"/>
              </w:rPr>
            </w:pPr>
            <w:r w:rsidRPr="00722C30">
              <w:rPr>
                <w:rFonts w:cs="Arial"/>
                <w:b/>
                <w:bCs/>
                <w:color w:val="FFFFFF" w:themeColor="background1"/>
                <w:szCs w:val="18"/>
              </w:rPr>
              <w:t>Tariff Code</w:t>
            </w:r>
          </w:p>
        </w:tc>
        <w:tc>
          <w:tcPr>
            <w:tcW w:w="1675" w:type="dxa"/>
            <w:shd w:val="clear" w:color="auto" w:fill="0065A6"/>
          </w:tcPr>
          <w:p w:rsidR="003D7F43" w:rsidRPr="00722C30" w:rsidRDefault="003D7F43" w:rsidP="00461E45">
            <w:pPr>
              <w:spacing w:before="120" w:after="120"/>
              <w:ind w:left="34"/>
              <w:jc w:val="center"/>
              <w:rPr>
                <w:rFonts w:cs="Arial"/>
                <w:b/>
                <w:bCs/>
                <w:color w:val="FFFFFF" w:themeColor="background1"/>
                <w:szCs w:val="18"/>
              </w:rPr>
            </w:pPr>
            <w:r w:rsidRPr="00722C30">
              <w:rPr>
                <w:rFonts w:cs="Arial"/>
                <w:b/>
                <w:bCs/>
                <w:color w:val="FFFFFF" w:themeColor="background1"/>
                <w:szCs w:val="18"/>
              </w:rPr>
              <w:t>Tariff Name</w:t>
            </w:r>
          </w:p>
        </w:tc>
        <w:tc>
          <w:tcPr>
            <w:tcW w:w="2565" w:type="dxa"/>
            <w:shd w:val="clear" w:color="auto" w:fill="0065A6"/>
          </w:tcPr>
          <w:p w:rsidR="003D7F43" w:rsidRPr="00722C30" w:rsidRDefault="003D7F43" w:rsidP="00461E45">
            <w:pPr>
              <w:spacing w:before="120" w:after="120"/>
              <w:ind w:left="34"/>
              <w:jc w:val="center"/>
              <w:rPr>
                <w:rFonts w:cs="Arial"/>
                <w:b/>
                <w:bCs/>
                <w:color w:val="FFFFFF" w:themeColor="background1"/>
                <w:szCs w:val="18"/>
              </w:rPr>
            </w:pPr>
            <w:r w:rsidRPr="00722C30">
              <w:rPr>
                <w:rFonts w:cs="Arial"/>
                <w:b/>
                <w:bCs/>
                <w:color w:val="FFFFFF" w:themeColor="background1"/>
                <w:szCs w:val="18"/>
              </w:rPr>
              <w:t>Charging Parameter</w:t>
            </w:r>
          </w:p>
        </w:tc>
        <w:tc>
          <w:tcPr>
            <w:tcW w:w="1063" w:type="dxa"/>
            <w:shd w:val="clear" w:color="auto" w:fill="0065A6"/>
          </w:tcPr>
          <w:p w:rsidR="003D7F43" w:rsidRPr="00722C30" w:rsidRDefault="003D7F43" w:rsidP="00461E45">
            <w:pPr>
              <w:spacing w:before="120" w:after="120"/>
              <w:ind w:left="33"/>
              <w:jc w:val="center"/>
              <w:rPr>
                <w:rFonts w:cs="Arial"/>
                <w:b/>
                <w:bCs/>
                <w:color w:val="FFFFFF" w:themeColor="background1"/>
                <w:szCs w:val="18"/>
              </w:rPr>
            </w:pPr>
            <w:r w:rsidRPr="00722C30">
              <w:rPr>
                <w:rFonts w:cs="Arial"/>
                <w:b/>
                <w:bCs/>
                <w:color w:val="FFFFFF" w:themeColor="background1"/>
                <w:szCs w:val="18"/>
              </w:rPr>
              <w:t>Unit</w:t>
            </w:r>
          </w:p>
        </w:tc>
        <w:tc>
          <w:tcPr>
            <w:tcW w:w="1258" w:type="dxa"/>
            <w:shd w:val="clear" w:color="auto" w:fill="0065A6"/>
          </w:tcPr>
          <w:p w:rsidR="003D7F43" w:rsidRPr="00722C30" w:rsidRDefault="003D7F43">
            <w:pPr>
              <w:spacing w:before="120" w:after="120"/>
              <w:ind w:left="33"/>
              <w:jc w:val="center"/>
              <w:rPr>
                <w:rFonts w:cs="Arial"/>
                <w:b/>
                <w:bCs/>
                <w:color w:val="FFFFFF" w:themeColor="background1"/>
                <w:szCs w:val="18"/>
              </w:rPr>
            </w:pPr>
            <w:r w:rsidRPr="00722C30">
              <w:rPr>
                <w:rFonts w:cs="Arial"/>
                <w:b/>
                <w:bCs/>
                <w:color w:val="FFFFFF" w:themeColor="background1"/>
                <w:szCs w:val="18"/>
              </w:rPr>
              <w:t>Actual</w:t>
            </w:r>
            <w:r w:rsidR="00B50A16" w:rsidRPr="00722C30">
              <w:rPr>
                <w:rFonts w:cs="Arial"/>
                <w:b/>
                <w:bCs/>
                <w:color w:val="FFFFFF" w:themeColor="background1"/>
                <w:szCs w:val="18"/>
              </w:rPr>
              <w:br/>
            </w:r>
            <w:r w:rsidRPr="00722C30">
              <w:rPr>
                <w:rFonts w:cs="Arial"/>
                <w:b/>
                <w:bCs/>
                <w:color w:val="FFFFFF" w:themeColor="background1"/>
                <w:szCs w:val="18"/>
              </w:rPr>
              <w:t>FY 2016/17</w:t>
            </w:r>
          </w:p>
        </w:tc>
        <w:tc>
          <w:tcPr>
            <w:tcW w:w="1258" w:type="dxa"/>
            <w:shd w:val="clear" w:color="auto" w:fill="0065A6"/>
          </w:tcPr>
          <w:p w:rsidR="003D7F43" w:rsidRPr="00722C30" w:rsidRDefault="00B50A16">
            <w:pPr>
              <w:spacing w:before="120" w:after="120"/>
              <w:ind w:left="33"/>
              <w:jc w:val="center"/>
              <w:rPr>
                <w:rFonts w:cs="Arial"/>
                <w:b/>
                <w:bCs/>
                <w:color w:val="FFFFFF" w:themeColor="background1"/>
                <w:szCs w:val="18"/>
              </w:rPr>
            </w:pPr>
            <w:r w:rsidRPr="00722C30">
              <w:rPr>
                <w:rFonts w:cs="Arial"/>
                <w:b/>
                <w:bCs/>
                <w:color w:val="FFFFFF" w:themeColor="background1"/>
                <w:szCs w:val="18"/>
              </w:rPr>
              <w:t xml:space="preserve">Indicative </w:t>
            </w:r>
            <w:r w:rsidR="00A623F1">
              <w:rPr>
                <w:rFonts w:cs="Arial"/>
                <w:b/>
                <w:bCs/>
                <w:color w:val="FFFFFF" w:themeColor="background1"/>
                <w:szCs w:val="18"/>
              </w:rPr>
              <w:br/>
            </w:r>
            <w:r w:rsidR="003D7F43" w:rsidRPr="00722C30">
              <w:rPr>
                <w:rFonts w:cs="Arial"/>
                <w:b/>
                <w:bCs/>
                <w:color w:val="FFFFFF" w:themeColor="background1"/>
                <w:szCs w:val="18"/>
              </w:rPr>
              <w:t>FY 2017/18</w:t>
            </w:r>
          </w:p>
        </w:tc>
        <w:tc>
          <w:tcPr>
            <w:tcW w:w="1229" w:type="dxa"/>
            <w:shd w:val="clear" w:color="auto" w:fill="0065A6"/>
          </w:tcPr>
          <w:p w:rsidR="003D7F43" w:rsidRPr="00722C30" w:rsidRDefault="003D7F43">
            <w:pPr>
              <w:spacing w:before="120" w:after="120"/>
              <w:ind w:left="33"/>
              <w:jc w:val="center"/>
              <w:rPr>
                <w:rFonts w:cs="Arial"/>
                <w:b/>
                <w:bCs/>
                <w:color w:val="FFFFFF" w:themeColor="background1"/>
                <w:szCs w:val="18"/>
              </w:rPr>
            </w:pPr>
            <w:r w:rsidRPr="00722C30">
              <w:rPr>
                <w:rFonts w:cs="Arial"/>
                <w:b/>
                <w:bCs/>
                <w:color w:val="FFFFFF" w:themeColor="background1"/>
                <w:szCs w:val="18"/>
              </w:rPr>
              <w:t>Indicative</w:t>
            </w:r>
            <w:r w:rsidR="00B50A16" w:rsidRPr="00722C30">
              <w:rPr>
                <w:rFonts w:cs="Arial"/>
                <w:b/>
                <w:bCs/>
                <w:color w:val="FFFFFF" w:themeColor="background1"/>
                <w:szCs w:val="18"/>
              </w:rPr>
              <w:t xml:space="preserve"> </w:t>
            </w:r>
            <w:r w:rsidRPr="00722C30">
              <w:rPr>
                <w:rFonts w:cs="Arial"/>
                <w:b/>
                <w:bCs/>
                <w:color w:val="FFFFFF" w:themeColor="background1"/>
                <w:szCs w:val="18"/>
              </w:rPr>
              <w:t>FY 2018/19</w:t>
            </w:r>
          </w:p>
        </w:tc>
      </w:tr>
      <w:tr w:rsidR="00A623F1" w:rsidRPr="00A52F8D" w:rsidTr="00F93A72">
        <w:trPr>
          <w:trHeight w:hRule="exact" w:val="478"/>
        </w:trPr>
        <w:tc>
          <w:tcPr>
            <w:tcW w:w="792" w:type="dxa"/>
            <w:vMerge w:val="restart"/>
            <w:shd w:val="clear" w:color="auto" w:fill="97C5EA"/>
            <w:vAlign w:val="center"/>
          </w:tcPr>
          <w:p w:rsidR="00750347" w:rsidRPr="00563D53" w:rsidRDefault="00750347" w:rsidP="00722C30">
            <w:pPr>
              <w:pStyle w:val="Tabletextboxed"/>
              <w:spacing w:before="20" w:after="20"/>
            </w:pPr>
            <w:r w:rsidRPr="00563D53">
              <w:t>EA010</w:t>
            </w:r>
          </w:p>
        </w:tc>
        <w:tc>
          <w:tcPr>
            <w:tcW w:w="1675" w:type="dxa"/>
            <w:vMerge w:val="restart"/>
            <w:shd w:val="clear" w:color="auto" w:fill="C6D9F1" w:themeFill="text2" w:themeFillTint="33"/>
            <w:vAlign w:val="center"/>
          </w:tcPr>
          <w:p w:rsidR="00750347" w:rsidRPr="00563D53" w:rsidRDefault="00750347" w:rsidP="00722C30">
            <w:pPr>
              <w:pStyle w:val="Tabletextboxed"/>
              <w:spacing w:before="20" w:after="20"/>
            </w:pPr>
            <w:r w:rsidRPr="00563D53">
              <w:t>Residential non-TOU Tariff</w:t>
            </w: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Fixed Charge</w:t>
            </w:r>
          </w:p>
        </w:tc>
        <w:tc>
          <w:tcPr>
            <w:tcW w:w="1063" w:type="dxa"/>
            <w:shd w:val="clear" w:color="auto" w:fill="DEEAF6"/>
            <w:vAlign w:val="center"/>
          </w:tcPr>
          <w:p w:rsidR="00750347" w:rsidRPr="00563D53" w:rsidRDefault="00750347">
            <w:pPr>
              <w:pStyle w:val="Tabletextboxed"/>
              <w:spacing w:before="20" w:after="20"/>
              <w:jc w:val="center"/>
            </w:pPr>
            <w:r w:rsidRPr="00563D53">
              <w:t>c/day</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33.24</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33.91</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34.76</w:t>
            </w:r>
          </w:p>
        </w:tc>
      </w:tr>
      <w:tr w:rsidR="00A623F1" w:rsidRPr="00A52F8D" w:rsidTr="00F93A72">
        <w:trPr>
          <w:trHeight w:hRule="exact" w:val="676"/>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First Block Energy Charge</w:t>
            </w:r>
            <w:r>
              <w:t xml:space="preserve"> / Flat Usage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10.97</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10.95</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11.20</w:t>
            </w:r>
          </w:p>
        </w:tc>
      </w:tr>
      <w:tr w:rsidR="00A623F1" w:rsidRPr="00A52F8D" w:rsidTr="00F93A72">
        <w:trPr>
          <w:trHeight w:hRule="exact" w:val="371"/>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Second Block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10.68</w:t>
            </w:r>
          </w:p>
        </w:tc>
        <w:tc>
          <w:tcPr>
            <w:tcW w:w="1258" w:type="dxa"/>
            <w:shd w:val="clear" w:color="auto" w:fill="DEEAF6"/>
            <w:vAlign w:val="center"/>
          </w:tcPr>
          <w:p w:rsidR="00750347" w:rsidRPr="00750347" w:rsidRDefault="00DF694F">
            <w:pPr>
              <w:pStyle w:val="Tabletextboxed"/>
              <w:spacing w:before="20" w:after="20"/>
              <w:jc w:val="center"/>
              <w:rPr>
                <w:highlight w:val="yellow"/>
              </w:rPr>
            </w:pPr>
            <w:r>
              <w:t>-</w:t>
            </w:r>
          </w:p>
        </w:tc>
        <w:tc>
          <w:tcPr>
            <w:tcW w:w="1229" w:type="dxa"/>
            <w:shd w:val="clear" w:color="auto" w:fill="DEEAF6"/>
            <w:vAlign w:val="center"/>
          </w:tcPr>
          <w:p w:rsidR="00750347" w:rsidRPr="00750347" w:rsidRDefault="00DF694F">
            <w:pPr>
              <w:pStyle w:val="Tabletextboxed"/>
              <w:spacing w:before="20" w:after="20"/>
              <w:jc w:val="center"/>
              <w:rPr>
                <w:highlight w:val="yellow"/>
              </w:rPr>
            </w:pPr>
            <w:r>
              <w:t>-</w:t>
            </w:r>
          </w:p>
        </w:tc>
      </w:tr>
      <w:tr w:rsidR="00A623F1" w:rsidRPr="00A52F8D" w:rsidTr="00F93A72">
        <w:trPr>
          <w:trHeight w:hRule="exact" w:val="421"/>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Third Block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10.42</w:t>
            </w:r>
          </w:p>
        </w:tc>
        <w:tc>
          <w:tcPr>
            <w:tcW w:w="1258" w:type="dxa"/>
            <w:shd w:val="clear" w:color="auto" w:fill="DEEAF6"/>
            <w:vAlign w:val="center"/>
          </w:tcPr>
          <w:p w:rsidR="00750347" w:rsidRPr="00750347" w:rsidRDefault="00DF694F">
            <w:pPr>
              <w:pStyle w:val="Tabletextboxed"/>
              <w:spacing w:before="20" w:after="20"/>
              <w:jc w:val="center"/>
              <w:rPr>
                <w:highlight w:val="yellow"/>
              </w:rPr>
            </w:pPr>
            <w:r>
              <w:t>-</w:t>
            </w:r>
          </w:p>
        </w:tc>
        <w:tc>
          <w:tcPr>
            <w:tcW w:w="1229" w:type="dxa"/>
            <w:shd w:val="clear" w:color="auto" w:fill="DEEAF6"/>
            <w:vAlign w:val="center"/>
          </w:tcPr>
          <w:p w:rsidR="00750347" w:rsidRPr="00750347" w:rsidRDefault="00DF694F">
            <w:pPr>
              <w:pStyle w:val="Tabletextboxed"/>
              <w:spacing w:before="20" w:after="20"/>
              <w:jc w:val="center"/>
              <w:rPr>
                <w:highlight w:val="yellow"/>
              </w:rPr>
            </w:pPr>
            <w:r>
              <w:t>-</w:t>
            </w:r>
          </w:p>
        </w:tc>
      </w:tr>
      <w:tr w:rsidR="00A623F1" w:rsidRPr="00A52F8D" w:rsidTr="00F93A72">
        <w:trPr>
          <w:trHeight w:hRule="exact" w:val="428"/>
        </w:trPr>
        <w:tc>
          <w:tcPr>
            <w:tcW w:w="792" w:type="dxa"/>
            <w:vMerge w:val="restart"/>
            <w:shd w:val="clear" w:color="auto" w:fill="97C5EA"/>
            <w:vAlign w:val="center"/>
          </w:tcPr>
          <w:p w:rsidR="00750347" w:rsidRPr="00563D53" w:rsidRDefault="00750347" w:rsidP="00722C30">
            <w:pPr>
              <w:pStyle w:val="Tabletextboxed"/>
              <w:spacing w:before="20" w:after="20"/>
            </w:pPr>
            <w:r w:rsidRPr="00563D53">
              <w:t>EA050</w:t>
            </w:r>
          </w:p>
        </w:tc>
        <w:tc>
          <w:tcPr>
            <w:tcW w:w="1675" w:type="dxa"/>
            <w:vMerge w:val="restart"/>
            <w:shd w:val="clear" w:color="auto" w:fill="C6D9F1" w:themeFill="text2" w:themeFillTint="33"/>
            <w:vAlign w:val="center"/>
          </w:tcPr>
          <w:p w:rsidR="00750347" w:rsidRPr="00563D53" w:rsidRDefault="00750347" w:rsidP="00722C30">
            <w:pPr>
              <w:pStyle w:val="Tabletextboxed"/>
              <w:spacing w:before="20" w:after="20"/>
            </w:pPr>
            <w:r w:rsidRPr="00563D53">
              <w:t>Small Business non-TOU Tariff</w:t>
            </w: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Fixed Charge</w:t>
            </w:r>
          </w:p>
        </w:tc>
        <w:tc>
          <w:tcPr>
            <w:tcW w:w="1063" w:type="dxa"/>
            <w:shd w:val="clear" w:color="auto" w:fill="DEEAF6"/>
            <w:vAlign w:val="center"/>
          </w:tcPr>
          <w:p w:rsidR="00750347" w:rsidRPr="00563D53" w:rsidRDefault="00750347">
            <w:pPr>
              <w:pStyle w:val="Tabletextboxed"/>
              <w:spacing w:before="20" w:after="20"/>
              <w:jc w:val="center"/>
            </w:pPr>
            <w:r w:rsidRPr="00563D53">
              <w:t>c/day</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119.78</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122.18</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125.23</w:t>
            </w:r>
          </w:p>
        </w:tc>
      </w:tr>
      <w:tr w:rsidR="00A623F1" w:rsidRPr="00A52F8D" w:rsidTr="00F93A72">
        <w:trPr>
          <w:trHeight w:hRule="exact" w:val="631"/>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 xml:space="preserve">First Block Energy </w:t>
            </w:r>
            <w:r>
              <w:t>Charge / Flat Usage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10.79</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10.77</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11.04</w:t>
            </w:r>
          </w:p>
        </w:tc>
      </w:tr>
      <w:tr w:rsidR="00A623F1" w:rsidRPr="00A52F8D" w:rsidTr="00F93A72">
        <w:trPr>
          <w:trHeight w:hRule="exact" w:val="473"/>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Second Block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10.48</w:t>
            </w:r>
          </w:p>
        </w:tc>
        <w:tc>
          <w:tcPr>
            <w:tcW w:w="1258" w:type="dxa"/>
            <w:shd w:val="clear" w:color="auto" w:fill="DEEAF6"/>
            <w:vAlign w:val="center"/>
          </w:tcPr>
          <w:p w:rsidR="00750347" w:rsidRPr="00750347" w:rsidRDefault="00DF694F">
            <w:pPr>
              <w:pStyle w:val="Tabletextboxed"/>
              <w:spacing w:before="20" w:after="20"/>
              <w:jc w:val="center"/>
              <w:rPr>
                <w:highlight w:val="yellow"/>
              </w:rPr>
            </w:pPr>
            <w:r>
              <w:t>-</w:t>
            </w:r>
          </w:p>
        </w:tc>
        <w:tc>
          <w:tcPr>
            <w:tcW w:w="1229" w:type="dxa"/>
            <w:shd w:val="clear" w:color="auto" w:fill="DEEAF6"/>
            <w:vAlign w:val="center"/>
          </w:tcPr>
          <w:p w:rsidR="00750347" w:rsidRPr="00750347" w:rsidRDefault="00DF694F">
            <w:pPr>
              <w:pStyle w:val="Tabletextboxed"/>
              <w:spacing w:before="20" w:after="20"/>
              <w:jc w:val="center"/>
              <w:rPr>
                <w:highlight w:val="yellow"/>
              </w:rPr>
            </w:pPr>
            <w:r>
              <w:t>-</w:t>
            </w:r>
          </w:p>
        </w:tc>
      </w:tr>
      <w:tr w:rsidR="00A623F1" w:rsidRPr="00A52F8D" w:rsidTr="00F93A72">
        <w:trPr>
          <w:trHeight w:hRule="exact" w:val="424"/>
        </w:trPr>
        <w:tc>
          <w:tcPr>
            <w:tcW w:w="792" w:type="dxa"/>
            <w:vMerge w:val="restart"/>
            <w:shd w:val="clear" w:color="auto" w:fill="97C5EA"/>
            <w:vAlign w:val="center"/>
          </w:tcPr>
          <w:p w:rsidR="00750347" w:rsidRPr="00563D53" w:rsidRDefault="00750347" w:rsidP="00722C30">
            <w:pPr>
              <w:pStyle w:val="Tabletextboxed"/>
              <w:spacing w:before="20" w:after="20"/>
              <w:rPr>
                <w:color w:val="FFFFFF"/>
              </w:rPr>
            </w:pPr>
            <w:r w:rsidRPr="00563D53">
              <w:t>EA025</w:t>
            </w:r>
          </w:p>
        </w:tc>
        <w:tc>
          <w:tcPr>
            <w:tcW w:w="1675" w:type="dxa"/>
            <w:vMerge w:val="restart"/>
            <w:shd w:val="clear" w:color="auto" w:fill="C6D9F1" w:themeFill="text2" w:themeFillTint="33"/>
            <w:vAlign w:val="center"/>
          </w:tcPr>
          <w:p w:rsidR="00750347" w:rsidRPr="00563D53" w:rsidRDefault="00750347" w:rsidP="00722C30">
            <w:pPr>
              <w:pStyle w:val="Tabletextboxed"/>
              <w:spacing w:before="20" w:after="20"/>
            </w:pPr>
            <w:r w:rsidRPr="00563D53">
              <w:t>Residential TOU Tariff</w:t>
            </w: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Fixed Charge</w:t>
            </w:r>
          </w:p>
        </w:tc>
        <w:tc>
          <w:tcPr>
            <w:tcW w:w="1063" w:type="dxa"/>
            <w:shd w:val="clear" w:color="auto" w:fill="DEEAF6"/>
            <w:vAlign w:val="center"/>
          </w:tcPr>
          <w:p w:rsidR="00750347" w:rsidRPr="00563D53" w:rsidRDefault="00750347">
            <w:pPr>
              <w:pStyle w:val="Tabletextboxed"/>
              <w:spacing w:before="20" w:after="20"/>
              <w:jc w:val="center"/>
            </w:pPr>
            <w:r w:rsidRPr="00563D53">
              <w:t>c/day</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41.45</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42.27</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43.33</w:t>
            </w:r>
          </w:p>
        </w:tc>
      </w:tr>
      <w:tr w:rsidR="00A623F1" w:rsidRPr="00A52F8D" w:rsidTr="00F93A72">
        <w:trPr>
          <w:trHeight w:hRule="exact" w:val="430"/>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Peak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26.47</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26.60</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30.69</w:t>
            </w:r>
          </w:p>
        </w:tc>
      </w:tr>
      <w:tr w:rsidR="00A623F1" w:rsidRPr="00A52F8D" w:rsidTr="00F93A72">
        <w:trPr>
          <w:trHeight w:hRule="exact" w:val="421"/>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Shoulder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5.48</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5.48</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6.32</w:t>
            </w:r>
          </w:p>
        </w:tc>
      </w:tr>
      <w:tr w:rsidR="00A623F1" w:rsidRPr="00A52F8D" w:rsidTr="00F93A72">
        <w:trPr>
          <w:trHeight w:hRule="exact" w:val="415"/>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Off-peak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2.79</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2.81</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3.24</w:t>
            </w:r>
          </w:p>
        </w:tc>
      </w:tr>
      <w:tr w:rsidR="00A623F1" w:rsidRPr="00A52F8D" w:rsidTr="00F93A72">
        <w:trPr>
          <w:trHeight w:hRule="exact" w:val="421"/>
        </w:trPr>
        <w:tc>
          <w:tcPr>
            <w:tcW w:w="792" w:type="dxa"/>
            <w:vMerge w:val="restart"/>
            <w:shd w:val="clear" w:color="auto" w:fill="97C5EA"/>
            <w:vAlign w:val="center"/>
          </w:tcPr>
          <w:p w:rsidR="00750347" w:rsidRPr="00563D53" w:rsidRDefault="00750347" w:rsidP="00722C30">
            <w:pPr>
              <w:pStyle w:val="Tabletextboxed"/>
              <w:spacing w:before="20" w:after="20"/>
            </w:pPr>
            <w:r w:rsidRPr="00563D53">
              <w:t>EA225</w:t>
            </w:r>
          </w:p>
        </w:tc>
        <w:tc>
          <w:tcPr>
            <w:tcW w:w="1675" w:type="dxa"/>
            <w:vMerge w:val="restart"/>
            <w:shd w:val="clear" w:color="auto" w:fill="C6D9F1" w:themeFill="text2" w:themeFillTint="33"/>
            <w:vAlign w:val="center"/>
          </w:tcPr>
          <w:p w:rsidR="00750347" w:rsidRPr="00563D53" w:rsidRDefault="00750347" w:rsidP="00722C30">
            <w:pPr>
              <w:pStyle w:val="Tabletextboxed"/>
              <w:spacing w:before="20" w:after="20"/>
            </w:pPr>
            <w:r w:rsidRPr="00563D53">
              <w:t>Small Business TOU Tariff</w:t>
            </w: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Fixed Charge</w:t>
            </w:r>
          </w:p>
        </w:tc>
        <w:tc>
          <w:tcPr>
            <w:tcW w:w="1063" w:type="dxa"/>
            <w:shd w:val="clear" w:color="auto" w:fill="DEEAF6"/>
            <w:vAlign w:val="center"/>
          </w:tcPr>
          <w:p w:rsidR="00750347" w:rsidRPr="00563D53" w:rsidRDefault="00750347">
            <w:pPr>
              <w:pStyle w:val="Tabletextboxed"/>
              <w:spacing w:before="20" w:after="20"/>
              <w:jc w:val="center"/>
            </w:pPr>
            <w:r w:rsidRPr="00563D53">
              <w:t>c/day</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118.21</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120.57</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123.58</w:t>
            </w:r>
          </w:p>
        </w:tc>
      </w:tr>
      <w:tr w:rsidR="00A623F1" w:rsidRPr="00A52F8D" w:rsidTr="00F93A72">
        <w:trPr>
          <w:trHeight w:hRule="exact" w:val="428"/>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Peak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21.78</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21.91</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25.62</w:t>
            </w:r>
          </w:p>
        </w:tc>
      </w:tr>
      <w:tr w:rsidR="00A623F1" w:rsidRPr="00A52F8D" w:rsidTr="00F93A72">
        <w:trPr>
          <w:trHeight w:hRule="exact" w:val="420"/>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Shoulder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6.91</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6.92</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8.04</w:t>
            </w:r>
          </w:p>
        </w:tc>
      </w:tr>
      <w:tr w:rsidR="00A623F1" w:rsidRPr="00A52F8D" w:rsidTr="00F93A72">
        <w:trPr>
          <w:trHeight w:hRule="exact" w:val="428"/>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Off-peak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2.11</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2.14</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2.50</w:t>
            </w:r>
          </w:p>
        </w:tc>
      </w:tr>
      <w:tr w:rsidR="00A623F1" w:rsidRPr="00A52F8D" w:rsidTr="00F93A72">
        <w:trPr>
          <w:trHeight w:hRule="exact" w:val="428"/>
        </w:trPr>
        <w:tc>
          <w:tcPr>
            <w:tcW w:w="792" w:type="dxa"/>
            <w:vMerge w:val="restart"/>
            <w:shd w:val="clear" w:color="auto" w:fill="97C5EA"/>
            <w:vAlign w:val="center"/>
          </w:tcPr>
          <w:p w:rsidR="00750347" w:rsidRPr="00563D53" w:rsidRDefault="00750347" w:rsidP="00722C30">
            <w:pPr>
              <w:pStyle w:val="Tabletextboxed"/>
              <w:spacing w:before="20" w:after="20"/>
              <w:rPr>
                <w:color w:val="FFFFFF"/>
              </w:rPr>
            </w:pPr>
            <w:r w:rsidRPr="00563D53">
              <w:t>EA030</w:t>
            </w:r>
          </w:p>
        </w:tc>
        <w:tc>
          <w:tcPr>
            <w:tcW w:w="1675" w:type="dxa"/>
            <w:vMerge w:val="restart"/>
            <w:shd w:val="clear" w:color="auto" w:fill="C6D9F1" w:themeFill="text2" w:themeFillTint="33"/>
            <w:vAlign w:val="center"/>
          </w:tcPr>
          <w:p w:rsidR="00750347" w:rsidRPr="00563D53" w:rsidRDefault="00750347" w:rsidP="00722C30">
            <w:pPr>
              <w:pStyle w:val="Tabletextboxed"/>
              <w:spacing w:before="20" w:after="20"/>
            </w:pPr>
            <w:r w:rsidRPr="00563D53">
              <w:t>Controlled Load 1</w:t>
            </w: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Fixed Charge</w:t>
            </w:r>
          </w:p>
        </w:tc>
        <w:tc>
          <w:tcPr>
            <w:tcW w:w="1063" w:type="dxa"/>
            <w:shd w:val="clear" w:color="auto" w:fill="DEEAF6"/>
            <w:vAlign w:val="center"/>
          </w:tcPr>
          <w:p w:rsidR="00750347" w:rsidRPr="00563D53" w:rsidRDefault="00750347">
            <w:pPr>
              <w:pStyle w:val="Tabletextboxed"/>
              <w:spacing w:before="20" w:after="20"/>
              <w:jc w:val="center"/>
            </w:pPr>
            <w:r w:rsidRPr="00563D53">
              <w:t>c/day</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0.14</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0.14</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0.14</w:t>
            </w:r>
          </w:p>
        </w:tc>
      </w:tr>
      <w:tr w:rsidR="00A623F1" w:rsidRPr="00A52F8D" w:rsidTr="00F93A72">
        <w:trPr>
          <w:trHeight w:hRule="exact" w:val="419"/>
        </w:trPr>
        <w:tc>
          <w:tcPr>
            <w:tcW w:w="792" w:type="dxa"/>
            <w:vMerge/>
            <w:shd w:val="clear" w:color="auto" w:fill="97C5EA"/>
            <w:vAlign w:val="center"/>
          </w:tcPr>
          <w:p w:rsidR="00750347" w:rsidRPr="00563D53" w:rsidRDefault="00750347" w:rsidP="00722C30">
            <w:pPr>
              <w:pStyle w:val="Tabletextboxed"/>
              <w:spacing w:before="20" w:after="20"/>
            </w:pPr>
          </w:p>
        </w:tc>
        <w:tc>
          <w:tcPr>
            <w:tcW w:w="1675" w:type="dxa"/>
            <w:vMerge/>
            <w:shd w:val="clear" w:color="auto" w:fill="C6D9F1" w:themeFill="text2" w:themeFillTint="33"/>
            <w:vAlign w:val="center"/>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Anytime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1.77</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1.81</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1.85</w:t>
            </w:r>
          </w:p>
        </w:tc>
      </w:tr>
      <w:tr w:rsidR="00A623F1" w:rsidRPr="00A52F8D" w:rsidTr="00F93A72">
        <w:trPr>
          <w:trHeight w:hRule="exact" w:val="426"/>
        </w:trPr>
        <w:tc>
          <w:tcPr>
            <w:tcW w:w="792" w:type="dxa"/>
            <w:vMerge w:val="restart"/>
            <w:shd w:val="clear" w:color="auto" w:fill="97C5EA"/>
            <w:vAlign w:val="center"/>
          </w:tcPr>
          <w:p w:rsidR="00750347" w:rsidRPr="00563D53" w:rsidRDefault="00750347" w:rsidP="00722C30">
            <w:pPr>
              <w:pStyle w:val="Tabletextboxed"/>
              <w:spacing w:before="20" w:after="20"/>
            </w:pPr>
            <w:r w:rsidRPr="00563D53">
              <w:t>EA040</w:t>
            </w:r>
          </w:p>
        </w:tc>
        <w:tc>
          <w:tcPr>
            <w:tcW w:w="1675" w:type="dxa"/>
            <w:vMerge w:val="restart"/>
            <w:shd w:val="clear" w:color="auto" w:fill="C6D9F1" w:themeFill="text2" w:themeFillTint="33"/>
            <w:vAlign w:val="center"/>
          </w:tcPr>
          <w:p w:rsidR="00750347" w:rsidRPr="00563D53" w:rsidRDefault="00750347" w:rsidP="00722C30">
            <w:pPr>
              <w:pStyle w:val="Tabletextboxed"/>
              <w:spacing w:before="20" w:after="20"/>
            </w:pPr>
            <w:r w:rsidRPr="00563D53">
              <w:t>Controlled Load 2</w:t>
            </w: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Fixed Charge</w:t>
            </w:r>
          </w:p>
        </w:tc>
        <w:tc>
          <w:tcPr>
            <w:tcW w:w="1063" w:type="dxa"/>
            <w:shd w:val="clear" w:color="auto" w:fill="DEEAF6"/>
            <w:vAlign w:val="center"/>
          </w:tcPr>
          <w:p w:rsidR="00750347" w:rsidRPr="00563D53" w:rsidRDefault="00750347">
            <w:pPr>
              <w:pStyle w:val="Tabletextboxed"/>
              <w:spacing w:before="20" w:after="20"/>
              <w:jc w:val="center"/>
            </w:pPr>
            <w:r w:rsidRPr="00563D53">
              <w:t>c/day</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10.04</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10.24</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10.50</w:t>
            </w:r>
          </w:p>
        </w:tc>
      </w:tr>
      <w:tr w:rsidR="00A623F1" w:rsidRPr="00A52F8D" w:rsidTr="00F93A72">
        <w:trPr>
          <w:trHeight w:hRule="exact" w:val="432"/>
        </w:trPr>
        <w:tc>
          <w:tcPr>
            <w:tcW w:w="792" w:type="dxa"/>
            <w:vMerge/>
            <w:shd w:val="clear" w:color="auto" w:fill="97C5EA"/>
          </w:tcPr>
          <w:p w:rsidR="00750347" w:rsidRPr="00563D53" w:rsidRDefault="00750347" w:rsidP="00722C30">
            <w:pPr>
              <w:pStyle w:val="Tabletextboxed"/>
              <w:spacing w:before="20" w:after="20"/>
            </w:pPr>
          </w:p>
        </w:tc>
        <w:tc>
          <w:tcPr>
            <w:tcW w:w="1675" w:type="dxa"/>
            <w:vMerge/>
            <w:shd w:val="clear" w:color="auto" w:fill="C6D9F1" w:themeFill="text2" w:themeFillTint="33"/>
          </w:tcPr>
          <w:p w:rsidR="00750347" w:rsidRPr="00563D53" w:rsidRDefault="00750347" w:rsidP="00722C30">
            <w:pPr>
              <w:pStyle w:val="Tabletextboxed"/>
              <w:spacing w:before="20" w:after="20"/>
            </w:pPr>
          </w:p>
        </w:tc>
        <w:tc>
          <w:tcPr>
            <w:tcW w:w="2565" w:type="dxa"/>
            <w:shd w:val="clear" w:color="auto" w:fill="C6D9F1" w:themeFill="text2" w:themeFillTint="33"/>
            <w:vAlign w:val="center"/>
          </w:tcPr>
          <w:p w:rsidR="00750347" w:rsidRPr="00563D53" w:rsidRDefault="00750347" w:rsidP="00722C30">
            <w:pPr>
              <w:pStyle w:val="Tabletextboxed"/>
              <w:spacing w:before="20" w:after="20"/>
            </w:pPr>
            <w:r w:rsidRPr="00563D53">
              <w:t>Anytime Energy Charge</w:t>
            </w:r>
          </w:p>
        </w:tc>
        <w:tc>
          <w:tcPr>
            <w:tcW w:w="1063" w:type="dxa"/>
            <w:shd w:val="clear" w:color="auto" w:fill="DEEAF6"/>
            <w:vAlign w:val="center"/>
          </w:tcPr>
          <w:p w:rsidR="00750347" w:rsidRPr="00563D53" w:rsidRDefault="00750347">
            <w:pPr>
              <w:pStyle w:val="Tabletextboxed"/>
              <w:spacing w:before="20" w:after="20"/>
              <w:jc w:val="center"/>
            </w:pPr>
            <w:r w:rsidRPr="00563D53">
              <w:t>c/kWh</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4.69</w:t>
            </w:r>
          </w:p>
        </w:tc>
        <w:tc>
          <w:tcPr>
            <w:tcW w:w="1258" w:type="dxa"/>
            <w:shd w:val="clear" w:color="auto" w:fill="DEEAF6"/>
            <w:vAlign w:val="center"/>
          </w:tcPr>
          <w:p w:rsidR="00750347" w:rsidRPr="00750347" w:rsidRDefault="00750347">
            <w:pPr>
              <w:pStyle w:val="Tabletextboxed"/>
              <w:spacing w:before="20" w:after="20"/>
              <w:jc w:val="center"/>
              <w:rPr>
                <w:highlight w:val="yellow"/>
              </w:rPr>
            </w:pPr>
            <w:r w:rsidRPr="0068721E">
              <w:t>4.80</w:t>
            </w:r>
          </w:p>
        </w:tc>
        <w:tc>
          <w:tcPr>
            <w:tcW w:w="1229" w:type="dxa"/>
            <w:shd w:val="clear" w:color="auto" w:fill="DEEAF6"/>
            <w:vAlign w:val="center"/>
          </w:tcPr>
          <w:p w:rsidR="00750347" w:rsidRPr="00750347" w:rsidRDefault="00750347">
            <w:pPr>
              <w:pStyle w:val="Tabletextboxed"/>
              <w:spacing w:before="20" w:after="20"/>
              <w:jc w:val="center"/>
              <w:rPr>
                <w:highlight w:val="yellow"/>
              </w:rPr>
            </w:pPr>
            <w:r w:rsidRPr="0068721E">
              <w:t>4.92</w:t>
            </w:r>
          </w:p>
        </w:tc>
      </w:tr>
      <w:tr w:rsidR="00A623F1" w:rsidRPr="00A52F8D" w:rsidTr="00F93A72">
        <w:trPr>
          <w:trHeight w:hRule="exact" w:val="467"/>
        </w:trPr>
        <w:tc>
          <w:tcPr>
            <w:tcW w:w="792" w:type="dxa"/>
            <w:vMerge w:val="restart"/>
            <w:shd w:val="clear" w:color="auto" w:fill="97C5EA"/>
            <w:vAlign w:val="center"/>
          </w:tcPr>
          <w:p w:rsidR="00431102" w:rsidRPr="00563D53" w:rsidRDefault="00431102" w:rsidP="00722C30">
            <w:pPr>
              <w:pStyle w:val="Tabletextboxed"/>
              <w:spacing w:before="20" w:after="20"/>
            </w:pPr>
            <w:r>
              <w:t>EA332</w:t>
            </w:r>
          </w:p>
        </w:tc>
        <w:tc>
          <w:tcPr>
            <w:tcW w:w="1675" w:type="dxa"/>
            <w:vMerge w:val="restart"/>
            <w:shd w:val="clear" w:color="auto" w:fill="C6D9F1" w:themeFill="text2" w:themeFillTint="33"/>
            <w:vAlign w:val="center"/>
          </w:tcPr>
          <w:p w:rsidR="00431102" w:rsidRPr="00563D53" w:rsidRDefault="00431102" w:rsidP="00722C30">
            <w:pPr>
              <w:pStyle w:val="Tabletextboxed"/>
              <w:spacing w:before="20" w:after="20"/>
            </w:pPr>
            <w:r>
              <w:t xml:space="preserve">Residential Transitional TOU </w:t>
            </w:r>
          </w:p>
        </w:tc>
        <w:tc>
          <w:tcPr>
            <w:tcW w:w="2565" w:type="dxa"/>
            <w:shd w:val="clear" w:color="auto" w:fill="C6D9F1" w:themeFill="text2" w:themeFillTint="33"/>
            <w:vAlign w:val="center"/>
          </w:tcPr>
          <w:p w:rsidR="00431102" w:rsidRPr="00563D53" w:rsidRDefault="00431102" w:rsidP="00722C30">
            <w:pPr>
              <w:pStyle w:val="Tabletextboxed"/>
              <w:spacing w:before="20" w:after="20"/>
            </w:pPr>
            <w:r w:rsidRPr="00563D53">
              <w:t>Fixed Charge</w:t>
            </w:r>
          </w:p>
        </w:tc>
        <w:tc>
          <w:tcPr>
            <w:tcW w:w="1063" w:type="dxa"/>
            <w:shd w:val="clear" w:color="auto" w:fill="DEEAF6"/>
            <w:vAlign w:val="center"/>
          </w:tcPr>
          <w:p w:rsidR="00431102" w:rsidRPr="00563D53" w:rsidRDefault="00431102">
            <w:pPr>
              <w:pStyle w:val="Tabletextboxed"/>
              <w:spacing w:before="20" w:after="20"/>
              <w:jc w:val="center"/>
            </w:pPr>
            <w:r w:rsidRPr="00563D53">
              <w:t>c/day</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29" w:type="dxa"/>
            <w:shd w:val="clear" w:color="auto" w:fill="DEEAF6"/>
            <w:vAlign w:val="center"/>
          </w:tcPr>
          <w:p w:rsidR="00431102" w:rsidRPr="00750347" w:rsidRDefault="00431102">
            <w:pPr>
              <w:pStyle w:val="Tabletextboxed"/>
              <w:spacing w:before="20" w:after="20"/>
              <w:jc w:val="center"/>
            </w:pPr>
            <w:r w:rsidRPr="00750347">
              <w:t>34.76</w:t>
            </w:r>
          </w:p>
        </w:tc>
      </w:tr>
      <w:tr w:rsidR="00A623F1" w:rsidRPr="00A52F8D" w:rsidTr="00F93A72">
        <w:trPr>
          <w:trHeight w:hRule="exact" w:val="467"/>
        </w:trPr>
        <w:tc>
          <w:tcPr>
            <w:tcW w:w="792" w:type="dxa"/>
            <w:vMerge/>
            <w:shd w:val="clear" w:color="auto" w:fill="97C5EA"/>
          </w:tcPr>
          <w:p w:rsidR="00431102" w:rsidRPr="00563D53" w:rsidRDefault="00431102" w:rsidP="00722C30">
            <w:pPr>
              <w:pStyle w:val="Tabletextboxed"/>
              <w:spacing w:before="20" w:after="20"/>
            </w:pPr>
          </w:p>
        </w:tc>
        <w:tc>
          <w:tcPr>
            <w:tcW w:w="1675" w:type="dxa"/>
            <w:vMerge/>
            <w:shd w:val="clear" w:color="auto" w:fill="C6D9F1" w:themeFill="text2" w:themeFillTint="33"/>
          </w:tcPr>
          <w:p w:rsidR="00431102" w:rsidRPr="00563D53" w:rsidRDefault="00431102" w:rsidP="00722C30">
            <w:pPr>
              <w:pStyle w:val="Tabletextboxed"/>
              <w:spacing w:before="20" w:after="20"/>
            </w:pPr>
          </w:p>
        </w:tc>
        <w:tc>
          <w:tcPr>
            <w:tcW w:w="2565" w:type="dxa"/>
            <w:shd w:val="clear" w:color="auto" w:fill="C6D9F1" w:themeFill="text2" w:themeFillTint="33"/>
            <w:vAlign w:val="center"/>
          </w:tcPr>
          <w:p w:rsidR="00431102" w:rsidRPr="00563D53" w:rsidRDefault="00431102" w:rsidP="00722C30">
            <w:pPr>
              <w:pStyle w:val="Tabletextboxed"/>
              <w:spacing w:before="20" w:after="20"/>
            </w:pPr>
            <w:r w:rsidRPr="00563D53">
              <w:t>Peak Energy Charge</w:t>
            </w:r>
          </w:p>
        </w:tc>
        <w:tc>
          <w:tcPr>
            <w:tcW w:w="1063" w:type="dxa"/>
            <w:shd w:val="clear" w:color="auto" w:fill="DEEAF6"/>
            <w:vAlign w:val="center"/>
          </w:tcPr>
          <w:p w:rsidR="00431102" w:rsidRPr="00563D53" w:rsidRDefault="00431102">
            <w:pPr>
              <w:pStyle w:val="Tabletextboxed"/>
              <w:spacing w:before="20" w:after="20"/>
              <w:jc w:val="center"/>
            </w:pPr>
            <w:r w:rsidRPr="00563D53">
              <w:t>c/kWh</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29" w:type="dxa"/>
            <w:shd w:val="clear" w:color="auto" w:fill="DEEAF6"/>
            <w:vAlign w:val="center"/>
          </w:tcPr>
          <w:p w:rsidR="00431102" w:rsidRPr="00750347" w:rsidRDefault="00750347">
            <w:pPr>
              <w:pStyle w:val="Tabletextboxed"/>
              <w:spacing w:before="20" w:after="20"/>
              <w:jc w:val="center"/>
            </w:pPr>
            <w:r w:rsidRPr="0068721E">
              <w:t>11.20</w:t>
            </w:r>
          </w:p>
        </w:tc>
      </w:tr>
      <w:tr w:rsidR="00A623F1" w:rsidRPr="00A52F8D" w:rsidTr="00F93A72">
        <w:trPr>
          <w:trHeight w:hRule="exact" w:val="467"/>
        </w:trPr>
        <w:tc>
          <w:tcPr>
            <w:tcW w:w="792" w:type="dxa"/>
            <w:vMerge/>
            <w:shd w:val="clear" w:color="auto" w:fill="97C5EA"/>
          </w:tcPr>
          <w:p w:rsidR="00431102" w:rsidRPr="00563D53" w:rsidRDefault="00431102" w:rsidP="00722C30">
            <w:pPr>
              <w:pStyle w:val="Tabletextboxed"/>
              <w:spacing w:before="20" w:after="20"/>
            </w:pPr>
          </w:p>
        </w:tc>
        <w:tc>
          <w:tcPr>
            <w:tcW w:w="1675" w:type="dxa"/>
            <w:vMerge/>
            <w:shd w:val="clear" w:color="auto" w:fill="C6D9F1" w:themeFill="text2" w:themeFillTint="33"/>
          </w:tcPr>
          <w:p w:rsidR="00431102" w:rsidRPr="00563D53" w:rsidRDefault="00431102" w:rsidP="00722C30">
            <w:pPr>
              <w:pStyle w:val="Tabletextboxed"/>
              <w:spacing w:before="20" w:after="20"/>
            </w:pPr>
          </w:p>
        </w:tc>
        <w:tc>
          <w:tcPr>
            <w:tcW w:w="2565" w:type="dxa"/>
            <w:shd w:val="clear" w:color="auto" w:fill="C6D9F1" w:themeFill="text2" w:themeFillTint="33"/>
            <w:vAlign w:val="center"/>
          </w:tcPr>
          <w:p w:rsidR="00431102" w:rsidRPr="00563D53" w:rsidRDefault="00431102" w:rsidP="00722C30">
            <w:pPr>
              <w:pStyle w:val="Tabletextboxed"/>
              <w:spacing w:before="20" w:after="20"/>
            </w:pPr>
            <w:r w:rsidRPr="00563D53">
              <w:t>Shoulder Energy Charge</w:t>
            </w:r>
          </w:p>
        </w:tc>
        <w:tc>
          <w:tcPr>
            <w:tcW w:w="1063" w:type="dxa"/>
            <w:shd w:val="clear" w:color="auto" w:fill="DEEAF6"/>
            <w:vAlign w:val="center"/>
          </w:tcPr>
          <w:p w:rsidR="00431102" w:rsidRPr="00563D53" w:rsidRDefault="00431102">
            <w:pPr>
              <w:pStyle w:val="Tabletextboxed"/>
              <w:spacing w:before="20" w:after="20"/>
              <w:jc w:val="center"/>
            </w:pPr>
            <w:r w:rsidRPr="00563D53">
              <w:t>c/kWh</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29" w:type="dxa"/>
            <w:shd w:val="clear" w:color="auto" w:fill="DEEAF6"/>
            <w:vAlign w:val="center"/>
          </w:tcPr>
          <w:p w:rsidR="00431102" w:rsidRPr="00750347" w:rsidRDefault="00750347">
            <w:pPr>
              <w:pStyle w:val="Tabletextboxed"/>
              <w:spacing w:before="20" w:after="20"/>
              <w:jc w:val="center"/>
            </w:pPr>
            <w:r w:rsidRPr="0068721E">
              <w:t>11.20</w:t>
            </w:r>
          </w:p>
        </w:tc>
      </w:tr>
      <w:tr w:rsidR="00A623F1" w:rsidRPr="00A52F8D" w:rsidTr="00F93A72">
        <w:trPr>
          <w:trHeight w:hRule="exact" w:val="467"/>
        </w:trPr>
        <w:tc>
          <w:tcPr>
            <w:tcW w:w="792" w:type="dxa"/>
            <w:vMerge/>
            <w:shd w:val="clear" w:color="auto" w:fill="97C5EA"/>
          </w:tcPr>
          <w:p w:rsidR="00431102" w:rsidRPr="00563D53" w:rsidRDefault="00431102" w:rsidP="00722C30">
            <w:pPr>
              <w:pStyle w:val="Tabletextboxed"/>
              <w:spacing w:before="20" w:after="20"/>
            </w:pPr>
          </w:p>
        </w:tc>
        <w:tc>
          <w:tcPr>
            <w:tcW w:w="1675" w:type="dxa"/>
            <w:vMerge/>
            <w:shd w:val="clear" w:color="auto" w:fill="C6D9F1" w:themeFill="text2" w:themeFillTint="33"/>
          </w:tcPr>
          <w:p w:rsidR="00431102" w:rsidRPr="00563D53" w:rsidRDefault="00431102" w:rsidP="00722C30">
            <w:pPr>
              <w:pStyle w:val="Tabletextboxed"/>
              <w:spacing w:before="20" w:after="20"/>
            </w:pPr>
          </w:p>
        </w:tc>
        <w:tc>
          <w:tcPr>
            <w:tcW w:w="2565" w:type="dxa"/>
            <w:shd w:val="clear" w:color="auto" w:fill="C6D9F1" w:themeFill="text2" w:themeFillTint="33"/>
            <w:vAlign w:val="center"/>
          </w:tcPr>
          <w:p w:rsidR="00431102" w:rsidRPr="00563D53" w:rsidRDefault="00431102" w:rsidP="00722C30">
            <w:pPr>
              <w:pStyle w:val="Tabletextboxed"/>
              <w:spacing w:before="20" w:after="20"/>
            </w:pPr>
            <w:r w:rsidRPr="00563D53">
              <w:t>Off-peak Energy Charge</w:t>
            </w:r>
          </w:p>
        </w:tc>
        <w:tc>
          <w:tcPr>
            <w:tcW w:w="1063" w:type="dxa"/>
            <w:shd w:val="clear" w:color="auto" w:fill="DEEAF6"/>
            <w:vAlign w:val="center"/>
          </w:tcPr>
          <w:p w:rsidR="00431102" w:rsidRPr="00563D53" w:rsidRDefault="00431102">
            <w:pPr>
              <w:pStyle w:val="Tabletextboxed"/>
              <w:spacing w:before="20" w:after="20"/>
              <w:jc w:val="center"/>
            </w:pPr>
            <w:r w:rsidRPr="00563D53">
              <w:t>c/kWh</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29" w:type="dxa"/>
            <w:shd w:val="clear" w:color="auto" w:fill="DEEAF6"/>
            <w:vAlign w:val="center"/>
          </w:tcPr>
          <w:p w:rsidR="00431102" w:rsidRPr="00750347" w:rsidRDefault="00750347">
            <w:pPr>
              <w:pStyle w:val="Tabletextboxed"/>
              <w:spacing w:before="20" w:after="20"/>
              <w:jc w:val="center"/>
            </w:pPr>
            <w:r w:rsidRPr="0068721E">
              <w:t>11.20</w:t>
            </w:r>
          </w:p>
        </w:tc>
      </w:tr>
      <w:tr w:rsidR="00A623F1" w:rsidRPr="00A52F8D" w:rsidTr="00F93A72">
        <w:trPr>
          <w:trHeight w:hRule="exact" w:val="467"/>
        </w:trPr>
        <w:tc>
          <w:tcPr>
            <w:tcW w:w="792" w:type="dxa"/>
            <w:vMerge w:val="restart"/>
            <w:shd w:val="clear" w:color="auto" w:fill="97C5EA"/>
            <w:vAlign w:val="center"/>
          </w:tcPr>
          <w:p w:rsidR="00431102" w:rsidRPr="00563D53" w:rsidRDefault="00431102" w:rsidP="00722C30">
            <w:pPr>
              <w:pStyle w:val="Tabletextboxed"/>
              <w:spacing w:before="20" w:after="20"/>
            </w:pPr>
            <w:r>
              <w:t>EA33</w:t>
            </w:r>
            <w:r w:rsidR="001F50C5">
              <w:t>3</w:t>
            </w:r>
          </w:p>
        </w:tc>
        <w:tc>
          <w:tcPr>
            <w:tcW w:w="1675" w:type="dxa"/>
            <w:vMerge w:val="restart"/>
            <w:shd w:val="clear" w:color="auto" w:fill="C6D9F1" w:themeFill="text2" w:themeFillTint="33"/>
            <w:vAlign w:val="center"/>
          </w:tcPr>
          <w:p w:rsidR="00431102" w:rsidRPr="00563D53" w:rsidRDefault="001F50C5" w:rsidP="00722C30">
            <w:pPr>
              <w:pStyle w:val="Tabletextboxed"/>
              <w:spacing w:before="20" w:after="20"/>
            </w:pPr>
            <w:r>
              <w:t>Business</w:t>
            </w:r>
            <w:r w:rsidR="00431102">
              <w:t xml:space="preserve"> Transitional TOU</w:t>
            </w:r>
          </w:p>
        </w:tc>
        <w:tc>
          <w:tcPr>
            <w:tcW w:w="2565" w:type="dxa"/>
            <w:shd w:val="clear" w:color="auto" w:fill="C6D9F1" w:themeFill="text2" w:themeFillTint="33"/>
            <w:vAlign w:val="center"/>
          </w:tcPr>
          <w:p w:rsidR="00431102" w:rsidRPr="00563D53" w:rsidRDefault="00431102" w:rsidP="00722C30">
            <w:pPr>
              <w:pStyle w:val="Tabletextboxed"/>
              <w:spacing w:before="20" w:after="20"/>
            </w:pPr>
            <w:r w:rsidRPr="00563D53">
              <w:t>Fixed Charge</w:t>
            </w:r>
          </w:p>
        </w:tc>
        <w:tc>
          <w:tcPr>
            <w:tcW w:w="1063" w:type="dxa"/>
            <w:shd w:val="clear" w:color="auto" w:fill="DEEAF6"/>
            <w:vAlign w:val="center"/>
          </w:tcPr>
          <w:p w:rsidR="00431102" w:rsidRPr="00563D53" w:rsidRDefault="00431102">
            <w:pPr>
              <w:pStyle w:val="Tabletextboxed"/>
              <w:spacing w:before="20" w:after="20"/>
              <w:jc w:val="center"/>
            </w:pPr>
            <w:r w:rsidRPr="00563D53">
              <w:t>c/day</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29" w:type="dxa"/>
            <w:shd w:val="clear" w:color="auto" w:fill="DEEAF6"/>
            <w:vAlign w:val="center"/>
          </w:tcPr>
          <w:p w:rsidR="00431102" w:rsidRPr="00750347" w:rsidRDefault="00431102">
            <w:pPr>
              <w:pStyle w:val="Tabletextboxed"/>
              <w:spacing w:before="20" w:after="20"/>
              <w:jc w:val="center"/>
            </w:pPr>
            <w:r w:rsidRPr="00750347">
              <w:t>125.23</w:t>
            </w:r>
          </w:p>
        </w:tc>
      </w:tr>
      <w:tr w:rsidR="00A623F1" w:rsidRPr="00A52F8D" w:rsidTr="00F93A72">
        <w:trPr>
          <w:trHeight w:hRule="exact" w:val="467"/>
        </w:trPr>
        <w:tc>
          <w:tcPr>
            <w:tcW w:w="792" w:type="dxa"/>
            <w:vMerge/>
            <w:shd w:val="clear" w:color="auto" w:fill="97C5EA"/>
          </w:tcPr>
          <w:p w:rsidR="00431102" w:rsidRPr="00563D53" w:rsidRDefault="00431102" w:rsidP="00722C30">
            <w:pPr>
              <w:pStyle w:val="Tabletextboxed"/>
              <w:spacing w:before="20" w:after="20"/>
            </w:pPr>
          </w:p>
        </w:tc>
        <w:tc>
          <w:tcPr>
            <w:tcW w:w="1675" w:type="dxa"/>
            <w:vMerge/>
            <w:shd w:val="clear" w:color="auto" w:fill="C6D9F1" w:themeFill="text2" w:themeFillTint="33"/>
          </w:tcPr>
          <w:p w:rsidR="00431102" w:rsidRPr="00563D53" w:rsidRDefault="00431102" w:rsidP="00722C30">
            <w:pPr>
              <w:pStyle w:val="Tabletextboxed"/>
              <w:spacing w:before="20" w:after="20"/>
            </w:pPr>
          </w:p>
        </w:tc>
        <w:tc>
          <w:tcPr>
            <w:tcW w:w="2565" w:type="dxa"/>
            <w:shd w:val="clear" w:color="auto" w:fill="C6D9F1" w:themeFill="text2" w:themeFillTint="33"/>
            <w:vAlign w:val="center"/>
          </w:tcPr>
          <w:p w:rsidR="00431102" w:rsidRPr="00563D53" w:rsidRDefault="00431102" w:rsidP="00722C30">
            <w:pPr>
              <w:pStyle w:val="Tabletextboxed"/>
              <w:spacing w:before="20" w:after="20"/>
            </w:pPr>
            <w:r w:rsidRPr="00563D53">
              <w:t>Peak Energy Charge</w:t>
            </w:r>
          </w:p>
        </w:tc>
        <w:tc>
          <w:tcPr>
            <w:tcW w:w="1063" w:type="dxa"/>
            <w:shd w:val="clear" w:color="auto" w:fill="DEEAF6"/>
            <w:vAlign w:val="center"/>
          </w:tcPr>
          <w:p w:rsidR="00431102" w:rsidRPr="00563D53" w:rsidRDefault="00431102">
            <w:pPr>
              <w:pStyle w:val="Tabletextboxed"/>
              <w:spacing w:before="20" w:after="20"/>
              <w:jc w:val="center"/>
            </w:pPr>
            <w:r w:rsidRPr="00563D53">
              <w:t>c/kWh</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29" w:type="dxa"/>
            <w:shd w:val="clear" w:color="auto" w:fill="DEEAF6"/>
            <w:vAlign w:val="center"/>
          </w:tcPr>
          <w:p w:rsidR="00431102" w:rsidRPr="00750347" w:rsidRDefault="00750347">
            <w:pPr>
              <w:pStyle w:val="Tabletextboxed"/>
              <w:spacing w:before="20" w:after="20"/>
              <w:jc w:val="center"/>
            </w:pPr>
            <w:r w:rsidRPr="0068721E">
              <w:t>11.04</w:t>
            </w:r>
          </w:p>
        </w:tc>
      </w:tr>
      <w:tr w:rsidR="00A623F1" w:rsidRPr="00A52F8D" w:rsidTr="00F93A72">
        <w:trPr>
          <w:trHeight w:hRule="exact" w:val="467"/>
        </w:trPr>
        <w:tc>
          <w:tcPr>
            <w:tcW w:w="792" w:type="dxa"/>
            <w:vMerge/>
            <w:shd w:val="clear" w:color="auto" w:fill="97C5EA"/>
          </w:tcPr>
          <w:p w:rsidR="00431102" w:rsidRPr="00563D53" w:rsidRDefault="00431102" w:rsidP="00722C30">
            <w:pPr>
              <w:pStyle w:val="Tabletextboxed"/>
              <w:spacing w:before="20" w:after="20"/>
            </w:pPr>
          </w:p>
        </w:tc>
        <w:tc>
          <w:tcPr>
            <w:tcW w:w="1675" w:type="dxa"/>
            <w:vMerge/>
            <w:shd w:val="clear" w:color="auto" w:fill="C6D9F1" w:themeFill="text2" w:themeFillTint="33"/>
          </w:tcPr>
          <w:p w:rsidR="00431102" w:rsidRPr="00563D53" w:rsidRDefault="00431102" w:rsidP="00722C30">
            <w:pPr>
              <w:pStyle w:val="Tabletextboxed"/>
              <w:spacing w:before="20" w:after="20"/>
            </w:pPr>
          </w:p>
        </w:tc>
        <w:tc>
          <w:tcPr>
            <w:tcW w:w="2565" w:type="dxa"/>
            <w:shd w:val="clear" w:color="auto" w:fill="C6D9F1" w:themeFill="text2" w:themeFillTint="33"/>
            <w:vAlign w:val="center"/>
          </w:tcPr>
          <w:p w:rsidR="00431102" w:rsidRPr="00563D53" w:rsidRDefault="00431102" w:rsidP="00722C30">
            <w:pPr>
              <w:pStyle w:val="Tabletextboxed"/>
              <w:spacing w:before="20" w:after="20"/>
            </w:pPr>
            <w:r w:rsidRPr="00563D53">
              <w:t>Shoulder Energy Charge</w:t>
            </w:r>
          </w:p>
        </w:tc>
        <w:tc>
          <w:tcPr>
            <w:tcW w:w="1063" w:type="dxa"/>
            <w:shd w:val="clear" w:color="auto" w:fill="DEEAF6"/>
            <w:vAlign w:val="center"/>
          </w:tcPr>
          <w:p w:rsidR="00431102" w:rsidRPr="00563D53" w:rsidRDefault="00431102">
            <w:pPr>
              <w:pStyle w:val="Tabletextboxed"/>
              <w:spacing w:before="20" w:after="20"/>
              <w:jc w:val="center"/>
            </w:pPr>
            <w:r w:rsidRPr="00563D53">
              <w:t>c/kWh</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29" w:type="dxa"/>
            <w:shd w:val="clear" w:color="auto" w:fill="DEEAF6"/>
            <w:vAlign w:val="center"/>
          </w:tcPr>
          <w:p w:rsidR="00431102" w:rsidRPr="00750347" w:rsidRDefault="00750347">
            <w:pPr>
              <w:pStyle w:val="Tabletextboxed"/>
              <w:spacing w:before="20" w:after="20"/>
              <w:jc w:val="center"/>
            </w:pPr>
            <w:r w:rsidRPr="0068721E">
              <w:t>11.04</w:t>
            </w:r>
          </w:p>
        </w:tc>
      </w:tr>
      <w:tr w:rsidR="00A623F1" w:rsidRPr="00A52F8D" w:rsidTr="00F93A72">
        <w:trPr>
          <w:trHeight w:hRule="exact" w:val="467"/>
        </w:trPr>
        <w:tc>
          <w:tcPr>
            <w:tcW w:w="792" w:type="dxa"/>
            <w:vMerge/>
            <w:shd w:val="clear" w:color="auto" w:fill="97C5EA"/>
          </w:tcPr>
          <w:p w:rsidR="00431102" w:rsidRPr="00563D53" w:rsidRDefault="00431102" w:rsidP="00722C30">
            <w:pPr>
              <w:pStyle w:val="Tabletextboxed"/>
              <w:spacing w:before="20" w:after="20"/>
            </w:pPr>
          </w:p>
        </w:tc>
        <w:tc>
          <w:tcPr>
            <w:tcW w:w="1675" w:type="dxa"/>
            <w:vMerge/>
            <w:shd w:val="clear" w:color="auto" w:fill="C6D9F1" w:themeFill="text2" w:themeFillTint="33"/>
          </w:tcPr>
          <w:p w:rsidR="00431102" w:rsidRPr="00563D53" w:rsidRDefault="00431102" w:rsidP="00722C30">
            <w:pPr>
              <w:pStyle w:val="Tabletextboxed"/>
              <w:spacing w:before="20" w:after="20"/>
            </w:pPr>
          </w:p>
        </w:tc>
        <w:tc>
          <w:tcPr>
            <w:tcW w:w="2565" w:type="dxa"/>
            <w:shd w:val="clear" w:color="auto" w:fill="C6D9F1" w:themeFill="text2" w:themeFillTint="33"/>
            <w:vAlign w:val="center"/>
          </w:tcPr>
          <w:p w:rsidR="00431102" w:rsidRPr="00563D53" w:rsidRDefault="00431102" w:rsidP="00722C30">
            <w:pPr>
              <w:pStyle w:val="Tabletextboxed"/>
              <w:spacing w:before="20" w:after="20"/>
            </w:pPr>
            <w:r w:rsidRPr="00563D53">
              <w:t>Off-peak Energy Charge</w:t>
            </w:r>
          </w:p>
        </w:tc>
        <w:tc>
          <w:tcPr>
            <w:tcW w:w="1063" w:type="dxa"/>
            <w:shd w:val="clear" w:color="auto" w:fill="DEEAF6"/>
            <w:vAlign w:val="center"/>
          </w:tcPr>
          <w:p w:rsidR="00431102" w:rsidRPr="00563D53" w:rsidRDefault="00431102">
            <w:pPr>
              <w:pStyle w:val="Tabletextboxed"/>
              <w:spacing w:before="20" w:after="20"/>
              <w:jc w:val="center"/>
            </w:pPr>
            <w:r w:rsidRPr="00563D53">
              <w:t>c/kWh</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58" w:type="dxa"/>
            <w:shd w:val="clear" w:color="auto" w:fill="DEEAF6"/>
            <w:vAlign w:val="center"/>
          </w:tcPr>
          <w:p w:rsidR="00431102" w:rsidRPr="00750347" w:rsidRDefault="00431102">
            <w:pPr>
              <w:pStyle w:val="Tabletextboxed"/>
              <w:spacing w:before="20" w:after="20"/>
              <w:jc w:val="center"/>
            </w:pPr>
            <w:r w:rsidRPr="00750347">
              <w:t>-</w:t>
            </w:r>
          </w:p>
        </w:tc>
        <w:tc>
          <w:tcPr>
            <w:tcW w:w="1229" w:type="dxa"/>
            <w:shd w:val="clear" w:color="auto" w:fill="DEEAF6"/>
            <w:vAlign w:val="center"/>
          </w:tcPr>
          <w:p w:rsidR="00431102" w:rsidRPr="00750347" w:rsidRDefault="00750347">
            <w:pPr>
              <w:pStyle w:val="Tabletextboxed"/>
              <w:spacing w:before="20" w:after="20"/>
              <w:jc w:val="center"/>
            </w:pPr>
            <w:r w:rsidRPr="0068721E">
              <w:t>11.04</w:t>
            </w:r>
          </w:p>
        </w:tc>
      </w:tr>
    </w:tbl>
    <w:p w:rsidR="00E52075" w:rsidRDefault="00E52075" w:rsidP="00722C30">
      <w:pPr>
        <w:pStyle w:val="Caption"/>
      </w:pPr>
    </w:p>
    <w:p w:rsidR="003D7F43" w:rsidRDefault="00E52075" w:rsidP="008E293E">
      <w:pPr>
        <w:pStyle w:val="Caption"/>
        <w:keepNext/>
      </w:pPr>
      <w:r w:rsidRPr="00722C30">
        <w:lastRenderedPageBreak/>
        <w:t>T</w:t>
      </w:r>
      <w:r w:rsidRPr="0071162E">
        <w:t xml:space="preserve">able </w:t>
      </w:r>
      <w:fldSimple w:instr=" SEQ Table \* ARABIC ">
        <w:r w:rsidR="00BE0834">
          <w:rPr>
            <w:noProof/>
          </w:rPr>
          <w:t>2</w:t>
        </w:r>
      </w:fldSimple>
      <w:r w:rsidRPr="0071162E">
        <w:t xml:space="preserve"> – </w:t>
      </w:r>
      <w:proofErr w:type="spellStart"/>
      <w:r w:rsidRPr="0071162E">
        <w:t>Ausgrid’s</w:t>
      </w:r>
      <w:proofErr w:type="spellEnd"/>
      <w:r w:rsidRPr="0071162E">
        <w:t xml:space="preserve"> Indicative NUOS (Excl. GST) Prices – Low Voltage TOU Capacity Tariffs</w:t>
      </w:r>
    </w:p>
    <w:tbl>
      <w:tblPr>
        <w:tblW w:w="9639" w:type="dxa"/>
        <w:tblInd w:w="108" w:type="dxa"/>
        <w:tblBorders>
          <w:insideH w:val="single" w:sz="4" w:space="0" w:color="FFFFFF" w:themeColor="background1"/>
          <w:insideV w:val="single" w:sz="4" w:space="0" w:color="FFFFFF" w:themeColor="background1"/>
        </w:tblBorders>
        <w:tblLayout w:type="fixed"/>
        <w:tblCellMar>
          <w:top w:w="57" w:type="dxa"/>
          <w:bottom w:w="142" w:type="dxa"/>
        </w:tblCellMar>
        <w:tblLook w:val="01E0" w:firstRow="1" w:lastRow="1" w:firstColumn="1" w:lastColumn="1" w:noHBand="0" w:noVBand="0"/>
      </w:tblPr>
      <w:tblGrid>
        <w:gridCol w:w="871"/>
        <w:gridCol w:w="1256"/>
        <w:gridCol w:w="2254"/>
        <w:gridCol w:w="1022"/>
        <w:gridCol w:w="1461"/>
        <w:gridCol w:w="1460"/>
        <w:gridCol w:w="1315"/>
      </w:tblGrid>
      <w:tr w:rsidR="00B50A16" w:rsidRPr="00B50A16" w:rsidTr="00722C30">
        <w:trPr>
          <w:trHeight w:hRule="exact" w:val="650"/>
        </w:trPr>
        <w:tc>
          <w:tcPr>
            <w:tcW w:w="871" w:type="dxa"/>
            <w:shd w:val="clear" w:color="auto" w:fill="0065A6"/>
          </w:tcPr>
          <w:p w:rsidR="003D7F43" w:rsidRPr="00722C30" w:rsidRDefault="003D7F43" w:rsidP="00461E45">
            <w:pPr>
              <w:spacing w:before="120" w:after="120"/>
              <w:ind w:left="34"/>
              <w:jc w:val="center"/>
              <w:rPr>
                <w:rFonts w:cs="Arial"/>
                <w:b/>
                <w:bCs/>
                <w:color w:val="FFFFFF" w:themeColor="background1"/>
                <w:szCs w:val="18"/>
              </w:rPr>
            </w:pPr>
            <w:r w:rsidRPr="00722C30">
              <w:rPr>
                <w:rFonts w:cs="Arial"/>
                <w:b/>
                <w:bCs/>
                <w:color w:val="FFFFFF" w:themeColor="background1"/>
                <w:szCs w:val="18"/>
              </w:rPr>
              <w:t>Tariff Code</w:t>
            </w:r>
          </w:p>
        </w:tc>
        <w:tc>
          <w:tcPr>
            <w:tcW w:w="1256" w:type="dxa"/>
            <w:shd w:val="clear" w:color="auto" w:fill="0065A6"/>
          </w:tcPr>
          <w:p w:rsidR="003D7F43" w:rsidRPr="00722C30" w:rsidRDefault="003D7F43" w:rsidP="00461E45">
            <w:pPr>
              <w:spacing w:before="120" w:after="120"/>
              <w:ind w:left="34"/>
              <w:jc w:val="center"/>
              <w:rPr>
                <w:rFonts w:cs="Arial"/>
                <w:b/>
                <w:bCs/>
                <w:color w:val="FFFFFF" w:themeColor="background1"/>
                <w:szCs w:val="18"/>
              </w:rPr>
            </w:pPr>
            <w:r w:rsidRPr="00722C30">
              <w:rPr>
                <w:rFonts w:cs="Arial"/>
                <w:b/>
                <w:bCs/>
                <w:color w:val="FFFFFF" w:themeColor="background1"/>
                <w:szCs w:val="18"/>
              </w:rPr>
              <w:t>Tariff Name</w:t>
            </w:r>
          </w:p>
        </w:tc>
        <w:tc>
          <w:tcPr>
            <w:tcW w:w="2254" w:type="dxa"/>
            <w:shd w:val="clear" w:color="auto" w:fill="0065A6"/>
          </w:tcPr>
          <w:p w:rsidR="003D7F43" w:rsidRPr="00722C30" w:rsidRDefault="003D7F43" w:rsidP="00461E45">
            <w:pPr>
              <w:spacing w:before="120" w:after="120"/>
              <w:ind w:left="34"/>
              <w:jc w:val="center"/>
              <w:rPr>
                <w:rFonts w:cs="Arial"/>
                <w:b/>
                <w:bCs/>
                <w:color w:val="FFFFFF" w:themeColor="background1"/>
                <w:szCs w:val="18"/>
              </w:rPr>
            </w:pPr>
            <w:r w:rsidRPr="00722C30">
              <w:rPr>
                <w:rFonts w:cs="Arial"/>
                <w:b/>
                <w:bCs/>
                <w:color w:val="FFFFFF" w:themeColor="background1"/>
                <w:szCs w:val="18"/>
              </w:rPr>
              <w:t>Charging Parameter</w:t>
            </w:r>
          </w:p>
        </w:tc>
        <w:tc>
          <w:tcPr>
            <w:tcW w:w="1022" w:type="dxa"/>
            <w:shd w:val="clear" w:color="auto" w:fill="0065A6"/>
          </w:tcPr>
          <w:p w:rsidR="003D7F43" w:rsidRPr="00722C30" w:rsidRDefault="003D7F43" w:rsidP="00461E45">
            <w:pPr>
              <w:spacing w:before="120" w:after="120"/>
              <w:ind w:left="33"/>
              <w:jc w:val="center"/>
              <w:rPr>
                <w:rFonts w:cs="Arial"/>
                <w:b/>
                <w:bCs/>
                <w:color w:val="FFFFFF" w:themeColor="background1"/>
                <w:szCs w:val="18"/>
              </w:rPr>
            </w:pPr>
            <w:r w:rsidRPr="00722C30">
              <w:rPr>
                <w:rFonts w:cs="Arial"/>
                <w:b/>
                <w:bCs/>
                <w:color w:val="FFFFFF" w:themeColor="background1"/>
                <w:szCs w:val="18"/>
              </w:rPr>
              <w:t>Unit</w:t>
            </w:r>
          </w:p>
        </w:tc>
        <w:tc>
          <w:tcPr>
            <w:tcW w:w="1461" w:type="dxa"/>
            <w:shd w:val="clear" w:color="auto" w:fill="0065A6"/>
          </w:tcPr>
          <w:p w:rsidR="003D7F43" w:rsidRPr="00722C30" w:rsidRDefault="003D7F43" w:rsidP="00461E45">
            <w:pPr>
              <w:spacing w:before="120" w:after="120"/>
              <w:ind w:left="33"/>
              <w:jc w:val="center"/>
              <w:rPr>
                <w:rFonts w:cs="Arial"/>
                <w:b/>
                <w:bCs/>
                <w:color w:val="FFFFFF" w:themeColor="background1"/>
                <w:szCs w:val="18"/>
              </w:rPr>
            </w:pPr>
            <w:r w:rsidRPr="00722C30">
              <w:rPr>
                <w:rFonts w:cs="Arial"/>
                <w:b/>
                <w:bCs/>
                <w:color w:val="FFFFFF" w:themeColor="background1"/>
                <w:szCs w:val="18"/>
              </w:rPr>
              <w:t>Actual</w:t>
            </w:r>
            <w:r w:rsidR="00B50A16" w:rsidRPr="00722C30">
              <w:rPr>
                <w:rFonts w:cs="Arial"/>
                <w:b/>
                <w:bCs/>
                <w:color w:val="FFFFFF" w:themeColor="background1"/>
                <w:szCs w:val="18"/>
              </w:rPr>
              <w:t xml:space="preserve"> </w:t>
            </w:r>
            <w:r w:rsidR="00A623F1">
              <w:rPr>
                <w:rFonts w:cs="Arial"/>
                <w:b/>
                <w:bCs/>
                <w:color w:val="FFFFFF" w:themeColor="background1"/>
                <w:szCs w:val="18"/>
              </w:rPr>
              <w:br/>
            </w:r>
            <w:r w:rsidRPr="00722C30">
              <w:rPr>
                <w:rFonts w:cs="Arial"/>
                <w:b/>
                <w:bCs/>
                <w:color w:val="FFFFFF" w:themeColor="background1"/>
                <w:szCs w:val="18"/>
              </w:rPr>
              <w:t>FY 2016/17</w:t>
            </w:r>
          </w:p>
        </w:tc>
        <w:tc>
          <w:tcPr>
            <w:tcW w:w="1460" w:type="dxa"/>
            <w:shd w:val="clear" w:color="auto" w:fill="0065A6"/>
          </w:tcPr>
          <w:p w:rsidR="003D7F43" w:rsidRPr="00722C30" w:rsidRDefault="003D7F43" w:rsidP="00461E45">
            <w:pPr>
              <w:spacing w:before="120" w:after="120"/>
              <w:ind w:left="33"/>
              <w:jc w:val="center"/>
              <w:rPr>
                <w:rFonts w:cs="Arial"/>
                <w:b/>
                <w:bCs/>
                <w:color w:val="FFFFFF" w:themeColor="background1"/>
                <w:szCs w:val="18"/>
              </w:rPr>
            </w:pPr>
            <w:r w:rsidRPr="00722C30">
              <w:rPr>
                <w:rFonts w:cs="Arial"/>
                <w:b/>
                <w:bCs/>
                <w:color w:val="FFFFFF" w:themeColor="background1"/>
                <w:szCs w:val="18"/>
              </w:rPr>
              <w:t>Indicative</w:t>
            </w:r>
            <w:r w:rsidR="00B50A16" w:rsidRPr="00722C30">
              <w:rPr>
                <w:rFonts w:cs="Arial"/>
                <w:b/>
                <w:bCs/>
                <w:color w:val="FFFFFF" w:themeColor="background1"/>
                <w:szCs w:val="18"/>
              </w:rPr>
              <w:t xml:space="preserve"> </w:t>
            </w:r>
            <w:r w:rsidR="00A623F1">
              <w:rPr>
                <w:rFonts w:cs="Arial"/>
                <w:b/>
                <w:bCs/>
                <w:color w:val="FFFFFF" w:themeColor="background1"/>
                <w:szCs w:val="18"/>
              </w:rPr>
              <w:br/>
            </w:r>
            <w:r w:rsidRPr="00722C30">
              <w:rPr>
                <w:rFonts w:cs="Arial"/>
                <w:b/>
                <w:bCs/>
                <w:color w:val="FFFFFF" w:themeColor="background1"/>
                <w:szCs w:val="18"/>
              </w:rPr>
              <w:t>FY 2017/18</w:t>
            </w:r>
          </w:p>
        </w:tc>
        <w:tc>
          <w:tcPr>
            <w:tcW w:w="1315" w:type="dxa"/>
            <w:shd w:val="clear" w:color="auto" w:fill="0065A6"/>
          </w:tcPr>
          <w:p w:rsidR="003D7F43" w:rsidRPr="00722C30" w:rsidRDefault="003D7F43" w:rsidP="00461E45">
            <w:pPr>
              <w:spacing w:before="120" w:after="120"/>
              <w:ind w:left="33"/>
              <w:jc w:val="center"/>
              <w:rPr>
                <w:rFonts w:cs="Arial"/>
                <w:b/>
                <w:bCs/>
                <w:color w:val="FFFFFF" w:themeColor="background1"/>
                <w:szCs w:val="18"/>
              </w:rPr>
            </w:pPr>
            <w:r w:rsidRPr="00722C30">
              <w:rPr>
                <w:rFonts w:cs="Arial"/>
                <w:b/>
                <w:bCs/>
                <w:color w:val="FFFFFF" w:themeColor="background1"/>
                <w:szCs w:val="18"/>
              </w:rPr>
              <w:t>Indicative</w:t>
            </w:r>
            <w:r w:rsidR="00B50A16" w:rsidRPr="00722C30">
              <w:rPr>
                <w:rFonts w:cs="Arial"/>
                <w:b/>
                <w:bCs/>
                <w:color w:val="FFFFFF" w:themeColor="background1"/>
                <w:szCs w:val="18"/>
              </w:rPr>
              <w:t xml:space="preserve"> </w:t>
            </w:r>
            <w:r w:rsidRPr="00722C30">
              <w:rPr>
                <w:rFonts w:cs="Arial"/>
                <w:b/>
                <w:bCs/>
                <w:color w:val="FFFFFF" w:themeColor="background1"/>
                <w:szCs w:val="18"/>
              </w:rPr>
              <w:t>FY 2018/19</w:t>
            </w:r>
          </w:p>
        </w:tc>
      </w:tr>
      <w:tr w:rsidR="00750347" w:rsidRPr="00A52F8D" w:rsidTr="00F93A72">
        <w:trPr>
          <w:trHeight w:hRule="exact" w:val="425"/>
        </w:trPr>
        <w:tc>
          <w:tcPr>
            <w:tcW w:w="871" w:type="dxa"/>
            <w:vMerge w:val="restart"/>
            <w:shd w:val="clear" w:color="auto" w:fill="97C5EA"/>
            <w:vAlign w:val="center"/>
          </w:tcPr>
          <w:p w:rsidR="00750347" w:rsidRPr="00563D53" w:rsidRDefault="00750347" w:rsidP="00722C30">
            <w:pPr>
              <w:pStyle w:val="Tabletextboxed"/>
              <w:spacing w:before="40"/>
              <w:jc w:val="center"/>
            </w:pPr>
            <w:r w:rsidRPr="00563D53">
              <w:t>EA302</w:t>
            </w:r>
          </w:p>
        </w:tc>
        <w:tc>
          <w:tcPr>
            <w:tcW w:w="1256" w:type="dxa"/>
            <w:vMerge w:val="restart"/>
            <w:shd w:val="clear" w:color="auto" w:fill="C6D9F1" w:themeFill="text2" w:themeFillTint="33"/>
            <w:vAlign w:val="center"/>
          </w:tcPr>
          <w:p w:rsidR="00750347" w:rsidRPr="00563D53" w:rsidRDefault="00750347" w:rsidP="00722C30">
            <w:pPr>
              <w:pStyle w:val="Tabletextboxed"/>
              <w:spacing w:before="40"/>
              <w:jc w:val="center"/>
            </w:pPr>
            <w:r>
              <w:t>LV TOU Capacity</w:t>
            </w:r>
            <w:r w:rsidR="00735A01">
              <w:t xml:space="preserve"> 40-160 MWh</w:t>
            </w:r>
            <w:r w:rsidR="00076CF3">
              <w:t xml:space="preserve"> pa</w:t>
            </w: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Fixed Charge</w:t>
            </w:r>
          </w:p>
        </w:tc>
        <w:tc>
          <w:tcPr>
            <w:tcW w:w="1022" w:type="dxa"/>
            <w:shd w:val="clear" w:color="auto" w:fill="DEEAF6"/>
            <w:vAlign w:val="center"/>
          </w:tcPr>
          <w:p w:rsidR="00750347" w:rsidRPr="00563D53" w:rsidRDefault="00750347">
            <w:pPr>
              <w:pStyle w:val="Tabletextboxed"/>
              <w:spacing w:before="40"/>
              <w:jc w:val="center"/>
            </w:pPr>
            <w:r w:rsidRPr="00563D53">
              <w:t>c/day</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580.35</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591.96</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606.75</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5.42</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5.47</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6.32</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Shoulder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2.75</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2.77</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3.20</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Off-peak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1.66</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1.67</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1.92</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Capacity Charge</w:t>
            </w:r>
          </w:p>
        </w:tc>
        <w:tc>
          <w:tcPr>
            <w:tcW w:w="1022" w:type="dxa"/>
            <w:shd w:val="clear" w:color="auto" w:fill="DEEAF6"/>
            <w:vAlign w:val="center"/>
          </w:tcPr>
          <w:p w:rsidR="00750347" w:rsidRPr="00563D53" w:rsidRDefault="00750347">
            <w:pPr>
              <w:pStyle w:val="Tabletextboxed"/>
              <w:spacing w:before="40"/>
              <w:jc w:val="center"/>
            </w:pPr>
            <w:r w:rsidRPr="00563D53">
              <w:t>c/kVA/d</w:t>
            </w:r>
          </w:p>
        </w:tc>
        <w:tc>
          <w:tcPr>
            <w:tcW w:w="1461" w:type="dxa"/>
            <w:shd w:val="clear" w:color="auto" w:fill="DEEAF6"/>
            <w:vAlign w:val="center"/>
          </w:tcPr>
          <w:p w:rsidR="00750347" w:rsidRPr="00750347" w:rsidRDefault="00750347">
            <w:pPr>
              <w:pStyle w:val="Tabletextboxed"/>
              <w:spacing w:before="40"/>
              <w:jc w:val="center"/>
            </w:pPr>
            <w:r w:rsidRPr="0068721E">
              <w:t>35.19</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35.89</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36.79</w:t>
            </w:r>
          </w:p>
        </w:tc>
      </w:tr>
      <w:tr w:rsidR="00750347" w:rsidRPr="00A52F8D" w:rsidTr="00F93A72">
        <w:trPr>
          <w:trHeight w:hRule="exact" w:val="425"/>
        </w:trPr>
        <w:tc>
          <w:tcPr>
            <w:tcW w:w="871" w:type="dxa"/>
            <w:vMerge w:val="restart"/>
            <w:shd w:val="clear" w:color="auto" w:fill="97C5EA"/>
            <w:vAlign w:val="center"/>
          </w:tcPr>
          <w:p w:rsidR="00750347" w:rsidRPr="00563D53" w:rsidRDefault="00750347" w:rsidP="00722C30">
            <w:pPr>
              <w:pStyle w:val="Tabletextboxed"/>
              <w:spacing w:before="40"/>
              <w:jc w:val="center"/>
            </w:pPr>
            <w:r w:rsidRPr="00563D53">
              <w:t>EA305</w:t>
            </w:r>
          </w:p>
        </w:tc>
        <w:tc>
          <w:tcPr>
            <w:tcW w:w="1256" w:type="dxa"/>
            <w:vMerge w:val="restart"/>
            <w:shd w:val="clear" w:color="auto" w:fill="C6D9F1" w:themeFill="text2" w:themeFillTint="33"/>
            <w:vAlign w:val="center"/>
          </w:tcPr>
          <w:p w:rsidR="00750347" w:rsidRPr="00563D53" w:rsidRDefault="00750347" w:rsidP="00722C30">
            <w:pPr>
              <w:pStyle w:val="Tabletextboxed"/>
              <w:spacing w:before="40"/>
              <w:jc w:val="center"/>
            </w:pPr>
            <w:r>
              <w:t>LV TOU Capacity</w:t>
            </w:r>
            <w:r w:rsidR="00735A01">
              <w:t xml:space="preserve"> 160-750 MWh</w:t>
            </w:r>
            <w:r w:rsidR="00076CF3">
              <w:t xml:space="preserve"> pa</w:t>
            </w: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Fixed Charge</w:t>
            </w:r>
          </w:p>
        </w:tc>
        <w:tc>
          <w:tcPr>
            <w:tcW w:w="1022" w:type="dxa"/>
            <w:shd w:val="clear" w:color="auto" w:fill="DEEAF6"/>
            <w:vAlign w:val="center"/>
          </w:tcPr>
          <w:p w:rsidR="00750347" w:rsidRPr="00563D53" w:rsidRDefault="00750347">
            <w:pPr>
              <w:pStyle w:val="Tabletextboxed"/>
              <w:spacing w:before="40"/>
              <w:jc w:val="center"/>
            </w:pPr>
            <w:r w:rsidRPr="00563D53">
              <w:t>c/day</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1748.48</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1783.45</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1828.04</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4.94</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4.99</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5.76</w:t>
            </w:r>
          </w:p>
        </w:tc>
      </w:tr>
      <w:tr w:rsidR="00750347" w:rsidRPr="00A52F8D" w:rsidTr="00F93A72">
        <w:trPr>
          <w:trHeight w:val="632"/>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Shoulder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2.42</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2.45</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2.82</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Off-peak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pPr>
            <w:r w:rsidRPr="0068721E">
              <w:t>1.61</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1.64</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1.89</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Capacity Charge</w:t>
            </w:r>
          </w:p>
        </w:tc>
        <w:tc>
          <w:tcPr>
            <w:tcW w:w="1022" w:type="dxa"/>
            <w:shd w:val="clear" w:color="auto" w:fill="DEEAF6"/>
            <w:vAlign w:val="center"/>
          </w:tcPr>
          <w:p w:rsidR="00750347" w:rsidRPr="00563D53" w:rsidRDefault="00750347">
            <w:pPr>
              <w:pStyle w:val="Tabletextboxed"/>
              <w:spacing w:before="40"/>
              <w:jc w:val="center"/>
            </w:pPr>
            <w:r w:rsidRPr="00563D53">
              <w:t>c/kVA/d</w:t>
            </w:r>
          </w:p>
        </w:tc>
        <w:tc>
          <w:tcPr>
            <w:tcW w:w="1461" w:type="dxa"/>
            <w:shd w:val="clear" w:color="auto" w:fill="DEEAF6"/>
            <w:vAlign w:val="center"/>
          </w:tcPr>
          <w:p w:rsidR="00750347" w:rsidRPr="00750347" w:rsidRDefault="00750347">
            <w:pPr>
              <w:pStyle w:val="Tabletextboxed"/>
              <w:spacing w:before="40"/>
              <w:jc w:val="center"/>
            </w:pPr>
            <w:r w:rsidRPr="0068721E">
              <w:t>35.19</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35.89</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36.79</w:t>
            </w:r>
          </w:p>
        </w:tc>
      </w:tr>
      <w:tr w:rsidR="00750347" w:rsidRPr="00A52F8D" w:rsidTr="00F93A72">
        <w:trPr>
          <w:trHeight w:hRule="exact" w:val="676"/>
        </w:trPr>
        <w:tc>
          <w:tcPr>
            <w:tcW w:w="871" w:type="dxa"/>
            <w:vMerge w:val="restart"/>
            <w:shd w:val="clear" w:color="auto" w:fill="97C5EA"/>
            <w:vAlign w:val="center"/>
          </w:tcPr>
          <w:p w:rsidR="00750347" w:rsidRDefault="00750347" w:rsidP="00722C30">
            <w:pPr>
              <w:pStyle w:val="Tabletextboxed"/>
              <w:spacing w:before="40"/>
              <w:jc w:val="center"/>
            </w:pPr>
            <w:r w:rsidRPr="00563D53">
              <w:t>EA</w:t>
            </w:r>
            <w:r>
              <w:t>310</w:t>
            </w:r>
          </w:p>
          <w:p w:rsidR="00750347" w:rsidRPr="00563D53" w:rsidRDefault="00750347" w:rsidP="00722C30">
            <w:pPr>
              <w:pStyle w:val="Tabletextboxed"/>
              <w:spacing w:before="40"/>
              <w:jc w:val="center"/>
              <w:rPr>
                <w:color w:val="FFFFFF"/>
              </w:rPr>
            </w:pPr>
          </w:p>
        </w:tc>
        <w:tc>
          <w:tcPr>
            <w:tcW w:w="1256" w:type="dxa"/>
            <w:vMerge w:val="restart"/>
            <w:shd w:val="clear" w:color="auto" w:fill="C6D9F1" w:themeFill="text2" w:themeFillTint="33"/>
            <w:vAlign w:val="center"/>
          </w:tcPr>
          <w:p w:rsidR="00750347" w:rsidRPr="00563D53" w:rsidRDefault="00735A01" w:rsidP="00722C30">
            <w:pPr>
              <w:pStyle w:val="Tabletextboxed"/>
              <w:spacing w:before="40"/>
              <w:jc w:val="center"/>
            </w:pPr>
            <w:r>
              <w:t>LV TOU Capacity &gt; 750 MWh</w:t>
            </w:r>
            <w:r w:rsidR="00076CF3">
              <w:t xml:space="preserve"> pa</w:t>
            </w: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Fixed Charge</w:t>
            </w:r>
          </w:p>
        </w:tc>
        <w:tc>
          <w:tcPr>
            <w:tcW w:w="1022" w:type="dxa"/>
            <w:shd w:val="clear" w:color="auto" w:fill="DEEAF6"/>
            <w:vAlign w:val="center"/>
          </w:tcPr>
          <w:p w:rsidR="00750347" w:rsidRPr="00563D53" w:rsidRDefault="00750347">
            <w:pPr>
              <w:pStyle w:val="Tabletextboxed"/>
              <w:spacing w:before="40"/>
              <w:jc w:val="center"/>
            </w:pPr>
            <w:r w:rsidRPr="00563D53">
              <w:t>c/day</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2184.66</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2228.36</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2284.07</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4.37</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4.41</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5.09</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Shoulder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2.17</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2.19</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2.48</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Off-peak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1.46</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1.48</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1.71</w:t>
            </w:r>
          </w:p>
        </w:tc>
      </w:tr>
      <w:tr w:rsidR="00750347" w:rsidRPr="00A52F8D" w:rsidTr="00F93A72">
        <w:trPr>
          <w:trHeight w:hRule="exact" w:val="425"/>
        </w:trPr>
        <w:tc>
          <w:tcPr>
            <w:tcW w:w="871" w:type="dxa"/>
            <w:vMerge/>
            <w:shd w:val="clear" w:color="auto" w:fill="97C5EA"/>
            <w:vAlign w:val="center"/>
          </w:tcPr>
          <w:p w:rsidR="00750347" w:rsidRPr="00563D53" w:rsidRDefault="00750347" w:rsidP="00722C30">
            <w:pPr>
              <w:pStyle w:val="Tabletextboxed"/>
              <w:spacing w:before="40"/>
              <w:jc w:val="center"/>
            </w:pPr>
          </w:p>
        </w:tc>
        <w:tc>
          <w:tcPr>
            <w:tcW w:w="1256"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254" w:type="dxa"/>
            <w:shd w:val="clear" w:color="auto" w:fill="C6D9F1" w:themeFill="text2" w:themeFillTint="33"/>
            <w:vAlign w:val="center"/>
          </w:tcPr>
          <w:p w:rsidR="00750347" w:rsidRPr="00563D53" w:rsidRDefault="00750347" w:rsidP="00722C30">
            <w:pPr>
              <w:pStyle w:val="Tabletextboxed"/>
              <w:spacing w:before="40"/>
            </w:pPr>
            <w:r w:rsidRPr="00563D53">
              <w:t>Capacity Charge</w:t>
            </w:r>
          </w:p>
        </w:tc>
        <w:tc>
          <w:tcPr>
            <w:tcW w:w="1022" w:type="dxa"/>
            <w:shd w:val="clear" w:color="auto" w:fill="DEEAF6"/>
            <w:vAlign w:val="center"/>
          </w:tcPr>
          <w:p w:rsidR="00750347" w:rsidRPr="00563D53" w:rsidRDefault="00750347">
            <w:pPr>
              <w:pStyle w:val="Tabletextboxed"/>
              <w:spacing w:before="40"/>
              <w:jc w:val="center"/>
            </w:pPr>
            <w:r w:rsidRPr="00563D53">
              <w:t>c/kVA/d</w:t>
            </w:r>
          </w:p>
        </w:tc>
        <w:tc>
          <w:tcPr>
            <w:tcW w:w="1461" w:type="dxa"/>
            <w:shd w:val="clear" w:color="auto" w:fill="DEEAF6"/>
            <w:vAlign w:val="center"/>
          </w:tcPr>
          <w:p w:rsidR="00750347" w:rsidRPr="00750347" w:rsidRDefault="00750347">
            <w:pPr>
              <w:pStyle w:val="Tabletextboxed"/>
              <w:spacing w:before="40"/>
              <w:jc w:val="center"/>
            </w:pPr>
            <w:r w:rsidRPr="0068721E">
              <w:t>35.19</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35.89</w:t>
            </w:r>
          </w:p>
        </w:tc>
        <w:tc>
          <w:tcPr>
            <w:tcW w:w="1315" w:type="dxa"/>
            <w:shd w:val="clear" w:color="auto" w:fill="DEEAF6"/>
            <w:vAlign w:val="center"/>
          </w:tcPr>
          <w:p w:rsidR="00750347" w:rsidRPr="00750347" w:rsidRDefault="00750347">
            <w:pPr>
              <w:pStyle w:val="Tabletextboxed"/>
              <w:spacing w:before="40"/>
              <w:jc w:val="center"/>
              <w:rPr>
                <w:highlight w:val="yellow"/>
              </w:rPr>
            </w:pPr>
            <w:r w:rsidRPr="0068721E">
              <w:t>36.79</w:t>
            </w:r>
          </w:p>
        </w:tc>
      </w:tr>
    </w:tbl>
    <w:p w:rsidR="0098314C" w:rsidRDefault="00D652AB" w:rsidP="00E00754">
      <w:pPr>
        <w:pStyle w:val="Caption"/>
      </w:pPr>
      <w:r>
        <w:br/>
      </w:r>
    </w:p>
    <w:p w:rsidR="0098314C" w:rsidRDefault="0098314C">
      <w:pPr>
        <w:spacing w:after="0"/>
        <w:rPr>
          <w:rFonts w:ascii="Arial Bold" w:hAnsi="Arial Bold"/>
          <w:b/>
          <w:szCs w:val="18"/>
          <w:lang w:val="en-AU" w:eastAsia="en-AU"/>
        </w:rPr>
      </w:pPr>
      <w:r>
        <w:br w:type="page"/>
      </w:r>
    </w:p>
    <w:p w:rsidR="003D7F43" w:rsidRPr="0071162E" w:rsidRDefault="00E52075" w:rsidP="00E00754">
      <w:pPr>
        <w:pStyle w:val="Caption"/>
      </w:pPr>
      <w:r w:rsidRPr="0071162E">
        <w:lastRenderedPageBreak/>
        <w:t xml:space="preserve">Table </w:t>
      </w:r>
      <w:fldSimple w:instr=" SEQ Table \* ARABIC ">
        <w:r w:rsidR="00BE0834">
          <w:rPr>
            <w:noProof/>
          </w:rPr>
          <w:t>3</w:t>
        </w:r>
      </w:fldSimple>
      <w:r w:rsidRPr="0071162E">
        <w:t xml:space="preserve"> – </w:t>
      </w:r>
      <w:proofErr w:type="spellStart"/>
      <w:r w:rsidRPr="0071162E">
        <w:t>Ausgrid’s</w:t>
      </w:r>
      <w:proofErr w:type="spellEnd"/>
      <w:r w:rsidRPr="0071162E">
        <w:t xml:space="preserve"> Indicative NUOS (Excl. GST) Prices – HV and STV TOU Capacity Tariffs</w:t>
      </w:r>
      <w:r w:rsidR="003D7F43" w:rsidRPr="0071162E">
        <w:t xml:space="preserve"> </w:t>
      </w:r>
      <w:r w:rsidR="004A35D8">
        <w:t xml:space="preserve">and the Transmission-Connected </w:t>
      </w:r>
      <w:r w:rsidR="00DF694F">
        <w:t>Tariff</w:t>
      </w:r>
    </w:p>
    <w:tbl>
      <w:tblPr>
        <w:tblW w:w="9730"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top w:w="57" w:type="dxa"/>
          <w:left w:w="57" w:type="dxa"/>
          <w:bottom w:w="28" w:type="dxa"/>
          <w:right w:w="57" w:type="dxa"/>
        </w:tblCellMar>
        <w:tblLook w:val="01E0" w:firstRow="1" w:lastRow="1" w:firstColumn="1" w:lastColumn="1" w:noHBand="0" w:noVBand="0"/>
      </w:tblPr>
      <w:tblGrid>
        <w:gridCol w:w="876"/>
        <w:gridCol w:w="1341"/>
        <w:gridCol w:w="2164"/>
        <w:gridCol w:w="1022"/>
        <w:gridCol w:w="1461"/>
        <w:gridCol w:w="1460"/>
        <w:gridCol w:w="1406"/>
      </w:tblGrid>
      <w:tr w:rsidR="003D7F43" w:rsidRPr="00B52E74" w:rsidTr="00775C76">
        <w:trPr>
          <w:trHeight w:hRule="exact" w:val="623"/>
        </w:trPr>
        <w:tc>
          <w:tcPr>
            <w:tcW w:w="876" w:type="dxa"/>
            <w:shd w:val="clear" w:color="auto" w:fill="0065A6"/>
          </w:tcPr>
          <w:p w:rsidR="003D7F43" w:rsidRPr="00B52E74" w:rsidRDefault="003D7F43" w:rsidP="00461E45">
            <w:pPr>
              <w:spacing w:before="120" w:after="120"/>
              <w:ind w:left="34"/>
              <w:jc w:val="center"/>
              <w:rPr>
                <w:rFonts w:cs="Arial"/>
                <w:b/>
                <w:bCs/>
                <w:color w:val="FFFFFF"/>
                <w:szCs w:val="18"/>
              </w:rPr>
            </w:pPr>
            <w:r>
              <w:rPr>
                <w:rFonts w:cs="Arial"/>
                <w:b/>
                <w:bCs/>
                <w:color w:val="FFFFFF"/>
                <w:szCs w:val="18"/>
              </w:rPr>
              <w:t>Tariff Code</w:t>
            </w:r>
          </w:p>
        </w:tc>
        <w:tc>
          <w:tcPr>
            <w:tcW w:w="1341" w:type="dxa"/>
            <w:shd w:val="clear" w:color="auto" w:fill="0065A6"/>
          </w:tcPr>
          <w:p w:rsidR="003D7F43" w:rsidRPr="00B52E74" w:rsidRDefault="003D7F43" w:rsidP="00461E45">
            <w:pPr>
              <w:spacing w:before="120" w:after="120"/>
              <w:ind w:left="34"/>
              <w:jc w:val="center"/>
              <w:rPr>
                <w:rFonts w:cs="Arial"/>
                <w:b/>
                <w:bCs/>
                <w:color w:val="FFFFFF"/>
                <w:szCs w:val="18"/>
              </w:rPr>
            </w:pPr>
            <w:r>
              <w:rPr>
                <w:rFonts w:cs="Arial"/>
                <w:b/>
                <w:bCs/>
                <w:color w:val="FFFFFF"/>
                <w:szCs w:val="18"/>
              </w:rPr>
              <w:t>Tariff Name</w:t>
            </w:r>
          </w:p>
        </w:tc>
        <w:tc>
          <w:tcPr>
            <w:tcW w:w="2164" w:type="dxa"/>
            <w:shd w:val="clear" w:color="auto" w:fill="0065A6"/>
          </w:tcPr>
          <w:p w:rsidR="003D7F43" w:rsidRPr="00B52E74" w:rsidRDefault="003D7F43" w:rsidP="00722C30">
            <w:pPr>
              <w:spacing w:before="120" w:after="120"/>
              <w:ind w:left="34"/>
              <w:rPr>
                <w:rFonts w:cs="Arial"/>
                <w:b/>
                <w:bCs/>
                <w:color w:val="FFFFFF"/>
                <w:szCs w:val="18"/>
              </w:rPr>
            </w:pPr>
            <w:r>
              <w:rPr>
                <w:rFonts w:cs="Arial"/>
                <w:b/>
                <w:bCs/>
                <w:color w:val="FFFFFF"/>
                <w:szCs w:val="18"/>
              </w:rPr>
              <w:t>Charging Parameter</w:t>
            </w:r>
          </w:p>
        </w:tc>
        <w:tc>
          <w:tcPr>
            <w:tcW w:w="1022" w:type="dxa"/>
            <w:shd w:val="clear" w:color="auto" w:fill="0065A6"/>
          </w:tcPr>
          <w:p w:rsidR="003D7F43" w:rsidRDefault="003D7F43" w:rsidP="00461E45">
            <w:pPr>
              <w:spacing w:before="120" w:after="120"/>
              <w:ind w:left="33"/>
              <w:jc w:val="center"/>
              <w:rPr>
                <w:rFonts w:cs="Arial"/>
                <w:b/>
                <w:bCs/>
                <w:color w:val="FFFFFF"/>
                <w:szCs w:val="18"/>
              </w:rPr>
            </w:pPr>
            <w:r>
              <w:rPr>
                <w:rFonts w:cs="Arial"/>
                <w:b/>
                <w:bCs/>
                <w:color w:val="FFFFFF"/>
                <w:szCs w:val="18"/>
              </w:rPr>
              <w:t>Unit</w:t>
            </w:r>
          </w:p>
        </w:tc>
        <w:tc>
          <w:tcPr>
            <w:tcW w:w="1461" w:type="dxa"/>
            <w:shd w:val="clear" w:color="auto" w:fill="0065A6"/>
          </w:tcPr>
          <w:p w:rsidR="003D7F43" w:rsidRPr="00B52E74" w:rsidRDefault="00B039AC" w:rsidP="00461E45">
            <w:pPr>
              <w:spacing w:before="120" w:after="120"/>
              <w:ind w:left="33"/>
              <w:jc w:val="center"/>
              <w:rPr>
                <w:rFonts w:cs="Arial"/>
                <w:b/>
                <w:bCs/>
                <w:color w:val="FFFFFF"/>
                <w:szCs w:val="18"/>
              </w:rPr>
            </w:pPr>
            <w:r>
              <w:rPr>
                <w:rFonts w:cs="Arial"/>
                <w:b/>
                <w:bCs/>
                <w:color w:val="FFFFFF"/>
                <w:szCs w:val="18"/>
              </w:rPr>
              <w:t>Actual</w:t>
            </w:r>
            <w:r w:rsidR="00B50A16">
              <w:rPr>
                <w:rFonts w:cs="Arial"/>
                <w:b/>
                <w:bCs/>
                <w:color w:val="FFFFFF"/>
                <w:szCs w:val="18"/>
              </w:rPr>
              <w:t xml:space="preserve"> </w:t>
            </w:r>
            <w:r>
              <w:rPr>
                <w:rFonts w:cs="Arial"/>
                <w:b/>
                <w:bCs/>
                <w:color w:val="FFFFFF"/>
                <w:szCs w:val="18"/>
              </w:rPr>
              <w:t xml:space="preserve"> </w:t>
            </w:r>
            <w:r w:rsidR="00A623F1">
              <w:rPr>
                <w:rFonts w:cs="Arial"/>
                <w:b/>
                <w:bCs/>
                <w:color w:val="FFFFFF"/>
                <w:szCs w:val="18"/>
              </w:rPr>
              <w:br/>
            </w:r>
            <w:r w:rsidR="003D7F43">
              <w:rPr>
                <w:rFonts w:cs="Arial"/>
                <w:b/>
                <w:bCs/>
                <w:color w:val="FFFFFF"/>
                <w:szCs w:val="18"/>
              </w:rPr>
              <w:t>FY 2016/17</w:t>
            </w:r>
          </w:p>
        </w:tc>
        <w:tc>
          <w:tcPr>
            <w:tcW w:w="1460" w:type="dxa"/>
            <w:shd w:val="clear" w:color="auto" w:fill="0065A6"/>
          </w:tcPr>
          <w:p w:rsidR="003D7F43" w:rsidRDefault="003D7F43" w:rsidP="00461E45">
            <w:pPr>
              <w:spacing w:before="120" w:after="120"/>
              <w:ind w:left="33"/>
              <w:jc w:val="center"/>
              <w:rPr>
                <w:rFonts w:cs="Arial"/>
                <w:b/>
                <w:bCs/>
                <w:color w:val="FFFFFF"/>
                <w:szCs w:val="18"/>
              </w:rPr>
            </w:pPr>
            <w:r w:rsidRPr="001035C6">
              <w:rPr>
                <w:rFonts w:cs="Arial"/>
                <w:b/>
                <w:bCs/>
                <w:color w:val="FFFFFF"/>
                <w:szCs w:val="18"/>
              </w:rPr>
              <w:t>Indicative</w:t>
            </w:r>
            <w:r w:rsidR="00B50A16">
              <w:rPr>
                <w:rFonts w:cs="Arial"/>
                <w:b/>
                <w:bCs/>
                <w:color w:val="FFFFFF"/>
                <w:szCs w:val="18"/>
              </w:rPr>
              <w:t xml:space="preserve"> </w:t>
            </w:r>
            <w:r>
              <w:rPr>
                <w:rFonts w:cs="Arial"/>
                <w:b/>
                <w:bCs/>
                <w:color w:val="FFFFFF"/>
                <w:szCs w:val="18"/>
              </w:rPr>
              <w:t xml:space="preserve"> </w:t>
            </w:r>
            <w:r w:rsidR="00A623F1">
              <w:rPr>
                <w:rFonts w:cs="Arial"/>
                <w:b/>
                <w:bCs/>
                <w:color w:val="FFFFFF"/>
                <w:szCs w:val="18"/>
              </w:rPr>
              <w:br/>
            </w:r>
            <w:r w:rsidRPr="001035C6">
              <w:rPr>
                <w:rFonts w:cs="Arial"/>
                <w:b/>
                <w:bCs/>
                <w:color w:val="FFFFFF"/>
                <w:szCs w:val="18"/>
              </w:rPr>
              <w:t>FY 201</w:t>
            </w:r>
            <w:r>
              <w:rPr>
                <w:rFonts w:cs="Arial"/>
                <w:b/>
                <w:bCs/>
                <w:color w:val="FFFFFF"/>
                <w:szCs w:val="18"/>
              </w:rPr>
              <w:t>7</w:t>
            </w:r>
            <w:r w:rsidRPr="001035C6">
              <w:rPr>
                <w:rFonts w:cs="Arial"/>
                <w:b/>
                <w:bCs/>
                <w:color w:val="FFFFFF"/>
                <w:szCs w:val="18"/>
              </w:rPr>
              <w:t>/1</w:t>
            </w:r>
            <w:r>
              <w:rPr>
                <w:rFonts w:cs="Arial"/>
                <w:b/>
                <w:bCs/>
                <w:color w:val="FFFFFF"/>
                <w:szCs w:val="18"/>
              </w:rPr>
              <w:t>8</w:t>
            </w:r>
          </w:p>
        </w:tc>
        <w:tc>
          <w:tcPr>
            <w:tcW w:w="1406" w:type="dxa"/>
            <w:shd w:val="clear" w:color="auto" w:fill="0065A6"/>
          </w:tcPr>
          <w:p w:rsidR="003D7F43" w:rsidRDefault="003D7F43" w:rsidP="00461E45">
            <w:pPr>
              <w:spacing w:before="120" w:after="120"/>
              <w:ind w:left="33"/>
              <w:jc w:val="center"/>
              <w:rPr>
                <w:rFonts w:cs="Arial"/>
                <w:b/>
                <w:bCs/>
                <w:color w:val="FFFFFF"/>
                <w:szCs w:val="18"/>
              </w:rPr>
            </w:pPr>
            <w:r w:rsidRPr="00775C76">
              <w:rPr>
                <w:rFonts w:cs="Arial"/>
                <w:b/>
                <w:bCs/>
                <w:color w:val="FFFFFF" w:themeColor="background1"/>
                <w:szCs w:val="18"/>
              </w:rPr>
              <w:t xml:space="preserve">Indicative </w:t>
            </w:r>
            <w:r w:rsidR="00775C76">
              <w:rPr>
                <w:rFonts w:cs="Arial"/>
                <w:b/>
                <w:bCs/>
                <w:color w:val="FFFFFF" w:themeColor="background1"/>
                <w:szCs w:val="18"/>
              </w:rPr>
              <w:t xml:space="preserve">   </w:t>
            </w:r>
            <w:r w:rsidRPr="00775C76">
              <w:rPr>
                <w:rFonts w:cs="Arial"/>
                <w:b/>
                <w:bCs/>
                <w:color w:val="FFFFFF" w:themeColor="background1"/>
                <w:szCs w:val="18"/>
              </w:rPr>
              <w:t>FY 2018/19</w:t>
            </w:r>
          </w:p>
        </w:tc>
      </w:tr>
      <w:tr w:rsidR="00750347" w:rsidRPr="00B52E74" w:rsidTr="00775C76">
        <w:trPr>
          <w:trHeight w:hRule="exact" w:val="397"/>
        </w:trPr>
        <w:tc>
          <w:tcPr>
            <w:tcW w:w="876" w:type="dxa"/>
            <w:vMerge w:val="restart"/>
            <w:shd w:val="clear" w:color="auto" w:fill="97C5EA"/>
            <w:vAlign w:val="center"/>
          </w:tcPr>
          <w:p w:rsidR="00750347" w:rsidRPr="00563D53" w:rsidRDefault="00750347" w:rsidP="00722C30">
            <w:pPr>
              <w:pStyle w:val="Tabletextboxed"/>
              <w:spacing w:before="40"/>
              <w:jc w:val="center"/>
              <w:rPr>
                <w:color w:val="FFFFFF"/>
              </w:rPr>
            </w:pPr>
            <w:r>
              <w:t>EA37</w:t>
            </w:r>
            <w:r w:rsidRPr="00563D53">
              <w:t>0</w:t>
            </w:r>
          </w:p>
        </w:tc>
        <w:tc>
          <w:tcPr>
            <w:tcW w:w="1341" w:type="dxa"/>
            <w:vMerge w:val="restart"/>
            <w:shd w:val="clear" w:color="auto" w:fill="C6D9F1" w:themeFill="text2" w:themeFillTint="33"/>
            <w:vAlign w:val="center"/>
          </w:tcPr>
          <w:p w:rsidR="00750347" w:rsidRPr="00563D53" w:rsidRDefault="00750347" w:rsidP="00722C30">
            <w:pPr>
              <w:pStyle w:val="Tabletextboxed"/>
              <w:spacing w:before="40"/>
              <w:jc w:val="center"/>
            </w:pPr>
            <w:r w:rsidRPr="00563D53">
              <w:t>High V</w:t>
            </w:r>
            <w:r>
              <w:t>oltage TOU Capacity (system</w:t>
            </w:r>
            <w:r w:rsidRPr="00563D53">
              <w:t>) Tariff</w:t>
            </w:r>
          </w:p>
        </w:tc>
        <w:tc>
          <w:tcPr>
            <w:tcW w:w="2164" w:type="dxa"/>
            <w:shd w:val="clear" w:color="auto" w:fill="C6D9F1" w:themeFill="text2" w:themeFillTint="33"/>
            <w:vAlign w:val="center"/>
          </w:tcPr>
          <w:p w:rsidR="00750347" w:rsidRPr="00563D53" w:rsidRDefault="00750347">
            <w:pPr>
              <w:pStyle w:val="Tabletextboxed"/>
              <w:spacing w:before="40"/>
            </w:pPr>
            <w:r w:rsidRPr="00563D53">
              <w:t>Fixed Charge</w:t>
            </w:r>
          </w:p>
        </w:tc>
        <w:tc>
          <w:tcPr>
            <w:tcW w:w="1022" w:type="dxa"/>
            <w:shd w:val="clear" w:color="auto" w:fill="DEEAF6"/>
            <w:vAlign w:val="center"/>
          </w:tcPr>
          <w:p w:rsidR="00750347" w:rsidRPr="00563D53" w:rsidRDefault="00750347">
            <w:pPr>
              <w:pStyle w:val="Tabletextboxed"/>
              <w:spacing w:before="40"/>
              <w:jc w:val="center"/>
            </w:pPr>
            <w:r w:rsidRPr="00563D53">
              <w:t>c/day</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4372.54</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4459.99</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4571.49</w:t>
            </w:r>
          </w:p>
        </w:tc>
      </w:tr>
      <w:tr w:rsidR="00750347" w:rsidRPr="00B52E74" w:rsidTr="00775C76">
        <w:trPr>
          <w:trHeight w:hRule="exact" w:val="397"/>
        </w:trPr>
        <w:tc>
          <w:tcPr>
            <w:tcW w:w="876" w:type="dxa"/>
            <w:vMerge/>
            <w:shd w:val="clear" w:color="auto" w:fill="97C5EA"/>
            <w:vAlign w:val="center"/>
          </w:tcPr>
          <w:p w:rsidR="00750347" w:rsidRPr="00563D53" w:rsidRDefault="00750347" w:rsidP="00722C30">
            <w:pPr>
              <w:pStyle w:val="Tabletextboxed"/>
              <w:spacing w:before="40"/>
              <w:jc w:val="center"/>
            </w:pPr>
          </w:p>
        </w:tc>
        <w:tc>
          <w:tcPr>
            <w:tcW w:w="1341"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3.19</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3.20</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3.46</w:t>
            </w:r>
          </w:p>
        </w:tc>
      </w:tr>
      <w:tr w:rsidR="00750347" w:rsidRPr="00B52E74" w:rsidTr="00775C76">
        <w:trPr>
          <w:trHeight w:hRule="exact" w:val="397"/>
        </w:trPr>
        <w:tc>
          <w:tcPr>
            <w:tcW w:w="876" w:type="dxa"/>
            <w:vMerge/>
            <w:shd w:val="clear" w:color="auto" w:fill="97C5EA"/>
            <w:vAlign w:val="center"/>
          </w:tcPr>
          <w:p w:rsidR="00750347" w:rsidRPr="00563D53" w:rsidRDefault="00750347" w:rsidP="00722C30">
            <w:pPr>
              <w:pStyle w:val="Tabletextboxed"/>
              <w:spacing w:before="40"/>
              <w:jc w:val="center"/>
            </w:pPr>
          </w:p>
        </w:tc>
        <w:tc>
          <w:tcPr>
            <w:tcW w:w="1341"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Shoulder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2.13</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2.14</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2.46</w:t>
            </w:r>
          </w:p>
        </w:tc>
      </w:tr>
      <w:tr w:rsidR="00750347" w:rsidRPr="0019290F" w:rsidTr="00775C76">
        <w:trPr>
          <w:trHeight w:hRule="exact" w:val="397"/>
        </w:trPr>
        <w:tc>
          <w:tcPr>
            <w:tcW w:w="876" w:type="dxa"/>
            <w:vMerge/>
            <w:shd w:val="clear" w:color="auto" w:fill="97C5EA"/>
            <w:vAlign w:val="center"/>
          </w:tcPr>
          <w:p w:rsidR="00750347" w:rsidRPr="00563D53" w:rsidRDefault="00750347" w:rsidP="00722C30">
            <w:pPr>
              <w:pStyle w:val="Tabletextboxed"/>
              <w:spacing w:before="40"/>
              <w:jc w:val="center"/>
            </w:pPr>
          </w:p>
        </w:tc>
        <w:tc>
          <w:tcPr>
            <w:tcW w:w="1341"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Off-peak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1.46</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1.47</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1.59</w:t>
            </w:r>
          </w:p>
        </w:tc>
      </w:tr>
      <w:tr w:rsidR="00750347" w:rsidRPr="0019290F" w:rsidTr="00775C76">
        <w:trPr>
          <w:trHeight w:hRule="exact" w:val="397"/>
        </w:trPr>
        <w:tc>
          <w:tcPr>
            <w:tcW w:w="876" w:type="dxa"/>
            <w:vMerge/>
            <w:shd w:val="clear" w:color="auto" w:fill="97C5EA"/>
            <w:vAlign w:val="center"/>
          </w:tcPr>
          <w:p w:rsidR="00750347" w:rsidRPr="00563D53" w:rsidRDefault="00750347" w:rsidP="00722C30">
            <w:pPr>
              <w:pStyle w:val="Tabletextboxed"/>
              <w:spacing w:before="40"/>
              <w:jc w:val="center"/>
            </w:pPr>
          </w:p>
        </w:tc>
        <w:tc>
          <w:tcPr>
            <w:tcW w:w="1341"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Capacity Charge</w:t>
            </w:r>
          </w:p>
        </w:tc>
        <w:tc>
          <w:tcPr>
            <w:tcW w:w="1022" w:type="dxa"/>
            <w:shd w:val="clear" w:color="auto" w:fill="DEEAF6"/>
            <w:vAlign w:val="center"/>
          </w:tcPr>
          <w:p w:rsidR="00750347" w:rsidRPr="00563D53" w:rsidRDefault="00750347">
            <w:pPr>
              <w:pStyle w:val="Tabletextboxed"/>
              <w:spacing w:before="40"/>
              <w:jc w:val="center"/>
            </w:pPr>
            <w:r w:rsidRPr="00563D53">
              <w:t>c/kVA/d</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18.88</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19.26</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19.74</w:t>
            </w:r>
          </w:p>
        </w:tc>
      </w:tr>
      <w:tr w:rsidR="00750347" w:rsidRPr="00B52E74" w:rsidTr="00775C76">
        <w:trPr>
          <w:trHeight w:val="425"/>
        </w:trPr>
        <w:tc>
          <w:tcPr>
            <w:tcW w:w="876" w:type="dxa"/>
            <w:vMerge w:val="restart"/>
            <w:shd w:val="clear" w:color="auto" w:fill="97C5EA"/>
            <w:vAlign w:val="center"/>
          </w:tcPr>
          <w:p w:rsidR="00750347" w:rsidRPr="00563D53" w:rsidRDefault="00750347" w:rsidP="00722C30">
            <w:pPr>
              <w:pStyle w:val="Tabletextboxed"/>
              <w:spacing w:before="40"/>
              <w:jc w:val="center"/>
              <w:rPr>
                <w:color w:val="FFFFFF"/>
              </w:rPr>
            </w:pPr>
            <w:r w:rsidRPr="00563D53">
              <w:t>EA3</w:t>
            </w:r>
            <w:r>
              <w:t>8</w:t>
            </w:r>
            <w:r w:rsidRPr="00563D53">
              <w:t>0</w:t>
            </w:r>
          </w:p>
        </w:tc>
        <w:tc>
          <w:tcPr>
            <w:tcW w:w="1341" w:type="dxa"/>
            <w:vMerge w:val="restart"/>
            <w:shd w:val="clear" w:color="auto" w:fill="C6D9F1" w:themeFill="text2" w:themeFillTint="33"/>
            <w:vAlign w:val="center"/>
          </w:tcPr>
          <w:p w:rsidR="00750347" w:rsidRPr="00563D53" w:rsidRDefault="00750347" w:rsidP="00722C30">
            <w:pPr>
              <w:pStyle w:val="Tabletextboxed"/>
              <w:spacing w:before="40"/>
              <w:jc w:val="center"/>
            </w:pPr>
            <w:r w:rsidRPr="00563D53">
              <w:t>High Voltage TOU Capacity (sub-station) Tariff</w:t>
            </w:r>
          </w:p>
        </w:tc>
        <w:tc>
          <w:tcPr>
            <w:tcW w:w="2164" w:type="dxa"/>
            <w:shd w:val="clear" w:color="auto" w:fill="C6D9F1" w:themeFill="text2" w:themeFillTint="33"/>
            <w:vAlign w:val="center"/>
          </w:tcPr>
          <w:p w:rsidR="00750347" w:rsidRPr="00563D53" w:rsidRDefault="00750347">
            <w:pPr>
              <w:pStyle w:val="Tabletextboxed"/>
              <w:spacing w:before="40"/>
            </w:pPr>
            <w:r w:rsidRPr="00563D53">
              <w:t>Fixed Charge</w:t>
            </w:r>
          </w:p>
        </w:tc>
        <w:tc>
          <w:tcPr>
            <w:tcW w:w="1022" w:type="dxa"/>
            <w:shd w:val="clear" w:color="auto" w:fill="DEEAF6"/>
            <w:vAlign w:val="center"/>
          </w:tcPr>
          <w:p w:rsidR="00750347" w:rsidRPr="00563D53" w:rsidRDefault="00750347">
            <w:pPr>
              <w:pStyle w:val="Tabletextboxed"/>
              <w:spacing w:before="40"/>
              <w:jc w:val="center"/>
            </w:pPr>
            <w:r w:rsidRPr="00563D53">
              <w:t>c/day</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4372.54</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4459.99</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4571.49</w:t>
            </w:r>
          </w:p>
        </w:tc>
      </w:tr>
      <w:tr w:rsidR="00750347" w:rsidRPr="00B52E74" w:rsidTr="00775C76">
        <w:trPr>
          <w:trHeight w:val="425"/>
        </w:trPr>
        <w:tc>
          <w:tcPr>
            <w:tcW w:w="876" w:type="dxa"/>
            <w:vMerge/>
            <w:shd w:val="clear" w:color="auto" w:fill="97C5EA"/>
            <w:vAlign w:val="center"/>
          </w:tcPr>
          <w:p w:rsidR="00750347" w:rsidRPr="00563D53" w:rsidRDefault="00750347" w:rsidP="00722C30">
            <w:pPr>
              <w:pStyle w:val="Tabletextboxed"/>
              <w:spacing w:before="40"/>
              <w:jc w:val="center"/>
            </w:pPr>
          </w:p>
        </w:tc>
        <w:tc>
          <w:tcPr>
            <w:tcW w:w="1341"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2.80</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2.81</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3.04</w:t>
            </w:r>
          </w:p>
        </w:tc>
      </w:tr>
      <w:tr w:rsidR="00750347" w:rsidRPr="00B52E74" w:rsidTr="00775C76">
        <w:trPr>
          <w:trHeight w:val="425"/>
        </w:trPr>
        <w:tc>
          <w:tcPr>
            <w:tcW w:w="876" w:type="dxa"/>
            <w:vMerge/>
            <w:shd w:val="clear" w:color="auto" w:fill="97C5EA"/>
            <w:vAlign w:val="center"/>
          </w:tcPr>
          <w:p w:rsidR="00750347" w:rsidRPr="00563D53" w:rsidRDefault="00750347" w:rsidP="00722C30">
            <w:pPr>
              <w:pStyle w:val="Tabletextboxed"/>
              <w:spacing w:before="40"/>
              <w:jc w:val="center"/>
            </w:pPr>
          </w:p>
        </w:tc>
        <w:tc>
          <w:tcPr>
            <w:tcW w:w="1341"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Shoulder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1.89</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1.90</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2.18</w:t>
            </w:r>
          </w:p>
        </w:tc>
      </w:tr>
      <w:tr w:rsidR="00750347" w:rsidRPr="0019290F" w:rsidTr="00775C76">
        <w:trPr>
          <w:trHeight w:val="425"/>
        </w:trPr>
        <w:tc>
          <w:tcPr>
            <w:tcW w:w="876" w:type="dxa"/>
            <w:vMerge/>
            <w:shd w:val="clear" w:color="auto" w:fill="97C5EA"/>
            <w:vAlign w:val="center"/>
          </w:tcPr>
          <w:p w:rsidR="00750347" w:rsidRPr="00563D53" w:rsidRDefault="00750347" w:rsidP="00722C30">
            <w:pPr>
              <w:pStyle w:val="Tabletextboxed"/>
              <w:spacing w:before="40"/>
              <w:jc w:val="center"/>
            </w:pPr>
          </w:p>
        </w:tc>
        <w:tc>
          <w:tcPr>
            <w:tcW w:w="1341"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Off-peak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1.30</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1.31</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1.42</w:t>
            </w:r>
          </w:p>
        </w:tc>
      </w:tr>
      <w:tr w:rsidR="00750347" w:rsidRPr="0019290F" w:rsidTr="00775C76">
        <w:trPr>
          <w:trHeight w:val="425"/>
        </w:trPr>
        <w:tc>
          <w:tcPr>
            <w:tcW w:w="876" w:type="dxa"/>
            <w:vMerge/>
            <w:shd w:val="clear" w:color="auto" w:fill="97C5EA"/>
            <w:vAlign w:val="center"/>
          </w:tcPr>
          <w:p w:rsidR="00750347" w:rsidRPr="00563D53" w:rsidRDefault="00750347" w:rsidP="00722C30">
            <w:pPr>
              <w:pStyle w:val="Tabletextboxed"/>
              <w:spacing w:before="40"/>
              <w:jc w:val="center"/>
            </w:pPr>
          </w:p>
        </w:tc>
        <w:tc>
          <w:tcPr>
            <w:tcW w:w="1341" w:type="dxa"/>
            <w:vMerge/>
            <w:shd w:val="clear" w:color="auto" w:fill="C6D9F1" w:themeFill="text2" w:themeFillTint="33"/>
            <w:vAlign w:val="center"/>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Capacity Charge</w:t>
            </w:r>
          </w:p>
        </w:tc>
        <w:tc>
          <w:tcPr>
            <w:tcW w:w="1022" w:type="dxa"/>
            <w:shd w:val="clear" w:color="auto" w:fill="DEEAF6"/>
            <w:vAlign w:val="center"/>
          </w:tcPr>
          <w:p w:rsidR="00750347" w:rsidRPr="00563D53" w:rsidRDefault="00750347">
            <w:pPr>
              <w:pStyle w:val="Tabletextboxed"/>
              <w:spacing w:before="40"/>
              <w:jc w:val="center"/>
            </w:pPr>
            <w:r w:rsidRPr="00563D53">
              <w:t>c/kVA/d</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16.20</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16.52</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16.93</w:t>
            </w:r>
          </w:p>
        </w:tc>
      </w:tr>
      <w:tr w:rsidR="00750347" w:rsidRPr="00B52E74" w:rsidTr="00775C76">
        <w:trPr>
          <w:trHeight w:val="416"/>
        </w:trPr>
        <w:tc>
          <w:tcPr>
            <w:tcW w:w="876" w:type="dxa"/>
            <w:vMerge w:val="restart"/>
            <w:shd w:val="clear" w:color="auto" w:fill="97C5EA"/>
            <w:vAlign w:val="center"/>
          </w:tcPr>
          <w:p w:rsidR="00750347" w:rsidRPr="00563D53" w:rsidRDefault="00750347" w:rsidP="00722C30">
            <w:pPr>
              <w:pStyle w:val="Tabletextboxed"/>
              <w:spacing w:before="40"/>
              <w:jc w:val="center"/>
              <w:rPr>
                <w:color w:val="FFFFFF"/>
              </w:rPr>
            </w:pPr>
            <w:r w:rsidRPr="00563D53">
              <w:t>EA390</w:t>
            </w:r>
          </w:p>
        </w:tc>
        <w:tc>
          <w:tcPr>
            <w:tcW w:w="1341" w:type="dxa"/>
            <w:vMerge w:val="restart"/>
            <w:shd w:val="clear" w:color="auto" w:fill="C6D9F1" w:themeFill="text2" w:themeFillTint="33"/>
            <w:vAlign w:val="center"/>
          </w:tcPr>
          <w:p w:rsidR="00750347" w:rsidRPr="00563D53" w:rsidRDefault="00750347" w:rsidP="00722C30">
            <w:pPr>
              <w:pStyle w:val="Tabletextboxed"/>
              <w:spacing w:before="40"/>
              <w:jc w:val="center"/>
            </w:pPr>
            <w:r w:rsidRPr="00563D53">
              <w:t>Sub-transmission Voltage TOU Capacity (system) Tariff</w:t>
            </w:r>
          </w:p>
        </w:tc>
        <w:tc>
          <w:tcPr>
            <w:tcW w:w="2164" w:type="dxa"/>
            <w:shd w:val="clear" w:color="auto" w:fill="C6D9F1" w:themeFill="text2" w:themeFillTint="33"/>
            <w:vAlign w:val="center"/>
          </w:tcPr>
          <w:p w:rsidR="00750347" w:rsidRPr="00563D53" w:rsidRDefault="00750347">
            <w:pPr>
              <w:pStyle w:val="Tabletextboxed"/>
              <w:spacing w:before="40"/>
            </w:pPr>
            <w:r w:rsidRPr="00563D53">
              <w:t>Fixed Charge</w:t>
            </w:r>
          </w:p>
        </w:tc>
        <w:tc>
          <w:tcPr>
            <w:tcW w:w="1022" w:type="dxa"/>
            <w:shd w:val="clear" w:color="auto" w:fill="DEEAF6"/>
            <w:vAlign w:val="center"/>
          </w:tcPr>
          <w:p w:rsidR="00750347" w:rsidRPr="00563D53" w:rsidRDefault="00750347">
            <w:pPr>
              <w:pStyle w:val="Tabletextboxed"/>
              <w:spacing w:before="40"/>
              <w:jc w:val="center"/>
            </w:pPr>
            <w:r w:rsidRPr="00563D53">
              <w:t>c/day</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5465.67</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5574.98</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5714.36</w:t>
            </w:r>
          </w:p>
        </w:tc>
      </w:tr>
      <w:tr w:rsidR="00750347" w:rsidRPr="00B52E74" w:rsidTr="00775C76">
        <w:trPr>
          <w:trHeight w:val="416"/>
        </w:trPr>
        <w:tc>
          <w:tcPr>
            <w:tcW w:w="876" w:type="dxa"/>
            <w:vMerge/>
            <w:shd w:val="clear" w:color="auto" w:fill="97C5EA"/>
          </w:tcPr>
          <w:p w:rsidR="00750347" w:rsidRPr="00563D53" w:rsidRDefault="00750347" w:rsidP="00722C30">
            <w:pPr>
              <w:pStyle w:val="Tabletextboxed"/>
              <w:spacing w:before="40"/>
              <w:jc w:val="center"/>
            </w:pPr>
          </w:p>
        </w:tc>
        <w:tc>
          <w:tcPr>
            <w:tcW w:w="1341" w:type="dxa"/>
            <w:vMerge/>
            <w:shd w:val="clear" w:color="auto" w:fill="C6D9F1" w:themeFill="text2" w:themeFillTint="33"/>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2.57</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2.58</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2.79</w:t>
            </w:r>
          </w:p>
        </w:tc>
      </w:tr>
      <w:tr w:rsidR="00750347" w:rsidRPr="00B52E74" w:rsidTr="00775C76">
        <w:trPr>
          <w:trHeight w:val="416"/>
        </w:trPr>
        <w:tc>
          <w:tcPr>
            <w:tcW w:w="876" w:type="dxa"/>
            <w:vMerge/>
            <w:shd w:val="clear" w:color="auto" w:fill="97C5EA"/>
          </w:tcPr>
          <w:p w:rsidR="00750347" w:rsidRPr="00563D53" w:rsidRDefault="00750347" w:rsidP="00722C30">
            <w:pPr>
              <w:pStyle w:val="Tabletextboxed"/>
              <w:spacing w:before="40"/>
              <w:jc w:val="center"/>
            </w:pPr>
          </w:p>
        </w:tc>
        <w:tc>
          <w:tcPr>
            <w:tcW w:w="1341" w:type="dxa"/>
            <w:vMerge/>
            <w:shd w:val="clear" w:color="auto" w:fill="C6D9F1" w:themeFill="text2" w:themeFillTint="33"/>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Shoulder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1.87</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1.87</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2.16</w:t>
            </w:r>
          </w:p>
        </w:tc>
      </w:tr>
      <w:tr w:rsidR="00750347" w:rsidRPr="0019290F" w:rsidTr="00775C76">
        <w:trPr>
          <w:trHeight w:val="416"/>
        </w:trPr>
        <w:tc>
          <w:tcPr>
            <w:tcW w:w="876" w:type="dxa"/>
            <w:vMerge/>
            <w:shd w:val="clear" w:color="auto" w:fill="97C5EA"/>
          </w:tcPr>
          <w:p w:rsidR="00750347" w:rsidRPr="00563D53" w:rsidRDefault="00750347" w:rsidP="00722C30">
            <w:pPr>
              <w:pStyle w:val="Tabletextboxed"/>
              <w:spacing w:before="40"/>
              <w:jc w:val="center"/>
            </w:pPr>
          </w:p>
        </w:tc>
        <w:tc>
          <w:tcPr>
            <w:tcW w:w="1341" w:type="dxa"/>
            <w:vMerge/>
            <w:shd w:val="clear" w:color="auto" w:fill="C6D9F1" w:themeFill="text2" w:themeFillTint="33"/>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Off-peak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1.26</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1.27</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1.37</w:t>
            </w:r>
          </w:p>
        </w:tc>
      </w:tr>
      <w:tr w:rsidR="00750347" w:rsidRPr="0019290F" w:rsidTr="00775C76">
        <w:trPr>
          <w:trHeight w:val="416"/>
        </w:trPr>
        <w:tc>
          <w:tcPr>
            <w:tcW w:w="876" w:type="dxa"/>
            <w:vMerge/>
            <w:shd w:val="clear" w:color="auto" w:fill="97C5EA"/>
          </w:tcPr>
          <w:p w:rsidR="00750347" w:rsidRPr="00563D53" w:rsidRDefault="00750347" w:rsidP="00722C30">
            <w:pPr>
              <w:pStyle w:val="Tabletextboxed"/>
              <w:spacing w:before="40"/>
              <w:jc w:val="center"/>
            </w:pPr>
          </w:p>
        </w:tc>
        <w:tc>
          <w:tcPr>
            <w:tcW w:w="1341" w:type="dxa"/>
            <w:vMerge/>
            <w:shd w:val="clear" w:color="auto" w:fill="C6D9F1" w:themeFill="text2" w:themeFillTint="33"/>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Capacity Charge</w:t>
            </w:r>
          </w:p>
        </w:tc>
        <w:tc>
          <w:tcPr>
            <w:tcW w:w="1022" w:type="dxa"/>
            <w:shd w:val="clear" w:color="auto" w:fill="DEEAF6"/>
            <w:vAlign w:val="center"/>
          </w:tcPr>
          <w:p w:rsidR="00750347" w:rsidRPr="00563D53" w:rsidRDefault="00750347">
            <w:pPr>
              <w:pStyle w:val="Tabletextboxed"/>
              <w:spacing w:before="40"/>
              <w:jc w:val="center"/>
            </w:pPr>
            <w:r w:rsidRPr="00563D53">
              <w:t>c/kVA/d</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6.01</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6.13</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6.28</w:t>
            </w:r>
          </w:p>
        </w:tc>
      </w:tr>
      <w:tr w:rsidR="00750347" w:rsidRPr="00B52E74" w:rsidTr="00775C76">
        <w:trPr>
          <w:trHeight w:val="442"/>
        </w:trPr>
        <w:tc>
          <w:tcPr>
            <w:tcW w:w="876" w:type="dxa"/>
            <w:vMerge w:val="restart"/>
            <w:shd w:val="clear" w:color="auto" w:fill="97C5EA"/>
            <w:vAlign w:val="center"/>
          </w:tcPr>
          <w:p w:rsidR="00750347" w:rsidRPr="00563D53" w:rsidRDefault="00750347" w:rsidP="00722C30">
            <w:pPr>
              <w:pStyle w:val="Tabletextboxed"/>
              <w:spacing w:before="40"/>
              <w:jc w:val="center"/>
              <w:rPr>
                <w:color w:val="FFFFFF"/>
              </w:rPr>
            </w:pPr>
            <w:r w:rsidRPr="00563D53">
              <w:t>EA391</w:t>
            </w:r>
          </w:p>
        </w:tc>
        <w:tc>
          <w:tcPr>
            <w:tcW w:w="1341" w:type="dxa"/>
            <w:vMerge w:val="restart"/>
            <w:shd w:val="clear" w:color="auto" w:fill="C6D9F1" w:themeFill="text2" w:themeFillTint="33"/>
            <w:vAlign w:val="center"/>
          </w:tcPr>
          <w:p w:rsidR="00750347" w:rsidRPr="00563D53" w:rsidRDefault="00750347" w:rsidP="00722C30">
            <w:pPr>
              <w:pStyle w:val="Tabletextboxed"/>
              <w:spacing w:before="40"/>
              <w:jc w:val="center"/>
            </w:pPr>
            <w:r w:rsidRPr="00563D53">
              <w:t>Sub-transmission Voltage TOU Capacity (sub-station) Tariff</w:t>
            </w:r>
          </w:p>
        </w:tc>
        <w:tc>
          <w:tcPr>
            <w:tcW w:w="2164" w:type="dxa"/>
            <w:shd w:val="clear" w:color="auto" w:fill="C6D9F1" w:themeFill="text2" w:themeFillTint="33"/>
            <w:vAlign w:val="center"/>
          </w:tcPr>
          <w:p w:rsidR="00750347" w:rsidRPr="00563D53" w:rsidRDefault="00750347">
            <w:pPr>
              <w:pStyle w:val="Tabletextboxed"/>
              <w:spacing w:before="40"/>
            </w:pPr>
            <w:r w:rsidRPr="00563D53">
              <w:t>Fixed Charge</w:t>
            </w:r>
          </w:p>
        </w:tc>
        <w:tc>
          <w:tcPr>
            <w:tcW w:w="1022" w:type="dxa"/>
            <w:shd w:val="clear" w:color="auto" w:fill="DEEAF6"/>
            <w:vAlign w:val="center"/>
          </w:tcPr>
          <w:p w:rsidR="00750347" w:rsidRPr="00563D53" w:rsidRDefault="00750347">
            <w:pPr>
              <w:pStyle w:val="Tabletextboxed"/>
              <w:spacing w:before="40"/>
              <w:jc w:val="center"/>
            </w:pPr>
            <w:r w:rsidRPr="00563D53">
              <w:t>c/day</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5465.67</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5574.98</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5714.36</w:t>
            </w:r>
          </w:p>
        </w:tc>
      </w:tr>
      <w:tr w:rsidR="00750347" w:rsidRPr="00B52E74" w:rsidTr="00775C76">
        <w:trPr>
          <w:trHeight w:val="442"/>
        </w:trPr>
        <w:tc>
          <w:tcPr>
            <w:tcW w:w="876" w:type="dxa"/>
            <w:vMerge/>
            <w:shd w:val="clear" w:color="auto" w:fill="97C5EA"/>
          </w:tcPr>
          <w:p w:rsidR="00750347" w:rsidRPr="00563D53" w:rsidRDefault="00750347" w:rsidP="00722C30">
            <w:pPr>
              <w:pStyle w:val="Tabletextboxed"/>
              <w:spacing w:before="40"/>
              <w:jc w:val="center"/>
            </w:pPr>
          </w:p>
        </w:tc>
        <w:tc>
          <w:tcPr>
            <w:tcW w:w="1341" w:type="dxa"/>
            <w:vMerge/>
            <w:shd w:val="clear" w:color="auto" w:fill="C6D9F1" w:themeFill="text2" w:themeFillTint="33"/>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2.30</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2.31</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2.50</w:t>
            </w:r>
          </w:p>
        </w:tc>
      </w:tr>
      <w:tr w:rsidR="00750347" w:rsidRPr="00B52E74" w:rsidTr="00775C76">
        <w:trPr>
          <w:trHeight w:val="442"/>
        </w:trPr>
        <w:tc>
          <w:tcPr>
            <w:tcW w:w="876" w:type="dxa"/>
            <w:vMerge/>
            <w:shd w:val="clear" w:color="auto" w:fill="97C5EA"/>
          </w:tcPr>
          <w:p w:rsidR="00750347" w:rsidRPr="00563D53" w:rsidRDefault="00750347" w:rsidP="00722C30">
            <w:pPr>
              <w:pStyle w:val="Tabletextboxed"/>
              <w:spacing w:before="40"/>
              <w:jc w:val="center"/>
            </w:pPr>
          </w:p>
        </w:tc>
        <w:tc>
          <w:tcPr>
            <w:tcW w:w="1341" w:type="dxa"/>
            <w:vMerge/>
            <w:shd w:val="clear" w:color="auto" w:fill="C6D9F1" w:themeFill="text2" w:themeFillTint="33"/>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Shoulder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1.68</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1.68</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1.94</w:t>
            </w:r>
          </w:p>
        </w:tc>
      </w:tr>
      <w:tr w:rsidR="00750347" w:rsidRPr="0019290F" w:rsidTr="00775C76">
        <w:trPr>
          <w:trHeight w:val="442"/>
        </w:trPr>
        <w:tc>
          <w:tcPr>
            <w:tcW w:w="876" w:type="dxa"/>
            <w:vMerge/>
            <w:shd w:val="clear" w:color="auto" w:fill="97C5EA"/>
          </w:tcPr>
          <w:p w:rsidR="00750347" w:rsidRPr="00563D53" w:rsidRDefault="00750347" w:rsidP="00722C30">
            <w:pPr>
              <w:pStyle w:val="Tabletextboxed"/>
              <w:spacing w:before="40"/>
              <w:jc w:val="center"/>
            </w:pPr>
          </w:p>
        </w:tc>
        <w:tc>
          <w:tcPr>
            <w:tcW w:w="1341" w:type="dxa"/>
            <w:vMerge/>
            <w:shd w:val="clear" w:color="auto" w:fill="C6D9F1" w:themeFill="text2" w:themeFillTint="33"/>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Off-peak Energy Charge</w:t>
            </w:r>
          </w:p>
        </w:tc>
        <w:tc>
          <w:tcPr>
            <w:tcW w:w="1022" w:type="dxa"/>
            <w:shd w:val="clear" w:color="auto" w:fill="DEEAF6"/>
            <w:vAlign w:val="center"/>
          </w:tcPr>
          <w:p w:rsidR="00750347" w:rsidRPr="00563D53" w:rsidRDefault="00750347">
            <w:pPr>
              <w:pStyle w:val="Tabletextboxed"/>
              <w:spacing w:before="40"/>
              <w:jc w:val="center"/>
            </w:pPr>
            <w:r w:rsidRPr="00563D53">
              <w:t>c/kWh</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1.12</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1.12</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1.22</w:t>
            </w:r>
          </w:p>
        </w:tc>
      </w:tr>
      <w:tr w:rsidR="00750347" w:rsidRPr="0019290F" w:rsidTr="00775C76">
        <w:trPr>
          <w:trHeight w:val="442"/>
        </w:trPr>
        <w:tc>
          <w:tcPr>
            <w:tcW w:w="876" w:type="dxa"/>
            <w:vMerge/>
            <w:shd w:val="clear" w:color="auto" w:fill="97C5EA"/>
          </w:tcPr>
          <w:p w:rsidR="00750347" w:rsidRPr="00563D53" w:rsidRDefault="00750347" w:rsidP="00722C30">
            <w:pPr>
              <w:pStyle w:val="Tabletextboxed"/>
              <w:spacing w:before="40"/>
              <w:jc w:val="center"/>
            </w:pPr>
          </w:p>
        </w:tc>
        <w:tc>
          <w:tcPr>
            <w:tcW w:w="1341" w:type="dxa"/>
            <w:vMerge/>
            <w:shd w:val="clear" w:color="auto" w:fill="C6D9F1" w:themeFill="text2" w:themeFillTint="33"/>
          </w:tcPr>
          <w:p w:rsidR="00750347" w:rsidRPr="00563D53" w:rsidRDefault="00750347" w:rsidP="00722C30">
            <w:pPr>
              <w:pStyle w:val="Tabletextboxed"/>
              <w:spacing w:before="40"/>
              <w:jc w:val="center"/>
            </w:pPr>
          </w:p>
        </w:tc>
        <w:tc>
          <w:tcPr>
            <w:tcW w:w="2164" w:type="dxa"/>
            <w:shd w:val="clear" w:color="auto" w:fill="C6D9F1" w:themeFill="text2" w:themeFillTint="33"/>
            <w:vAlign w:val="center"/>
          </w:tcPr>
          <w:p w:rsidR="00750347" w:rsidRPr="00563D53" w:rsidRDefault="00750347">
            <w:pPr>
              <w:pStyle w:val="Tabletextboxed"/>
              <w:spacing w:before="40"/>
            </w:pPr>
            <w:r w:rsidRPr="00563D53">
              <w:t>Capacity Charge</w:t>
            </w:r>
          </w:p>
        </w:tc>
        <w:tc>
          <w:tcPr>
            <w:tcW w:w="1022" w:type="dxa"/>
            <w:shd w:val="clear" w:color="auto" w:fill="DEEAF6"/>
            <w:vAlign w:val="center"/>
          </w:tcPr>
          <w:p w:rsidR="00750347" w:rsidRPr="00563D53" w:rsidRDefault="00750347">
            <w:pPr>
              <w:pStyle w:val="Tabletextboxed"/>
              <w:spacing w:before="40"/>
              <w:jc w:val="center"/>
            </w:pPr>
            <w:r w:rsidRPr="00563D53">
              <w:t>c/kVA/d</w:t>
            </w:r>
          </w:p>
        </w:tc>
        <w:tc>
          <w:tcPr>
            <w:tcW w:w="1461" w:type="dxa"/>
            <w:shd w:val="clear" w:color="auto" w:fill="DEEAF6"/>
            <w:vAlign w:val="center"/>
          </w:tcPr>
          <w:p w:rsidR="00750347" w:rsidRPr="00750347" w:rsidRDefault="00750347">
            <w:pPr>
              <w:pStyle w:val="Tabletextboxed"/>
              <w:spacing w:before="40"/>
              <w:jc w:val="center"/>
              <w:rPr>
                <w:highlight w:val="yellow"/>
              </w:rPr>
            </w:pPr>
            <w:r w:rsidRPr="0068721E">
              <w:t>5.20</w:t>
            </w:r>
          </w:p>
        </w:tc>
        <w:tc>
          <w:tcPr>
            <w:tcW w:w="1460" w:type="dxa"/>
            <w:shd w:val="clear" w:color="auto" w:fill="DEEAF6"/>
            <w:vAlign w:val="center"/>
          </w:tcPr>
          <w:p w:rsidR="00750347" w:rsidRPr="00750347" w:rsidRDefault="00750347">
            <w:pPr>
              <w:pStyle w:val="Tabletextboxed"/>
              <w:spacing w:before="40"/>
              <w:jc w:val="center"/>
              <w:rPr>
                <w:highlight w:val="yellow"/>
              </w:rPr>
            </w:pPr>
            <w:r w:rsidRPr="0068721E">
              <w:t>5.31</w:t>
            </w:r>
          </w:p>
        </w:tc>
        <w:tc>
          <w:tcPr>
            <w:tcW w:w="1406" w:type="dxa"/>
            <w:shd w:val="clear" w:color="auto" w:fill="DEEAF6"/>
            <w:vAlign w:val="center"/>
          </w:tcPr>
          <w:p w:rsidR="00750347" w:rsidRPr="00750347" w:rsidRDefault="00750347">
            <w:pPr>
              <w:pStyle w:val="Tabletextboxed"/>
              <w:spacing w:before="40"/>
              <w:jc w:val="center"/>
              <w:rPr>
                <w:highlight w:val="yellow"/>
              </w:rPr>
            </w:pPr>
            <w:r w:rsidRPr="0068721E">
              <w:t>5.44</w:t>
            </w:r>
          </w:p>
        </w:tc>
      </w:tr>
      <w:tr w:rsidR="00D87F99" w:rsidRPr="0019290F" w:rsidTr="00775C76">
        <w:trPr>
          <w:trHeight w:val="636"/>
        </w:trPr>
        <w:tc>
          <w:tcPr>
            <w:tcW w:w="876" w:type="dxa"/>
            <w:vMerge w:val="restart"/>
            <w:shd w:val="clear" w:color="auto" w:fill="97C5EA"/>
            <w:vAlign w:val="center"/>
          </w:tcPr>
          <w:p w:rsidR="00D87F99" w:rsidRPr="00563D53" w:rsidRDefault="00D87F99" w:rsidP="00722C30">
            <w:pPr>
              <w:pStyle w:val="Tabletextboxed"/>
              <w:spacing w:before="40"/>
              <w:jc w:val="center"/>
            </w:pPr>
            <w:r>
              <w:t>EA501</w:t>
            </w:r>
          </w:p>
        </w:tc>
        <w:tc>
          <w:tcPr>
            <w:tcW w:w="1341" w:type="dxa"/>
            <w:vMerge w:val="restart"/>
            <w:shd w:val="clear" w:color="auto" w:fill="C6D9F1" w:themeFill="text2" w:themeFillTint="33"/>
            <w:vAlign w:val="center"/>
          </w:tcPr>
          <w:p w:rsidR="00D87F99" w:rsidRPr="00563D53" w:rsidRDefault="00D87F99" w:rsidP="00722C30">
            <w:pPr>
              <w:pStyle w:val="Tabletextboxed"/>
              <w:spacing w:before="40"/>
              <w:jc w:val="center"/>
            </w:pPr>
            <w:r>
              <w:t>Transmission-connected Tariff</w:t>
            </w:r>
            <w:r w:rsidR="007D0321">
              <w:rPr>
                <w:rStyle w:val="FootnoteReference"/>
              </w:rPr>
              <w:footnoteReference w:id="1"/>
            </w:r>
          </w:p>
        </w:tc>
        <w:tc>
          <w:tcPr>
            <w:tcW w:w="2164" w:type="dxa"/>
            <w:shd w:val="clear" w:color="auto" w:fill="C6D9F1" w:themeFill="text2" w:themeFillTint="33"/>
            <w:vAlign w:val="center"/>
          </w:tcPr>
          <w:p w:rsidR="00D87F99" w:rsidRPr="00563D53" w:rsidRDefault="00D87F99">
            <w:pPr>
              <w:pStyle w:val="Tabletextboxed"/>
              <w:spacing w:before="40"/>
            </w:pPr>
            <w:r>
              <w:t>Network Access Charge</w:t>
            </w:r>
          </w:p>
        </w:tc>
        <w:tc>
          <w:tcPr>
            <w:tcW w:w="1022" w:type="dxa"/>
            <w:shd w:val="clear" w:color="auto" w:fill="DEEAF6"/>
            <w:vAlign w:val="center"/>
          </w:tcPr>
          <w:p w:rsidR="00D87F99" w:rsidRPr="00563D53" w:rsidRDefault="00D87F99">
            <w:pPr>
              <w:pStyle w:val="Tabletextboxed"/>
              <w:spacing w:before="40"/>
              <w:jc w:val="center"/>
            </w:pPr>
            <w:r w:rsidRPr="00563D53">
              <w:t>c/day</w:t>
            </w:r>
          </w:p>
        </w:tc>
        <w:tc>
          <w:tcPr>
            <w:tcW w:w="1461" w:type="dxa"/>
            <w:shd w:val="clear" w:color="auto" w:fill="DEEAF6"/>
            <w:vAlign w:val="center"/>
          </w:tcPr>
          <w:p w:rsidR="00D87F99" w:rsidRPr="00750347" w:rsidRDefault="00D87F99">
            <w:pPr>
              <w:pStyle w:val="Tabletextboxed"/>
              <w:spacing w:before="40"/>
              <w:jc w:val="center"/>
            </w:pPr>
            <w:r w:rsidRPr="00750347">
              <w:t>-</w:t>
            </w:r>
          </w:p>
        </w:tc>
        <w:tc>
          <w:tcPr>
            <w:tcW w:w="1460" w:type="dxa"/>
            <w:shd w:val="clear" w:color="auto" w:fill="DEEAF6"/>
            <w:vAlign w:val="center"/>
          </w:tcPr>
          <w:p w:rsidR="00D87F99" w:rsidRPr="00750347" w:rsidRDefault="00D87F99">
            <w:pPr>
              <w:pStyle w:val="Tabletextboxed"/>
              <w:spacing w:before="40"/>
              <w:jc w:val="center"/>
            </w:pPr>
            <w:r w:rsidRPr="00750347">
              <w:t>-</w:t>
            </w:r>
          </w:p>
        </w:tc>
        <w:tc>
          <w:tcPr>
            <w:tcW w:w="1406" w:type="dxa"/>
            <w:shd w:val="clear" w:color="auto" w:fill="DEEAF6"/>
            <w:vAlign w:val="center"/>
          </w:tcPr>
          <w:p w:rsidR="00D87F99" w:rsidRPr="00750347" w:rsidRDefault="00327E39">
            <w:pPr>
              <w:pStyle w:val="Tabletextboxed"/>
              <w:spacing w:before="40"/>
              <w:jc w:val="center"/>
            </w:pPr>
            <w:r>
              <w:t>0</w:t>
            </w:r>
          </w:p>
        </w:tc>
      </w:tr>
      <w:tr w:rsidR="00D87F99" w:rsidRPr="0019290F" w:rsidTr="00775C76">
        <w:trPr>
          <w:trHeight w:hRule="exact" w:val="397"/>
        </w:trPr>
        <w:tc>
          <w:tcPr>
            <w:tcW w:w="876" w:type="dxa"/>
            <w:vMerge/>
            <w:shd w:val="clear" w:color="auto" w:fill="97C5EA"/>
          </w:tcPr>
          <w:p w:rsidR="00D87F99" w:rsidRPr="00563D53" w:rsidRDefault="00D87F99" w:rsidP="00722C30">
            <w:pPr>
              <w:pStyle w:val="Tabletextboxed"/>
              <w:spacing w:before="40"/>
              <w:jc w:val="center"/>
            </w:pPr>
          </w:p>
        </w:tc>
        <w:tc>
          <w:tcPr>
            <w:tcW w:w="1341" w:type="dxa"/>
            <w:vMerge/>
            <w:shd w:val="clear" w:color="auto" w:fill="C6D9F1" w:themeFill="text2" w:themeFillTint="33"/>
          </w:tcPr>
          <w:p w:rsidR="00D87F99" w:rsidRPr="00563D53" w:rsidRDefault="00D87F99" w:rsidP="00722C30">
            <w:pPr>
              <w:pStyle w:val="Tabletextboxed"/>
              <w:spacing w:before="40"/>
              <w:jc w:val="center"/>
            </w:pPr>
          </w:p>
        </w:tc>
        <w:tc>
          <w:tcPr>
            <w:tcW w:w="2164" w:type="dxa"/>
            <w:shd w:val="clear" w:color="auto" w:fill="C6D9F1" w:themeFill="text2" w:themeFillTint="33"/>
            <w:vAlign w:val="center"/>
          </w:tcPr>
          <w:p w:rsidR="00D87F99" w:rsidRPr="00563D53" w:rsidRDefault="00D87F99">
            <w:pPr>
              <w:pStyle w:val="Tabletextboxed"/>
              <w:spacing w:before="40"/>
            </w:pPr>
            <w:r>
              <w:t>Peak Energy Price</w:t>
            </w:r>
          </w:p>
        </w:tc>
        <w:tc>
          <w:tcPr>
            <w:tcW w:w="1022" w:type="dxa"/>
            <w:shd w:val="clear" w:color="auto" w:fill="DEEAF6"/>
            <w:vAlign w:val="center"/>
          </w:tcPr>
          <w:p w:rsidR="00D87F99" w:rsidRPr="00563D53" w:rsidRDefault="00D87F99">
            <w:pPr>
              <w:pStyle w:val="Tabletextboxed"/>
              <w:spacing w:before="40"/>
              <w:jc w:val="center"/>
            </w:pPr>
            <w:r w:rsidRPr="00563D53">
              <w:t>c/kWh</w:t>
            </w:r>
          </w:p>
        </w:tc>
        <w:tc>
          <w:tcPr>
            <w:tcW w:w="1461" w:type="dxa"/>
            <w:shd w:val="clear" w:color="auto" w:fill="DEEAF6"/>
            <w:vAlign w:val="center"/>
          </w:tcPr>
          <w:p w:rsidR="00D87F99" w:rsidRPr="00750347" w:rsidRDefault="00D87F99">
            <w:pPr>
              <w:pStyle w:val="Tabletextboxed"/>
              <w:spacing w:before="40"/>
              <w:jc w:val="center"/>
            </w:pPr>
            <w:r w:rsidRPr="00750347">
              <w:t>-</w:t>
            </w:r>
          </w:p>
        </w:tc>
        <w:tc>
          <w:tcPr>
            <w:tcW w:w="1460" w:type="dxa"/>
            <w:shd w:val="clear" w:color="auto" w:fill="DEEAF6"/>
            <w:vAlign w:val="center"/>
          </w:tcPr>
          <w:p w:rsidR="00D87F99" w:rsidRPr="00750347" w:rsidRDefault="00D87F99">
            <w:pPr>
              <w:pStyle w:val="Tabletextboxed"/>
              <w:spacing w:before="40"/>
              <w:jc w:val="center"/>
            </w:pPr>
            <w:r w:rsidRPr="00750347">
              <w:t>-</w:t>
            </w:r>
          </w:p>
        </w:tc>
        <w:tc>
          <w:tcPr>
            <w:tcW w:w="1406" w:type="dxa"/>
            <w:shd w:val="clear" w:color="auto" w:fill="DEEAF6"/>
            <w:vAlign w:val="center"/>
          </w:tcPr>
          <w:p w:rsidR="00D87F99" w:rsidRPr="00750347" w:rsidRDefault="00D87F99">
            <w:pPr>
              <w:pStyle w:val="Tabletextboxed"/>
              <w:spacing w:before="40"/>
              <w:jc w:val="center"/>
            </w:pPr>
            <w:r w:rsidRPr="00750347">
              <w:t>1.25</w:t>
            </w:r>
          </w:p>
          <w:p w:rsidR="00D87F99" w:rsidRPr="00750347" w:rsidRDefault="00D87F99">
            <w:pPr>
              <w:pStyle w:val="Tabletextboxed"/>
              <w:spacing w:before="40"/>
              <w:jc w:val="center"/>
            </w:pPr>
          </w:p>
        </w:tc>
      </w:tr>
      <w:tr w:rsidR="00D87F99" w:rsidRPr="0019290F" w:rsidTr="00775C76">
        <w:trPr>
          <w:trHeight w:hRule="exact" w:val="631"/>
        </w:trPr>
        <w:tc>
          <w:tcPr>
            <w:tcW w:w="876" w:type="dxa"/>
            <w:vMerge/>
            <w:shd w:val="clear" w:color="auto" w:fill="97C5EA"/>
          </w:tcPr>
          <w:p w:rsidR="00D87F99" w:rsidRPr="00563D53" w:rsidRDefault="00D87F99" w:rsidP="00722C30">
            <w:pPr>
              <w:pStyle w:val="Tabletextboxed"/>
              <w:spacing w:before="40"/>
              <w:jc w:val="center"/>
            </w:pPr>
          </w:p>
        </w:tc>
        <w:tc>
          <w:tcPr>
            <w:tcW w:w="1341" w:type="dxa"/>
            <w:vMerge/>
            <w:shd w:val="clear" w:color="auto" w:fill="C6D9F1" w:themeFill="text2" w:themeFillTint="33"/>
          </w:tcPr>
          <w:p w:rsidR="00D87F99" w:rsidRPr="00563D53" w:rsidRDefault="00D87F99" w:rsidP="00722C30">
            <w:pPr>
              <w:pStyle w:val="Tabletextboxed"/>
              <w:spacing w:before="40"/>
              <w:jc w:val="center"/>
            </w:pPr>
          </w:p>
        </w:tc>
        <w:tc>
          <w:tcPr>
            <w:tcW w:w="2164" w:type="dxa"/>
            <w:shd w:val="clear" w:color="auto" w:fill="C6D9F1" w:themeFill="text2" w:themeFillTint="33"/>
            <w:vAlign w:val="center"/>
          </w:tcPr>
          <w:p w:rsidR="00D87F99" w:rsidRPr="00563D53" w:rsidRDefault="00D87F99">
            <w:pPr>
              <w:pStyle w:val="Tabletextboxed"/>
              <w:spacing w:before="40"/>
            </w:pPr>
            <w:r>
              <w:t>Shoulder Energy Price</w:t>
            </w:r>
          </w:p>
        </w:tc>
        <w:tc>
          <w:tcPr>
            <w:tcW w:w="1022" w:type="dxa"/>
            <w:shd w:val="clear" w:color="auto" w:fill="DEEAF6"/>
            <w:vAlign w:val="center"/>
          </w:tcPr>
          <w:p w:rsidR="00D87F99" w:rsidRPr="00563D53" w:rsidRDefault="00D87F99">
            <w:pPr>
              <w:pStyle w:val="Tabletextboxed"/>
              <w:spacing w:before="40"/>
              <w:jc w:val="center"/>
            </w:pPr>
            <w:r w:rsidRPr="00563D53">
              <w:t>c/kWh</w:t>
            </w:r>
          </w:p>
        </w:tc>
        <w:tc>
          <w:tcPr>
            <w:tcW w:w="1461" w:type="dxa"/>
            <w:shd w:val="clear" w:color="auto" w:fill="DEEAF6"/>
            <w:vAlign w:val="center"/>
          </w:tcPr>
          <w:p w:rsidR="00D87F99" w:rsidRPr="00750347" w:rsidRDefault="00D87F99">
            <w:pPr>
              <w:pStyle w:val="Tabletextboxed"/>
              <w:spacing w:before="40"/>
              <w:jc w:val="center"/>
            </w:pPr>
            <w:r w:rsidRPr="00750347">
              <w:t>-</w:t>
            </w:r>
          </w:p>
        </w:tc>
        <w:tc>
          <w:tcPr>
            <w:tcW w:w="1460" w:type="dxa"/>
            <w:shd w:val="clear" w:color="auto" w:fill="DEEAF6"/>
            <w:vAlign w:val="center"/>
          </w:tcPr>
          <w:p w:rsidR="00D87F99" w:rsidRPr="00750347" w:rsidRDefault="00D87F99">
            <w:pPr>
              <w:pStyle w:val="Tabletextboxed"/>
              <w:spacing w:before="40"/>
              <w:jc w:val="center"/>
            </w:pPr>
            <w:r w:rsidRPr="00750347">
              <w:t>-</w:t>
            </w:r>
          </w:p>
        </w:tc>
        <w:tc>
          <w:tcPr>
            <w:tcW w:w="1406" w:type="dxa"/>
            <w:shd w:val="clear" w:color="auto" w:fill="DEEAF6"/>
            <w:vAlign w:val="center"/>
          </w:tcPr>
          <w:p w:rsidR="00D87F99" w:rsidRPr="00750347" w:rsidRDefault="00D87F99">
            <w:pPr>
              <w:pStyle w:val="Tabletextboxed"/>
              <w:spacing w:before="40"/>
              <w:jc w:val="center"/>
            </w:pPr>
            <w:r w:rsidRPr="00750347">
              <w:t>1.25</w:t>
            </w:r>
          </w:p>
        </w:tc>
      </w:tr>
      <w:tr w:rsidR="00D87F99" w:rsidRPr="0019290F" w:rsidTr="00775C76">
        <w:trPr>
          <w:trHeight w:hRule="exact" w:val="397"/>
        </w:trPr>
        <w:tc>
          <w:tcPr>
            <w:tcW w:w="876" w:type="dxa"/>
            <w:vMerge/>
            <w:shd w:val="clear" w:color="auto" w:fill="97C5EA"/>
          </w:tcPr>
          <w:p w:rsidR="00D87F99" w:rsidRPr="00563D53" w:rsidRDefault="00D87F99" w:rsidP="00722C30">
            <w:pPr>
              <w:pStyle w:val="Tabletextboxed"/>
              <w:spacing w:before="40"/>
              <w:jc w:val="center"/>
            </w:pPr>
          </w:p>
        </w:tc>
        <w:tc>
          <w:tcPr>
            <w:tcW w:w="1341" w:type="dxa"/>
            <w:vMerge/>
            <w:shd w:val="clear" w:color="auto" w:fill="C6D9F1" w:themeFill="text2" w:themeFillTint="33"/>
          </w:tcPr>
          <w:p w:rsidR="00D87F99" w:rsidRPr="00563D53" w:rsidRDefault="00D87F99" w:rsidP="00722C30">
            <w:pPr>
              <w:pStyle w:val="Tabletextboxed"/>
              <w:spacing w:before="40"/>
              <w:jc w:val="center"/>
            </w:pPr>
          </w:p>
        </w:tc>
        <w:tc>
          <w:tcPr>
            <w:tcW w:w="2164" w:type="dxa"/>
            <w:shd w:val="clear" w:color="auto" w:fill="C6D9F1" w:themeFill="text2" w:themeFillTint="33"/>
            <w:vAlign w:val="center"/>
          </w:tcPr>
          <w:p w:rsidR="00D87F99" w:rsidRPr="00563D53" w:rsidRDefault="00D87F99">
            <w:pPr>
              <w:pStyle w:val="Tabletextboxed"/>
              <w:spacing w:before="40"/>
            </w:pPr>
            <w:r>
              <w:t>Off-peak Energy Price</w:t>
            </w:r>
          </w:p>
        </w:tc>
        <w:tc>
          <w:tcPr>
            <w:tcW w:w="1022" w:type="dxa"/>
            <w:shd w:val="clear" w:color="auto" w:fill="DEEAF6"/>
            <w:vAlign w:val="center"/>
          </w:tcPr>
          <w:p w:rsidR="00D87F99" w:rsidRPr="00563D53" w:rsidRDefault="00D87F99">
            <w:pPr>
              <w:pStyle w:val="Tabletextboxed"/>
              <w:spacing w:before="40"/>
              <w:jc w:val="center"/>
            </w:pPr>
            <w:r w:rsidRPr="00563D53">
              <w:t>c/kWh</w:t>
            </w:r>
          </w:p>
        </w:tc>
        <w:tc>
          <w:tcPr>
            <w:tcW w:w="1461" w:type="dxa"/>
            <w:shd w:val="clear" w:color="auto" w:fill="DEEAF6"/>
            <w:vAlign w:val="center"/>
          </w:tcPr>
          <w:p w:rsidR="00D87F99" w:rsidRPr="00750347" w:rsidRDefault="00D87F99">
            <w:pPr>
              <w:pStyle w:val="Tabletextboxed"/>
              <w:spacing w:before="40"/>
              <w:jc w:val="center"/>
            </w:pPr>
            <w:r w:rsidRPr="00750347">
              <w:t>-</w:t>
            </w:r>
          </w:p>
        </w:tc>
        <w:tc>
          <w:tcPr>
            <w:tcW w:w="1460" w:type="dxa"/>
            <w:shd w:val="clear" w:color="auto" w:fill="DEEAF6"/>
            <w:vAlign w:val="center"/>
          </w:tcPr>
          <w:p w:rsidR="00D87F99" w:rsidRPr="00750347" w:rsidRDefault="00D87F99">
            <w:pPr>
              <w:pStyle w:val="Tabletextboxed"/>
              <w:spacing w:before="40"/>
              <w:jc w:val="center"/>
            </w:pPr>
            <w:r w:rsidRPr="00750347">
              <w:t>-</w:t>
            </w:r>
          </w:p>
        </w:tc>
        <w:tc>
          <w:tcPr>
            <w:tcW w:w="1406" w:type="dxa"/>
            <w:shd w:val="clear" w:color="auto" w:fill="DEEAF6"/>
            <w:vAlign w:val="center"/>
          </w:tcPr>
          <w:p w:rsidR="00D87F99" w:rsidRPr="00750347" w:rsidRDefault="00D87F99">
            <w:pPr>
              <w:pStyle w:val="Tabletextboxed"/>
              <w:spacing w:before="40"/>
              <w:jc w:val="center"/>
            </w:pPr>
            <w:r w:rsidRPr="00750347">
              <w:t>1.25</w:t>
            </w:r>
          </w:p>
        </w:tc>
      </w:tr>
      <w:tr w:rsidR="00D87F99" w:rsidRPr="0019290F" w:rsidTr="00775C76">
        <w:trPr>
          <w:trHeight w:hRule="exact" w:val="397"/>
        </w:trPr>
        <w:tc>
          <w:tcPr>
            <w:tcW w:w="876" w:type="dxa"/>
            <w:vMerge/>
            <w:shd w:val="clear" w:color="auto" w:fill="97C5EA"/>
          </w:tcPr>
          <w:p w:rsidR="00D87F99" w:rsidRPr="00563D53" w:rsidRDefault="00D87F99" w:rsidP="00722C30">
            <w:pPr>
              <w:pStyle w:val="Tabletextboxed"/>
              <w:spacing w:before="40"/>
              <w:jc w:val="center"/>
            </w:pPr>
          </w:p>
        </w:tc>
        <w:tc>
          <w:tcPr>
            <w:tcW w:w="1341" w:type="dxa"/>
            <w:vMerge/>
            <w:shd w:val="clear" w:color="auto" w:fill="C6D9F1" w:themeFill="text2" w:themeFillTint="33"/>
          </w:tcPr>
          <w:p w:rsidR="00D87F99" w:rsidRPr="00563D53" w:rsidRDefault="00D87F99" w:rsidP="00722C30">
            <w:pPr>
              <w:pStyle w:val="Tabletextboxed"/>
              <w:spacing w:before="40"/>
              <w:jc w:val="center"/>
            </w:pPr>
          </w:p>
        </w:tc>
        <w:tc>
          <w:tcPr>
            <w:tcW w:w="2164" w:type="dxa"/>
            <w:shd w:val="clear" w:color="auto" w:fill="C6D9F1" w:themeFill="text2" w:themeFillTint="33"/>
            <w:vAlign w:val="center"/>
          </w:tcPr>
          <w:p w:rsidR="00D87F99" w:rsidRPr="00563D53" w:rsidRDefault="00D87F99">
            <w:pPr>
              <w:pStyle w:val="Tabletextboxed"/>
              <w:spacing w:before="40"/>
            </w:pPr>
            <w:r>
              <w:t>Capacity Charge</w:t>
            </w:r>
          </w:p>
        </w:tc>
        <w:tc>
          <w:tcPr>
            <w:tcW w:w="1022" w:type="dxa"/>
            <w:shd w:val="clear" w:color="auto" w:fill="DEEAF6"/>
            <w:vAlign w:val="center"/>
          </w:tcPr>
          <w:p w:rsidR="00D87F99" w:rsidRPr="00563D53" w:rsidRDefault="00D87F99">
            <w:pPr>
              <w:pStyle w:val="Tabletextboxed"/>
              <w:spacing w:before="40"/>
              <w:jc w:val="center"/>
            </w:pPr>
            <w:r w:rsidRPr="00563D53">
              <w:t>c/kVA/d</w:t>
            </w:r>
          </w:p>
        </w:tc>
        <w:tc>
          <w:tcPr>
            <w:tcW w:w="1461" w:type="dxa"/>
            <w:shd w:val="clear" w:color="auto" w:fill="DEEAF6"/>
            <w:vAlign w:val="center"/>
          </w:tcPr>
          <w:p w:rsidR="00D87F99" w:rsidRPr="00750347" w:rsidRDefault="00D87F99">
            <w:pPr>
              <w:pStyle w:val="Tabletextboxed"/>
              <w:spacing w:before="40"/>
              <w:jc w:val="center"/>
            </w:pPr>
            <w:r w:rsidRPr="00750347">
              <w:t>-</w:t>
            </w:r>
          </w:p>
        </w:tc>
        <w:tc>
          <w:tcPr>
            <w:tcW w:w="1460" w:type="dxa"/>
            <w:shd w:val="clear" w:color="auto" w:fill="DEEAF6"/>
            <w:vAlign w:val="center"/>
          </w:tcPr>
          <w:p w:rsidR="00D87F99" w:rsidRPr="00750347" w:rsidRDefault="00D87F99">
            <w:pPr>
              <w:pStyle w:val="Tabletextboxed"/>
              <w:spacing w:before="40"/>
              <w:jc w:val="center"/>
            </w:pPr>
            <w:r w:rsidRPr="00750347">
              <w:t>-</w:t>
            </w:r>
          </w:p>
        </w:tc>
        <w:tc>
          <w:tcPr>
            <w:tcW w:w="1406" w:type="dxa"/>
            <w:shd w:val="clear" w:color="auto" w:fill="DEEAF6"/>
            <w:vAlign w:val="center"/>
          </w:tcPr>
          <w:p w:rsidR="00D87F99" w:rsidRPr="00750347" w:rsidRDefault="00D87F99">
            <w:pPr>
              <w:pStyle w:val="Tabletextboxed"/>
              <w:spacing w:before="40"/>
              <w:jc w:val="center"/>
            </w:pPr>
            <w:r w:rsidRPr="00750347">
              <w:t>3.10</w:t>
            </w:r>
          </w:p>
        </w:tc>
      </w:tr>
    </w:tbl>
    <w:p w:rsidR="00A623F1" w:rsidRPr="00B55EF3" w:rsidRDefault="00A623F1" w:rsidP="00722C30"/>
    <w:p w:rsidR="00D932FD" w:rsidRDefault="00A82094" w:rsidP="00722C30">
      <w:pPr>
        <w:pStyle w:val="Heading2"/>
      </w:pPr>
      <w:bookmarkStart w:id="27" w:name="_Toc475527407"/>
      <w:r w:rsidRPr="00461E45">
        <w:rPr>
          <w:rFonts w:cs="Arial"/>
        </w:rPr>
        <w:t>Potential</w:t>
      </w:r>
      <w:r>
        <w:t xml:space="preserve"> areas of future tariff reform</w:t>
      </w:r>
      <w:bookmarkEnd w:id="27"/>
    </w:p>
    <w:p w:rsidR="00B8719F" w:rsidRPr="00722C30" w:rsidRDefault="00FD5970" w:rsidP="00BD7A0B">
      <w:pPr>
        <w:pStyle w:val="BodyText"/>
        <w:rPr>
          <w:rStyle w:val="AERbody"/>
          <w:lang w:val="en-US"/>
        </w:rPr>
      </w:pPr>
      <w:r w:rsidRPr="00722C30">
        <w:rPr>
          <w:rStyle w:val="AERbody"/>
          <w:lang w:val="en-US"/>
        </w:rPr>
        <w:t>Ausgrid’s construction of the ‘effici</w:t>
      </w:r>
      <w:r w:rsidR="00C97A01" w:rsidRPr="00722C30">
        <w:rPr>
          <w:rStyle w:val="AERbody"/>
          <w:lang w:val="en-US"/>
        </w:rPr>
        <w:t>e</w:t>
      </w:r>
      <w:r w:rsidRPr="00722C30">
        <w:rPr>
          <w:rStyle w:val="AERbody"/>
          <w:lang w:val="en-US"/>
        </w:rPr>
        <w:t>nt tariff’ and assessment of the corresponding customer bill impacts identified a clear need to transition to cost reflective tariffs, where the nature and speed of this transition will be guided by</w:t>
      </w:r>
      <w:r w:rsidR="00B8719F" w:rsidRPr="00722C30">
        <w:rPr>
          <w:rStyle w:val="AERbody"/>
          <w:lang w:val="en-US"/>
        </w:rPr>
        <w:t xml:space="preserve"> an assessment of customer impacts.</w:t>
      </w:r>
      <w:r w:rsidR="00461E45" w:rsidRPr="00722C30">
        <w:rPr>
          <w:rStyle w:val="AERbody"/>
          <w:lang w:val="en-US"/>
        </w:rPr>
        <w:t xml:space="preserve"> Indeed, it is likely that this transition will span multiple regulatory control periods.</w:t>
      </w:r>
    </w:p>
    <w:p w:rsidR="00B8719F" w:rsidRPr="00722C30" w:rsidRDefault="00B8719F" w:rsidP="007D0321">
      <w:pPr>
        <w:pStyle w:val="BodyText"/>
        <w:rPr>
          <w:rStyle w:val="AERbody"/>
          <w:lang w:val="en-US"/>
        </w:rPr>
      </w:pPr>
      <w:r w:rsidRPr="00722C30">
        <w:rPr>
          <w:rStyle w:val="AERbody"/>
          <w:lang w:val="en-US"/>
        </w:rPr>
        <w:t>Our review of tariffs and engagement with stakeholders identified a range of potential tariff reforms</w:t>
      </w:r>
      <w:r w:rsidR="00461E45" w:rsidRPr="00722C30">
        <w:rPr>
          <w:rStyle w:val="AERbody"/>
          <w:lang w:val="en-US"/>
        </w:rPr>
        <w:t xml:space="preserve"> –</w:t>
      </w:r>
      <w:r w:rsidRPr="00722C30">
        <w:rPr>
          <w:rStyle w:val="AERbody"/>
          <w:lang w:val="en-US"/>
        </w:rPr>
        <w:t xml:space="preserve"> each with different implications for economic efficiency and customer bill impacts</w:t>
      </w:r>
      <w:r w:rsidR="00461E45" w:rsidRPr="00722C30">
        <w:rPr>
          <w:rStyle w:val="AERbody"/>
          <w:lang w:val="en-US"/>
        </w:rPr>
        <w:t xml:space="preserve"> – that could be included as part of this first step in the transition to efficient tariffs under the new pricing rules in the NER.</w:t>
      </w:r>
      <w:r w:rsidRPr="00722C30">
        <w:rPr>
          <w:rStyle w:val="AERbody"/>
          <w:lang w:val="en-US"/>
        </w:rPr>
        <w:t xml:space="preserve"> Bearing in mind the feedback we received from stakeholders</w:t>
      </w:r>
      <w:r w:rsidR="003D6453" w:rsidRPr="00722C30">
        <w:rPr>
          <w:rStyle w:val="AERbody"/>
          <w:lang w:val="en-US"/>
        </w:rPr>
        <w:t xml:space="preserve"> as to price stability implications</w:t>
      </w:r>
      <w:r w:rsidRPr="00722C30">
        <w:rPr>
          <w:rStyle w:val="AERbody"/>
          <w:lang w:val="en-US"/>
        </w:rPr>
        <w:t xml:space="preserve">, Ausgrid selected the reforms proposed in this TSS so as to achieve the greatest possible improvement in tariff efficiency while avoiding unacceptable bill impacts. </w:t>
      </w:r>
    </w:p>
    <w:p w:rsidR="0031623F" w:rsidRPr="00722C30" w:rsidRDefault="0031623F">
      <w:pPr>
        <w:pStyle w:val="BodyText"/>
        <w:rPr>
          <w:rStyle w:val="AERbody"/>
        </w:rPr>
      </w:pPr>
      <w:r w:rsidRPr="00722C30">
        <w:rPr>
          <w:rStyle w:val="AERbody"/>
          <w:lang w:val="en-US"/>
        </w:rPr>
        <w:t xml:space="preserve">Of course, in some circumstances Ausgrid had to exercise its discretion and best judgement by deciding that it is in the best interests of customers to delay the implementation of some potentially meritorious reforms until the next regulatory control period, </w:t>
      </w:r>
      <w:r w:rsidRPr="00722C30">
        <w:rPr>
          <w:rStyle w:val="AERbody"/>
          <w:lang w:val="en-US" w:eastAsia="en-US"/>
        </w:rPr>
        <w:t>ie, so as to mitigate the risk of unacceptable customer impacts. This decision reflects a risk that the implementation of reforms without proper analysis of the consequences may lead to significant price and so bill volatility for some customers. Moreover, since this TSS will apply for only two years, it is in the long term interest of our customers to delay further reforms until our next TSS</w:t>
      </w:r>
      <w:r w:rsidR="003D6453" w:rsidRPr="00722C30">
        <w:rPr>
          <w:rStyle w:val="AERbody"/>
        </w:rPr>
        <w:t>, ie, so that Ausgrid has time to undertake the analysis required to ensure that reforms do not result in unacceptable customer impacts</w:t>
      </w:r>
      <w:r w:rsidRPr="00722C30">
        <w:rPr>
          <w:rStyle w:val="AERbody"/>
        </w:rPr>
        <w:t>.</w:t>
      </w:r>
    </w:p>
    <w:p w:rsidR="0031623F" w:rsidRPr="00722C30" w:rsidRDefault="0031623F">
      <w:pPr>
        <w:pStyle w:val="BodyText"/>
        <w:rPr>
          <w:rStyle w:val="AERbody"/>
          <w:lang w:val="en-US"/>
        </w:rPr>
      </w:pPr>
      <w:r w:rsidRPr="00722C30">
        <w:rPr>
          <w:rStyle w:val="AERbody"/>
          <w:lang w:val="en-US"/>
        </w:rPr>
        <w:t xml:space="preserve">Ausgrid proposes to consider such reforms as part of the next TSS to be implemented from 1 July </w:t>
      </w:r>
      <w:r w:rsidR="00B17C8B" w:rsidRPr="00722C30">
        <w:rPr>
          <w:rStyle w:val="AERbody"/>
          <w:lang w:val="en-US"/>
        </w:rPr>
        <w:t>20</w:t>
      </w:r>
      <w:r w:rsidR="00B17C8B">
        <w:rPr>
          <w:rStyle w:val="AERbody"/>
          <w:lang w:val="en-US"/>
        </w:rPr>
        <w:t>19</w:t>
      </w:r>
      <w:r w:rsidRPr="00722C30">
        <w:rPr>
          <w:rStyle w:val="AERbody"/>
          <w:lang w:val="en-US"/>
        </w:rPr>
        <w:t>, the consultation for which is due to commence before the end of the 2016 calendar year. Ausgrid and our stakeholders have identified the following matters for consideration in the next TSS:</w:t>
      </w:r>
    </w:p>
    <w:p w:rsidR="0031623F" w:rsidRPr="00722C30" w:rsidRDefault="0031623F" w:rsidP="00722C30">
      <w:pPr>
        <w:pStyle w:val="Bulletedtext"/>
      </w:pPr>
      <w:r w:rsidRPr="00B55EF3">
        <w:t>the future of the non-TOU tar</w:t>
      </w:r>
      <w:r w:rsidRPr="00722C30">
        <w:t>iff for residential and small business customers;</w:t>
      </w:r>
    </w:p>
    <w:p w:rsidR="0031623F" w:rsidRPr="00722C30" w:rsidRDefault="0031623F" w:rsidP="00722C30">
      <w:pPr>
        <w:pStyle w:val="Bulletedtext"/>
      </w:pPr>
      <w:r w:rsidRPr="00722C30">
        <w:t>the potential to implement a demand charge for residential customers;</w:t>
      </w:r>
    </w:p>
    <w:p w:rsidR="0031623F" w:rsidRPr="00722C30" w:rsidRDefault="0031623F" w:rsidP="00722C30">
      <w:pPr>
        <w:pStyle w:val="Bulletedtext"/>
      </w:pPr>
      <w:r w:rsidRPr="00722C30">
        <w:t>the scope to reform the peak periods and the weekend shoulder</w:t>
      </w:r>
      <w:r w:rsidR="003F4D57" w:rsidRPr="00722C30">
        <w:t xml:space="preserve"> period</w:t>
      </w:r>
      <w:r w:rsidRPr="00722C30">
        <w:t xml:space="preserve">; </w:t>
      </w:r>
    </w:p>
    <w:p w:rsidR="003A3F6A" w:rsidRPr="00722C30" w:rsidRDefault="0031623F" w:rsidP="00722C30">
      <w:pPr>
        <w:pStyle w:val="Bulletedtext"/>
      </w:pPr>
      <w:r w:rsidRPr="00722C30">
        <w:t>how to mitigate customer bill impacts for low-income and vulnerable householders</w:t>
      </w:r>
      <w:r w:rsidR="003A3F6A" w:rsidRPr="00722C30">
        <w:t>; and</w:t>
      </w:r>
    </w:p>
    <w:p w:rsidR="00BB6763" w:rsidRDefault="003A3F6A" w:rsidP="00F93A72">
      <w:pPr>
        <w:pStyle w:val="Bulletedtext"/>
        <w:spacing w:after="240"/>
      </w:pPr>
      <w:proofErr w:type="gramStart"/>
      <w:r w:rsidRPr="00722C30">
        <w:t>the</w:t>
      </w:r>
      <w:proofErr w:type="gramEnd"/>
      <w:r w:rsidRPr="00722C30">
        <w:t xml:space="preserve"> scope to adopt tariff eligibility criteria</w:t>
      </w:r>
      <w:r w:rsidR="00232B2A" w:rsidRPr="00DF694F">
        <w:rPr>
          <w:rStyle w:val="FootnoteReference"/>
        </w:rPr>
        <w:footnoteReference w:id="2"/>
      </w:r>
      <w:r w:rsidRPr="00722C30">
        <w:t xml:space="preserve"> based on </w:t>
      </w:r>
      <w:r w:rsidR="000402C5" w:rsidRPr="00722C30">
        <w:t>the size of the electrical connection</w:t>
      </w:r>
      <w:r w:rsidR="0031623F" w:rsidRPr="00722C30">
        <w:t>.</w:t>
      </w:r>
    </w:p>
    <w:p w:rsidR="001E7F29" w:rsidRPr="0028732E" w:rsidRDefault="001E7F29" w:rsidP="00BD7A0B">
      <w:pPr>
        <w:pStyle w:val="BodyText"/>
        <w:rPr>
          <w:rStyle w:val="AERbody"/>
        </w:rPr>
      </w:pPr>
      <w:r w:rsidRPr="0028732E">
        <w:rPr>
          <w:rStyle w:val="AERbody"/>
        </w:rPr>
        <w:t xml:space="preserve">Ausgrid explains the basis for delaying until the next TSS further consideration of tariff </w:t>
      </w:r>
      <w:r w:rsidR="00B17C8B">
        <w:rPr>
          <w:rStyle w:val="AERbody"/>
        </w:rPr>
        <w:t>eligibility</w:t>
      </w:r>
      <w:r w:rsidR="00B17C8B" w:rsidRPr="0028732E">
        <w:rPr>
          <w:rStyle w:val="AERbody"/>
        </w:rPr>
        <w:t xml:space="preserve"> </w:t>
      </w:r>
      <w:r w:rsidRPr="0028732E">
        <w:rPr>
          <w:rStyle w:val="AERbody"/>
        </w:rPr>
        <w:t xml:space="preserve">criteria based on the size of electrical connection in the box in section </w:t>
      </w:r>
      <w:r w:rsidRPr="0028732E">
        <w:rPr>
          <w:rStyle w:val="AERbody"/>
        </w:rPr>
        <w:fldChar w:fldCharType="begin"/>
      </w:r>
      <w:r w:rsidRPr="0028732E">
        <w:rPr>
          <w:rStyle w:val="AERbody"/>
        </w:rPr>
        <w:instrText xml:space="preserve"> REF _Ref461802681 \r \h </w:instrText>
      </w:r>
      <w:r w:rsidRPr="0028732E">
        <w:rPr>
          <w:rStyle w:val="AERbody"/>
        </w:rPr>
      </w:r>
      <w:r w:rsidRPr="0028732E">
        <w:rPr>
          <w:rStyle w:val="AERbody"/>
        </w:rPr>
        <w:fldChar w:fldCharType="separate"/>
      </w:r>
      <w:r w:rsidR="00BE0834">
        <w:rPr>
          <w:rStyle w:val="AERbody"/>
        </w:rPr>
        <w:t>8.3</w:t>
      </w:r>
      <w:r w:rsidRPr="0028732E">
        <w:rPr>
          <w:rStyle w:val="AERbody"/>
        </w:rPr>
        <w:fldChar w:fldCharType="end"/>
      </w:r>
      <w:r w:rsidRPr="0028732E">
        <w:rPr>
          <w:rStyle w:val="AERbody"/>
        </w:rPr>
        <w:t>.</w:t>
      </w:r>
    </w:p>
    <w:p w:rsidR="00D652AB" w:rsidRPr="00722C30" w:rsidRDefault="001E7F29" w:rsidP="00D710CC">
      <w:pPr>
        <w:pStyle w:val="BodyText"/>
      </w:pPr>
      <w:r w:rsidRPr="0028732E">
        <w:rPr>
          <w:rStyle w:val="AERbody"/>
        </w:rPr>
        <w:t>Ausgrid looks forward to further consultation with stakeholders on these matters and continuing to work together in developing and implementing Ausgrid’s transition to efficient tariffs, consistent with the requirements of the NER.</w:t>
      </w:r>
    </w:p>
    <w:p w:rsidR="001E7F29" w:rsidRDefault="001E7F29" w:rsidP="00722C30">
      <w:pPr>
        <w:pStyle w:val="Heading2"/>
      </w:pPr>
      <w:bookmarkStart w:id="28" w:name="_Toc475527408"/>
      <w:r w:rsidRPr="00461E45">
        <w:t>Feedback</w:t>
      </w:r>
      <w:bookmarkEnd w:id="28"/>
    </w:p>
    <w:p w:rsidR="001E7F29" w:rsidRPr="0028732E" w:rsidRDefault="001E7F29" w:rsidP="001E7F29">
      <w:pPr>
        <w:spacing w:before="120" w:after="240" w:line="240" w:lineRule="exact"/>
        <w:ind w:left="851"/>
        <w:rPr>
          <w:rStyle w:val="AERbody"/>
        </w:rPr>
      </w:pPr>
      <w:proofErr w:type="spellStart"/>
      <w:r w:rsidRPr="0028732E">
        <w:rPr>
          <w:rStyle w:val="AERbody"/>
        </w:rPr>
        <w:t>Ausgrid’s</w:t>
      </w:r>
      <w:proofErr w:type="spellEnd"/>
      <w:r w:rsidRPr="0028732E">
        <w:rPr>
          <w:rStyle w:val="AERbody"/>
        </w:rPr>
        <w:t xml:space="preserve"> welcomes feedback from our customers and stakeholders </w:t>
      </w:r>
      <w:r w:rsidR="00DF694F" w:rsidRPr="0028732E">
        <w:rPr>
          <w:rStyle w:val="AERbody"/>
        </w:rPr>
        <w:t>a</w:t>
      </w:r>
      <w:r w:rsidR="00DF694F">
        <w:rPr>
          <w:rStyle w:val="AERbody"/>
        </w:rPr>
        <w:t>nd</w:t>
      </w:r>
      <w:r w:rsidR="00DF694F" w:rsidRPr="0028732E">
        <w:rPr>
          <w:rStyle w:val="AERbody"/>
        </w:rPr>
        <w:t xml:space="preserve"> </w:t>
      </w:r>
      <w:r w:rsidR="00DF694F">
        <w:rPr>
          <w:rStyle w:val="AERbody"/>
        </w:rPr>
        <w:t xml:space="preserve">is </w:t>
      </w:r>
      <w:r w:rsidRPr="0028732E">
        <w:rPr>
          <w:rStyle w:val="AERbody"/>
        </w:rPr>
        <w:t xml:space="preserve">pleased to invite feedback on </w:t>
      </w:r>
      <w:r w:rsidR="00DF694F">
        <w:rPr>
          <w:rStyle w:val="AERbody"/>
        </w:rPr>
        <w:t>our TSS</w:t>
      </w:r>
      <w:r w:rsidRPr="0028732E">
        <w:rPr>
          <w:rStyle w:val="AERbody"/>
        </w:rPr>
        <w:t xml:space="preserve"> to:</w:t>
      </w:r>
    </w:p>
    <w:p w:rsidR="001E7F29" w:rsidRPr="0028732E" w:rsidRDefault="001B5FF8" w:rsidP="00722C30">
      <w:pPr>
        <w:pStyle w:val="Bulletedtext"/>
        <w:rPr>
          <w:rStyle w:val="AERbody"/>
        </w:rPr>
      </w:pPr>
      <w:hyperlink r:id="rId16" w:history="1">
        <w:r w:rsidR="001E7F29" w:rsidRPr="0028732E">
          <w:rPr>
            <w:rStyle w:val="AERbody"/>
          </w:rPr>
          <w:t>pricing@ausgrid.com.au</w:t>
        </w:r>
      </w:hyperlink>
      <w:r w:rsidR="001E7F29" w:rsidRPr="0028732E">
        <w:rPr>
          <w:rStyle w:val="AERbody"/>
        </w:rPr>
        <w:t>; or</w:t>
      </w:r>
    </w:p>
    <w:p w:rsidR="001E7F29" w:rsidRPr="0028732E" w:rsidRDefault="001E7F29" w:rsidP="00722C30">
      <w:pPr>
        <w:pStyle w:val="Bulletedtext"/>
        <w:rPr>
          <w:rStyle w:val="AERbody"/>
        </w:rPr>
      </w:pPr>
      <w:r w:rsidRPr="0028732E">
        <w:rPr>
          <w:rStyle w:val="AERbody"/>
        </w:rPr>
        <w:t xml:space="preserve">Chief Operating Officer </w:t>
      </w:r>
      <w:r w:rsidR="00892C6E">
        <w:rPr>
          <w:rStyle w:val="AERbody"/>
        </w:rPr>
        <w:br/>
      </w:r>
      <w:r w:rsidRPr="0028732E">
        <w:rPr>
          <w:rStyle w:val="AERbody"/>
        </w:rPr>
        <w:t>GPO Box 4009</w:t>
      </w:r>
      <w:r w:rsidRPr="0028732E">
        <w:rPr>
          <w:rStyle w:val="AERbody"/>
        </w:rPr>
        <w:br/>
        <w:t>Sydney NSW 2001.</w:t>
      </w:r>
    </w:p>
    <w:p w:rsidR="001E7F29" w:rsidRPr="0028732E" w:rsidRDefault="001E7F29" w:rsidP="001E7F29">
      <w:pPr>
        <w:spacing w:before="120" w:after="240" w:line="240" w:lineRule="exact"/>
        <w:ind w:left="851"/>
        <w:rPr>
          <w:rStyle w:val="AERbody"/>
          <w:highlight w:val="yellow"/>
        </w:rPr>
      </w:pPr>
      <w:r w:rsidRPr="0028732E">
        <w:rPr>
          <w:rStyle w:val="AERbody"/>
        </w:rPr>
        <w:t xml:space="preserve">Alternatively, customers may also like to make comments via </w:t>
      </w:r>
      <w:proofErr w:type="spellStart"/>
      <w:r w:rsidRPr="0028732E">
        <w:rPr>
          <w:rStyle w:val="AERbody"/>
        </w:rPr>
        <w:t>Ausgrid’s</w:t>
      </w:r>
      <w:proofErr w:type="spellEnd"/>
      <w:r w:rsidRPr="0028732E">
        <w:rPr>
          <w:rStyle w:val="AERbody"/>
        </w:rPr>
        <w:t xml:space="preserve"> Facebook page at www.facebook.com/Ausgrid or via twitter.com/</w:t>
      </w:r>
      <w:proofErr w:type="spellStart"/>
      <w:r w:rsidRPr="0028732E">
        <w:rPr>
          <w:rStyle w:val="AERbody"/>
        </w:rPr>
        <w:t>Ausgrid</w:t>
      </w:r>
      <w:proofErr w:type="spellEnd"/>
      <w:r w:rsidRPr="0028732E">
        <w:rPr>
          <w:rStyle w:val="AERbody"/>
        </w:rPr>
        <w:t>.</w:t>
      </w:r>
    </w:p>
    <w:p w:rsidR="007B4C10" w:rsidRDefault="00C97A01" w:rsidP="0075101A">
      <w:pPr>
        <w:pStyle w:val="Heading1"/>
      </w:pPr>
      <w:bookmarkStart w:id="29" w:name="_Toc462911516"/>
      <w:bookmarkStart w:id="30" w:name="_Toc475527409"/>
      <w:bookmarkEnd w:id="29"/>
      <w:r>
        <w:lastRenderedPageBreak/>
        <w:t>Introduction</w:t>
      </w:r>
      <w:bookmarkEnd w:id="30"/>
    </w:p>
    <w:p w:rsidR="00A25BE0" w:rsidRDefault="00A25BE0" w:rsidP="00722C30">
      <w:pPr>
        <w:pStyle w:val="Heading2"/>
      </w:pPr>
      <w:bookmarkStart w:id="31" w:name="_Toc475527410"/>
      <w:r>
        <w:t>Ausgrid’s network</w:t>
      </w:r>
      <w:bookmarkEnd w:id="31"/>
    </w:p>
    <w:p w:rsidR="00A25BE0" w:rsidRPr="00722C30" w:rsidRDefault="00A25BE0" w:rsidP="00BD7A0B">
      <w:pPr>
        <w:pStyle w:val="BodyText"/>
        <w:rPr>
          <w:rStyle w:val="AERbody"/>
        </w:rPr>
      </w:pPr>
      <w:r w:rsidRPr="00722C30">
        <w:rPr>
          <w:rStyle w:val="AERbody"/>
        </w:rPr>
        <w:t>Ausgrid is a key element of the electricity supply chain that delivers electricity to customers’ premises. We’re often called “the poles and wires”. Once power is generated, it is transported as high-voltage electricity over long distances by TransGrid.</w:t>
      </w:r>
    </w:p>
    <w:p w:rsidR="00A25BE0" w:rsidRPr="00722C30" w:rsidRDefault="00A25BE0" w:rsidP="007D0321">
      <w:pPr>
        <w:pStyle w:val="BodyText"/>
        <w:rPr>
          <w:rStyle w:val="AERbody"/>
        </w:rPr>
      </w:pPr>
      <w:r w:rsidRPr="00722C30">
        <w:rPr>
          <w:rStyle w:val="AERbody"/>
        </w:rPr>
        <w:t>Ausgrid’s network then transforms it into lower voltage electricity at sub-transmission and zone substations. This electricity is again transformed at local distribution substations so it can be supplied to customers’ premises. We manage more than 200 zone substations, 30,000 distribution substations, 48,000 kilometers of power lines and 500,000 power poles. These assets, along with our depots and other properties, are known as our regulated asset base and are worth approximately $</w:t>
      </w:r>
      <w:r w:rsidR="00DF694F" w:rsidRPr="00722C30">
        <w:rPr>
          <w:rStyle w:val="AERbody"/>
        </w:rPr>
        <w:t>1</w:t>
      </w:r>
      <w:r w:rsidR="00DF694F">
        <w:rPr>
          <w:rStyle w:val="AERbody"/>
        </w:rPr>
        <w:t>5</w:t>
      </w:r>
      <w:r w:rsidR="00DF694F" w:rsidRPr="00722C30">
        <w:rPr>
          <w:rStyle w:val="AERbody"/>
        </w:rPr>
        <w:t xml:space="preserve"> </w:t>
      </w:r>
      <w:r w:rsidRPr="00722C30">
        <w:rPr>
          <w:rStyle w:val="AERbody"/>
        </w:rPr>
        <w:t>billion.</w:t>
      </w:r>
    </w:p>
    <w:p w:rsidR="00A25BE0" w:rsidRPr="00722C30" w:rsidRDefault="00A25BE0">
      <w:pPr>
        <w:pStyle w:val="BodyText"/>
        <w:rPr>
          <w:rStyle w:val="AERbody"/>
        </w:rPr>
      </w:pPr>
      <w:r w:rsidRPr="00722C30">
        <w:rPr>
          <w:rStyle w:val="AERbody"/>
        </w:rPr>
        <w:t>Our network transports electricity to more than 1.6 million customers in Sydney, the Central Coast and the Hunter Region.</w:t>
      </w:r>
    </w:p>
    <w:p w:rsidR="00C97A01" w:rsidRDefault="00C97A01" w:rsidP="00722C30">
      <w:pPr>
        <w:pStyle w:val="Heading2"/>
      </w:pPr>
      <w:bookmarkStart w:id="32" w:name="_Toc475527411"/>
      <w:r>
        <w:t>Regulatory and legal requirement for Tariff Structure Statement</w:t>
      </w:r>
      <w:bookmarkEnd w:id="32"/>
    </w:p>
    <w:p w:rsidR="00C97A01" w:rsidRPr="00722C30" w:rsidRDefault="00C97A01">
      <w:pPr>
        <w:spacing w:before="120" w:after="240" w:line="240" w:lineRule="exact"/>
        <w:ind w:left="851"/>
        <w:rPr>
          <w:rStyle w:val="AERbody"/>
        </w:rPr>
      </w:pPr>
      <w:r w:rsidRPr="00722C30">
        <w:rPr>
          <w:rStyle w:val="AERbody"/>
        </w:rPr>
        <w:t xml:space="preserve">On 1 December 2014, the National Electricity Rules (NER) </w:t>
      </w:r>
      <w:proofErr w:type="gramStart"/>
      <w:r w:rsidRPr="00722C30">
        <w:rPr>
          <w:rStyle w:val="AERbody"/>
        </w:rPr>
        <w:t>were</w:t>
      </w:r>
      <w:proofErr w:type="gramEnd"/>
      <w:r w:rsidRPr="00722C30">
        <w:rPr>
          <w:rStyle w:val="AERbody"/>
        </w:rPr>
        <w:t xml:space="preserve"> amended to include new distribution network pricing arrangements</w:t>
      </w:r>
      <w:r w:rsidR="00A25BE0" w:rsidRPr="00722C30">
        <w:rPr>
          <w:rStyle w:val="AERbody"/>
        </w:rPr>
        <w:t>, which included</w:t>
      </w:r>
      <w:r w:rsidRPr="00722C30">
        <w:rPr>
          <w:rStyle w:val="AERbody"/>
        </w:rPr>
        <w:t>:</w:t>
      </w:r>
    </w:p>
    <w:p w:rsidR="00C97A01" w:rsidRPr="00340499" w:rsidRDefault="00A25BE0" w:rsidP="00722C30">
      <w:pPr>
        <w:pStyle w:val="Bulletedtext"/>
      </w:pPr>
      <w:r>
        <w:t>n</w:t>
      </w:r>
      <w:r w:rsidR="00C97A01" w:rsidRPr="00340499">
        <w:t>ew pricing objectives and principles mandating the use of cost-reflective tariffs;</w:t>
      </w:r>
    </w:p>
    <w:p w:rsidR="00C97A01" w:rsidRPr="00340499" w:rsidRDefault="00A25BE0" w:rsidP="00722C30">
      <w:pPr>
        <w:pStyle w:val="Bulletedtext"/>
      </w:pPr>
      <w:r>
        <w:t>m</w:t>
      </w:r>
      <w:r w:rsidR="00C97A01" w:rsidRPr="00340499">
        <w:t>ore transparency about how distributors develop network tariffs;</w:t>
      </w:r>
    </w:p>
    <w:p w:rsidR="00C97A01" w:rsidRPr="00340499" w:rsidRDefault="00A25BE0" w:rsidP="00722C30">
      <w:pPr>
        <w:pStyle w:val="Bulletedtext"/>
      </w:pPr>
      <w:r>
        <w:t>g</w:t>
      </w:r>
      <w:r w:rsidR="00C97A01" w:rsidRPr="00340499">
        <w:t>reater consultation with consumers and retailers;</w:t>
      </w:r>
    </w:p>
    <w:p w:rsidR="00C97A01" w:rsidRPr="00340499" w:rsidRDefault="00DF694F" w:rsidP="00722C30">
      <w:pPr>
        <w:pStyle w:val="Bulletedtext"/>
      </w:pPr>
      <w:r>
        <w:t xml:space="preserve">a </w:t>
      </w:r>
      <w:r w:rsidR="00A25BE0">
        <w:t>n</w:t>
      </w:r>
      <w:r w:rsidR="00C97A01" w:rsidRPr="00340499">
        <w:t>ew process with network tariffs determined as part of a 5-yearly revenue reset process; and</w:t>
      </w:r>
    </w:p>
    <w:p w:rsidR="00C97A01" w:rsidRPr="00340499" w:rsidRDefault="00A25BE0" w:rsidP="00722C30">
      <w:pPr>
        <w:pStyle w:val="Bulletedtext"/>
      </w:pPr>
      <w:proofErr w:type="gramStart"/>
      <w:r>
        <w:t>w</w:t>
      </w:r>
      <w:r w:rsidR="00C97A01" w:rsidRPr="00340499">
        <w:t>ithin-period</w:t>
      </w:r>
      <w:proofErr w:type="gramEnd"/>
      <w:r w:rsidR="00C97A01" w:rsidRPr="00340499">
        <w:t xml:space="preserve"> amendments to </w:t>
      </w:r>
      <w:r w:rsidR="00C97A01">
        <w:t xml:space="preserve">the </w:t>
      </w:r>
      <w:r w:rsidR="00C97A01" w:rsidRPr="00340499">
        <w:t xml:space="preserve">TSS </w:t>
      </w:r>
      <w:r w:rsidR="00C97A01">
        <w:t xml:space="preserve">which are </w:t>
      </w:r>
      <w:r w:rsidR="00C97A01" w:rsidRPr="00340499">
        <w:t>only allowed due to unforeseen events.</w:t>
      </w:r>
    </w:p>
    <w:p w:rsidR="00C97A01" w:rsidRPr="00722C30" w:rsidRDefault="00C97A01" w:rsidP="0075101A">
      <w:pPr>
        <w:spacing w:before="120" w:after="240" w:line="240" w:lineRule="exact"/>
        <w:ind w:left="851"/>
        <w:rPr>
          <w:rStyle w:val="AERbody"/>
        </w:rPr>
      </w:pPr>
      <w:proofErr w:type="spellStart"/>
      <w:r w:rsidRPr="00722C30">
        <w:rPr>
          <w:rStyle w:val="AERbody"/>
        </w:rPr>
        <w:t>Ausgrid</w:t>
      </w:r>
      <w:proofErr w:type="spellEnd"/>
      <w:r w:rsidRPr="00722C30">
        <w:rPr>
          <w:rStyle w:val="AERbody"/>
        </w:rPr>
        <w:t xml:space="preserve"> is required under Section 6.8.2 of the NER to submit to the AER a TSS. This document provides stakeholders with a comprehensive understanding </w:t>
      </w:r>
      <w:r w:rsidR="00A25BE0" w:rsidRPr="00722C30">
        <w:rPr>
          <w:rStyle w:val="AERbody"/>
        </w:rPr>
        <w:t>of</w:t>
      </w:r>
      <w:r w:rsidRPr="00722C30">
        <w:rPr>
          <w:rStyle w:val="AERbody"/>
        </w:rPr>
        <w:t xml:space="preserve"> our potential approach to setting our tariffs and an indication of how the structure and level of tariffs may change over the regulatory control period. </w:t>
      </w:r>
    </w:p>
    <w:p w:rsidR="007B4C10" w:rsidRPr="00722C30" w:rsidRDefault="00A25BE0">
      <w:pPr>
        <w:spacing w:before="120" w:after="240" w:line="240" w:lineRule="exact"/>
        <w:ind w:left="851"/>
        <w:rPr>
          <w:rStyle w:val="AERbody"/>
        </w:rPr>
      </w:pPr>
      <w:r w:rsidRPr="00722C30">
        <w:rPr>
          <w:rStyle w:val="AERbody"/>
        </w:rPr>
        <w:t xml:space="preserve">This document, along with the accompanying </w:t>
      </w:r>
      <w:r w:rsidR="00B347AF" w:rsidRPr="00722C30">
        <w:rPr>
          <w:rStyle w:val="AERbody"/>
        </w:rPr>
        <w:t>appendi</w:t>
      </w:r>
      <w:r w:rsidR="00B347AF">
        <w:rPr>
          <w:rStyle w:val="AERbody"/>
        </w:rPr>
        <w:t>ces</w:t>
      </w:r>
      <w:r w:rsidRPr="00722C30">
        <w:rPr>
          <w:rStyle w:val="AERbody"/>
        </w:rPr>
        <w:t xml:space="preserve">, is </w:t>
      </w:r>
      <w:proofErr w:type="spellStart"/>
      <w:r w:rsidRPr="00722C30">
        <w:rPr>
          <w:rStyle w:val="AERbody"/>
        </w:rPr>
        <w:t>Ausgrid’s</w:t>
      </w:r>
      <w:proofErr w:type="spellEnd"/>
      <w:r w:rsidRPr="00722C30">
        <w:rPr>
          <w:rStyle w:val="AERbody"/>
        </w:rPr>
        <w:t xml:space="preserve"> </w:t>
      </w:r>
      <w:r w:rsidR="003D6453" w:rsidRPr="00722C30">
        <w:rPr>
          <w:rStyle w:val="AERbody"/>
        </w:rPr>
        <w:t xml:space="preserve">revised </w:t>
      </w:r>
      <w:r w:rsidRPr="00722C30">
        <w:rPr>
          <w:rStyle w:val="AERbody"/>
        </w:rPr>
        <w:t>TSS.</w:t>
      </w:r>
    </w:p>
    <w:p w:rsidR="00C97A01" w:rsidRDefault="00C97A01" w:rsidP="00722C30">
      <w:pPr>
        <w:pStyle w:val="Heading2"/>
      </w:pPr>
      <w:bookmarkStart w:id="33" w:name="_Toc475527412"/>
      <w:r>
        <w:t>Overview of developments in our regulatory environment</w:t>
      </w:r>
      <w:bookmarkEnd w:id="33"/>
    </w:p>
    <w:p w:rsidR="00A25BE0" w:rsidRPr="00722C30" w:rsidRDefault="00C97A01" w:rsidP="00C97A01">
      <w:pPr>
        <w:spacing w:before="120" w:after="240" w:line="240" w:lineRule="exact"/>
        <w:ind w:left="851"/>
        <w:rPr>
          <w:rStyle w:val="AERbody"/>
        </w:rPr>
      </w:pPr>
      <w:r w:rsidRPr="00722C30">
        <w:rPr>
          <w:rStyle w:val="AERbody"/>
        </w:rPr>
        <w:t xml:space="preserve">The AER regulates </w:t>
      </w:r>
      <w:r w:rsidR="00A25BE0" w:rsidRPr="00722C30">
        <w:rPr>
          <w:rStyle w:val="AERbody"/>
        </w:rPr>
        <w:t xml:space="preserve">the services </w:t>
      </w:r>
      <w:proofErr w:type="spellStart"/>
      <w:r w:rsidRPr="00722C30">
        <w:rPr>
          <w:rStyle w:val="AERbody"/>
        </w:rPr>
        <w:t>Ausgrid</w:t>
      </w:r>
      <w:proofErr w:type="spellEnd"/>
      <w:r w:rsidRPr="00722C30">
        <w:rPr>
          <w:rStyle w:val="AERbody"/>
        </w:rPr>
        <w:t xml:space="preserve"> </w:t>
      </w:r>
      <w:r w:rsidR="00A25BE0" w:rsidRPr="00722C30">
        <w:rPr>
          <w:rStyle w:val="AERbody"/>
        </w:rPr>
        <w:t xml:space="preserve">provides. The AER sets the maximum revenue that </w:t>
      </w:r>
      <w:proofErr w:type="spellStart"/>
      <w:r w:rsidR="00A25BE0" w:rsidRPr="00722C30">
        <w:rPr>
          <w:rStyle w:val="AERbody"/>
        </w:rPr>
        <w:t>Ausgrid</w:t>
      </w:r>
      <w:proofErr w:type="spellEnd"/>
      <w:r w:rsidR="00A25BE0" w:rsidRPr="00722C30">
        <w:rPr>
          <w:rStyle w:val="AERbody"/>
        </w:rPr>
        <w:t xml:space="preserve"> can derive in each year of a regulatory </w:t>
      </w:r>
      <w:r w:rsidR="00AD7594" w:rsidRPr="00722C30">
        <w:rPr>
          <w:rStyle w:val="AERbody"/>
        </w:rPr>
        <w:t>control period</w:t>
      </w:r>
      <w:r w:rsidR="00A25BE0" w:rsidRPr="00722C30">
        <w:rPr>
          <w:rStyle w:val="AERbody"/>
        </w:rPr>
        <w:t>, where this amount is set equal to the efficient costs of providing the services our customers demand, as determined by the AER.</w:t>
      </w:r>
    </w:p>
    <w:p w:rsidR="00C97A01" w:rsidRPr="00722C30" w:rsidRDefault="00C97A01" w:rsidP="00C97A01">
      <w:pPr>
        <w:spacing w:before="120" w:after="240" w:line="240" w:lineRule="exact"/>
        <w:ind w:left="851"/>
        <w:rPr>
          <w:rStyle w:val="AERbody"/>
        </w:rPr>
      </w:pPr>
      <w:r w:rsidRPr="00722C30">
        <w:rPr>
          <w:rStyle w:val="AERbody"/>
        </w:rPr>
        <w:t>The AER</w:t>
      </w:r>
      <w:r w:rsidR="00A25BE0" w:rsidRPr="00722C30">
        <w:rPr>
          <w:rStyle w:val="AERbody"/>
        </w:rPr>
        <w:t>’s</w:t>
      </w:r>
      <w:r w:rsidRPr="00722C30">
        <w:rPr>
          <w:rStyle w:val="AERbody"/>
        </w:rPr>
        <w:t xml:space="preserve"> Final decision </w:t>
      </w:r>
      <w:r w:rsidR="003D6453" w:rsidRPr="00722C30">
        <w:rPr>
          <w:rStyle w:val="AERbody"/>
        </w:rPr>
        <w:t>– which has been set aside by the Tribunal</w:t>
      </w:r>
      <w:r w:rsidR="00232B2A" w:rsidRPr="00722C30">
        <w:rPr>
          <w:rStyle w:val="AERbody"/>
        </w:rPr>
        <w:t xml:space="preserve"> and is subject to the J</w:t>
      </w:r>
      <w:r w:rsidR="003D6453" w:rsidRPr="00722C30">
        <w:rPr>
          <w:rStyle w:val="AERbody"/>
        </w:rPr>
        <w:t xml:space="preserve">udicial </w:t>
      </w:r>
      <w:r w:rsidR="00232B2A" w:rsidRPr="00722C30">
        <w:rPr>
          <w:rStyle w:val="AERbody"/>
        </w:rPr>
        <w:t xml:space="preserve">Review </w:t>
      </w:r>
      <w:r w:rsidR="003D6453" w:rsidRPr="00722C30">
        <w:rPr>
          <w:rStyle w:val="AERbody"/>
        </w:rPr>
        <w:t xml:space="preserve">– </w:t>
      </w:r>
      <w:r w:rsidR="00A25BE0" w:rsidRPr="00722C30">
        <w:rPr>
          <w:rStyle w:val="AERbody"/>
        </w:rPr>
        <w:t xml:space="preserve">permits </w:t>
      </w:r>
      <w:proofErr w:type="spellStart"/>
      <w:r w:rsidRPr="00722C30">
        <w:rPr>
          <w:rStyle w:val="AERbody"/>
        </w:rPr>
        <w:t>Ausgrid</w:t>
      </w:r>
      <w:proofErr w:type="spellEnd"/>
      <w:r w:rsidRPr="00722C30">
        <w:rPr>
          <w:rStyle w:val="AERbody"/>
        </w:rPr>
        <w:t xml:space="preserve"> to recover $6</w:t>
      </w:r>
      <w:r w:rsidR="0075101A" w:rsidRPr="00722C30">
        <w:rPr>
          <w:rStyle w:val="AERbody"/>
        </w:rPr>
        <w:t>,</w:t>
      </w:r>
      <w:r w:rsidRPr="00722C30">
        <w:rPr>
          <w:rStyle w:val="AERbody"/>
        </w:rPr>
        <w:t xml:space="preserve">576.4 million ($nominal) from customers over the 2015–19 regulatory control period, which is around 33 per cent less revenue than </w:t>
      </w:r>
      <w:r w:rsidR="00A25BE0" w:rsidRPr="00722C30">
        <w:rPr>
          <w:rStyle w:val="AERbody"/>
        </w:rPr>
        <w:t xml:space="preserve">proposed by </w:t>
      </w:r>
      <w:proofErr w:type="spellStart"/>
      <w:r w:rsidR="00A25BE0" w:rsidRPr="00722C30">
        <w:rPr>
          <w:rStyle w:val="AERbody"/>
        </w:rPr>
        <w:t>Ausgrid</w:t>
      </w:r>
      <w:proofErr w:type="spellEnd"/>
      <w:r w:rsidRPr="00722C30">
        <w:rPr>
          <w:rStyle w:val="AERbody"/>
        </w:rPr>
        <w:t xml:space="preserve">, as shown in </w:t>
      </w:r>
      <w:r w:rsidR="00054017" w:rsidRPr="008E293E">
        <w:rPr>
          <w:rStyle w:val="AERbody"/>
          <w:szCs w:val="20"/>
        </w:rPr>
        <w:fldChar w:fldCharType="begin"/>
      </w:r>
      <w:r w:rsidR="00054017" w:rsidRPr="008E293E">
        <w:rPr>
          <w:rStyle w:val="AERbody"/>
          <w:szCs w:val="20"/>
        </w:rPr>
        <w:instrText xml:space="preserve"> REF _Ref462918978 \h </w:instrText>
      </w:r>
      <w:r w:rsidR="00DF694F" w:rsidRPr="008E293E">
        <w:rPr>
          <w:rStyle w:val="AERbody"/>
          <w:szCs w:val="20"/>
        </w:rPr>
        <w:instrText xml:space="preserve"> \* MERGEFORMAT </w:instrText>
      </w:r>
      <w:r w:rsidR="00054017" w:rsidRPr="008E293E">
        <w:rPr>
          <w:rStyle w:val="AERbody"/>
          <w:szCs w:val="20"/>
        </w:rPr>
      </w:r>
      <w:r w:rsidR="00054017" w:rsidRPr="008E293E">
        <w:rPr>
          <w:rStyle w:val="AERbody"/>
          <w:szCs w:val="20"/>
        </w:rPr>
        <w:fldChar w:fldCharType="separate"/>
      </w:r>
      <w:r w:rsidR="00BE0834" w:rsidRPr="00BE0834">
        <w:rPr>
          <w:sz w:val="20"/>
          <w:szCs w:val="20"/>
        </w:rPr>
        <w:t xml:space="preserve">Figure </w:t>
      </w:r>
      <w:r w:rsidR="00BE0834" w:rsidRPr="00BE0834">
        <w:rPr>
          <w:noProof/>
          <w:sz w:val="20"/>
          <w:szCs w:val="20"/>
        </w:rPr>
        <w:t>2</w:t>
      </w:r>
      <w:r w:rsidR="00054017" w:rsidRPr="008E293E">
        <w:rPr>
          <w:rStyle w:val="AERbody"/>
          <w:szCs w:val="20"/>
        </w:rPr>
        <w:fldChar w:fldCharType="end"/>
      </w:r>
      <w:r w:rsidR="00054017" w:rsidRPr="008E293E">
        <w:rPr>
          <w:rStyle w:val="AERbody"/>
          <w:szCs w:val="20"/>
        </w:rPr>
        <w:t xml:space="preserve"> </w:t>
      </w:r>
      <w:r w:rsidRPr="00722C30">
        <w:rPr>
          <w:rStyle w:val="AERbody"/>
        </w:rPr>
        <w:t>below</w:t>
      </w:r>
      <w:r w:rsidR="003D6453" w:rsidRPr="00722C30">
        <w:rPr>
          <w:rStyle w:val="AERbody"/>
        </w:rPr>
        <w:t xml:space="preserve">. </w:t>
      </w:r>
    </w:p>
    <w:p w:rsidR="00D652AB" w:rsidRDefault="00D652AB">
      <w:pPr>
        <w:spacing w:after="0"/>
        <w:rPr>
          <w:rFonts w:ascii="Arial Bold" w:hAnsi="Arial Bold"/>
          <w:b/>
          <w:szCs w:val="18"/>
          <w:lang w:val="en-AU" w:eastAsia="en-AU"/>
        </w:rPr>
      </w:pPr>
      <w:r>
        <w:br w:type="page"/>
      </w:r>
    </w:p>
    <w:p w:rsidR="00E52075" w:rsidRPr="00E52075" w:rsidRDefault="00E52075" w:rsidP="0098314C">
      <w:pPr>
        <w:pStyle w:val="Caption"/>
      </w:pPr>
      <w:bookmarkStart w:id="34" w:name="_Ref462918978"/>
      <w:r w:rsidRPr="0071162E">
        <w:lastRenderedPageBreak/>
        <w:t xml:space="preserve">Figure </w:t>
      </w:r>
      <w:fldSimple w:instr=" SEQ Figure \* ARABIC ">
        <w:r w:rsidR="00BE0834">
          <w:rPr>
            <w:noProof/>
          </w:rPr>
          <w:t>2</w:t>
        </w:r>
      </w:fldSimple>
      <w:bookmarkEnd w:id="34"/>
      <w:r w:rsidRPr="0071162E">
        <w:t xml:space="preserve"> </w:t>
      </w:r>
      <w:r w:rsidRPr="0071162E">
        <w:rPr>
          <w:rFonts w:hint="eastAsia"/>
        </w:rPr>
        <w:t>–</w:t>
      </w:r>
      <w:r w:rsidRPr="0071162E">
        <w:t xml:space="preserve"> </w:t>
      </w:r>
      <w:proofErr w:type="spellStart"/>
      <w:r w:rsidRPr="00E52075">
        <w:t>Ausgrid's</w:t>
      </w:r>
      <w:proofErr w:type="spellEnd"/>
      <w:r w:rsidRPr="00E52075">
        <w:t xml:space="preserve"> past total revenue, proposed total revenue and AER total </w:t>
      </w:r>
      <w:r w:rsidR="001E7F29">
        <w:br/>
      </w:r>
      <w:r w:rsidRPr="00E52075">
        <w:t xml:space="preserve">revenue allowance </w:t>
      </w:r>
      <w:r w:rsidRPr="00E52075">
        <w:rPr>
          <w:rFonts w:hint="eastAsia"/>
        </w:rPr>
        <w:t>–</w:t>
      </w:r>
      <w:r w:rsidRPr="00E52075">
        <w:t xml:space="preserve"> distribution and transmission</w:t>
      </w:r>
    </w:p>
    <w:p w:rsidR="00C97A01" w:rsidRPr="002B4076" w:rsidRDefault="00C97A01" w:rsidP="00722C30">
      <w:pPr>
        <w:pStyle w:val="Caption"/>
        <w:rPr>
          <w:rStyle w:val="Strong"/>
          <w:i/>
        </w:rPr>
      </w:pPr>
      <w:r w:rsidRPr="0071162E">
        <w:rPr>
          <w:noProof/>
        </w:rPr>
        <w:drawing>
          <wp:inline distT="0" distB="0" distL="0" distR="0" wp14:anchorId="42EFAC25" wp14:editId="105BE292">
            <wp:extent cx="5477116" cy="3400425"/>
            <wp:effectExtent l="19050" t="19050" r="2857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38515" cy="3438544"/>
                    </a:xfrm>
                    <a:prstGeom prst="rect">
                      <a:avLst/>
                    </a:prstGeom>
                    <a:noFill/>
                    <a:ln>
                      <a:solidFill>
                        <a:schemeClr val="tx1"/>
                      </a:solidFill>
                    </a:ln>
                  </pic:spPr>
                </pic:pic>
              </a:graphicData>
            </a:graphic>
          </wp:inline>
        </w:drawing>
      </w:r>
    </w:p>
    <w:p w:rsidR="00C97A01" w:rsidRPr="00722C30" w:rsidRDefault="00DC68FA" w:rsidP="00F93A72">
      <w:pPr>
        <w:pStyle w:val="AERtablesource"/>
        <w:tabs>
          <w:tab w:val="clear" w:pos="794"/>
          <w:tab w:val="left" w:pos="851"/>
        </w:tabs>
        <w:spacing w:before="120" w:after="120"/>
        <w:jc w:val="left"/>
        <w:rPr>
          <w:rStyle w:val="AERbody"/>
          <w:sz w:val="16"/>
          <w:szCs w:val="16"/>
        </w:rPr>
      </w:pPr>
      <w:r>
        <w:rPr>
          <w:rStyle w:val="AERbody"/>
          <w:sz w:val="16"/>
          <w:szCs w:val="16"/>
        </w:rPr>
        <w:tab/>
      </w:r>
      <w:r>
        <w:rPr>
          <w:rStyle w:val="AERbody"/>
          <w:sz w:val="16"/>
          <w:szCs w:val="16"/>
        </w:rPr>
        <w:tab/>
      </w:r>
      <w:r w:rsidR="00C97A01" w:rsidRPr="00722C30">
        <w:rPr>
          <w:rStyle w:val="AERbody"/>
          <w:sz w:val="16"/>
          <w:szCs w:val="16"/>
        </w:rPr>
        <w:t>Source: AER analysis.</w:t>
      </w:r>
    </w:p>
    <w:p w:rsidR="00AD7594" w:rsidRPr="00722C30" w:rsidRDefault="00AD7594" w:rsidP="00BD7A0B">
      <w:pPr>
        <w:pStyle w:val="BodyText"/>
        <w:rPr>
          <w:rStyle w:val="AERbody"/>
        </w:rPr>
      </w:pPr>
      <w:r w:rsidRPr="00722C30">
        <w:rPr>
          <w:rStyle w:val="AERbody"/>
        </w:rPr>
        <w:t>Ausgrid successfully appealed to the Tribunal a number of aspects of the AER’s final determination</w:t>
      </w:r>
      <w:r w:rsidR="003D6453" w:rsidRPr="00722C30">
        <w:rPr>
          <w:rStyle w:val="AERbody"/>
        </w:rPr>
        <w:t>. The Tribunal’s decision was to set aside the AER’s final decision, h</w:t>
      </w:r>
      <w:r w:rsidRPr="00722C30">
        <w:rPr>
          <w:rStyle w:val="AERbody"/>
        </w:rPr>
        <w:t>owever, the AER subsequently applied to the Federal Court for judicial review of the Tribunal’s decision.</w:t>
      </w:r>
      <w:r w:rsidR="003D6453" w:rsidRPr="00722C30">
        <w:rPr>
          <w:rStyle w:val="AERbody"/>
        </w:rPr>
        <w:t xml:space="preserve"> The judicial review is still underway at the time of preparing this TSS.</w:t>
      </w:r>
    </w:p>
    <w:p w:rsidR="00AD7594" w:rsidRPr="00722C30" w:rsidRDefault="003D6453" w:rsidP="007D0321">
      <w:pPr>
        <w:pStyle w:val="BodyText"/>
        <w:rPr>
          <w:rStyle w:val="AERbody"/>
        </w:rPr>
      </w:pPr>
      <w:r w:rsidRPr="00722C30">
        <w:rPr>
          <w:rStyle w:val="AERbody"/>
        </w:rPr>
        <w:t>It follows that, a</w:t>
      </w:r>
      <w:r w:rsidR="00AD7594" w:rsidRPr="00722C30">
        <w:rPr>
          <w:rStyle w:val="AERbody"/>
        </w:rPr>
        <w:t xml:space="preserve">t the time of preparing this TSS, there is considerable uncertainty as to the outcome of this judicial review, and the potential form of any remade decision by the AER for the current regulatory period. </w:t>
      </w:r>
      <w:r w:rsidR="00232B2A" w:rsidRPr="00722C30">
        <w:rPr>
          <w:rStyle w:val="AERbody"/>
        </w:rPr>
        <w:t>Therefore,</w:t>
      </w:r>
      <w:r w:rsidR="00AD7594" w:rsidRPr="00722C30">
        <w:rPr>
          <w:rStyle w:val="AERbody"/>
        </w:rPr>
        <w:t xml:space="preserve"> there is present uncertainty as to the target revenue requirement used by Ausgrid to set prices.</w:t>
      </w:r>
      <w:r w:rsidR="00232B2A" w:rsidRPr="00722C30">
        <w:rPr>
          <w:rStyle w:val="AERbody"/>
        </w:rPr>
        <w:t xml:space="preserve"> For the purpose of developing indicative prices for our revised TSS, Ausgrid has escalated its forecast revenue for FY2017 by reference to the Reserve Bank of Australia’s </w:t>
      </w:r>
      <w:r w:rsidR="00B17C8B">
        <w:rPr>
          <w:rStyle w:val="AERbody"/>
        </w:rPr>
        <w:t xml:space="preserve">(RBA’s) </w:t>
      </w:r>
      <w:r w:rsidR="00232B2A" w:rsidRPr="00722C30">
        <w:rPr>
          <w:rStyle w:val="AERbody"/>
        </w:rPr>
        <w:t>most recent forecast of consumer price inflation.</w:t>
      </w:r>
    </w:p>
    <w:p w:rsidR="00AD1232" w:rsidRDefault="00AD1232">
      <w:pPr>
        <w:pStyle w:val="Heading2"/>
      </w:pPr>
      <w:bookmarkStart w:id="35" w:name="_Toc475527413"/>
      <w:r>
        <w:t>Demand management and the interaction with network pricing</w:t>
      </w:r>
      <w:bookmarkEnd w:id="35"/>
    </w:p>
    <w:p w:rsidR="00AD1232" w:rsidRPr="00722C30" w:rsidRDefault="00AD1232" w:rsidP="00BD7A0B">
      <w:pPr>
        <w:pStyle w:val="BodyText"/>
        <w:rPr>
          <w:rStyle w:val="AERbody"/>
        </w:rPr>
      </w:pPr>
      <w:r w:rsidRPr="00722C30">
        <w:rPr>
          <w:rStyle w:val="AERbody"/>
        </w:rPr>
        <w:t xml:space="preserve">The scope for cost reflective pricing to provide efficient price signals to all customers may be limited by a range of factors, eg, the extent to which retailers pass through network price signals. Therefore, Ausgrid uses demand management as a network tool directed at reducing network </w:t>
      </w:r>
      <w:r w:rsidR="00A262F7" w:rsidRPr="00722C30">
        <w:rPr>
          <w:rStyle w:val="AERbody"/>
        </w:rPr>
        <w:t>costs,</w:t>
      </w:r>
      <w:r w:rsidRPr="00722C30">
        <w:rPr>
          <w:rStyle w:val="AERbody"/>
        </w:rPr>
        <w:t xml:space="preserve"> and so network prices.</w:t>
      </w:r>
    </w:p>
    <w:p w:rsidR="00AD1232" w:rsidRPr="00722C30" w:rsidRDefault="00AD1232" w:rsidP="007D0321">
      <w:pPr>
        <w:pStyle w:val="BodyText"/>
        <w:rPr>
          <w:rStyle w:val="AERbody"/>
        </w:rPr>
      </w:pPr>
      <w:r w:rsidRPr="00722C30">
        <w:rPr>
          <w:rStyle w:val="AERbody"/>
        </w:rPr>
        <w:t xml:space="preserve">Over the last 15 years, Ausgrid has developed a suite of demand management, or non-network, solutions to complement network pricing in managing customer demand and maintaining supply reliability, at least cost. </w:t>
      </w:r>
      <w:r w:rsidR="00A262F7" w:rsidRPr="00722C30">
        <w:rPr>
          <w:rStyle w:val="AERbody"/>
        </w:rPr>
        <w:t>The d</w:t>
      </w:r>
      <w:r w:rsidRPr="00722C30">
        <w:rPr>
          <w:rStyle w:val="AERbody"/>
        </w:rPr>
        <w:t xml:space="preserve">emand management solutions currently available include the use of embedded generation, customer power factor correction, dynamic peak rebate offers and direct load control of customer appliances, eg, hot water systems, pool pumps and air conditioners. </w:t>
      </w:r>
    </w:p>
    <w:p w:rsidR="003737E1" w:rsidRPr="00722C30" w:rsidRDefault="003737E1">
      <w:pPr>
        <w:pStyle w:val="BodyText"/>
        <w:rPr>
          <w:rStyle w:val="AERbody"/>
        </w:rPr>
      </w:pPr>
      <w:r w:rsidRPr="00722C30">
        <w:rPr>
          <w:rStyle w:val="AERbody"/>
        </w:rPr>
        <w:t>The load c</w:t>
      </w:r>
      <w:r w:rsidR="00AD1232" w:rsidRPr="00722C30">
        <w:rPr>
          <w:rStyle w:val="AERbody"/>
        </w:rPr>
        <w:t>ontrol of air conditioners in particular offers significant opportunit</w:t>
      </w:r>
      <w:r w:rsidRPr="00722C30">
        <w:rPr>
          <w:rStyle w:val="AERbody"/>
        </w:rPr>
        <w:t>ies</w:t>
      </w:r>
      <w:r w:rsidR="00AD1232" w:rsidRPr="00722C30">
        <w:rPr>
          <w:rStyle w:val="AERbody"/>
        </w:rPr>
        <w:t xml:space="preserve"> for reducing network costs </w:t>
      </w:r>
      <w:r w:rsidRPr="00722C30">
        <w:rPr>
          <w:rStyle w:val="AERbody"/>
        </w:rPr>
        <w:t>since</w:t>
      </w:r>
      <w:r w:rsidR="00AD1232" w:rsidRPr="00722C30">
        <w:rPr>
          <w:rStyle w:val="AERbody"/>
        </w:rPr>
        <w:t xml:space="preserve"> </w:t>
      </w:r>
      <w:r w:rsidR="00A262F7" w:rsidRPr="00722C30">
        <w:rPr>
          <w:rStyle w:val="AERbody"/>
        </w:rPr>
        <w:t>air conditioning load is a significant</w:t>
      </w:r>
      <w:r w:rsidRPr="00722C30">
        <w:rPr>
          <w:rStyle w:val="AERbody"/>
        </w:rPr>
        <w:t xml:space="preserve"> driver of peak demand.</w:t>
      </w:r>
      <w:r w:rsidR="00AD1232" w:rsidRPr="00722C30">
        <w:rPr>
          <w:rStyle w:val="AERbody"/>
        </w:rPr>
        <w:t xml:space="preserve"> Ausgrid’s CoolSaver air conditioner demand response trial</w:t>
      </w:r>
      <w:r w:rsidR="003F25AD" w:rsidRPr="00025BDF">
        <w:rPr>
          <w:rStyle w:val="AERbody"/>
          <w:vertAlign w:val="superscript"/>
        </w:rPr>
        <w:footnoteReference w:id="3"/>
      </w:r>
      <w:r w:rsidR="00AD1232" w:rsidRPr="00025BDF">
        <w:rPr>
          <w:rStyle w:val="AERbody"/>
          <w:vertAlign w:val="superscript"/>
        </w:rPr>
        <w:t xml:space="preserve"> </w:t>
      </w:r>
      <w:r w:rsidR="00AD1232" w:rsidRPr="00722C30">
        <w:rPr>
          <w:rStyle w:val="AERbody"/>
        </w:rPr>
        <w:t xml:space="preserve">has both proven the viability of the demand response technology introduced as part of Australian Standard AS4755, and the willingness of customers to reduce their </w:t>
      </w:r>
      <w:r w:rsidR="00AD1232" w:rsidRPr="00722C30">
        <w:rPr>
          <w:rStyle w:val="AERbody"/>
        </w:rPr>
        <w:lastRenderedPageBreak/>
        <w:t xml:space="preserve">demand </w:t>
      </w:r>
      <w:r w:rsidR="00A262F7" w:rsidRPr="00722C30">
        <w:rPr>
          <w:rStyle w:val="AERbody"/>
        </w:rPr>
        <w:t>when faced with</w:t>
      </w:r>
      <w:r w:rsidR="00AD1232" w:rsidRPr="00722C30">
        <w:rPr>
          <w:rStyle w:val="AERbody"/>
        </w:rPr>
        <w:t xml:space="preserve"> a modest incentive</w:t>
      </w:r>
      <w:r w:rsidR="00A262F7" w:rsidRPr="00722C30">
        <w:rPr>
          <w:rStyle w:val="AERbody"/>
        </w:rPr>
        <w:t xml:space="preserve"> to do so</w:t>
      </w:r>
      <w:r w:rsidR="00AD1232" w:rsidRPr="00722C30">
        <w:rPr>
          <w:rStyle w:val="AERbody"/>
        </w:rPr>
        <w:t xml:space="preserve">. </w:t>
      </w:r>
      <w:r w:rsidRPr="00722C30">
        <w:rPr>
          <w:rStyle w:val="AERbody"/>
        </w:rPr>
        <w:t>Fu</w:t>
      </w:r>
      <w:r w:rsidR="00AD653A" w:rsidRPr="00722C30">
        <w:rPr>
          <w:rStyle w:val="AERbody"/>
        </w:rPr>
        <w:t>r</w:t>
      </w:r>
      <w:r w:rsidRPr="00722C30">
        <w:rPr>
          <w:rStyle w:val="AERbody"/>
        </w:rPr>
        <w:t>ther, changes in technology, eg, energy storage, smart meters and energy management systems, are expected</w:t>
      </w:r>
      <w:r w:rsidR="00AD1232" w:rsidRPr="00722C30">
        <w:rPr>
          <w:rStyle w:val="AERbody"/>
        </w:rPr>
        <w:t xml:space="preserve"> </w:t>
      </w:r>
      <w:r w:rsidR="00DF694F">
        <w:rPr>
          <w:rStyle w:val="AERbody"/>
        </w:rPr>
        <w:t xml:space="preserve">to </w:t>
      </w:r>
      <w:r w:rsidRPr="00722C30">
        <w:rPr>
          <w:rStyle w:val="AERbody"/>
        </w:rPr>
        <w:t xml:space="preserve">increase the number of viable, cost effective solutions available to </w:t>
      </w:r>
      <w:r w:rsidR="00A262F7" w:rsidRPr="00722C30">
        <w:rPr>
          <w:rStyle w:val="AERbody"/>
        </w:rPr>
        <w:t>Ausgrid</w:t>
      </w:r>
      <w:r w:rsidRPr="00722C30">
        <w:rPr>
          <w:rStyle w:val="AERbody"/>
        </w:rPr>
        <w:t>.</w:t>
      </w:r>
    </w:p>
    <w:p w:rsidR="003737E1" w:rsidRPr="00722C30" w:rsidRDefault="00A262F7">
      <w:pPr>
        <w:pStyle w:val="BodyText"/>
        <w:rPr>
          <w:rStyle w:val="AERbody"/>
          <w:rFonts w:cs="Times New Roman"/>
          <w:noProof w:val="0"/>
          <w:szCs w:val="24"/>
          <w:lang w:val="en-US" w:eastAsia="en-US"/>
        </w:rPr>
      </w:pPr>
      <w:r w:rsidRPr="00722C30">
        <w:rPr>
          <w:rStyle w:val="AERbody"/>
        </w:rPr>
        <w:t>Ausgrid’s</w:t>
      </w:r>
      <w:r w:rsidR="00AD1232" w:rsidRPr="00722C30">
        <w:rPr>
          <w:rStyle w:val="AERbody"/>
        </w:rPr>
        <w:t xml:space="preserve"> demand management solutions are </w:t>
      </w:r>
      <w:r w:rsidRPr="00722C30">
        <w:rPr>
          <w:rStyle w:val="AERbody"/>
        </w:rPr>
        <w:t xml:space="preserve">necessarily </w:t>
      </w:r>
      <w:r w:rsidR="00AD1232" w:rsidRPr="00722C30">
        <w:rPr>
          <w:rStyle w:val="AERbody"/>
        </w:rPr>
        <w:t>supported by network pricing structures</w:t>
      </w:r>
      <w:r w:rsidR="003737E1" w:rsidRPr="00722C30">
        <w:rPr>
          <w:rStyle w:val="AERbody"/>
        </w:rPr>
        <w:t>,</w:t>
      </w:r>
      <w:r w:rsidR="00AD1232" w:rsidRPr="00722C30">
        <w:rPr>
          <w:rStyle w:val="AERbody"/>
        </w:rPr>
        <w:t xml:space="preserve"> which encourage customers to make efficient </w:t>
      </w:r>
      <w:r w:rsidR="003737E1" w:rsidRPr="00722C30">
        <w:rPr>
          <w:rStyle w:val="AERbody"/>
        </w:rPr>
        <w:t>decisions on how they use the network and</w:t>
      </w:r>
      <w:r w:rsidR="00AD1232" w:rsidRPr="00722C30">
        <w:rPr>
          <w:rStyle w:val="AERbody"/>
        </w:rPr>
        <w:t xml:space="preserve"> provide a foundation upon which demand management programs can be introduced. </w:t>
      </w:r>
      <w:r w:rsidR="003737E1" w:rsidRPr="00722C30">
        <w:rPr>
          <w:rStyle w:val="AERbody"/>
        </w:rPr>
        <w:t>Instances in which network pricing and demand management complement each other include</w:t>
      </w:r>
      <w:r w:rsidR="00B17C8B">
        <w:rPr>
          <w:rStyle w:val="AERbody"/>
        </w:rPr>
        <w:t xml:space="preserve"> the following, ie</w:t>
      </w:r>
      <w:r w:rsidR="003737E1" w:rsidRPr="00722C30">
        <w:rPr>
          <w:rStyle w:val="AERbody"/>
        </w:rPr>
        <w:t>:</w:t>
      </w:r>
    </w:p>
    <w:p w:rsidR="003737E1" w:rsidRDefault="00AD1232" w:rsidP="00722C30">
      <w:pPr>
        <w:pStyle w:val="Bulletedtext"/>
      </w:pPr>
      <w:r w:rsidRPr="00C47BC4">
        <w:rPr>
          <w:b/>
        </w:rPr>
        <w:t>Controlled load tariffs</w:t>
      </w:r>
      <w:r w:rsidR="003737E1">
        <w:rPr>
          <w:b/>
        </w:rPr>
        <w:t>,</w:t>
      </w:r>
      <w:r>
        <w:t xml:space="preserve"> in conjunction with load control equipment</w:t>
      </w:r>
      <w:r w:rsidR="003737E1">
        <w:t>,</w:t>
      </w:r>
      <w:r>
        <w:t xml:space="preserve"> can be used to shift appliance usage from peak </w:t>
      </w:r>
      <w:r w:rsidR="00A262F7">
        <w:t>periods</w:t>
      </w:r>
      <w:r>
        <w:t xml:space="preserve"> to off</w:t>
      </w:r>
      <w:r w:rsidR="00A262F7">
        <w:t>-</w:t>
      </w:r>
      <w:r>
        <w:t xml:space="preserve">peak </w:t>
      </w:r>
      <w:r w:rsidR="00A262F7">
        <w:t>periods</w:t>
      </w:r>
      <w:r>
        <w:t xml:space="preserve">. </w:t>
      </w:r>
      <w:proofErr w:type="spellStart"/>
      <w:r w:rsidR="003737E1">
        <w:t>Ausgrid</w:t>
      </w:r>
      <w:proofErr w:type="spellEnd"/>
      <w:r w:rsidR="003737E1">
        <w:t xml:space="preserve"> has over 500,000 customers on controlled load tariffs, which contributes to an overall system peak demand reduction of 300MW in winter and 100MW in summer.</w:t>
      </w:r>
      <w:r w:rsidR="003737E1" w:rsidRPr="003737E1">
        <w:t xml:space="preserve"> </w:t>
      </w:r>
      <w:r w:rsidR="003737E1">
        <w:t>Where locational needs are identified, these tariffs offer the potential for modifications in scheduling to meet local requirements.</w:t>
      </w:r>
    </w:p>
    <w:p w:rsidR="00AD1232" w:rsidRPr="003737E1" w:rsidRDefault="00AD1232" w:rsidP="00722C30">
      <w:pPr>
        <w:pStyle w:val="Bulletedtext"/>
      </w:pPr>
      <w:r>
        <w:rPr>
          <w:b/>
        </w:rPr>
        <w:t xml:space="preserve">Time of use </w:t>
      </w:r>
      <w:r w:rsidR="003737E1">
        <w:rPr>
          <w:b/>
        </w:rPr>
        <w:t>Capacity</w:t>
      </w:r>
      <w:r w:rsidRPr="00B6705C">
        <w:rPr>
          <w:b/>
        </w:rPr>
        <w:t xml:space="preserve"> tariffs</w:t>
      </w:r>
      <w:r>
        <w:t xml:space="preserve"> are mandatory for all medium to large </w:t>
      </w:r>
      <w:r w:rsidR="003737E1">
        <w:t>business</w:t>
      </w:r>
      <w:r>
        <w:t xml:space="preserve"> customers (&gt;</w:t>
      </w:r>
      <w:r w:rsidR="003737E1">
        <w:t>40</w:t>
      </w:r>
      <w:r>
        <w:t xml:space="preserve"> MWh pa), </w:t>
      </w:r>
      <w:r w:rsidR="003737E1">
        <w:t>and account</w:t>
      </w:r>
      <w:r>
        <w:t xml:space="preserve"> for </w:t>
      </w:r>
      <w:r w:rsidR="003737E1">
        <w:t>approximately</w:t>
      </w:r>
      <w:r>
        <w:t xml:space="preserve"> </w:t>
      </w:r>
      <w:r w:rsidR="00A262F7">
        <w:t>half</w:t>
      </w:r>
      <w:r>
        <w:t xml:space="preserve"> of </w:t>
      </w:r>
      <w:r w:rsidR="00A262F7">
        <w:t xml:space="preserve">the electricity consumption from all </w:t>
      </w:r>
      <w:proofErr w:type="spellStart"/>
      <w:r w:rsidR="00A262F7">
        <w:t>Ausgrid</w:t>
      </w:r>
      <w:proofErr w:type="spellEnd"/>
      <w:r w:rsidR="00A262F7">
        <w:t xml:space="preserve"> customers</w:t>
      </w:r>
      <w:r>
        <w:t xml:space="preserve">. </w:t>
      </w:r>
      <w:r w:rsidR="003737E1">
        <w:t>Importantly, t</w:t>
      </w:r>
      <w:r>
        <w:t>he</w:t>
      </w:r>
      <w:r w:rsidR="003737E1">
        <w:t>se</w:t>
      </w:r>
      <w:r>
        <w:t xml:space="preserve"> capacity </w:t>
      </w:r>
      <w:r w:rsidRPr="003737E1">
        <w:t>charge</w:t>
      </w:r>
      <w:r w:rsidR="003737E1" w:rsidRPr="003737E1">
        <w:t>s</w:t>
      </w:r>
      <w:r w:rsidRPr="003737E1">
        <w:t xml:space="preserve"> </w:t>
      </w:r>
      <w:r w:rsidR="003737E1" w:rsidRPr="003737E1">
        <w:t>provide</w:t>
      </w:r>
      <w:r w:rsidRPr="003737E1">
        <w:t xml:space="preserve"> a price signal to encourage customer investment in power factor correction, one of the lowest cost demand management solutions available</w:t>
      </w:r>
      <w:r w:rsidR="003737E1" w:rsidRPr="003737E1">
        <w:t>, a</w:t>
      </w:r>
      <w:r w:rsidRPr="003737E1">
        <w:t xml:space="preserve">nd the availability of interval data supports the use of a dynamic peak rebate offer to customers. </w:t>
      </w:r>
    </w:p>
    <w:p w:rsidR="00AD1232" w:rsidRDefault="00AD1232" w:rsidP="00722C30">
      <w:pPr>
        <w:pStyle w:val="Bulletedtext"/>
      </w:pPr>
      <w:r w:rsidRPr="003737E1">
        <w:rPr>
          <w:b/>
        </w:rPr>
        <w:t xml:space="preserve">Time-of-use tariffs </w:t>
      </w:r>
      <w:r w:rsidR="00A262F7">
        <w:t xml:space="preserve">– </w:t>
      </w:r>
      <w:proofErr w:type="spellStart"/>
      <w:r w:rsidR="00A262F7">
        <w:t>Ausgrid</w:t>
      </w:r>
      <w:proofErr w:type="spellEnd"/>
      <w:r w:rsidR="00A262F7">
        <w:t xml:space="preserve"> first introduced TOU tariffs over ten years ago and </w:t>
      </w:r>
      <w:r w:rsidR="00BC791C">
        <w:t>currently have</w:t>
      </w:r>
      <w:r w:rsidR="00A262F7">
        <w:t xml:space="preserve"> over 440,000 customers (or 26% of </w:t>
      </w:r>
      <w:r w:rsidR="00DF694F">
        <w:t>our</w:t>
      </w:r>
      <w:r w:rsidR="00A262F7">
        <w:t xml:space="preserve"> 1.7 million customers) on a TOU or TOU capacity tariff. Although the lack of remote communications from Type 5 metering has hampered the introduction of more innovative tariff options to certain customer segments</w:t>
      </w:r>
      <w:r w:rsidRPr="003737E1">
        <w:t>, the</w:t>
      </w:r>
      <w:r w:rsidR="00510072">
        <w:t xml:space="preserve"> penetration of smart-meters in the coming years is expected to offer significant opportunit</w:t>
      </w:r>
      <w:r w:rsidR="00DF694F">
        <w:t>i</w:t>
      </w:r>
      <w:r w:rsidR="00510072">
        <w:t xml:space="preserve">es, </w:t>
      </w:r>
      <w:proofErr w:type="spellStart"/>
      <w:r w:rsidR="00510072">
        <w:t>eg</w:t>
      </w:r>
      <w:proofErr w:type="spellEnd"/>
      <w:r w:rsidR="00510072">
        <w:t>, r</w:t>
      </w:r>
      <w:r w:rsidRPr="003737E1">
        <w:t xml:space="preserve">ebate offers such as a dynamic peak rebate or air conditioner load control </w:t>
      </w:r>
      <w:r w:rsidR="00510072">
        <w:t>may</w:t>
      </w:r>
      <w:r w:rsidRPr="003737E1">
        <w:t xml:space="preserve"> </w:t>
      </w:r>
      <w:r w:rsidR="00510072">
        <w:t xml:space="preserve">be </w:t>
      </w:r>
      <w:r w:rsidRPr="003737E1">
        <w:t xml:space="preserve">demand management solutions </w:t>
      </w:r>
      <w:r w:rsidR="00510072">
        <w:t>that contribute towards</w:t>
      </w:r>
      <w:r w:rsidRPr="003737E1">
        <w:t xml:space="preserve"> </w:t>
      </w:r>
      <w:r w:rsidR="00510072" w:rsidRPr="003737E1">
        <w:t>defer</w:t>
      </w:r>
      <w:r w:rsidR="00510072">
        <w:t>ring</w:t>
      </w:r>
      <w:r w:rsidRPr="003737E1">
        <w:t xml:space="preserve"> network investment.</w:t>
      </w:r>
    </w:p>
    <w:p w:rsidR="00C97A01" w:rsidRPr="001E7F29" w:rsidRDefault="007C1AC8" w:rsidP="00722C30">
      <w:pPr>
        <w:pStyle w:val="Heading2"/>
      </w:pPr>
      <w:bookmarkStart w:id="36" w:name="_Toc462911541"/>
      <w:bookmarkStart w:id="37" w:name="_Toc462764298"/>
      <w:bookmarkStart w:id="38" w:name="_Toc475527414"/>
      <w:bookmarkEnd w:id="36"/>
      <w:bookmarkEnd w:id="37"/>
      <w:r w:rsidRPr="001E7F29">
        <w:t>Structure of this TSS</w:t>
      </w:r>
      <w:bookmarkEnd w:id="38"/>
    </w:p>
    <w:p w:rsidR="007C1AC8" w:rsidRPr="00722C30" w:rsidRDefault="007C1AC8" w:rsidP="00BD7A0B">
      <w:pPr>
        <w:pStyle w:val="BodyText"/>
        <w:rPr>
          <w:rStyle w:val="AERbody"/>
        </w:rPr>
      </w:pPr>
      <w:r w:rsidRPr="00722C30">
        <w:rPr>
          <w:rStyle w:val="AERbody"/>
        </w:rPr>
        <w:t>The remainder of this TSS is structured as follows:</w:t>
      </w:r>
    </w:p>
    <w:p w:rsidR="007C1AC8" w:rsidRDefault="007C1AC8" w:rsidP="00722C30">
      <w:pPr>
        <w:pStyle w:val="Bulletedtext"/>
      </w:pPr>
      <w:r>
        <w:t xml:space="preserve">in section 3, </w:t>
      </w:r>
      <w:proofErr w:type="spellStart"/>
      <w:r w:rsidR="00B17C8B">
        <w:t>Ausgrid</w:t>
      </w:r>
      <w:proofErr w:type="spellEnd"/>
      <w:r w:rsidR="00B17C8B">
        <w:t xml:space="preserve"> </w:t>
      </w:r>
      <w:r>
        <w:t>set</w:t>
      </w:r>
      <w:r w:rsidR="00B17C8B">
        <w:t>s</w:t>
      </w:r>
      <w:r>
        <w:t xml:space="preserve"> out </w:t>
      </w:r>
      <w:r w:rsidR="00B17C8B">
        <w:t xml:space="preserve">its </w:t>
      </w:r>
      <w:r>
        <w:t>tariff classes;</w:t>
      </w:r>
    </w:p>
    <w:p w:rsidR="007C1AC8" w:rsidRDefault="007C1AC8" w:rsidP="00722C30">
      <w:pPr>
        <w:pStyle w:val="Bulletedtext"/>
      </w:pPr>
      <w:r>
        <w:t xml:space="preserve">in section 4, </w:t>
      </w:r>
      <w:proofErr w:type="spellStart"/>
      <w:r w:rsidR="00B17C8B">
        <w:t>Ausgrid</w:t>
      </w:r>
      <w:proofErr w:type="spellEnd"/>
      <w:r w:rsidR="00B17C8B">
        <w:t xml:space="preserve"> </w:t>
      </w:r>
      <w:r>
        <w:t>describe</w:t>
      </w:r>
      <w:r w:rsidR="00B17C8B">
        <w:t>s</w:t>
      </w:r>
      <w:r>
        <w:t xml:space="preserve"> </w:t>
      </w:r>
      <w:r w:rsidR="00B17C8B">
        <w:t xml:space="preserve">its </w:t>
      </w:r>
      <w:r>
        <w:t>approach to assigning and reassigning customers to tariff</w:t>
      </w:r>
      <w:r w:rsidR="00DF694F">
        <w:t>s</w:t>
      </w:r>
      <w:r>
        <w:t>;</w:t>
      </w:r>
    </w:p>
    <w:p w:rsidR="007C1AC8" w:rsidRDefault="007C1AC8" w:rsidP="00722C30">
      <w:pPr>
        <w:pStyle w:val="Bulletedtext"/>
      </w:pPr>
      <w:r>
        <w:t xml:space="preserve">in section 5, </w:t>
      </w:r>
      <w:proofErr w:type="spellStart"/>
      <w:r w:rsidR="00B17C8B">
        <w:t>Ausgrid</w:t>
      </w:r>
      <w:proofErr w:type="spellEnd"/>
      <w:r w:rsidR="00B17C8B">
        <w:t xml:space="preserve"> </w:t>
      </w:r>
      <w:r>
        <w:t>explain</w:t>
      </w:r>
      <w:r w:rsidR="00B17C8B">
        <w:t>s</w:t>
      </w:r>
      <w:r>
        <w:t xml:space="preserve"> </w:t>
      </w:r>
      <w:r w:rsidR="00B17C8B">
        <w:t xml:space="preserve">its </w:t>
      </w:r>
      <w:r>
        <w:t>approach to estimating long run marginal cost;</w:t>
      </w:r>
    </w:p>
    <w:p w:rsidR="007C1AC8" w:rsidRDefault="007C1AC8" w:rsidP="00722C30">
      <w:pPr>
        <w:pStyle w:val="Bulletedtext"/>
      </w:pPr>
      <w:r>
        <w:t xml:space="preserve">in section 6, </w:t>
      </w:r>
      <w:proofErr w:type="spellStart"/>
      <w:r w:rsidR="00B17C8B">
        <w:t>Ausgrid</w:t>
      </w:r>
      <w:proofErr w:type="spellEnd"/>
      <w:r w:rsidR="00B17C8B">
        <w:t xml:space="preserve"> </w:t>
      </w:r>
      <w:r>
        <w:t>summarise</w:t>
      </w:r>
      <w:r w:rsidR="00B17C8B">
        <w:t>s</w:t>
      </w:r>
      <w:r>
        <w:t xml:space="preserve"> the analysis underpinning </w:t>
      </w:r>
      <w:r w:rsidR="003737E1">
        <w:t xml:space="preserve">the definition of the </w:t>
      </w:r>
      <w:r>
        <w:t>peak periods for TOU tariffs;</w:t>
      </w:r>
    </w:p>
    <w:p w:rsidR="007C1AC8" w:rsidRDefault="007C1AC8" w:rsidP="00722C30">
      <w:pPr>
        <w:pStyle w:val="Bulletedtext"/>
      </w:pPr>
      <w:r>
        <w:t xml:space="preserve">in section 7, </w:t>
      </w:r>
      <w:proofErr w:type="spellStart"/>
      <w:r w:rsidR="00B17C8B">
        <w:t>Ausgrid</w:t>
      </w:r>
      <w:proofErr w:type="spellEnd"/>
      <w:r w:rsidR="00B17C8B">
        <w:t xml:space="preserve"> </w:t>
      </w:r>
      <w:r w:rsidR="00A262F7">
        <w:t>set</w:t>
      </w:r>
      <w:r w:rsidR="00B17C8B">
        <w:t>s</w:t>
      </w:r>
      <w:r w:rsidR="00A262F7">
        <w:t xml:space="preserve"> out </w:t>
      </w:r>
      <w:r w:rsidR="00B17C8B">
        <w:t xml:space="preserve">its </w:t>
      </w:r>
      <w:r>
        <w:t xml:space="preserve">approach to allocating </w:t>
      </w:r>
      <w:r w:rsidR="00434B8A">
        <w:t>residual costs;</w:t>
      </w:r>
    </w:p>
    <w:p w:rsidR="00434B8A" w:rsidRDefault="00434B8A" w:rsidP="00722C30">
      <w:pPr>
        <w:pStyle w:val="Bulletedtext"/>
      </w:pPr>
      <w:r>
        <w:t xml:space="preserve">in section 8, </w:t>
      </w:r>
      <w:proofErr w:type="spellStart"/>
      <w:r w:rsidR="00B17C8B">
        <w:t>Ausgrid</w:t>
      </w:r>
      <w:proofErr w:type="spellEnd"/>
      <w:r w:rsidR="00B17C8B">
        <w:t xml:space="preserve"> </w:t>
      </w:r>
      <w:r>
        <w:t>describe</w:t>
      </w:r>
      <w:r w:rsidR="00B17C8B">
        <w:t>s</w:t>
      </w:r>
      <w:r>
        <w:t xml:space="preserve"> the key reforms </w:t>
      </w:r>
      <w:r w:rsidR="003737E1">
        <w:t xml:space="preserve">presented </w:t>
      </w:r>
      <w:r>
        <w:t>in this TSS;</w:t>
      </w:r>
    </w:p>
    <w:p w:rsidR="00434B8A" w:rsidRDefault="00434B8A" w:rsidP="00722C30">
      <w:pPr>
        <w:pStyle w:val="Bulletedtext"/>
      </w:pPr>
      <w:r>
        <w:t xml:space="preserve">in section 9, </w:t>
      </w:r>
      <w:proofErr w:type="spellStart"/>
      <w:r w:rsidR="00B17C8B">
        <w:t>Ausgrid</w:t>
      </w:r>
      <w:proofErr w:type="spellEnd"/>
      <w:r w:rsidR="00B17C8B">
        <w:t xml:space="preserve"> </w:t>
      </w:r>
      <w:r>
        <w:t>present</w:t>
      </w:r>
      <w:r w:rsidR="00B17C8B">
        <w:t>s</w:t>
      </w:r>
      <w:r>
        <w:t xml:space="preserve"> indicative prices for the </w:t>
      </w:r>
      <w:r w:rsidR="003737E1">
        <w:t xml:space="preserve">remainder of the </w:t>
      </w:r>
      <w:r>
        <w:t>current regulatory control period; and</w:t>
      </w:r>
    </w:p>
    <w:p w:rsidR="00434B8A" w:rsidRDefault="00434B8A" w:rsidP="00722C30">
      <w:pPr>
        <w:pStyle w:val="Bulletedtext"/>
      </w:pPr>
      <w:proofErr w:type="gramStart"/>
      <w:r>
        <w:t>in</w:t>
      </w:r>
      <w:proofErr w:type="gramEnd"/>
      <w:r>
        <w:t xml:space="preserve"> section 10, </w:t>
      </w:r>
      <w:proofErr w:type="spellStart"/>
      <w:r w:rsidR="00B17C8B">
        <w:t>Ausgrid</w:t>
      </w:r>
      <w:proofErr w:type="spellEnd"/>
      <w:r w:rsidR="00B17C8B">
        <w:t xml:space="preserve"> </w:t>
      </w:r>
      <w:r>
        <w:t>summarise</w:t>
      </w:r>
      <w:r w:rsidR="00B17C8B">
        <w:t>s</w:t>
      </w:r>
      <w:r>
        <w:t xml:space="preserve"> </w:t>
      </w:r>
      <w:r w:rsidR="00B17C8B">
        <w:t xml:space="preserve">its </w:t>
      </w:r>
      <w:r>
        <w:t>assessment of customer bill impacts.</w:t>
      </w:r>
    </w:p>
    <w:p w:rsidR="00434B8A" w:rsidRPr="00722C30" w:rsidRDefault="00434B8A" w:rsidP="00BD7A0B">
      <w:pPr>
        <w:pStyle w:val="BodyText"/>
        <w:rPr>
          <w:rStyle w:val="AERbody"/>
        </w:rPr>
      </w:pPr>
      <w:r w:rsidRPr="00722C30">
        <w:rPr>
          <w:rStyle w:val="AERbody"/>
        </w:rPr>
        <w:t xml:space="preserve">Further, our TSS includes </w:t>
      </w:r>
      <w:r w:rsidR="00A262F7" w:rsidRPr="00722C30">
        <w:rPr>
          <w:rStyle w:val="AERbody"/>
        </w:rPr>
        <w:t>appendices</w:t>
      </w:r>
      <w:r w:rsidR="00DC7C3F" w:rsidRPr="00722C30">
        <w:rPr>
          <w:rStyle w:val="AERbody"/>
        </w:rPr>
        <w:t xml:space="preserve"> that</w:t>
      </w:r>
      <w:r w:rsidRPr="00722C30">
        <w:rPr>
          <w:rStyle w:val="AERbody"/>
        </w:rPr>
        <w:t xml:space="preserve"> contain detailed information in support of the outcomes summarised in this document, consistent with the requirements of the NER</w:t>
      </w:r>
      <w:r w:rsidR="00A262F7" w:rsidRPr="00722C30">
        <w:rPr>
          <w:rStyle w:val="AERbody"/>
        </w:rPr>
        <w:t xml:space="preserve"> or as requested by the AER</w:t>
      </w:r>
      <w:r w:rsidRPr="00722C30">
        <w:rPr>
          <w:rStyle w:val="AERbody"/>
        </w:rPr>
        <w:t>.</w:t>
      </w:r>
    </w:p>
    <w:p w:rsidR="00C97A01" w:rsidRPr="00722C30" w:rsidRDefault="00C97A01" w:rsidP="007D0321">
      <w:pPr>
        <w:pStyle w:val="BodyText"/>
        <w:rPr>
          <w:rStyle w:val="AERbody"/>
        </w:rPr>
      </w:pPr>
    </w:p>
    <w:p w:rsidR="00247423" w:rsidRPr="00722C30" w:rsidRDefault="00247423" w:rsidP="00247423">
      <w:pPr>
        <w:spacing w:before="120" w:after="240" w:line="240" w:lineRule="exact"/>
        <w:ind w:left="851"/>
        <w:rPr>
          <w:rStyle w:val="AERbody"/>
        </w:rPr>
      </w:pPr>
    </w:p>
    <w:p w:rsidR="00603060" w:rsidRPr="00892C6E" w:rsidRDefault="00CB73D4" w:rsidP="00722C30">
      <w:pPr>
        <w:pStyle w:val="Heading1"/>
      </w:pPr>
      <w:bookmarkStart w:id="39" w:name="_Toc461960385"/>
      <w:bookmarkStart w:id="40" w:name="_Toc461960386"/>
      <w:bookmarkStart w:id="41" w:name="_Toc461960387"/>
      <w:bookmarkStart w:id="42" w:name="_Toc461960388"/>
      <w:bookmarkStart w:id="43" w:name="_Toc461960389"/>
      <w:bookmarkStart w:id="44" w:name="_Toc461960390"/>
      <w:bookmarkStart w:id="45" w:name="_Toc461960391"/>
      <w:bookmarkStart w:id="46" w:name="_Toc461960410"/>
      <w:bookmarkStart w:id="47" w:name="_Toc461960424"/>
      <w:bookmarkStart w:id="48" w:name="_Toc461960433"/>
      <w:bookmarkStart w:id="49" w:name="_Toc461960434"/>
      <w:bookmarkStart w:id="50" w:name="_Toc461723495"/>
      <w:bookmarkStart w:id="51" w:name="_Toc461723500"/>
      <w:bookmarkStart w:id="52" w:name="_Toc461723505"/>
      <w:bookmarkStart w:id="53" w:name="_Toc461723512"/>
      <w:bookmarkStart w:id="54" w:name="_Toc461723526"/>
      <w:bookmarkStart w:id="55" w:name="_Toc461723533"/>
      <w:bookmarkStart w:id="56" w:name="_Toc461723540"/>
      <w:bookmarkStart w:id="57" w:name="_Toc461723547"/>
      <w:bookmarkStart w:id="58" w:name="_Toc461723554"/>
      <w:bookmarkStart w:id="59" w:name="_Toc461723580"/>
      <w:bookmarkStart w:id="60" w:name="_Toc461723582"/>
      <w:bookmarkStart w:id="61" w:name="_Toc461723583"/>
      <w:bookmarkStart w:id="62" w:name="_Toc461723588"/>
      <w:bookmarkStart w:id="63" w:name="_Toc461723600"/>
      <w:bookmarkStart w:id="64" w:name="_Toc461723750"/>
      <w:bookmarkStart w:id="65" w:name="_Toc461723755"/>
      <w:bookmarkStart w:id="66" w:name="_Toc461723761"/>
      <w:bookmarkStart w:id="67" w:name="_Toc461723769"/>
      <w:bookmarkStart w:id="68" w:name="_Toc461723795"/>
      <w:bookmarkStart w:id="69" w:name="_Toc461723796"/>
      <w:bookmarkStart w:id="70" w:name="_Toc461723815"/>
      <w:bookmarkStart w:id="71" w:name="_Toc461723824"/>
      <w:bookmarkStart w:id="72" w:name="_Toc461723833"/>
      <w:bookmarkStart w:id="73" w:name="_Toc461723851"/>
      <w:bookmarkStart w:id="74" w:name="_Toc461723860"/>
      <w:bookmarkStart w:id="75" w:name="_Toc461723878"/>
      <w:bookmarkStart w:id="76" w:name="_Toc461723887"/>
      <w:bookmarkStart w:id="77" w:name="_Toc461723896"/>
      <w:bookmarkStart w:id="78" w:name="_Toc461723914"/>
      <w:bookmarkStart w:id="79" w:name="_Toc461723923"/>
      <w:bookmarkStart w:id="80" w:name="_Toc461723932"/>
      <w:bookmarkStart w:id="81" w:name="_Toc461723950"/>
      <w:bookmarkStart w:id="82" w:name="_Toc461723968"/>
      <w:bookmarkStart w:id="83" w:name="_Toc461723980"/>
      <w:bookmarkStart w:id="84" w:name="_Toc461724002"/>
      <w:bookmarkStart w:id="85" w:name="_Toc461724011"/>
      <w:bookmarkStart w:id="86" w:name="_Toc461724020"/>
      <w:bookmarkStart w:id="87" w:name="_Toc461724029"/>
      <w:bookmarkStart w:id="88" w:name="_Toc461724050"/>
      <w:bookmarkStart w:id="89" w:name="_Toc461724059"/>
      <w:bookmarkStart w:id="90" w:name="_Toc461724068"/>
      <w:bookmarkStart w:id="91" w:name="_Toc461724077"/>
      <w:bookmarkStart w:id="92" w:name="_Toc461724098"/>
      <w:bookmarkStart w:id="93" w:name="_Toc461724107"/>
      <w:bookmarkStart w:id="94" w:name="_Toc461724116"/>
      <w:bookmarkStart w:id="95" w:name="_Toc461724125"/>
      <w:bookmarkStart w:id="96" w:name="_Toc461724138"/>
      <w:bookmarkStart w:id="97" w:name="_Toc461724139"/>
      <w:bookmarkStart w:id="98" w:name="_Toc461724158"/>
      <w:bookmarkStart w:id="99" w:name="_Toc461724167"/>
      <w:bookmarkStart w:id="100" w:name="_Toc461724176"/>
      <w:bookmarkStart w:id="101" w:name="_Toc461724185"/>
      <w:bookmarkStart w:id="102" w:name="_Toc461724203"/>
      <w:bookmarkStart w:id="103" w:name="_Toc461724212"/>
      <w:bookmarkStart w:id="104" w:name="_Toc461724221"/>
      <w:bookmarkStart w:id="105" w:name="_Toc461724230"/>
      <w:bookmarkStart w:id="106" w:name="_Toc461724248"/>
      <w:bookmarkStart w:id="107" w:name="_Toc461724257"/>
      <w:bookmarkStart w:id="108" w:name="_Toc461724266"/>
      <w:bookmarkStart w:id="109" w:name="_Toc461724275"/>
      <w:bookmarkStart w:id="110" w:name="_Toc461724293"/>
      <w:bookmarkStart w:id="111" w:name="_Toc461724302"/>
      <w:bookmarkStart w:id="112" w:name="_Toc461724311"/>
      <w:bookmarkStart w:id="113" w:name="_Toc461724320"/>
      <w:bookmarkStart w:id="114" w:name="_Toc461724334"/>
      <w:bookmarkStart w:id="115" w:name="_Toc461960435"/>
      <w:bookmarkStart w:id="116" w:name="_Toc461960436"/>
      <w:bookmarkStart w:id="117" w:name="_Toc461960437"/>
      <w:bookmarkStart w:id="118" w:name="_Toc461960438"/>
      <w:bookmarkStart w:id="119" w:name="_Toc461960439"/>
      <w:bookmarkStart w:id="120" w:name="_Toc461960440"/>
      <w:bookmarkStart w:id="121" w:name="_Toc461960441"/>
      <w:bookmarkStart w:id="122" w:name="_Toc461960442"/>
      <w:bookmarkStart w:id="123" w:name="_Toc461960443"/>
      <w:bookmarkStart w:id="124" w:name="_Toc461960444"/>
      <w:bookmarkStart w:id="125" w:name="_Toc461960445"/>
      <w:bookmarkStart w:id="126" w:name="_Toc461960446"/>
      <w:bookmarkStart w:id="127" w:name="_Toc461960447"/>
      <w:bookmarkStart w:id="128" w:name="_Toc461960448"/>
      <w:bookmarkStart w:id="129" w:name="_Toc461960449"/>
      <w:bookmarkStart w:id="130" w:name="_Toc461960450"/>
      <w:bookmarkStart w:id="131" w:name="_Toc461960451"/>
      <w:bookmarkStart w:id="132" w:name="_Toc461960452"/>
      <w:bookmarkStart w:id="133" w:name="_Toc461960453"/>
      <w:bookmarkStart w:id="134" w:name="_Toc461960454"/>
      <w:bookmarkStart w:id="135" w:name="_Toc461960455"/>
      <w:bookmarkStart w:id="136" w:name="_Toc461960456"/>
      <w:bookmarkStart w:id="137" w:name="_Toc461960457"/>
      <w:bookmarkStart w:id="138" w:name="_Toc461960458"/>
      <w:bookmarkStart w:id="139" w:name="_Toc461960459"/>
      <w:bookmarkStart w:id="140" w:name="_Toc461960460"/>
      <w:bookmarkStart w:id="141" w:name="_Toc461960461"/>
      <w:bookmarkStart w:id="142" w:name="_Toc461960462"/>
      <w:bookmarkStart w:id="143" w:name="_Toc461960463"/>
      <w:bookmarkStart w:id="144" w:name="_Toc461960464"/>
      <w:bookmarkStart w:id="145" w:name="_Toc461960465"/>
      <w:bookmarkStart w:id="146" w:name="_Toc461960466"/>
      <w:bookmarkStart w:id="147" w:name="_Toc461960467"/>
      <w:bookmarkStart w:id="148" w:name="_Toc461960468"/>
      <w:bookmarkStart w:id="149" w:name="_Toc461960469"/>
      <w:bookmarkStart w:id="150" w:name="_Toc461960470"/>
      <w:bookmarkStart w:id="151" w:name="_Toc461960471"/>
      <w:bookmarkStart w:id="152" w:name="_Toc461960472"/>
      <w:bookmarkStart w:id="153" w:name="_Toc461960473"/>
      <w:bookmarkStart w:id="154" w:name="_Toc461960474"/>
      <w:bookmarkStart w:id="155" w:name="_Toc461960475"/>
      <w:bookmarkStart w:id="156" w:name="_Toc461960476"/>
      <w:bookmarkStart w:id="157" w:name="_Toc461960477"/>
      <w:bookmarkStart w:id="158" w:name="_Toc461960478"/>
      <w:bookmarkStart w:id="159" w:name="_Toc461960479"/>
      <w:bookmarkStart w:id="160" w:name="_Toc461960480"/>
      <w:bookmarkStart w:id="161" w:name="_Toc461960481"/>
      <w:bookmarkStart w:id="162" w:name="_Toc461960482"/>
      <w:bookmarkStart w:id="163" w:name="_Toc461960483"/>
      <w:bookmarkStart w:id="164" w:name="_Toc461960484"/>
      <w:bookmarkStart w:id="165" w:name="_Toc461960485"/>
      <w:bookmarkStart w:id="166" w:name="_Toc461960486"/>
      <w:bookmarkStart w:id="167" w:name="_Toc461960487"/>
      <w:bookmarkStart w:id="168" w:name="_Toc461960488"/>
      <w:bookmarkStart w:id="169" w:name="_Toc461960489"/>
      <w:bookmarkStart w:id="170" w:name="_Toc461960490"/>
      <w:bookmarkStart w:id="171" w:name="_Toc461960491"/>
      <w:bookmarkStart w:id="172" w:name="_Toc461960492"/>
      <w:bookmarkStart w:id="173" w:name="_Toc461960493"/>
      <w:bookmarkStart w:id="174" w:name="_Toc461960494"/>
      <w:bookmarkStart w:id="175" w:name="_Toc461960495"/>
      <w:bookmarkStart w:id="176" w:name="_Toc461960496"/>
      <w:bookmarkStart w:id="177" w:name="_Toc461960497"/>
      <w:bookmarkStart w:id="178" w:name="_Toc461960498"/>
      <w:bookmarkStart w:id="179" w:name="_Toc461960499"/>
      <w:bookmarkStart w:id="180" w:name="_Toc461960500"/>
      <w:bookmarkStart w:id="181" w:name="_Toc461960501"/>
      <w:bookmarkStart w:id="182" w:name="_Toc461960502"/>
      <w:bookmarkStart w:id="183" w:name="_Toc461960503"/>
      <w:bookmarkStart w:id="184" w:name="_Toc461960504"/>
      <w:bookmarkStart w:id="185" w:name="_Toc461960505"/>
      <w:bookmarkStart w:id="186" w:name="_Toc461960506"/>
      <w:bookmarkStart w:id="187" w:name="_Toc461960507"/>
      <w:bookmarkStart w:id="188" w:name="_Toc461960508"/>
      <w:bookmarkStart w:id="189" w:name="_Toc461960509"/>
      <w:bookmarkStart w:id="190" w:name="_Toc461960510"/>
      <w:bookmarkStart w:id="191" w:name="_Toc461960511"/>
      <w:bookmarkStart w:id="192" w:name="_Toc460580192"/>
      <w:bookmarkStart w:id="193" w:name="_Toc460940663"/>
      <w:bookmarkStart w:id="194" w:name="_Toc461724344"/>
      <w:bookmarkStart w:id="195" w:name="_Toc435554979"/>
      <w:bookmarkStart w:id="196" w:name="_Toc435605573"/>
      <w:bookmarkStart w:id="197" w:name="_Toc435606106"/>
      <w:bookmarkStart w:id="198" w:name="_Toc435607702"/>
      <w:bookmarkStart w:id="199" w:name="_Toc435624658"/>
      <w:bookmarkStart w:id="200" w:name="_Toc435631895"/>
      <w:bookmarkStart w:id="201" w:name="_Toc435646309"/>
      <w:bookmarkStart w:id="202" w:name="_Toc435554980"/>
      <w:bookmarkStart w:id="203" w:name="_Toc435605574"/>
      <w:bookmarkStart w:id="204" w:name="_Toc435606107"/>
      <w:bookmarkStart w:id="205" w:name="_Toc435607703"/>
      <w:bookmarkStart w:id="206" w:name="_Toc435624659"/>
      <w:bookmarkStart w:id="207" w:name="_Toc435631896"/>
      <w:bookmarkStart w:id="208" w:name="_Toc435646310"/>
      <w:bookmarkStart w:id="209" w:name="_Toc435554981"/>
      <w:bookmarkStart w:id="210" w:name="_Toc435605575"/>
      <w:bookmarkStart w:id="211" w:name="_Toc435606108"/>
      <w:bookmarkStart w:id="212" w:name="_Toc435607704"/>
      <w:bookmarkStart w:id="213" w:name="_Toc435624660"/>
      <w:bookmarkStart w:id="214" w:name="_Toc435631897"/>
      <w:bookmarkStart w:id="215" w:name="_Toc435646311"/>
      <w:bookmarkStart w:id="216" w:name="_Toc435554982"/>
      <w:bookmarkStart w:id="217" w:name="_Toc435605576"/>
      <w:bookmarkStart w:id="218" w:name="_Toc435606109"/>
      <w:bookmarkStart w:id="219" w:name="_Toc435607705"/>
      <w:bookmarkStart w:id="220" w:name="_Toc435624661"/>
      <w:bookmarkStart w:id="221" w:name="_Toc435631898"/>
      <w:bookmarkStart w:id="222" w:name="_Toc435646312"/>
      <w:bookmarkStart w:id="223" w:name="_Toc435554983"/>
      <w:bookmarkStart w:id="224" w:name="_Toc435605577"/>
      <w:bookmarkStart w:id="225" w:name="_Toc435606110"/>
      <w:bookmarkStart w:id="226" w:name="_Toc435607706"/>
      <w:bookmarkStart w:id="227" w:name="_Toc435624662"/>
      <w:bookmarkStart w:id="228" w:name="_Toc435631899"/>
      <w:bookmarkStart w:id="229" w:name="_Toc435646313"/>
      <w:bookmarkStart w:id="230" w:name="_Toc435554984"/>
      <w:bookmarkStart w:id="231" w:name="_Toc435605578"/>
      <w:bookmarkStart w:id="232" w:name="_Toc435606111"/>
      <w:bookmarkStart w:id="233" w:name="_Toc435607707"/>
      <w:bookmarkStart w:id="234" w:name="_Toc435624663"/>
      <w:bookmarkStart w:id="235" w:name="_Toc435631900"/>
      <w:bookmarkStart w:id="236" w:name="_Toc435646314"/>
      <w:bookmarkStart w:id="237" w:name="_Toc435554985"/>
      <w:bookmarkStart w:id="238" w:name="_Toc435605579"/>
      <w:bookmarkStart w:id="239" w:name="_Toc435606112"/>
      <w:bookmarkStart w:id="240" w:name="_Toc435607708"/>
      <w:bookmarkStart w:id="241" w:name="_Toc435624664"/>
      <w:bookmarkStart w:id="242" w:name="_Toc435631901"/>
      <w:bookmarkStart w:id="243" w:name="_Toc435646315"/>
      <w:bookmarkStart w:id="244" w:name="_Toc435554986"/>
      <w:bookmarkStart w:id="245" w:name="_Toc435605580"/>
      <w:bookmarkStart w:id="246" w:name="_Toc435606113"/>
      <w:bookmarkStart w:id="247" w:name="_Toc435607709"/>
      <w:bookmarkStart w:id="248" w:name="_Toc435624665"/>
      <w:bookmarkStart w:id="249" w:name="_Toc435631902"/>
      <w:bookmarkStart w:id="250" w:name="_Toc435646316"/>
      <w:bookmarkStart w:id="251" w:name="_Toc435554987"/>
      <w:bookmarkStart w:id="252" w:name="_Toc435605581"/>
      <w:bookmarkStart w:id="253" w:name="_Toc435606114"/>
      <w:bookmarkStart w:id="254" w:name="_Toc435607710"/>
      <w:bookmarkStart w:id="255" w:name="_Toc435624666"/>
      <w:bookmarkStart w:id="256" w:name="_Toc435631903"/>
      <w:bookmarkStart w:id="257" w:name="_Toc435646317"/>
      <w:bookmarkStart w:id="258" w:name="_Toc435554988"/>
      <w:bookmarkStart w:id="259" w:name="_Toc435605582"/>
      <w:bookmarkStart w:id="260" w:name="_Toc435606115"/>
      <w:bookmarkStart w:id="261" w:name="_Toc435607711"/>
      <w:bookmarkStart w:id="262" w:name="_Toc435624667"/>
      <w:bookmarkStart w:id="263" w:name="_Toc435631904"/>
      <w:bookmarkStart w:id="264" w:name="_Toc435646318"/>
      <w:bookmarkStart w:id="265" w:name="_Toc435554989"/>
      <w:bookmarkStart w:id="266" w:name="_Toc435605583"/>
      <w:bookmarkStart w:id="267" w:name="_Toc435606116"/>
      <w:bookmarkStart w:id="268" w:name="_Toc435607712"/>
      <w:bookmarkStart w:id="269" w:name="_Toc435624668"/>
      <w:bookmarkStart w:id="270" w:name="_Toc435631905"/>
      <w:bookmarkStart w:id="271" w:name="_Toc435646319"/>
      <w:bookmarkStart w:id="272" w:name="_Toc435555041"/>
      <w:bookmarkStart w:id="273" w:name="_Toc435605635"/>
      <w:bookmarkStart w:id="274" w:name="_Toc435606168"/>
      <w:bookmarkStart w:id="275" w:name="_Toc435607764"/>
      <w:bookmarkStart w:id="276" w:name="_Toc435624720"/>
      <w:bookmarkStart w:id="277" w:name="_Toc435631957"/>
      <w:bookmarkStart w:id="278" w:name="_Toc435646371"/>
      <w:bookmarkStart w:id="279" w:name="_Toc435555042"/>
      <w:bookmarkStart w:id="280" w:name="_Toc435605636"/>
      <w:bookmarkStart w:id="281" w:name="_Toc435606169"/>
      <w:bookmarkStart w:id="282" w:name="_Toc435607765"/>
      <w:bookmarkStart w:id="283" w:name="_Toc435624721"/>
      <w:bookmarkStart w:id="284" w:name="_Toc435631958"/>
      <w:bookmarkStart w:id="285" w:name="_Toc435646372"/>
      <w:bookmarkStart w:id="286" w:name="_Toc435555043"/>
      <w:bookmarkStart w:id="287" w:name="_Toc435605637"/>
      <w:bookmarkStart w:id="288" w:name="_Toc435606170"/>
      <w:bookmarkStart w:id="289" w:name="_Toc435607766"/>
      <w:bookmarkStart w:id="290" w:name="_Toc435624722"/>
      <w:bookmarkStart w:id="291" w:name="_Toc435631959"/>
      <w:bookmarkStart w:id="292" w:name="_Toc435646373"/>
      <w:bookmarkStart w:id="293" w:name="_Toc435555044"/>
      <w:bookmarkStart w:id="294" w:name="_Toc435605638"/>
      <w:bookmarkStart w:id="295" w:name="_Toc435606171"/>
      <w:bookmarkStart w:id="296" w:name="_Toc435607767"/>
      <w:bookmarkStart w:id="297" w:name="_Toc435624723"/>
      <w:bookmarkStart w:id="298" w:name="_Toc435631960"/>
      <w:bookmarkStart w:id="299" w:name="_Toc435646374"/>
      <w:bookmarkStart w:id="300" w:name="_Toc435555045"/>
      <w:bookmarkStart w:id="301" w:name="_Toc435605639"/>
      <w:bookmarkStart w:id="302" w:name="_Toc435606172"/>
      <w:bookmarkStart w:id="303" w:name="_Toc435607768"/>
      <w:bookmarkStart w:id="304" w:name="_Toc435624724"/>
      <w:bookmarkStart w:id="305" w:name="_Toc435631961"/>
      <w:bookmarkStart w:id="306" w:name="_Toc435646375"/>
      <w:bookmarkStart w:id="307" w:name="_Toc435555046"/>
      <w:bookmarkStart w:id="308" w:name="_Toc435605640"/>
      <w:bookmarkStart w:id="309" w:name="_Toc435606173"/>
      <w:bookmarkStart w:id="310" w:name="_Toc435607769"/>
      <w:bookmarkStart w:id="311" w:name="_Toc435624725"/>
      <w:bookmarkStart w:id="312" w:name="_Toc435631962"/>
      <w:bookmarkStart w:id="313" w:name="_Toc435646376"/>
      <w:bookmarkStart w:id="314" w:name="_Toc435555047"/>
      <w:bookmarkStart w:id="315" w:name="_Toc435605641"/>
      <w:bookmarkStart w:id="316" w:name="_Toc435606174"/>
      <w:bookmarkStart w:id="317" w:name="_Toc435607770"/>
      <w:bookmarkStart w:id="318" w:name="_Toc435624726"/>
      <w:bookmarkStart w:id="319" w:name="_Toc435631963"/>
      <w:bookmarkStart w:id="320" w:name="_Toc435646377"/>
      <w:bookmarkStart w:id="321" w:name="_Toc435555048"/>
      <w:bookmarkStart w:id="322" w:name="_Toc435605642"/>
      <w:bookmarkStart w:id="323" w:name="_Toc435606175"/>
      <w:bookmarkStart w:id="324" w:name="_Toc435607771"/>
      <w:bookmarkStart w:id="325" w:name="_Toc435624727"/>
      <w:bookmarkStart w:id="326" w:name="_Toc435631964"/>
      <w:bookmarkStart w:id="327" w:name="_Toc435646378"/>
      <w:bookmarkStart w:id="328" w:name="_Toc435555049"/>
      <w:bookmarkStart w:id="329" w:name="_Toc435605643"/>
      <w:bookmarkStart w:id="330" w:name="_Toc435606176"/>
      <w:bookmarkStart w:id="331" w:name="_Toc435607772"/>
      <w:bookmarkStart w:id="332" w:name="_Toc435624728"/>
      <w:bookmarkStart w:id="333" w:name="_Toc435631965"/>
      <w:bookmarkStart w:id="334" w:name="_Toc435646379"/>
      <w:bookmarkStart w:id="335" w:name="_Toc429068795"/>
      <w:bookmarkStart w:id="336" w:name="_Toc475527415"/>
      <w:bookmarkEnd w:id="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r w:rsidRPr="00892C6E">
        <w:lastRenderedPageBreak/>
        <w:t xml:space="preserve">Proposed </w:t>
      </w:r>
      <w:r w:rsidR="00F07249" w:rsidRPr="00892C6E">
        <w:t>Tariff Classes</w:t>
      </w:r>
      <w:bookmarkEnd w:id="335"/>
      <w:bookmarkEnd w:id="336"/>
    </w:p>
    <w:p w:rsidR="00F07249" w:rsidRPr="00892C6E" w:rsidRDefault="006458AA" w:rsidP="00722C30">
      <w:pPr>
        <w:pStyle w:val="Heading2"/>
      </w:pPr>
      <w:bookmarkStart w:id="337" w:name="_Toc425525156"/>
      <w:bookmarkStart w:id="338" w:name="_Toc429068796"/>
      <w:bookmarkStart w:id="339" w:name="_Toc475527416"/>
      <w:r w:rsidRPr="00892C6E">
        <w:t>Rule r</w:t>
      </w:r>
      <w:r w:rsidR="00F07249" w:rsidRPr="00892C6E">
        <w:t>equirement</w:t>
      </w:r>
      <w:bookmarkEnd w:id="337"/>
      <w:bookmarkEnd w:id="338"/>
      <w:bookmarkEnd w:id="339"/>
    </w:p>
    <w:p w:rsidR="00790395" w:rsidRPr="00722C30" w:rsidRDefault="00790395" w:rsidP="00BD7A0B">
      <w:pPr>
        <w:pStyle w:val="BodyText"/>
        <w:rPr>
          <w:rStyle w:val="AERbody"/>
        </w:rPr>
      </w:pPr>
      <w:r w:rsidRPr="00722C30">
        <w:rPr>
          <w:rStyle w:val="AERbody"/>
        </w:rPr>
        <w:t>The NER defines tariff classes as representing ‘a class of customers for one or more direct control services, who are subject to a particular tariff or particular tariffs’.</w:t>
      </w:r>
      <w:r w:rsidRPr="00025BDF">
        <w:rPr>
          <w:rStyle w:val="AERbody"/>
          <w:vertAlign w:val="superscript"/>
        </w:rPr>
        <w:footnoteReference w:id="4"/>
      </w:r>
      <w:r w:rsidRPr="00722C30">
        <w:rPr>
          <w:rStyle w:val="AERbody"/>
        </w:rPr>
        <w:t xml:space="preserve"> Further, the NER require that each tariff class must be constituted with regard to the need to group retail customers together on an economically efficient basis to the extent that this is desirable to do given the need to avoid unnecessary transaction costs.</w:t>
      </w:r>
    </w:p>
    <w:p w:rsidR="00790395" w:rsidRDefault="00790395" w:rsidP="00722C30">
      <w:pPr>
        <w:pStyle w:val="Heading3"/>
      </w:pPr>
      <w:r>
        <w:t>Purpose of tariff classes</w:t>
      </w:r>
    </w:p>
    <w:p w:rsidR="008F033D" w:rsidRPr="00722C30" w:rsidRDefault="008F033D" w:rsidP="00BD7A0B">
      <w:pPr>
        <w:pStyle w:val="BodyText"/>
        <w:rPr>
          <w:rStyle w:val="AERbody"/>
        </w:rPr>
      </w:pPr>
      <w:r w:rsidRPr="00722C30">
        <w:rPr>
          <w:rStyle w:val="AERbody"/>
        </w:rPr>
        <w:t>The purpose of tariff classes under the NER arises from their role in:</w:t>
      </w:r>
      <w:r w:rsidRPr="00722C30" w:rsidDel="008F033D">
        <w:rPr>
          <w:rStyle w:val="AERbody"/>
        </w:rPr>
        <w:t xml:space="preserve"> </w:t>
      </w:r>
    </w:p>
    <w:p w:rsidR="00790395" w:rsidRPr="00340499" w:rsidRDefault="008F033D" w:rsidP="00722C30">
      <w:pPr>
        <w:pStyle w:val="Bulletedtext"/>
      </w:pPr>
      <w:r>
        <w:t>implementing p</w:t>
      </w:r>
      <w:r w:rsidRPr="00340499">
        <w:t xml:space="preserve">rice </w:t>
      </w:r>
      <w:r w:rsidR="00790395" w:rsidRPr="00340499">
        <w:t xml:space="preserve">limits </w:t>
      </w:r>
      <w:r>
        <w:t>–</w:t>
      </w:r>
      <w:r w:rsidR="00790395" w:rsidRPr="00340499">
        <w:t xml:space="preserve"> </w:t>
      </w:r>
      <w:r>
        <w:t>there are r</w:t>
      </w:r>
      <w:r w:rsidRPr="00340499">
        <w:t>estriction</w:t>
      </w:r>
      <w:r>
        <w:t>s</w:t>
      </w:r>
      <w:r w:rsidRPr="00340499">
        <w:t xml:space="preserve"> </w:t>
      </w:r>
      <w:r w:rsidR="00790395" w:rsidRPr="00340499">
        <w:t>on DUOS price increases at the tariff class level</w:t>
      </w:r>
      <w:r>
        <w:t xml:space="preserve">, and so </w:t>
      </w:r>
      <w:r w:rsidR="00790395" w:rsidRPr="00340499">
        <w:t>the degree of flexibility afforded to a DNSP to re-balance DUOS tariffs is to some extent determined by the number of tariff classes</w:t>
      </w:r>
      <w:r>
        <w:t>; and</w:t>
      </w:r>
    </w:p>
    <w:p w:rsidR="00790395" w:rsidRPr="00340499" w:rsidRDefault="008F033D" w:rsidP="00722C30">
      <w:pPr>
        <w:pStyle w:val="Bulletedtext"/>
      </w:pPr>
      <w:proofErr w:type="gramStart"/>
      <w:r>
        <w:t>avoiding</w:t>
      </w:r>
      <w:proofErr w:type="gramEnd"/>
      <w:r>
        <w:t xml:space="preserve"> e</w:t>
      </w:r>
      <w:r w:rsidRPr="00340499">
        <w:t xml:space="preserve">conomic </w:t>
      </w:r>
      <w:r w:rsidR="00790395" w:rsidRPr="00340499">
        <w:t xml:space="preserve">subsidies </w:t>
      </w:r>
      <w:r>
        <w:t>–</w:t>
      </w:r>
      <w:r w:rsidR="00790395" w:rsidRPr="00340499">
        <w:t xml:space="preserve"> </w:t>
      </w:r>
      <w:r>
        <w:t xml:space="preserve">the revenue expected to be recovered from each tariff class must </w:t>
      </w:r>
      <w:r w:rsidR="00790395" w:rsidRPr="00340499">
        <w:t xml:space="preserve">lie </w:t>
      </w:r>
      <w:r>
        <w:t xml:space="preserve">on or </w:t>
      </w:r>
      <w:r w:rsidR="00790395" w:rsidRPr="00340499">
        <w:t xml:space="preserve">between </w:t>
      </w:r>
      <w:r>
        <w:t xml:space="preserve">the </w:t>
      </w:r>
      <w:r w:rsidR="00790395" w:rsidRPr="00340499">
        <w:t>standalone and avoidable cost</w:t>
      </w:r>
      <w:r>
        <w:t xml:space="preserve"> of providing the relevant services</w:t>
      </w:r>
      <w:r w:rsidR="00790395" w:rsidRPr="00340499">
        <w:t>.</w:t>
      </w:r>
    </w:p>
    <w:p w:rsidR="00790395" w:rsidRPr="00722C30" w:rsidRDefault="00790395" w:rsidP="00BD7A0B">
      <w:pPr>
        <w:pStyle w:val="BodyText"/>
        <w:rPr>
          <w:rStyle w:val="AERbody"/>
        </w:rPr>
      </w:pPr>
      <w:r w:rsidRPr="00722C30">
        <w:rPr>
          <w:rStyle w:val="AERbody"/>
        </w:rPr>
        <w:t xml:space="preserve">The diminished importance of the concept of tariff class under the recently amended distribution pricing principles is highlighted by the comments made by </w:t>
      </w:r>
      <w:r w:rsidR="0031623F" w:rsidRPr="00722C30">
        <w:rPr>
          <w:rStyle w:val="AERbody"/>
        </w:rPr>
        <w:t xml:space="preserve">the </w:t>
      </w:r>
      <w:r w:rsidRPr="00722C30">
        <w:rPr>
          <w:rStyle w:val="AERbody"/>
        </w:rPr>
        <w:t>AEMC in their Rule Determination</w:t>
      </w:r>
      <w:r w:rsidR="007532A8" w:rsidRPr="00722C30">
        <w:rPr>
          <w:rStyle w:val="AERbody"/>
        </w:rPr>
        <w:t xml:space="preserve">, ie, the AEMC stated </w:t>
      </w:r>
      <w:r w:rsidR="002375DC" w:rsidRPr="00722C30">
        <w:rPr>
          <w:rStyle w:val="AERbody"/>
        </w:rPr>
        <w:t>that</w:t>
      </w:r>
      <w:r w:rsidRPr="00722C30">
        <w:rPr>
          <w:rStyle w:val="AERbody"/>
        </w:rPr>
        <w:t>:</w:t>
      </w:r>
    </w:p>
    <w:p w:rsidR="00790395" w:rsidRPr="00722C30" w:rsidRDefault="00790395" w:rsidP="0071162E">
      <w:pPr>
        <w:spacing w:before="120" w:after="240" w:line="240" w:lineRule="exact"/>
        <w:ind w:left="1440"/>
        <w:rPr>
          <w:sz w:val="20"/>
          <w:szCs w:val="20"/>
        </w:rPr>
      </w:pPr>
      <w:r w:rsidRPr="00722C30">
        <w:rPr>
          <w:sz w:val="20"/>
          <w:szCs w:val="20"/>
        </w:rPr>
        <w:t>“</w:t>
      </w:r>
      <w:r w:rsidR="007532A8" w:rsidRPr="00722C30">
        <w:rPr>
          <w:i/>
          <w:sz w:val="20"/>
          <w:szCs w:val="20"/>
        </w:rPr>
        <w:t>…</w:t>
      </w:r>
      <w:r w:rsidRPr="00722C30">
        <w:rPr>
          <w:i/>
          <w:sz w:val="20"/>
          <w:szCs w:val="20"/>
        </w:rPr>
        <w:t>it is unclear that there are efficiency benefits in having a larger number of tariff classes. A single tariff class can contain several tariffs</w:t>
      </w:r>
      <w:r w:rsidR="007532A8" w:rsidRPr="00722C30">
        <w:rPr>
          <w:i/>
          <w:sz w:val="20"/>
          <w:szCs w:val="20"/>
        </w:rPr>
        <w:t>..</w:t>
      </w:r>
      <w:r w:rsidRPr="00722C30">
        <w:rPr>
          <w:i/>
          <w:sz w:val="20"/>
          <w:szCs w:val="20"/>
        </w:rPr>
        <w:t xml:space="preserve">. Each of those different tariffs can send </w:t>
      </w:r>
      <w:proofErr w:type="spellStart"/>
      <w:r w:rsidRPr="00722C30">
        <w:rPr>
          <w:i/>
          <w:sz w:val="20"/>
          <w:szCs w:val="20"/>
        </w:rPr>
        <w:t>customised</w:t>
      </w:r>
      <w:proofErr w:type="spellEnd"/>
      <w:r w:rsidRPr="00722C30">
        <w:rPr>
          <w:i/>
          <w:sz w:val="20"/>
          <w:szCs w:val="20"/>
        </w:rPr>
        <w:t xml:space="preserve"> network cost signals to different customers even if all of those consumers are in the same tariff class. Accordingly, rather than focusing on how tariff classes are determined, it is more important that DNSPs develop tariffs that are cost reflective and assign consumers to a tariff that sends the right pricing signals about the network costs caused by their usage</w:t>
      </w:r>
      <w:r w:rsidRPr="00722C30">
        <w:rPr>
          <w:sz w:val="20"/>
          <w:szCs w:val="20"/>
        </w:rPr>
        <w:t>.”</w:t>
      </w:r>
      <w:r w:rsidRPr="00722C30">
        <w:rPr>
          <w:rStyle w:val="FootnoteReference"/>
          <w:sz w:val="20"/>
          <w:szCs w:val="20"/>
        </w:rPr>
        <w:footnoteReference w:id="5"/>
      </w:r>
    </w:p>
    <w:p w:rsidR="00F07249" w:rsidRPr="00247684" w:rsidRDefault="0031623F" w:rsidP="00722C30">
      <w:pPr>
        <w:pStyle w:val="Heading2"/>
      </w:pPr>
      <w:bookmarkStart w:id="340" w:name="_Toc461724347"/>
      <w:bookmarkStart w:id="341" w:name="_Toc461724349"/>
      <w:bookmarkStart w:id="342" w:name="_Toc461724350"/>
      <w:bookmarkStart w:id="343" w:name="_Toc461724351"/>
      <w:bookmarkStart w:id="344" w:name="_Toc461724352"/>
      <w:bookmarkStart w:id="345" w:name="_Toc429068798"/>
      <w:bookmarkStart w:id="346" w:name="_Toc475527417"/>
      <w:bookmarkEnd w:id="340"/>
      <w:bookmarkEnd w:id="341"/>
      <w:bookmarkEnd w:id="342"/>
      <w:bookmarkEnd w:id="343"/>
      <w:bookmarkEnd w:id="344"/>
      <w:r>
        <w:t>T</w:t>
      </w:r>
      <w:r w:rsidR="00F07249">
        <w:t>ariff classes</w:t>
      </w:r>
      <w:bookmarkEnd w:id="345"/>
      <w:bookmarkEnd w:id="346"/>
    </w:p>
    <w:p w:rsidR="00F07249" w:rsidRPr="00722C30" w:rsidRDefault="007532A8" w:rsidP="00BD7A0B">
      <w:pPr>
        <w:pStyle w:val="BodyText"/>
        <w:rPr>
          <w:rStyle w:val="AERbody"/>
        </w:rPr>
      </w:pPr>
      <w:r w:rsidRPr="00722C30">
        <w:rPr>
          <w:rStyle w:val="AERbody"/>
        </w:rPr>
        <w:t>Ausgrid’s tariff classes are directed at promoting economic efficiency while avoiding unnecessary transaction costs</w:t>
      </w:r>
      <w:r w:rsidR="00600007" w:rsidRPr="00722C30">
        <w:rPr>
          <w:rStyle w:val="AERbody"/>
        </w:rPr>
        <w:t xml:space="preserve"> on Ausgrid, retailers and retail customers</w:t>
      </w:r>
      <w:r w:rsidRPr="00722C30">
        <w:rPr>
          <w:rStyle w:val="AERbody"/>
        </w:rPr>
        <w:t>. This is achieved by grouping together retail customers that impose similar costs on the network.</w:t>
      </w:r>
      <w:r w:rsidRPr="00025BDF">
        <w:rPr>
          <w:rStyle w:val="AERbody"/>
          <w:vertAlign w:val="superscript"/>
        </w:rPr>
        <w:footnoteReference w:id="6"/>
      </w:r>
      <w:r w:rsidRPr="00025BDF">
        <w:rPr>
          <w:rStyle w:val="AERbody"/>
          <w:vertAlign w:val="superscript"/>
        </w:rPr>
        <w:t xml:space="preserve"> </w:t>
      </w:r>
      <w:r w:rsidRPr="00722C30">
        <w:rPr>
          <w:rStyle w:val="AERbody"/>
        </w:rPr>
        <w:t xml:space="preserve">Consistent with this approach, </w:t>
      </w:r>
      <w:r w:rsidR="00411F0F" w:rsidRPr="00722C30">
        <w:rPr>
          <w:rStyle w:val="AERbody"/>
        </w:rPr>
        <w:t>Ausgrid</w:t>
      </w:r>
      <w:r w:rsidR="00F07249" w:rsidRPr="00722C30">
        <w:rPr>
          <w:rStyle w:val="AERbody"/>
        </w:rPr>
        <w:t xml:space="preserve"> group</w:t>
      </w:r>
      <w:r w:rsidR="0031623F" w:rsidRPr="00722C30">
        <w:rPr>
          <w:rStyle w:val="AERbody"/>
        </w:rPr>
        <w:t>s</w:t>
      </w:r>
      <w:r w:rsidR="00F07249" w:rsidRPr="00722C30">
        <w:rPr>
          <w:rStyle w:val="AERbody"/>
        </w:rPr>
        <w:t xml:space="preserve"> retail customers into the </w:t>
      </w:r>
      <w:r w:rsidRPr="00722C30">
        <w:rPr>
          <w:rStyle w:val="AERbody"/>
        </w:rPr>
        <w:t xml:space="preserve">following </w:t>
      </w:r>
      <w:r w:rsidR="00F07249" w:rsidRPr="00722C30">
        <w:rPr>
          <w:rStyle w:val="AERbody"/>
        </w:rPr>
        <w:t xml:space="preserve">tariff classes, </w:t>
      </w:r>
      <w:r w:rsidRPr="00722C30">
        <w:rPr>
          <w:rStyle w:val="AERbody"/>
        </w:rPr>
        <w:t>ie:</w:t>
      </w:r>
    </w:p>
    <w:p w:rsidR="00F07249" w:rsidRPr="00340499" w:rsidRDefault="00F07249" w:rsidP="00722C30">
      <w:pPr>
        <w:pStyle w:val="Bulletedtext"/>
      </w:pPr>
      <w:r w:rsidRPr="00340499">
        <w:t>Low voltage tariff class</w:t>
      </w:r>
      <w:r w:rsidR="007532A8">
        <w:t>;</w:t>
      </w:r>
    </w:p>
    <w:p w:rsidR="00F07249" w:rsidRPr="00340499" w:rsidRDefault="00F07249" w:rsidP="00722C30">
      <w:pPr>
        <w:pStyle w:val="Bulletedtext"/>
      </w:pPr>
      <w:r w:rsidRPr="00340499">
        <w:t>High voltage tariff class</w:t>
      </w:r>
      <w:r w:rsidR="007532A8">
        <w:t>;</w:t>
      </w:r>
    </w:p>
    <w:p w:rsidR="00F07249" w:rsidRPr="00340499" w:rsidRDefault="00F07249" w:rsidP="00722C30">
      <w:pPr>
        <w:pStyle w:val="Bulletedtext"/>
      </w:pPr>
      <w:r w:rsidRPr="00340499">
        <w:t>Sub-transmission voltage tariff class</w:t>
      </w:r>
      <w:r w:rsidR="007532A8">
        <w:t>;</w:t>
      </w:r>
    </w:p>
    <w:p w:rsidR="00BA06A3" w:rsidRPr="00340499" w:rsidRDefault="00BA06A3" w:rsidP="00722C30">
      <w:pPr>
        <w:pStyle w:val="Bulletedtext"/>
      </w:pPr>
      <w:r w:rsidRPr="00340499">
        <w:t>Transmission connected tariff class</w:t>
      </w:r>
      <w:r w:rsidR="007532A8">
        <w:t>; and</w:t>
      </w:r>
    </w:p>
    <w:p w:rsidR="00BA06A3" w:rsidRPr="00340499" w:rsidRDefault="00BA06A3" w:rsidP="00722C30">
      <w:pPr>
        <w:pStyle w:val="Bulletedtext"/>
      </w:pPr>
      <w:r w:rsidRPr="00340499">
        <w:t>Unmetered tariff class</w:t>
      </w:r>
      <w:r w:rsidR="007532A8">
        <w:t>.</w:t>
      </w:r>
    </w:p>
    <w:p w:rsidR="00906BE7" w:rsidRPr="00722C30" w:rsidRDefault="00054017" w:rsidP="00BD7A0B">
      <w:pPr>
        <w:pStyle w:val="BodyText"/>
        <w:rPr>
          <w:rStyle w:val="AERbody"/>
        </w:rPr>
      </w:pPr>
      <w:r>
        <w:rPr>
          <w:rStyle w:val="AERbody"/>
        </w:rPr>
        <w:fldChar w:fldCharType="begin"/>
      </w:r>
      <w:r>
        <w:rPr>
          <w:rStyle w:val="AERbody"/>
        </w:rPr>
        <w:instrText xml:space="preserve"> REF _Ref462918960 \h </w:instrText>
      </w:r>
      <w:r>
        <w:rPr>
          <w:rStyle w:val="AERbody"/>
        </w:rPr>
      </w:r>
      <w:r>
        <w:rPr>
          <w:rStyle w:val="AERbody"/>
        </w:rPr>
        <w:fldChar w:fldCharType="separate"/>
      </w:r>
      <w:r w:rsidR="00BE0834" w:rsidRPr="00722C30">
        <w:t xml:space="preserve">Table </w:t>
      </w:r>
      <w:r w:rsidR="00BE0834">
        <w:t>4</w:t>
      </w:r>
      <w:r>
        <w:rPr>
          <w:rStyle w:val="AERbody"/>
        </w:rPr>
        <w:fldChar w:fldCharType="end"/>
      </w:r>
      <w:r>
        <w:rPr>
          <w:rStyle w:val="AERbody"/>
        </w:rPr>
        <w:t xml:space="preserve"> </w:t>
      </w:r>
      <w:r w:rsidR="00600007" w:rsidRPr="00722C30">
        <w:rPr>
          <w:rStyle w:val="AERbody"/>
        </w:rPr>
        <w:t>presents the tariff class descriptions.</w:t>
      </w:r>
    </w:p>
    <w:p w:rsidR="001E7F29" w:rsidRDefault="001E7F29">
      <w:pPr>
        <w:spacing w:after="0"/>
        <w:rPr>
          <w:rFonts w:ascii="Arial Bold" w:hAnsi="Arial Bold"/>
          <w:b/>
          <w:szCs w:val="18"/>
          <w:lang w:val="en-AU" w:eastAsia="en-AU"/>
        </w:rPr>
      </w:pPr>
      <w:r>
        <w:br w:type="page"/>
      </w:r>
    </w:p>
    <w:p w:rsidR="00A074EE" w:rsidRPr="001E7F29" w:rsidRDefault="00E52075" w:rsidP="00722C30">
      <w:pPr>
        <w:pStyle w:val="Caption"/>
      </w:pPr>
      <w:bookmarkStart w:id="347" w:name="_Ref462918960"/>
      <w:r w:rsidRPr="00722C30">
        <w:lastRenderedPageBreak/>
        <w:t xml:space="preserve">Table </w:t>
      </w:r>
      <w:fldSimple w:instr=" SEQ Table \* ARABIC ">
        <w:r w:rsidR="00BE0834">
          <w:rPr>
            <w:noProof/>
          </w:rPr>
          <w:t>4</w:t>
        </w:r>
      </w:fldSimple>
      <w:bookmarkEnd w:id="347"/>
      <w:r w:rsidRPr="00722C30">
        <w:t xml:space="preserve"> </w:t>
      </w:r>
      <w:r w:rsidRPr="00722C30">
        <w:rPr>
          <w:rFonts w:hint="eastAsia"/>
        </w:rPr>
        <w:t>–</w:t>
      </w:r>
      <w:r w:rsidRPr="00722C30">
        <w:t xml:space="preserve"> </w:t>
      </w:r>
      <w:proofErr w:type="spellStart"/>
      <w:r w:rsidRPr="00722C30">
        <w:t>Ausgrid</w:t>
      </w:r>
      <w:r w:rsidRPr="00722C30">
        <w:rPr>
          <w:rFonts w:hint="eastAsia"/>
        </w:rPr>
        <w:t>’</w:t>
      </w:r>
      <w:r w:rsidRPr="00722C30">
        <w:t>s</w:t>
      </w:r>
      <w:proofErr w:type="spellEnd"/>
      <w:r w:rsidRPr="00722C30">
        <w:t xml:space="preserve"> Proposed Tariff Class Descriptions</w:t>
      </w:r>
    </w:p>
    <w:tbl>
      <w:tblPr>
        <w:tblW w:w="8930" w:type="dxa"/>
        <w:tblInd w:w="959" w:type="dxa"/>
        <w:tblBorders>
          <w:insideH w:val="single" w:sz="4" w:space="0" w:color="FFFFFF" w:themeColor="background1"/>
          <w:insideV w:val="single" w:sz="4" w:space="0" w:color="FFFFFF" w:themeColor="background1"/>
        </w:tblBorders>
        <w:tblCellMar>
          <w:top w:w="85" w:type="dxa"/>
          <w:bottom w:w="28" w:type="dxa"/>
        </w:tblCellMar>
        <w:tblLook w:val="01E0" w:firstRow="1" w:lastRow="1" w:firstColumn="1" w:lastColumn="1" w:noHBand="0" w:noVBand="0"/>
      </w:tblPr>
      <w:tblGrid>
        <w:gridCol w:w="1668"/>
        <w:gridCol w:w="3435"/>
        <w:gridCol w:w="3827"/>
      </w:tblGrid>
      <w:tr w:rsidR="00600007" w:rsidRPr="00F821EE" w:rsidTr="00722C30">
        <w:tc>
          <w:tcPr>
            <w:tcW w:w="1668" w:type="dxa"/>
            <w:shd w:val="clear" w:color="auto" w:fill="0065A6"/>
          </w:tcPr>
          <w:p w:rsidR="00600007" w:rsidRPr="00DE0FB4" w:rsidRDefault="00600007" w:rsidP="0068721E">
            <w:pPr>
              <w:keepNext/>
              <w:spacing w:before="120" w:after="120"/>
              <w:rPr>
                <w:rFonts w:cs="Arial"/>
                <w:b/>
                <w:bCs/>
                <w:color w:val="FFFFFF"/>
                <w:szCs w:val="18"/>
              </w:rPr>
            </w:pPr>
            <w:r w:rsidRPr="00DE0FB4">
              <w:rPr>
                <w:rFonts w:cs="Arial"/>
                <w:b/>
                <w:bCs/>
                <w:color w:val="FFFFFF"/>
                <w:szCs w:val="18"/>
              </w:rPr>
              <w:t>Tariff Class</w:t>
            </w:r>
          </w:p>
        </w:tc>
        <w:tc>
          <w:tcPr>
            <w:tcW w:w="3435" w:type="dxa"/>
            <w:shd w:val="clear" w:color="auto" w:fill="0065A6"/>
          </w:tcPr>
          <w:p w:rsidR="00600007" w:rsidRPr="00DE0FB4" w:rsidRDefault="00600007" w:rsidP="0068721E">
            <w:pPr>
              <w:keepNext/>
              <w:spacing w:before="120" w:after="120"/>
              <w:rPr>
                <w:rFonts w:cs="Arial"/>
                <w:b/>
                <w:bCs/>
                <w:color w:val="FFFFFF"/>
                <w:szCs w:val="18"/>
              </w:rPr>
            </w:pPr>
            <w:r w:rsidRPr="00DE0FB4">
              <w:rPr>
                <w:rFonts w:cs="Arial"/>
                <w:b/>
                <w:bCs/>
                <w:color w:val="FFFFFF"/>
                <w:szCs w:val="18"/>
              </w:rPr>
              <w:t>Definition</w:t>
            </w:r>
          </w:p>
        </w:tc>
        <w:tc>
          <w:tcPr>
            <w:tcW w:w="3827" w:type="dxa"/>
            <w:shd w:val="clear" w:color="auto" w:fill="0065A6"/>
          </w:tcPr>
          <w:p w:rsidR="00600007" w:rsidRPr="00DE0FB4" w:rsidRDefault="00600007" w:rsidP="0068721E">
            <w:pPr>
              <w:keepNext/>
              <w:spacing w:before="120" w:after="120"/>
              <w:rPr>
                <w:rFonts w:cs="Arial"/>
                <w:b/>
                <w:bCs/>
                <w:color w:val="FFFFFF"/>
                <w:szCs w:val="18"/>
              </w:rPr>
            </w:pPr>
            <w:r w:rsidRPr="00DE0FB4">
              <w:rPr>
                <w:rFonts w:cs="Arial"/>
                <w:b/>
                <w:bCs/>
                <w:color w:val="FFFFFF"/>
                <w:szCs w:val="18"/>
              </w:rPr>
              <w:t>Network Tariff</w:t>
            </w:r>
            <w:r>
              <w:rPr>
                <w:rFonts w:cs="Arial"/>
                <w:b/>
                <w:bCs/>
                <w:color w:val="FFFFFF"/>
                <w:szCs w:val="18"/>
              </w:rPr>
              <w:t>s</w:t>
            </w:r>
          </w:p>
        </w:tc>
      </w:tr>
      <w:tr w:rsidR="00600007" w:rsidRPr="00F821EE" w:rsidTr="00722C30">
        <w:trPr>
          <w:trHeight w:val="562"/>
        </w:trPr>
        <w:tc>
          <w:tcPr>
            <w:tcW w:w="1668" w:type="dxa"/>
            <w:shd w:val="clear" w:color="auto" w:fill="97C5EA"/>
          </w:tcPr>
          <w:p w:rsidR="00600007" w:rsidRPr="00722C30" w:rsidRDefault="00600007" w:rsidP="00722C30">
            <w:pPr>
              <w:pStyle w:val="Tabletextboxed"/>
              <w:rPr>
                <w:b/>
              </w:rPr>
            </w:pPr>
            <w:r w:rsidRPr="00722C30">
              <w:rPr>
                <w:b/>
              </w:rPr>
              <w:t>Low Voltage</w:t>
            </w:r>
          </w:p>
        </w:tc>
        <w:tc>
          <w:tcPr>
            <w:tcW w:w="3435" w:type="dxa"/>
            <w:shd w:val="clear" w:color="auto" w:fill="C6D9F1"/>
          </w:tcPr>
          <w:p w:rsidR="00600007" w:rsidRPr="00DE0FB4" w:rsidRDefault="00600007" w:rsidP="00722C30">
            <w:pPr>
              <w:pStyle w:val="Tabletextboxed"/>
            </w:pPr>
            <w:r w:rsidRPr="00DE0FB4">
              <w:t>Applicable to separately metered low voltage (400V or 230V) connections</w:t>
            </w:r>
            <w:r>
              <w:t>, as measured at the metering point.</w:t>
            </w:r>
          </w:p>
        </w:tc>
        <w:tc>
          <w:tcPr>
            <w:tcW w:w="3827" w:type="dxa"/>
            <w:shd w:val="clear" w:color="auto" w:fill="DEEAF6"/>
          </w:tcPr>
          <w:p w:rsidR="00600007" w:rsidRPr="00DE0FB4" w:rsidRDefault="00600007" w:rsidP="00722C30">
            <w:pPr>
              <w:pStyle w:val="Tabletextboxed"/>
            </w:pPr>
            <w:r w:rsidRPr="00DE0FB4">
              <w:t xml:space="preserve">EA010 – Residential Non TOU </w:t>
            </w:r>
          </w:p>
          <w:p w:rsidR="00600007" w:rsidRPr="00DE0FB4" w:rsidRDefault="00600007" w:rsidP="00722C30">
            <w:pPr>
              <w:pStyle w:val="Tabletextboxed"/>
            </w:pPr>
            <w:r w:rsidRPr="00DE0FB4">
              <w:t>EA025– Residential Time of Use</w:t>
            </w:r>
          </w:p>
          <w:p w:rsidR="00600007" w:rsidRPr="00DE0FB4" w:rsidRDefault="00600007" w:rsidP="00722C30">
            <w:pPr>
              <w:pStyle w:val="Tabletextboxed"/>
            </w:pPr>
            <w:r w:rsidRPr="00DE0FB4">
              <w:t>EA030 – Controlled load 1</w:t>
            </w:r>
          </w:p>
          <w:p w:rsidR="00600007" w:rsidRPr="00DE0FB4" w:rsidRDefault="00600007" w:rsidP="00722C30">
            <w:pPr>
              <w:pStyle w:val="Tabletextboxed"/>
            </w:pPr>
            <w:r w:rsidRPr="00DE0FB4">
              <w:t>EA040 – Controlled load 2</w:t>
            </w:r>
          </w:p>
          <w:p w:rsidR="00600007" w:rsidRPr="00DE0FB4" w:rsidRDefault="00600007" w:rsidP="00722C30">
            <w:pPr>
              <w:pStyle w:val="Tabletextboxed"/>
            </w:pPr>
            <w:r w:rsidRPr="00DE0FB4">
              <w:t>EA050– Small Business Non TOU</w:t>
            </w:r>
          </w:p>
          <w:p w:rsidR="00600007" w:rsidRPr="00DE0FB4" w:rsidRDefault="00600007" w:rsidP="00722C30">
            <w:pPr>
              <w:pStyle w:val="Tabletextboxed"/>
            </w:pPr>
            <w:r w:rsidRPr="00DE0FB4">
              <w:t>EA225– Small Business Time of Use</w:t>
            </w:r>
          </w:p>
          <w:p w:rsidR="00600007" w:rsidRPr="00332673" w:rsidRDefault="00600007" w:rsidP="00722C30">
            <w:pPr>
              <w:pStyle w:val="Tabletextboxed"/>
            </w:pPr>
            <w:r w:rsidRPr="005E031F">
              <w:t xml:space="preserve">EA302 – LV TOU capacity </w:t>
            </w:r>
            <w:r w:rsidRPr="00332673">
              <w:t>(40-160 MWh pa</w:t>
            </w:r>
            <w:r w:rsidRPr="000D6076">
              <w:t>)</w:t>
            </w:r>
            <w:r w:rsidRPr="000D6076" w:rsidDel="00332673">
              <w:t xml:space="preserve"> </w:t>
            </w:r>
          </w:p>
          <w:p w:rsidR="00600007" w:rsidRPr="00332673" w:rsidRDefault="00600007" w:rsidP="00722C30">
            <w:pPr>
              <w:pStyle w:val="Tabletextboxed"/>
            </w:pPr>
            <w:r w:rsidRPr="00332673">
              <w:t xml:space="preserve">EA305– LV TOU capacity </w:t>
            </w:r>
            <w:r w:rsidRPr="000D6076">
              <w:t>(</w:t>
            </w:r>
            <w:r w:rsidRPr="005E031F">
              <w:t>160-750 MWh pa</w:t>
            </w:r>
            <w:r w:rsidRPr="000D6076">
              <w:t>)</w:t>
            </w:r>
          </w:p>
          <w:p w:rsidR="00600007" w:rsidRPr="00DE0FB4" w:rsidRDefault="00600007" w:rsidP="00722C30">
            <w:pPr>
              <w:pStyle w:val="Tabletextboxed"/>
            </w:pPr>
            <w:r w:rsidRPr="00332673">
              <w:t>EA310 – LV TOU capacity (&gt;750 MWh pa)</w:t>
            </w:r>
          </w:p>
          <w:p w:rsidR="00600007" w:rsidRDefault="00600007" w:rsidP="00722C30">
            <w:pPr>
              <w:pStyle w:val="Tabletextboxed"/>
            </w:pPr>
            <w:r w:rsidRPr="00DE0FB4">
              <w:t>EA325 – LV Connection (Standby - Closed)</w:t>
            </w:r>
          </w:p>
          <w:p w:rsidR="00600007" w:rsidRDefault="00B83494" w:rsidP="00722C30">
            <w:pPr>
              <w:pStyle w:val="Tabletextboxed"/>
            </w:pPr>
            <w:r>
              <w:t>EA332 – Residential transitional TOU</w:t>
            </w:r>
          </w:p>
          <w:p w:rsidR="00B83494" w:rsidRPr="00DE0FB4" w:rsidRDefault="00B83494" w:rsidP="00722C30">
            <w:pPr>
              <w:pStyle w:val="Tabletextboxed"/>
            </w:pPr>
            <w:r>
              <w:t>EA333 – Small business transitional TOU</w:t>
            </w:r>
          </w:p>
        </w:tc>
      </w:tr>
      <w:tr w:rsidR="00600007" w:rsidRPr="00F821EE" w:rsidTr="00722C30">
        <w:trPr>
          <w:trHeight w:val="1304"/>
        </w:trPr>
        <w:tc>
          <w:tcPr>
            <w:tcW w:w="1668" w:type="dxa"/>
            <w:shd w:val="clear" w:color="auto" w:fill="97C5EA"/>
          </w:tcPr>
          <w:p w:rsidR="00600007" w:rsidRPr="00722C30" w:rsidRDefault="00600007" w:rsidP="00722C30">
            <w:pPr>
              <w:pStyle w:val="Tabletextboxed"/>
              <w:rPr>
                <w:b/>
              </w:rPr>
            </w:pPr>
            <w:r w:rsidRPr="00722C30">
              <w:rPr>
                <w:b/>
              </w:rPr>
              <w:t>High Voltage</w:t>
            </w:r>
            <w:r w:rsidRPr="00722C30" w:rsidDel="00682D38">
              <w:rPr>
                <w:b/>
              </w:rPr>
              <w:t xml:space="preserve"> </w:t>
            </w:r>
          </w:p>
        </w:tc>
        <w:tc>
          <w:tcPr>
            <w:tcW w:w="3435" w:type="dxa"/>
            <w:shd w:val="clear" w:color="auto" w:fill="C6D9F1"/>
          </w:tcPr>
          <w:p w:rsidR="00600007" w:rsidRPr="00DE0FB4" w:rsidRDefault="00600007" w:rsidP="00722C30">
            <w:pPr>
              <w:pStyle w:val="Tabletextboxed"/>
            </w:pPr>
            <w:r w:rsidRPr="00DE0FB4">
              <w:t xml:space="preserve">Applicable to any connection at high voltage (11kV) </w:t>
            </w:r>
            <w:r>
              <w:t>level, as measured at the metering point.</w:t>
            </w:r>
          </w:p>
        </w:tc>
        <w:tc>
          <w:tcPr>
            <w:tcW w:w="3827" w:type="dxa"/>
            <w:shd w:val="clear" w:color="auto" w:fill="DEEAF6"/>
          </w:tcPr>
          <w:p w:rsidR="00600007" w:rsidRPr="00DE0FB4" w:rsidRDefault="00600007" w:rsidP="00722C30">
            <w:pPr>
              <w:pStyle w:val="Tabletextboxed"/>
            </w:pPr>
            <w:r w:rsidRPr="00DE0FB4">
              <w:t>EA360 – HV Connection (Standby - Closed)</w:t>
            </w:r>
          </w:p>
          <w:p w:rsidR="00600007" w:rsidRPr="00DE0FB4" w:rsidRDefault="00600007" w:rsidP="00722C30">
            <w:pPr>
              <w:pStyle w:val="Tabletextboxed"/>
            </w:pPr>
            <w:r w:rsidRPr="00DE0FB4">
              <w:t>EA370 – HV Connection (System)</w:t>
            </w:r>
          </w:p>
          <w:p w:rsidR="00600007" w:rsidRPr="00DE0FB4" w:rsidRDefault="00600007" w:rsidP="00722C30">
            <w:pPr>
              <w:pStyle w:val="Tabletextboxed"/>
            </w:pPr>
            <w:r w:rsidRPr="00DE0FB4">
              <w:t>EA380 – HV Connection (Substation)</w:t>
            </w:r>
          </w:p>
          <w:p w:rsidR="00600007" w:rsidRPr="00DE0FB4" w:rsidRDefault="00600007" w:rsidP="00722C30">
            <w:pPr>
              <w:pStyle w:val="Tabletextboxed"/>
            </w:pPr>
            <w:r>
              <w:t>Individually calculated tariffs</w:t>
            </w:r>
          </w:p>
        </w:tc>
      </w:tr>
      <w:tr w:rsidR="00600007" w:rsidRPr="00F821EE" w:rsidTr="00722C30">
        <w:trPr>
          <w:trHeight w:val="789"/>
        </w:trPr>
        <w:tc>
          <w:tcPr>
            <w:tcW w:w="1668" w:type="dxa"/>
            <w:shd w:val="clear" w:color="auto" w:fill="97C5EA"/>
          </w:tcPr>
          <w:p w:rsidR="00600007" w:rsidRPr="00722C30" w:rsidRDefault="00600007" w:rsidP="00722C30">
            <w:pPr>
              <w:pStyle w:val="Tabletextboxed"/>
              <w:rPr>
                <w:b/>
              </w:rPr>
            </w:pPr>
            <w:r w:rsidRPr="00722C30">
              <w:rPr>
                <w:b/>
              </w:rPr>
              <w:t>Sub-transmission</w:t>
            </w:r>
          </w:p>
        </w:tc>
        <w:tc>
          <w:tcPr>
            <w:tcW w:w="3435" w:type="dxa"/>
            <w:shd w:val="clear" w:color="auto" w:fill="C6D9F1"/>
          </w:tcPr>
          <w:p w:rsidR="00600007" w:rsidRPr="00DE0FB4" w:rsidRDefault="00600007" w:rsidP="00722C30">
            <w:pPr>
              <w:pStyle w:val="Tabletextboxed"/>
            </w:pPr>
            <w:r w:rsidRPr="00DE0FB4">
              <w:t>Applicable to any connection at a sub-tra</w:t>
            </w:r>
            <w:r>
              <w:t>nsmission voltage (132/66/33kV), as measured at the metering point.</w:t>
            </w:r>
          </w:p>
        </w:tc>
        <w:tc>
          <w:tcPr>
            <w:tcW w:w="3827" w:type="dxa"/>
            <w:shd w:val="clear" w:color="auto" w:fill="DEEAF6"/>
          </w:tcPr>
          <w:p w:rsidR="00600007" w:rsidRPr="00DE0FB4" w:rsidRDefault="00600007" w:rsidP="00722C30">
            <w:pPr>
              <w:pStyle w:val="Tabletextboxed"/>
            </w:pPr>
            <w:r w:rsidRPr="00DE0FB4">
              <w:t>EA390 – ST Connection</w:t>
            </w:r>
          </w:p>
          <w:p w:rsidR="00600007" w:rsidRPr="00DE0FB4" w:rsidRDefault="00600007" w:rsidP="00722C30">
            <w:pPr>
              <w:pStyle w:val="Tabletextboxed"/>
            </w:pPr>
            <w:r w:rsidRPr="00DE0FB4">
              <w:t>EA391 – ST (Substation)</w:t>
            </w:r>
          </w:p>
          <w:p w:rsidR="00600007" w:rsidRPr="00DE0FB4" w:rsidRDefault="00600007" w:rsidP="00722C30">
            <w:pPr>
              <w:pStyle w:val="Tabletextboxed"/>
            </w:pPr>
            <w:r>
              <w:t>Individually calculated tariffs</w:t>
            </w:r>
          </w:p>
        </w:tc>
      </w:tr>
      <w:tr w:rsidR="00600007" w:rsidRPr="00F821EE" w:rsidTr="00722C30">
        <w:trPr>
          <w:trHeight w:val="975"/>
        </w:trPr>
        <w:tc>
          <w:tcPr>
            <w:tcW w:w="1668" w:type="dxa"/>
            <w:shd w:val="clear" w:color="auto" w:fill="97C5EA"/>
          </w:tcPr>
          <w:p w:rsidR="00600007" w:rsidRPr="00722C30" w:rsidRDefault="00600007" w:rsidP="00722C30">
            <w:pPr>
              <w:pStyle w:val="Tabletextboxed"/>
              <w:rPr>
                <w:b/>
              </w:rPr>
            </w:pPr>
            <w:r w:rsidRPr="00722C30">
              <w:rPr>
                <w:b/>
              </w:rPr>
              <w:t>Unmetered</w:t>
            </w:r>
          </w:p>
        </w:tc>
        <w:tc>
          <w:tcPr>
            <w:tcW w:w="3435" w:type="dxa"/>
            <w:shd w:val="clear" w:color="auto" w:fill="C6D9F1"/>
          </w:tcPr>
          <w:p w:rsidR="00600007" w:rsidRPr="00DE0FB4" w:rsidRDefault="00600007" w:rsidP="00722C30">
            <w:pPr>
              <w:pStyle w:val="Tabletextboxed"/>
            </w:pPr>
            <w:r w:rsidRPr="00DE0FB4">
              <w:t xml:space="preserve">Applicable to any LV connection that is defined as an unmetered supply by </w:t>
            </w:r>
            <w:proofErr w:type="spellStart"/>
            <w:r w:rsidRPr="00DE0FB4">
              <w:t>Ausgrid</w:t>
            </w:r>
            <w:proofErr w:type="spellEnd"/>
            <w:r w:rsidRPr="00DE0FB4">
              <w:t xml:space="preserve"> in consultation with AEMO as per clause S7.2.3 (Item 5) of the NER.</w:t>
            </w:r>
          </w:p>
        </w:tc>
        <w:tc>
          <w:tcPr>
            <w:tcW w:w="3827" w:type="dxa"/>
            <w:shd w:val="clear" w:color="auto" w:fill="DEEAF6"/>
          </w:tcPr>
          <w:p w:rsidR="00600007" w:rsidRPr="00DE0FB4" w:rsidRDefault="00600007" w:rsidP="00722C30">
            <w:pPr>
              <w:pStyle w:val="Tabletextboxed"/>
            </w:pPr>
            <w:r w:rsidRPr="00DE0FB4">
              <w:t>EA401 – Public Lighting</w:t>
            </w:r>
          </w:p>
          <w:p w:rsidR="00600007" w:rsidRPr="00DE0FB4" w:rsidRDefault="00600007" w:rsidP="00722C30">
            <w:pPr>
              <w:pStyle w:val="Tabletextboxed"/>
            </w:pPr>
            <w:r w:rsidRPr="00DE0FB4">
              <w:t>EA402 – Constant Unmetered</w:t>
            </w:r>
          </w:p>
          <w:p w:rsidR="00600007" w:rsidRPr="00DE0FB4" w:rsidRDefault="00600007" w:rsidP="00722C30">
            <w:pPr>
              <w:pStyle w:val="Tabletextboxed"/>
            </w:pPr>
            <w:r w:rsidRPr="00DE0FB4">
              <w:t xml:space="preserve">EA403 – </w:t>
            </w:r>
            <w:proofErr w:type="spellStart"/>
            <w:r w:rsidRPr="00DE0FB4">
              <w:t>EnergyLight</w:t>
            </w:r>
            <w:proofErr w:type="spellEnd"/>
          </w:p>
        </w:tc>
      </w:tr>
      <w:tr w:rsidR="00600007" w:rsidRPr="0056536C" w:rsidTr="00722C30">
        <w:trPr>
          <w:trHeight w:val="692"/>
        </w:trPr>
        <w:tc>
          <w:tcPr>
            <w:tcW w:w="1668" w:type="dxa"/>
            <w:shd w:val="clear" w:color="auto" w:fill="97C5EA"/>
          </w:tcPr>
          <w:p w:rsidR="00600007" w:rsidRPr="00722C30" w:rsidRDefault="00600007" w:rsidP="00722C30">
            <w:pPr>
              <w:pStyle w:val="Tabletextboxed"/>
              <w:rPr>
                <w:b/>
              </w:rPr>
            </w:pPr>
            <w:r w:rsidRPr="00722C30">
              <w:rPr>
                <w:b/>
              </w:rPr>
              <w:t>Transmission</w:t>
            </w:r>
          </w:p>
        </w:tc>
        <w:tc>
          <w:tcPr>
            <w:tcW w:w="3435" w:type="dxa"/>
            <w:shd w:val="clear" w:color="auto" w:fill="C6D9F1"/>
          </w:tcPr>
          <w:p w:rsidR="00600007" w:rsidRPr="00DE0FB4" w:rsidRDefault="00600007" w:rsidP="00722C30">
            <w:pPr>
              <w:pStyle w:val="Tabletextboxed"/>
            </w:pPr>
            <w:r>
              <w:t>Applicable to any site that is connected to the electricity transmission network.</w:t>
            </w:r>
          </w:p>
        </w:tc>
        <w:tc>
          <w:tcPr>
            <w:tcW w:w="3827" w:type="dxa"/>
            <w:shd w:val="clear" w:color="auto" w:fill="DEEAF6"/>
          </w:tcPr>
          <w:p w:rsidR="00600007" w:rsidRPr="00DE0FB4" w:rsidRDefault="00600007" w:rsidP="00722C30">
            <w:pPr>
              <w:pStyle w:val="Tabletextboxed"/>
            </w:pPr>
            <w:r w:rsidRPr="00DE0FB4">
              <w:t xml:space="preserve">Customer Specific Prices </w:t>
            </w:r>
          </w:p>
          <w:p w:rsidR="00600007" w:rsidRPr="00DE0FB4" w:rsidRDefault="00600007" w:rsidP="00722C30">
            <w:pPr>
              <w:pStyle w:val="Tabletextboxed"/>
            </w:pPr>
            <w:r w:rsidRPr="00130924">
              <w:t>EA501 –Transmission Tariff</w:t>
            </w:r>
          </w:p>
        </w:tc>
      </w:tr>
    </w:tbl>
    <w:p w:rsidR="001A7B49" w:rsidRPr="00726F9D" w:rsidRDefault="001A7B49" w:rsidP="006F2EC6">
      <w:pPr>
        <w:pStyle w:val="Heading2"/>
        <w:spacing w:before="240"/>
      </w:pPr>
      <w:bookmarkStart w:id="348" w:name="_Toc461724367"/>
      <w:bookmarkStart w:id="349" w:name="_Toc461724368"/>
      <w:bookmarkStart w:id="350" w:name="_Toc475527418"/>
      <w:bookmarkEnd w:id="348"/>
      <w:bookmarkEnd w:id="349"/>
      <w:r w:rsidRPr="00600007">
        <w:t>Future</w:t>
      </w:r>
      <w:r w:rsidRPr="00726F9D">
        <w:t xml:space="preserve"> issues to consider</w:t>
      </w:r>
      <w:bookmarkEnd w:id="350"/>
    </w:p>
    <w:p w:rsidR="00600007" w:rsidRPr="00722C30" w:rsidRDefault="001A7B49" w:rsidP="00BD7A0B">
      <w:pPr>
        <w:pStyle w:val="BodyText"/>
        <w:rPr>
          <w:rStyle w:val="AERbody"/>
        </w:rPr>
      </w:pPr>
      <w:r w:rsidRPr="00722C30">
        <w:rPr>
          <w:rStyle w:val="AERbody"/>
        </w:rPr>
        <w:t>Ausgrid note</w:t>
      </w:r>
      <w:r w:rsidR="00A074EE" w:rsidRPr="00722C30">
        <w:rPr>
          <w:rStyle w:val="AERbody"/>
        </w:rPr>
        <w:t xml:space="preserve">s that there may be scope to disaggregate our tariff classes in the future. </w:t>
      </w:r>
      <w:r w:rsidR="00600007" w:rsidRPr="00722C30">
        <w:rPr>
          <w:rStyle w:val="AERbody"/>
        </w:rPr>
        <w:t xml:space="preserve">This may include consideration of </w:t>
      </w:r>
      <w:r w:rsidR="00A074EE" w:rsidRPr="00722C30">
        <w:rPr>
          <w:rStyle w:val="AERbody"/>
        </w:rPr>
        <w:t xml:space="preserve">whether it is desirable to group customers </w:t>
      </w:r>
      <w:r w:rsidR="00600007" w:rsidRPr="00722C30">
        <w:rPr>
          <w:rStyle w:val="AERbody"/>
        </w:rPr>
        <w:t xml:space="preserve">by reference to their </w:t>
      </w:r>
      <w:r w:rsidR="00A074EE" w:rsidRPr="00722C30">
        <w:rPr>
          <w:rStyle w:val="AERbody"/>
        </w:rPr>
        <w:t>locations (eg. regional pricing)</w:t>
      </w:r>
      <w:r w:rsidR="00600007" w:rsidRPr="00722C30">
        <w:rPr>
          <w:rStyle w:val="AERbody"/>
        </w:rPr>
        <w:t>,</w:t>
      </w:r>
      <w:r w:rsidR="00A074EE" w:rsidRPr="00722C30">
        <w:rPr>
          <w:rStyle w:val="AERbody"/>
        </w:rPr>
        <w:t xml:space="preserve"> or even </w:t>
      </w:r>
      <w:r w:rsidR="00770F40" w:rsidRPr="00722C30">
        <w:rPr>
          <w:rStyle w:val="AERbody"/>
        </w:rPr>
        <w:t xml:space="preserve">by </w:t>
      </w:r>
      <w:r w:rsidR="00600007" w:rsidRPr="00722C30">
        <w:rPr>
          <w:rStyle w:val="AERbody"/>
        </w:rPr>
        <w:t xml:space="preserve">reference to their </w:t>
      </w:r>
      <w:r w:rsidR="00A074EE" w:rsidRPr="00722C30">
        <w:rPr>
          <w:rStyle w:val="AERbody"/>
        </w:rPr>
        <w:t xml:space="preserve">connection characteristics </w:t>
      </w:r>
      <w:r w:rsidR="00770F40" w:rsidRPr="00722C30">
        <w:rPr>
          <w:rStyle w:val="AERbody"/>
        </w:rPr>
        <w:t xml:space="preserve">or network usage patterns (eg. air conditioning). </w:t>
      </w:r>
      <w:r w:rsidR="00600007" w:rsidRPr="00722C30">
        <w:rPr>
          <w:rStyle w:val="AERbody"/>
        </w:rPr>
        <w:t xml:space="preserve">However, </w:t>
      </w:r>
      <w:r w:rsidR="00770F40" w:rsidRPr="00722C30">
        <w:rPr>
          <w:rStyle w:val="AERbody"/>
        </w:rPr>
        <w:t xml:space="preserve">Ausgrid believes that in </w:t>
      </w:r>
      <w:r w:rsidR="00600007" w:rsidRPr="00722C30">
        <w:rPr>
          <w:rStyle w:val="AERbody"/>
        </w:rPr>
        <w:t>the presence of</w:t>
      </w:r>
      <w:r w:rsidR="00770F40" w:rsidRPr="00722C30">
        <w:rPr>
          <w:rStyle w:val="AERbody"/>
        </w:rPr>
        <w:t xml:space="preserve"> widespread excess network capacity, there is unlikely to be </w:t>
      </w:r>
      <w:r w:rsidR="00600007" w:rsidRPr="00722C30">
        <w:rPr>
          <w:rStyle w:val="AERbody"/>
        </w:rPr>
        <w:t xml:space="preserve">strong </w:t>
      </w:r>
      <w:r w:rsidR="00770F40" w:rsidRPr="00722C30">
        <w:rPr>
          <w:rStyle w:val="AERbody"/>
        </w:rPr>
        <w:t xml:space="preserve">economic </w:t>
      </w:r>
      <w:r w:rsidR="0031623F" w:rsidRPr="00722C30">
        <w:rPr>
          <w:rStyle w:val="AERbody"/>
        </w:rPr>
        <w:t xml:space="preserve">justification </w:t>
      </w:r>
      <w:r w:rsidR="00600007" w:rsidRPr="00722C30">
        <w:rPr>
          <w:rStyle w:val="AERbody"/>
        </w:rPr>
        <w:t xml:space="preserve">for </w:t>
      </w:r>
      <w:r w:rsidR="00770F40" w:rsidRPr="00722C30">
        <w:rPr>
          <w:rStyle w:val="AERbody"/>
        </w:rPr>
        <w:t xml:space="preserve">further </w:t>
      </w:r>
      <w:r w:rsidR="00600007" w:rsidRPr="00722C30">
        <w:rPr>
          <w:rStyle w:val="AERbody"/>
        </w:rPr>
        <w:t xml:space="preserve">disaggregating </w:t>
      </w:r>
      <w:r w:rsidR="00770F40" w:rsidRPr="00722C30">
        <w:rPr>
          <w:rStyle w:val="AERbody"/>
        </w:rPr>
        <w:t xml:space="preserve">tariff classes. </w:t>
      </w:r>
    </w:p>
    <w:p w:rsidR="00600007" w:rsidRPr="00722C30" w:rsidRDefault="00770F40" w:rsidP="007D0321">
      <w:pPr>
        <w:pStyle w:val="BodyText"/>
        <w:rPr>
          <w:rStyle w:val="AERbody"/>
        </w:rPr>
      </w:pPr>
      <w:r w:rsidRPr="00722C30">
        <w:rPr>
          <w:rStyle w:val="AERbody"/>
        </w:rPr>
        <w:t xml:space="preserve">Nevertheless, </w:t>
      </w:r>
      <w:r w:rsidR="00600007" w:rsidRPr="00722C30">
        <w:rPr>
          <w:rStyle w:val="AERbody"/>
        </w:rPr>
        <w:t>Ausgrid will consult with stakeholders and explore these issues as part of the next TSS.</w:t>
      </w:r>
    </w:p>
    <w:p w:rsidR="00A074EE" w:rsidRPr="00722C30" w:rsidRDefault="00A074EE" w:rsidP="00340499">
      <w:pPr>
        <w:spacing w:before="120" w:after="240" w:line="240" w:lineRule="exact"/>
        <w:ind w:left="851"/>
        <w:rPr>
          <w:rStyle w:val="AERbody"/>
        </w:rPr>
      </w:pPr>
    </w:p>
    <w:p w:rsidR="001E7F29" w:rsidRDefault="001E7F29" w:rsidP="00340499">
      <w:pPr>
        <w:spacing w:before="120" w:after="240" w:line="240" w:lineRule="exact"/>
        <w:ind w:left="851"/>
        <w:sectPr w:rsidR="001E7F29" w:rsidSect="00D652AB">
          <w:headerReference w:type="default" r:id="rId18"/>
          <w:footerReference w:type="default" r:id="rId19"/>
          <w:pgSz w:w="11909" w:h="16834" w:code="9"/>
          <w:pgMar w:top="992" w:right="1077" w:bottom="1418" w:left="1077" w:header="425" w:footer="431" w:gutter="0"/>
          <w:cols w:space="720"/>
          <w:titlePg/>
          <w:docGrid w:linePitch="245"/>
        </w:sectPr>
      </w:pPr>
    </w:p>
    <w:p w:rsidR="0073634E" w:rsidRPr="00892C6E" w:rsidRDefault="0073634E" w:rsidP="00722C30">
      <w:pPr>
        <w:pStyle w:val="Heading1"/>
      </w:pPr>
      <w:bookmarkStart w:id="351" w:name="_Toc475527419"/>
      <w:bookmarkStart w:id="352" w:name="_Ref462042920"/>
      <w:r w:rsidRPr="00892C6E">
        <w:lastRenderedPageBreak/>
        <w:t>Proposed procedure for assigning or re-assigning retail customers to tariffs</w:t>
      </w:r>
      <w:bookmarkEnd w:id="351"/>
      <w:r w:rsidR="00461C73" w:rsidRPr="00892C6E">
        <w:t xml:space="preserve"> </w:t>
      </w:r>
      <w:bookmarkEnd w:id="352"/>
    </w:p>
    <w:p w:rsidR="0026147F" w:rsidRPr="00722C30" w:rsidRDefault="00505882" w:rsidP="00BD7A0B">
      <w:pPr>
        <w:pStyle w:val="BodyText"/>
        <w:rPr>
          <w:rStyle w:val="AERbody"/>
        </w:rPr>
      </w:pPr>
      <w:r>
        <w:rPr>
          <w:rStyle w:val="AERbody"/>
        </w:rPr>
        <w:t>Ausgrid</w:t>
      </w:r>
      <w:r w:rsidRPr="00722C30">
        <w:rPr>
          <w:rStyle w:val="AERbody"/>
        </w:rPr>
        <w:t xml:space="preserve"> </w:t>
      </w:r>
      <w:r w:rsidR="0026147F" w:rsidRPr="00722C30">
        <w:rPr>
          <w:rStyle w:val="AERbody"/>
        </w:rPr>
        <w:t xml:space="preserve">undertook an extensive review of </w:t>
      </w:r>
      <w:r>
        <w:rPr>
          <w:rStyle w:val="AERbody"/>
        </w:rPr>
        <w:t>its</w:t>
      </w:r>
      <w:r w:rsidRPr="00722C30">
        <w:rPr>
          <w:rStyle w:val="AERbody"/>
        </w:rPr>
        <w:t xml:space="preserve"> </w:t>
      </w:r>
      <w:r w:rsidR="0026147F" w:rsidRPr="00722C30">
        <w:rPr>
          <w:rStyle w:val="AERbody"/>
        </w:rPr>
        <w:t>tariff assignment and reassignment procedures and identified key areas of improvement. The key reforms identified as part of this review include the following changes to the eligibility criteria for our primary default tariffs in the low voltage tariff class from 1 July 2018:</w:t>
      </w:r>
    </w:p>
    <w:p w:rsidR="0026147F" w:rsidRPr="007F0B5E" w:rsidRDefault="00420DD9" w:rsidP="00722C30">
      <w:pPr>
        <w:pStyle w:val="Bulletedtext"/>
      </w:pPr>
      <w:r>
        <w:t>assigning no more residential and small business customers to</w:t>
      </w:r>
      <w:r w:rsidRPr="007F0B5E">
        <w:t xml:space="preserve"> </w:t>
      </w:r>
      <w:r w:rsidR="0026147F" w:rsidRPr="007F0B5E">
        <w:t xml:space="preserve">non-TOU </w:t>
      </w:r>
      <w:r w:rsidR="0026147F" w:rsidRPr="00E97CCF">
        <w:t xml:space="preserve">network </w:t>
      </w:r>
      <w:r w:rsidR="0026147F" w:rsidRPr="00332673">
        <w:t>tariff</w:t>
      </w:r>
      <w:r>
        <w:t>s,</w:t>
      </w:r>
      <w:r w:rsidR="0026147F">
        <w:t xml:space="preserve"> </w:t>
      </w:r>
      <w:proofErr w:type="spellStart"/>
      <w:r w:rsidR="0026147F">
        <w:t>ie</w:t>
      </w:r>
      <w:proofErr w:type="spellEnd"/>
      <w:r w:rsidR="0026147F">
        <w:t>,</w:t>
      </w:r>
      <w:r w:rsidRPr="00420DD9">
        <w:t xml:space="preserve"> </w:t>
      </w:r>
      <w:r w:rsidRPr="007F0B5E">
        <w:t xml:space="preserve">non-TOU </w:t>
      </w:r>
      <w:r w:rsidRPr="00E97CCF">
        <w:t xml:space="preserve">network </w:t>
      </w:r>
      <w:r w:rsidRPr="00332673">
        <w:t>tariff</w:t>
      </w:r>
      <w:r>
        <w:t>s</w:t>
      </w:r>
      <w:r w:rsidR="0026147F">
        <w:t xml:space="preserve"> will become </w:t>
      </w:r>
      <w:r w:rsidR="00CA1555">
        <w:t>closed</w:t>
      </w:r>
      <w:r w:rsidR="000179CF">
        <w:t xml:space="preserve"> </w:t>
      </w:r>
      <w:r w:rsidR="00CA1555">
        <w:t xml:space="preserve">and </w:t>
      </w:r>
      <w:r w:rsidR="0026147F">
        <w:t>opt-out</w:t>
      </w:r>
      <w:r w:rsidR="00CA1555">
        <w:t xml:space="preserve"> only</w:t>
      </w:r>
      <w:r w:rsidR="0026147F">
        <w:t>;</w:t>
      </w:r>
    </w:p>
    <w:p w:rsidR="0026147F" w:rsidRPr="007F0B5E" w:rsidRDefault="0026147F" w:rsidP="00722C30">
      <w:pPr>
        <w:pStyle w:val="Bulletedtext"/>
      </w:pPr>
      <w:r>
        <w:t>assigning all new residential and small business customers to a TOU network tariff, with the option to opt-</w:t>
      </w:r>
      <w:r w:rsidR="00B17C8B">
        <w:t xml:space="preserve">in </w:t>
      </w:r>
      <w:r>
        <w:t>to a transitional TOU tariff; and</w:t>
      </w:r>
    </w:p>
    <w:p w:rsidR="0026147F" w:rsidRDefault="0026147F" w:rsidP="00722C30">
      <w:pPr>
        <w:pStyle w:val="Bulletedtext"/>
      </w:pPr>
      <w:proofErr w:type="gramStart"/>
      <w:r>
        <w:t>assigning</w:t>
      </w:r>
      <w:proofErr w:type="gramEnd"/>
      <w:r>
        <w:t xml:space="preserve"> existing customers with an interval </w:t>
      </w:r>
      <w:r w:rsidR="00D0678A">
        <w:t xml:space="preserve">(or better) </w:t>
      </w:r>
      <w:r>
        <w:t>meter</w:t>
      </w:r>
      <w:r w:rsidR="00B17C8B">
        <w:t>,</w:t>
      </w:r>
      <w:r>
        <w:t xml:space="preserve"> that are currently assigned to a non-TOU tariff</w:t>
      </w:r>
      <w:r w:rsidR="00B17C8B">
        <w:t>,</w:t>
      </w:r>
      <w:r>
        <w:t xml:space="preserve"> to a transitional TOU network tariff.</w:t>
      </w:r>
    </w:p>
    <w:p w:rsidR="0026147F" w:rsidRPr="00722C30" w:rsidRDefault="0026147F" w:rsidP="00BD7A0B">
      <w:pPr>
        <w:pStyle w:val="BodyText"/>
        <w:rPr>
          <w:rStyle w:val="AERbody"/>
        </w:rPr>
      </w:pPr>
      <w:r w:rsidRPr="00722C30">
        <w:rPr>
          <w:rStyle w:val="AERbody"/>
        </w:rPr>
        <w:t>Consistent with our focus on mitigating customer impacts, Ausgrid proposes to implement these changes in the final year of the regulatory control period so as to afford retailers and electricity consumers adequate time to prepare for this proposed change. In the meantime, our current procedures will continue to apply.</w:t>
      </w:r>
    </w:p>
    <w:p w:rsidR="00424A17" w:rsidRDefault="00420DD9">
      <w:pPr>
        <w:pStyle w:val="BodyText"/>
        <w:rPr>
          <w:rStyle w:val="AERbody"/>
        </w:rPr>
      </w:pPr>
      <w:r w:rsidRPr="00722C30">
        <w:rPr>
          <w:rStyle w:val="AERbody"/>
        </w:rPr>
        <w:t xml:space="preserve">Ausgrid’s procedure for assigning new retail customers to a default NUOS tariff and for reassigning existing retail customers to </w:t>
      </w:r>
      <w:r w:rsidR="00CA1555" w:rsidRPr="00722C30">
        <w:rPr>
          <w:rStyle w:val="AERbody"/>
        </w:rPr>
        <w:t xml:space="preserve">another </w:t>
      </w:r>
      <w:r w:rsidRPr="00722C30">
        <w:rPr>
          <w:rStyle w:val="AERbody"/>
        </w:rPr>
        <w:t>NUOS tariff is summari</w:t>
      </w:r>
      <w:r w:rsidR="00CA1555" w:rsidRPr="00722C30">
        <w:rPr>
          <w:rStyle w:val="AERbody"/>
        </w:rPr>
        <w:t>s</w:t>
      </w:r>
      <w:r w:rsidRPr="00722C30">
        <w:rPr>
          <w:rStyle w:val="AERbody"/>
        </w:rPr>
        <w:t>ed below.</w:t>
      </w:r>
      <w:r w:rsidR="00D0678A">
        <w:rPr>
          <w:rStyle w:val="AERbody"/>
        </w:rPr>
        <w:t xml:space="preserve"> </w:t>
      </w:r>
    </w:p>
    <w:p w:rsidR="00F016B5" w:rsidRPr="007D0321" w:rsidRDefault="00F016B5">
      <w:pPr>
        <w:pStyle w:val="BodyText"/>
        <w:rPr>
          <w:rStyle w:val="AERbody"/>
        </w:rPr>
      </w:pPr>
      <w:r w:rsidRPr="00BD7A0B">
        <w:t>The box below contains some helpful definitions to assist customers in understanding our procedures.</w:t>
      </w:r>
    </w:p>
    <w:tbl>
      <w:tblPr>
        <w:tblStyle w:val="TableGrid"/>
        <w:tblW w:w="0" w:type="auto"/>
        <w:tblInd w:w="851" w:type="dxa"/>
        <w:shd w:val="clear" w:color="auto" w:fill="F2F2F2" w:themeFill="background1" w:themeFillShade="F2"/>
        <w:tblLook w:val="04A0" w:firstRow="1" w:lastRow="0" w:firstColumn="1" w:lastColumn="0" w:noHBand="0" w:noVBand="1"/>
      </w:tblPr>
      <w:tblGrid>
        <w:gridCol w:w="9120"/>
      </w:tblGrid>
      <w:tr w:rsidR="00F016B5" w:rsidTr="00F93A72">
        <w:tc>
          <w:tcPr>
            <w:tcW w:w="9971" w:type="dxa"/>
            <w:tcBorders>
              <w:top w:val="nil"/>
              <w:left w:val="nil"/>
              <w:bottom w:val="nil"/>
              <w:right w:val="nil"/>
            </w:tcBorders>
            <w:shd w:val="clear" w:color="auto" w:fill="C6D9F1"/>
          </w:tcPr>
          <w:p w:rsidR="00F016B5" w:rsidRPr="00F93A72" w:rsidRDefault="00F016B5" w:rsidP="00F016B5">
            <w:pPr>
              <w:spacing w:before="120" w:after="120" w:line="240" w:lineRule="exact"/>
              <w:rPr>
                <w:b/>
                <w:i/>
                <w:color w:val="002060"/>
                <w:sz w:val="20"/>
              </w:rPr>
            </w:pPr>
            <w:r w:rsidRPr="00F93A72">
              <w:rPr>
                <w:b/>
                <w:i/>
                <w:color w:val="002060"/>
                <w:sz w:val="20"/>
              </w:rPr>
              <w:t>The definition of a residential and business customer</w:t>
            </w:r>
          </w:p>
          <w:p w:rsidR="00F016B5" w:rsidRPr="00F93A72" w:rsidRDefault="00F016B5" w:rsidP="00F016B5">
            <w:pPr>
              <w:spacing w:after="120"/>
              <w:rPr>
                <w:color w:val="002060"/>
                <w:sz w:val="20"/>
                <w:szCs w:val="18"/>
              </w:rPr>
            </w:pPr>
            <w:proofErr w:type="spellStart"/>
            <w:r w:rsidRPr="00F93A72">
              <w:rPr>
                <w:color w:val="002060"/>
                <w:sz w:val="20"/>
                <w:szCs w:val="18"/>
              </w:rPr>
              <w:t>Ausgrid</w:t>
            </w:r>
            <w:proofErr w:type="spellEnd"/>
            <w:r w:rsidRPr="00F93A72">
              <w:rPr>
                <w:color w:val="002060"/>
                <w:sz w:val="20"/>
                <w:szCs w:val="18"/>
              </w:rPr>
              <w:t xml:space="preserve"> defines a ‘residential customer’ </w:t>
            </w:r>
            <w:r w:rsidR="00D0678A">
              <w:rPr>
                <w:color w:val="002060"/>
                <w:sz w:val="20"/>
                <w:szCs w:val="18"/>
              </w:rPr>
              <w:t>to be a customer</w:t>
            </w:r>
            <w:r w:rsidR="00D0678A" w:rsidRPr="00F93A72">
              <w:rPr>
                <w:color w:val="002060"/>
                <w:sz w:val="20"/>
                <w:szCs w:val="18"/>
              </w:rPr>
              <w:t xml:space="preserve"> </w:t>
            </w:r>
            <w:r w:rsidRPr="00F93A72">
              <w:rPr>
                <w:color w:val="002060"/>
                <w:sz w:val="20"/>
                <w:szCs w:val="18"/>
              </w:rPr>
              <w:t xml:space="preserve">that uses their connection to the low-voltage level of </w:t>
            </w:r>
            <w:proofErr w:type="spellStart"/>
            <w:r w:rsidRPr="00F93A72">
              <w:rPr>
                <w:color w:val="002060"/>
                <w:sz w:val="20"/>
                <w:szCs w:val="18"/>
              </w:rPr>
              <w:t>Ausgrid’s</w:t>
            </w:r>
            <w:proofErr w:type="spellEnd"/>
            <w:r w:rsidRPr="00F93A72">
              <w:rPr>
                <w:color w:val="002060"/>
                <w:sz w:val="20"/>
                <w:szCs w:val="18"/>
              </w:rPr>
              <w:t xml:space="preserve"> network to supply electricity for domestic purposes, except where this purpose predominantly relates to a commercial activity, </w:t>
            </w:r>
            <w:proofErr w:type="spellStart"/>
            <w:r w:rsidRPr="00F93A72">
              <w:rPr>
                <w:color w:val="002060"/>
                <w:sz w:val="20"/>
                <w:szCs w:val="18"/>
              </w:rPr>
              <w:t>ie</w:t>
            </w:r>
            <w:proofErr w:type="spellEnd"/>
            <w:r w:rsidRPr="00F93A72">
              <w:rPr>
                <w:color w:val="002060"/>
                <w:sz w:val="20"/>
                <w:szCs w:val="18"/>
              </w:rPr>
              <w:t>:</w:t>
            </w:r>
          </w:p>
          <w:p w:rsidR="00F016B5" w:rsidRPr="00F93A72" w:rsidRDefault="006A450F" w:rsidP="00F016B5">
            <w:pPr>
              <w:numPr>
                <w:ilvl w:val="0"/>
                <w:numId w:val="14"/>
              </w:numPr>
              <w:spacing w:before="120" w:after="0" w:line="240" w:lineRule="exact"/>
              <w:ind w:left="425" w:hanging="425"/>
              <w:rPr>
                <w:color w:val="002060"/>
                <w:sz w:val="20"/>
                <w:szCs w:val="18"/>
              </w:rPr>
            </w:pPr>
            <w:r w:rsidRPr="00F93A72">
              <w:rPr>
                <w:color w:val="002060"/>
                <w:sz w:val="20"/>
                <w:szCs w:val="18"/>
              </w:rPr>
              <w:t>a</w:t>
            </w:r>
            <w:r w:rsidR="00F016B5" w:rsidRPr="00F93A72">
              <w:rPr>
                <w:color w:val="002060"/>
                <w:sz w:val="20"/>
                <w:szCs w:val="18"/>
              </w:rPr>
              <w:t xml:space="preserve"> domestic purpose is defined as general household activities, such as watching television, personal computer usage, refrigeration, washing</w:t>
            </w:r>
            <w:r w:rsidRPr="00F93A72">
              <w:rPr>
                <w:color w:val="002060"/>
                <w:sz w:val="20"/>
                <w:szCs w:val="18"/>
              </w:rPr>
              <w:t>; and</w:t>
            </w:r>
          </w:p>
          <w:p w:rsidR="00F016B5" w:rsidRPr="00F93A72" w:rsidRDefault="006A450F" w:rsidP="00F016B5">
            <w:pPr>
              <w:numPr>
                <w:ilvl w:val="0"/>
                <w:numId w:val="14"/>
              </w:numPr>
              <w:spacing w:before="120" w:after="120" w:line="240" w:lineRule="exact"/>
              <w:ind w:left="425" w:hanging="425"/>
              <w:rPr>
                <w:color w:val="002060"/>
                <w:sz w:val="20"/>
                <w:szCs w:val="18"/>
              </w:rPr>
            </w:pPr>
            <w:proofErr w:type="gramStart"/>
            <w:r w:rsidRPr="00F93A72">
              <w:rPr>
                <w:color w:val="002060"/>
                <w:sz w:val="20"/>
                <w:szCs w:val="18"/>
              </w:rPr>
              <w:t>a</w:t>
            </w:r>
            <w:proofErr w:type="gramEnd"/>
            <w:r w:rsidR="00F016B5" w:rsidRPr="00F93A72">
              <w:rPr>
                <w:color w:val="002060"/>
                <w:sz w:val="20"/>
                <w:szCs w:val="18"/>
              </w:rPr>
              <w:t xml:space="preserve"> commercial activity is defined as the use of their network for commercial financial gain, such as where the customer is a caravan park operator.</w:t>
            </w:r>
            <w:r w:rsidR="00F016B5" w:rsidRPr="00F93A72">
              <w:rPr>
                <w:color w:val="002060"/>
                <w:sz w:val="20"/>
                <w:szCs w:val="18"/>
                <w:vertAlign w:val="superscript"/>
              </w:rPr>
              <w:footnoteReference w:id="7"/>
            </w:r>
          </w:p>
          <w:p w:rsidR="00F016B5" w:rsidRPr="00F93A72" w:rsidRDefault="00F016B5" w:rsidP="00F016B5">
            <w:pPr>
              <w:spacing w:before="120" w:after="120" w:line="240" w:lineRule="exact"/>
              <w:rPr>
                <w:color w:val="002060"/>
                <w:sz w:val="20"/>
                <w:szCs w:val="18"/>
              </w:rPr>
            </w:pPr>
            <w:r w:rsidRPr="00F93A72">
              <w:rPr>
                <w:color w:val="002060"/>
                <w:sz w:val="20"/>
                <w:szCs w:val="18"/>
              </w:rPr>
              <w:t xml:space="preserve">A ‘business customer’ is defined as a customer connected to </w:t>
            </w:r>
            <w:proofErr w:type="spellStart"/>
            <w:r w:rsidRPr="00F93A72">
              <w:rPr>
                <w:color w:val="002060"/>
                <w:sz w:val="20"/>
                <w:szCs w:val="18"/>
              </w:rPr>
              <w:t>Ausgrid’s</w:t>
            </w:r>
            <w:proofErr w:type="spellEnd"/>
            <w:r w:rsidRPr="00F93A72">
              <w:rPr>
                <w:color w:val="002060"/>
                <w:sz w:val="20"/>
                <w:szCs w:val="18"/>
              </w:rPr>
              <w:t xml:space="preserve"> low voltage electricity distribution network that does not satisfy the residential customer definition.</w:t>
            </w:r>
          </w:p>
          <w:p w:rsidR="00F016B5" w:rsidRPr="00F93A72" w:rsidRDefault="00F016B5" w:rsidP="00F016B5">
            <w:pPr>
              <w:spacing w:before="120" w:after="120" w:line="240" w:lineRule="exact"/>
              <w:rPr>
                <w:b/>
                <w:i/>
                <w:color w:val="002060"/>
                <w:sz w:val="20"/>
              </w:rPr>
            </w:pPr>
            <w:r w:rsidRPr="00F93A72">
              <w:rPr>
                <w:b/>
                <w:i/>
                <w:color w:val="002060"/>
                <w:sz w:val="20"/>
              </w:rPr>
              <w:t>The definition of new and existing customers</w:t>
            </w:r>
          </w:p>
          <w:p w:rsidR="00F016B5" w:rsidRPr="00F93A72" w:rsidRDefault="00F016B5" w:rsidP="00F016B5">
            <w:pPr>
              <w:spacing w:before="120" w:after="120" w:line="240" w:lineRule="exact"/>
              <w:rPr>
                <w:color w:val="002060"/>
                <w:sz w:val="20"/>
                <w:szCs w:val="20"/>
              </w:rPr>
            </w:pPr>
            <w:r w:rsidRPr="00F93A72">
              <w:rPr>
                <w:color w:val="002060"/>
                <w:sz w:val="20"/>
              </w:rPr>
              <w:t xml:space="preserve">For the purpose of the assignment and reassignment process explained in this TSS, from 1 July 2018 a ‘new customer’ is defined as a newly </w:t>
            </w:r>
            <w:proofErr w:type="spellStart"/>
            <w:r w:rsidRPr="00F93A72">
              <w:rPr>
                <w:color w:val="002060"/>
                <w:sz w:val="20"/>
              </w:rPr>
              <w:t>energised</w:t>
            </w:r>
            <w:proofErr w:type="spellEnd"/>
            <w:r w:rsidRPr="00F93A72">
              <w:rPr>
                <w:color w:val="002060"/>
                <w:sz w:val="20"/>
              </w:rPr>
              <w:t xml:space="preserve"> connection, </w:t>
            </w:r>
            <w:proofErr w:type="spellStart"/>
            <w:r w:rsidRPr="00F93A72">
              <w:rPr>
                <w:color w:val="002060"/>
                <w:sz w:val="20"/>
              </w:rPr>
              <w:t>ie</w:t>
            </w:r>
            <w:proofErr w:type="spellEnd"/>
            <w:r w:rsidRPr="00F93A72">
              <w:rPr>
                <w:color w:val="002060"/>
                <w:sz w:val="20"/>
              </w:rPr>
              <w:t xml:space="preserve">, a connection that is </w:t>
            </w:r>
            <w:proofErr w:type="spellStart"/>
            <w:r w:rsidR="00B17C8B" w:rsidRPr="00F93A72">
              <w:rPr>
                <w:color w:val="002060"/>
                <w:sz w:val="20"/>
                <w:szCs w:val="20"/>
              </w:rPr>
              <w:t>energi</w:t>
            </w:r>
            <w:r w:rsidR="00B17C8B">
              <w:rPr>
                <w:color w:val="002060"/>
                <w:sz w:val="20"/>
                <w:szCs w:val="20"/>
              </w:rPr>
              <w:t>s</w:t>
            </w:r>
            <w:r w:rsidR="00B17C8B" w:rsidRPr="00F93A72">
              <w:rPr>
                <w:color w:val="002060"/>
                <w:sz w:val="20"/>
                <w:szCs w:val="20"/>
              </w:rPr>
              <w:t>ed</w:t>
            </w:r>
            <w:proofErr w:type="spellEnd"/>
            <w:r w:rsidR="00B17C8B" w:rsidRPr="00F93A72">
              <w:rPr>
                <w:color w:val="002060"/>
                <w:sz w:val="20"/>
                <w:szCs w:val="20"/>
              </w:rPr>
              <w:t xml:space="preserve"> </w:t>
            </w:r>
            <w:r w:rsidRPr="00F93A72">
              <w:rPr>
                <w:color w:val="002060"/>
                <w:sz w:val="20"/>
                <w:szCs w:val="20"/>
              </w:rPr>
              <w:t>on or after 1 July 2018.</w:t>
            </w:r>
          </w:p>
          <w:p w:rsidR="00F016B5" w:rsidRDefault="00F016B5" w:rsidP="00F93A72">
            <w:pPr>
              <w:spacing w:before="120" w:after="120" w:line="240" w:lineRule="exact"/>
              <w:rPr>
                <w:rStyle w:val="AERbody"/>
              </w:rPr>
            </w:pPr>
            <w:r w:rsidRPr="00F93A72">
              <w:rPr>
                <w:color w:val="002060"/>
                <w:sz w:val="20"/>
                <w:szCs w:val="20"/>
              </w:rPr>
              <w:t xml:space="preserve">An ‘existing customer’ is defined to be a customer that exists at the time that </w:t>
            </w:r>
            <w:proofErr w:type="spellStart"/>
            <w:r w:rsidRPr="00F93A72">
              <w:rPr>
                <w:color w:val="002060"/>
                <w:sz w:val="20"/>
                <w:szCs w:val="20"/>
              </w:rPr>
              <w:t>Ausgrid</w:t>
            </w:r>
            <w:proofErr w:type="spellEnd"/>
            <w:r w:rsidRPr="00F93A72">
              <w:rPr>
                <w:color w:val="002060"/>
                <w:sz w:val="20"/>
                <w:szCs w:val="20"/>
              </w:rPr>
              <w:t xml:space="preserve"> undertakes the annual review and assessment for the FY2018/19 pricing proposal.</w:t>
            </w:r>
          </w:p>
        </w:tc>
      </w:tr>
    </w:tbl>
    <w:p w:rsidR="00F016B5" w:rsidRPr="00722C30" w:rsidRDefault="00F016B5" w:rsidP="00BD7A0B">
      <w:pPr>
        <w:pStyle w:val="BodyText"/>
        <w:rPr>
          <w:rStyle w:val="AERbody"/>
        </w:rPr>
      </w:pPr>
    </w:p>
    <w:p w:rsidR="0073634E" w:rsidRPr="00247684" w:rsidRDefault="009C0C43" w:rsidP="00F93A72">
      <w:pPr>
        <w:pStyle w:val="Heading2"/>
        <w:keepNext/>
      </w:pPr>
      <w:bookmarkStart w:id="353" w:name="_Toc462729788"/>
      <w:bookmarkStart w:id="354" w:name="_Toc462750566"/>
      <w:bookmarkStart w:id="355" w:name="_Toc462764305"/>
      <w:bookmarkStart w:id="356" w:name="_Toc462729789"/>
      <w:bookmarkStart w:id="357" w:name="_Toc462750567"/>
      <w:bookmarkStart w:id="358" w:name="_Toc462764306"/>
      <w:bookmarkStart w:id="359" w:name="_Toc462729790"/>
      <w:bookmarkStart w:id="360" w:name="_Toc462750568"/>
      <w:bookmarkStart w:id="361" w:name="_Toc462764307"/>
      <w:bookmarkStart w:id="362" w:name="_Toc462729791"/>
      <w:bookmarkStart w:id="363" w:name="_Toc462750569"/>
      <w:bookmarkStart w:id="364" w:name="_Toc462764308"/>
      <w:bookmarkStart w:id="365" w:name="_Toc475527420"/>
      <w:bookmarkEnd w:id="353"/>
      <w:bookmarkEnd w:id="354"/>
      <w:bookmarkEnd w:id="355"/>
      <w:bookmarkEnd w:id="356"/>
      <w:bookmarkEnd w:id="357"/>
      <w:bookmarkEnd w:id="358"/>
      <w:bookmarkEnd w:id="359"/>
      <w:bookmarkEnd w:id="360"/>
      <w:bookmarkEnd w:id="361"/>
      <w:bookmarkEnd w:id="362"/>
      <w:bookmarkEnd w:id="363"/>
      <w:bookmarkEnd w:id="364"/>
      <w:r>
        <w:lastRenderedPageBreak/>
        <w:t xml:space="preserve">The assignment of new </w:t>
      </w:r>
      <w:r w:rsidR="00054017">
        <w:t xml:space="preserve">retail </w:t>
      </w:r>
      <w:r>
        <w:t>customers</w:t>
      </w:r>
      <w:bookmarkEnd w:id="365"/>
    </w:p>
    <w:p w:rsidR="0073634E" w:rsidRPr="00722C30" w:rsidRDefault="0073634E" w:rsidP="00F93A72">
      <w:pPr>
        <w:pStyle w:val="BodyText"/>
        <w:keepNext/>
        <w:rPr>
          <w:rStyle w:val="AERbody"/>
          <w:rFonts w:cs="Times New Roman"/>
          <w:b/>
          <w:color w:val="0065A6"/>
          <w:szCs w:val="30"/>
        </w:rPr>
      </w:pPr>
      <w:r w:rsidRPr="00722C30">
        <w:rPr>
          <w:rStyle w:val="AERbody"/>
        </w:rPr>
        <w:t xml:space="preserve">Ausgrid </w:t>
      </w:r>
      <w:r w:rsidR="009C0C43" w:rsidRPr="00722C30">
        <w:rPr>
          <w:rStyle w:val="AERbody"/>
        </w:rPr>
        <w:t>will</w:t>
      </w:r>
      <w:r w:rsidRPr="00722C30">
        <w:rPr>
          <w:rStyle w:val="AERbody"/>
        </w:rPr>
        <w:t xml:space="preserve"> assign a new retail customer </w:t>
      </w:r>
      <w:r w:rsidR="009C0C43" w:rsidRPr="00722C30">
        <w:rPr>
          <w:rStyle w:val="AERbody"/>
        </w:rPr>
        <w:t xml:space="preserve">(ie, a newly energised connections) </w:t>
      </w:r>
      <w:r w:rsidRPr="00722C30">
        <w:rPr>
          <w:rStyle w:val="AERbody"/>
        </w:rPr>
        <w:t>to a default network use of system tariff in accordance with the following two-step process</w:t>
      </w:r>
      <w:r w:rsidR="00B17C8B">
        <w:rPr>
          <w:rStyle w:val="AERbody"/>
        </w:rPr>
        <w:t>, ie</w:t>
      </w:r>
      <w:r w:rsidRPr="00722C30">
        <w:rPr>
          <w:rStyle w:val="AERbody"/>
        </w:rPr>
        <w:t>:</w:t>
      </w:r>
    </w:p>
    <w:p w:rsidR="0073634E" w:rsidRPr="00340499" w:rsidRDefault="009C0C43" w:rsidP="00722C30">
      <w:pPr>
        <w:pStyle w:val="Bulletedtext"/>
      </w:pPr>
      <w:r>
        <w:t>a</w:t>
      </w:r>
      <w:r w:rsidRPr="00340499">
        <w:t xml:space="preserve">ssign </w:t>
      </w:r>
      <w:r w:rsidR="0073634E" w:rsidRPr="00340499">
        <w:t>the new retail customer to a tariff class in accordance with the procedure for assigning retail customers to a tariff class set out in Attachment 14 of the AER Final Decision</w:t>
      </w:r>
      <w:r>
        <w:t>; and</w:t>
      </w:r>
    </w:p>
    <w:p w:rsidR="0073634E" w:rsidRPr="00340499" w:rsidRDefault="009C0C43" w:rsidP="00722C30">
      <w:pPr>
        <w:pStyle w:val="Bulletedtext"/>
      </w:pPr>
      <w:proofErr w:type="gramStart"/>
      <w:r>
        <w:t>a</w:t>
      </w:r>
      <w:r w:rsidRPr="00340499">
        <w:t>ssign</w:t>
      </w:r>
      <w:proofErr w:type="gramEnd"/>
      <w:r w:rsidRPr="00340499">
        <w:t xml:space="preserve"> </w:t>
      </w:r>
      <w:r w:rsidR="0073634E" w:rsidRPr="00340499">
        <w:t xml:space="preserve">the new retail customer to a default </w:t>
      </w:r>
      <w:r>
        <w:t>NUOS</w:t>
      </w:r>
      <w:r w:rsidR="0073634E" w:rsidRPr="00340499">
        <w:t xml:space="preserve"> tariff within their applicable tariff class in accordance with the procedure</w:t>
      </w:r>
      <w:r>
        <w:t xml:space="preserve"> set out in this section</w:t>
      </w:r>
      <w:r w:rsidR="0073634E" w:rsidRPr="00340499">
        <w:t>.</w:t>
      </w:r>
    </w:p>
    <w:p w:rsidR="0073634E" w:rsidRPr="00722C30" w:rsidRDefault="007711B6" w:rsidP="00BD7A0B">
      <w:pPr>
        <w:pStyle w:val="BodyText"/>
        <w:rPr>
          <w:rStyle w:val="AERbody"/>
        </w:rPr>
      </w:pPr>
      <w:r w:rsidRPr="00722C30">
        <w:rPr>
          <w:rStyle w:val="AERbody"/>
        </w:rPr>
        <w:t xml:space="preserve">These </w:t>
      </w:r>
      <w:r w:rsidR="0026147F" w:rsidRPr="00722C30">
        <w:rPr>
          <w:rStyle w:val="AERbody"/>
        </w:rPr>
        <w:t>two steps are explained in more detail below</w:t>
      </w:r>
      <w:r w:rsidR="0073634E" w:rsidRPr="00722C30">
        <w:rPr>
          <w:rStyle w:val="AERbody"/>
        </w:rPr>
        <w:t>.</w:t>
      </w:r>
    </w:p>
    <w:p w:rsidR="0073634E" w:rsidRDefault="009C0C43" w:rsidP="00722C30">
      <w:pPr>
        <w:pStyle w:val="Heading3"/>
      </w:pPr>
      <w:r>
        <w:t xml:space="preserve">Procedure for </w:t>
      </w:r>
      <w:r w:rsidR="00BA3AB4">
        <w:t>a</w:t>
      </w:r>
      <w:r w:rsidR="0073634E">
        <w:t>ssigning new retail customers to a NUOS tariff class</w:t>
      </w:r>
    </w:p>
    <w:p w:rsidR="000C43BC" w:rsidRDefault="00B24DE2" w:rsidP="00F93A72">
      <w:pPr>
        <w:pStyle w:val="BodyText"/>
        <w:rPr>
          <w:rFonts w:ascii="Arial Bold" w:hAnsi="Arial Bold"/>
        </w:rPr>
      </w:pPr>
      <w:r w:rsidRPr="00722C30">
        <w:rPr>
          <w:rStyle w:val="AERbody"/>
        </w:rPr>
        <w:t xml:space="preserve">Consistent with the procedure set out in Attachment 14 of the AER’s Final Decision, Ausgrid’s procedure for assigning new retail customers to a tariff class is illustrated in </w:t>
      </w:r>
      <w:r w:rsidR="00F016B5">
        <w:rPr>
          <w:rStyle w:val="AERbody"/>
          <w:szCs w:val="18"/>
        </w:rPr>
        <w:fldChar w:fldCharType="begin"/>
      </w:r>
      <w:r w:rsidR="00F016B5">
        <w:rPr>
          <w:rStyle w:val="AERbody"/>
        </w:rPr>
        <w:instrText xml:space="preserve"> REF _Ref462917069 \h </w:instrText>
      </w:r>
      <w:r w:rsidR="00F016B5">
        <w:rPr>
          <w:rStyle w:val="AERbody"/>
          <w:szCs w:val="18"/>
        </w:rPr>
      </w:r>
      <w:r w:rsidR="00F016B5">
        <w:rPr>
          <w:rStyle w:val="AERbody"/>
          <w:szCs w:val="18"/>
        </w:rPr>
        <w:fldChar w:fldCharType="separate"/>
      </w:r>
      <w:r w:rsidR="00BE0834">
        <w:t>Figure 3</w:t>
      </w:r>
      <w:r w:rsidR="00F016B5">
        <w:rPr>
          <w:rStyle w:val="AERbody"/>
          <w:szCs w:val="18"/>
        </w:rPr>
        <w:fldChar w:fldCharType="end"/>
      </w:r>
      <w:r w:rsidR="00F016B5">
        <w:rPr>
          <w:rStyle w:val="AERbody"/>
        </w:rPr>
        <w:t xml:space="preserve"> </w:t>
      </w:r>
      <w:r w:rsidRPr="00722C30">
        <w:rPr>
          <w:rStyle w:val="AERbody"/>
        </w:rPr>
        <w:t>below.</w:t>
      </w:r>
    </w:p>
    <w:p w:rsidR="00E52075" w:rsidRDefault="00E52075" w:rsidP="00E00754">
      <w:pPr>
        <w:pStyle w:val="Caption"/>
      </w:pPr>
      <w:bookmarkStart w:id="366" w:name="_Ref462917069"/>
      <w:r>
        <w:t xml:space="preserve">Figure </w:t>
      </w:r>
      <w:fldSimple w:instr=" SEQ Figure \* ARABIC ">
        <w:r w:rsidR="00BE0834">
          <w:rPr>
            <w:noProof/>
          </w:rPr>
          <w:t>3</w:t>
        </w:r>
      </w:fldSimple>
      <w:bookmarkEnd w:id="366"/>
      <w:r>
        <w:t xml:space="preserve"> – </w:t>
      </w:r>
      <w:r w:rsidRPr="00BD07A7">
        <w:t>Overview of proposed NUOS tariff class assignment procedure</w:t>
      </w:r>
      <w:r>
        <w:t xml:space="preserve"> </w:t>
      </w:r>
    </w:p>
    <w:p w:rsidR="0073634E" w:rsidRDefault="0073634E" w:rsidP="000D6076">
      <w:pPr>
        <w:spacing w:after="0"/>
      </w:pPr>
    </w:p>
    <w:p w:rsidR="0073634E" w:rsidRDefault="00327E39" w:rsidP="00BD7A0B">
      <w:pPr>
        <w:pStyle w:val="BodyText"/>
      </w:pPr>
      <w:r>
        <mc:AlternateContent>
          <mc:Choice Requires="wps">
            <w:drawing>
              <wp:anchor distT="0" distB="0" distL="114300" distR="114300" simplePos="0" relativeHeight="251620352" behindDoc="0" locked="0" layoutInCell="1" allowOverlap="1" wp14:anchorId="3CFF38E6" wp14:editId="2E141B0D">
                <wp:simplePos x="0" y="0"/>
                <wp:positionH relativeFrom="column">
                  <wp:posOffset>2627630</wp:posOffset>
                </wp:positionH>
                <wp:positionV relativeFrom="paragraph">
                  <wp:posOffset>191135</wp:posOffset>
                </wp:positionV>
                <wp:extent cx="236855" cy="116840"/>
                <wp:effectExtent l="0" t="0" r="0" b="0"/>
                <wp:wrapNone/>
                <wp:docPr id="1409"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 cy="11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73634E">
                            <w:pPr>
                              <w:pStyle w:val="NormalWeb"/>
                              <w:spacing w:before="0" w:beforeAutospacing="0" w:after="0" w:afterAutospacing="0"/>
                              <w:jc w:val="center"/>
                            </w:pPr>
                            <w:r w:rsidRPr="00850F34">
                              <w:rPr>
                                <w:rFonts w:ascii="Arial" w:hAnsi="Arial" w:cs="Arial"/>
                                <w:color w:val="000000"/>
                                <w:sz w:val="16"/>
                                <w:szCs w:val="16"/>
                              </w:rPr>
                              <w:t>Yes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30" o:spid="_x0000_s1027" style="position:absolute;left:0;text-align:left;margin-left:206.9pt;margin-top:15.05pt;width:18.65pt;height:9.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" stroked="f">
                <v:textbox style="mso-fit-shape-to-text:t" inset="0,0,0,0">
                  <w:txbxContent>
                    <w:p w:rsidR="001B5FF8" w:rsidRDefault="001B5FF8" w:rsidP="0073634E">
                      <w:pPr>
                        <w:pStyle w:val="NormalWeb"/>
                        <w:spacing w:before="0" w:beforeAutospacing="0" w:after="0" w:afterAutospacing="0"/>
                        <w:jc w:val="center"/>
                      </w:pPr>
                      <w:r w:rsidRPr="00850F34">
                        <w:rPr>
                          <w:rFonts w:ascii="Arial" w:hAnsi="Arial" w:cs="Arial"/>
                          <w:color w:val="000000"/>
                          <w:sz w:val="16"/>
                          <w:szCs w:val="16"/>
                        </w:rPr>
                        <w:t>Yes</w:t>
                      </w:r>
                    </w:p>
                  </w:txbxContent>
                </v:textbox>
              </v:rect>
            </w:pict>
          </mc:Fallback>
        </mc:AlternateContent>
      </w:r>
      <w:r w:rsidR="00B05E4C">
        <mc:AlternateContent>
          <mc:Choice Requires="wps">
            <w:drawing>
              <wp:anchor distT="0" distB="0" distL="114300" distR="114300" simplePos="0" relativeHeight="251622400" behindDoc="0" locked="0" layoutInCell="1" allowOverlap="1" wp14:anchorId="0E14CC67" wp14:editId="213C4EF5">
                <wp:simplePos x="0" y="0"/>
                <wp:positionH relativeFrom="column">
                  <wp:posOffset>4500245</wp:posOffset>
                </wp:positionH>
                <wp:positionV relativeFrom="paragraph">
                  <wp:posOffset>174625</wp:posOffset>
                </wp:positionV>
                <wp:extent cx="245745" cy="178435"/>
                <wp:effectExtent l="0" t="0" r="1905" b="12065"/>
                <wp:wrapNone/>
                <wp:docPr id="141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5745" cy="178435"/>
                        </a:xfrm>
                        <a:prstGeom prst="rect">
                          <a:avLst/>
                        </a:prstGeom>
                        <a:noFill/>
                        <a:ln>
                          <a:noFill/>
                        </a:ln>
                        <a:extLst/>
                      </wps:spPr>
                      <wps:txbx>
                        <w:txbxContent>
                          <w:p w:rsidR="001B5FF8" w:rsidRPr="00850F34" w:rsidRDefault="001B5FF8" w:rsidP="0073634E">
                            <w:pPr>
                              <w:pStyle w:val="NormalWeb"/>
                              <w:spacing w:before="0" w:beforeAutospacing="0" w:after="0" w:afterAutospacing="0"/>
                              <w:jc w:val="center"/>
                              <w:rPr>
                                <w:rFonts w:ascii="Arial" w:hAnsi="Arial" w:cs="Arial"/>
                              </w:rPr>
                            </w:pPr>
                            <w:r w:rsidRPr="00850F34">
                              <w:rPr>
                                <w:rFonts w:ascii="Arial" w:hAnsi="Arial" w:cs="Arial"/>
                                <w:color w:val="000000"/>
                                <w:sz w:val="16"/>
                                <w:szCs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8" style="position:absolute;left:0;text-align:left;margin-left:354.35pt;margin-top:13.75pt;width:19.35pt;height:14.0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" filled="f" stroked="f">
                <v:textbox inset="0,0,0,0">
                  <w:txbxContent>
                    <w:p w:rsidR="001B5FF8" w:rsidRPr="00850F34" w:rsidRDefault="001B5FF8" w:rsidP="0073634E">
                      <w:pPr>
                        <w:pStyle w:val="NormalWeb"/>
                        <w:spacing w:before="0" w:beforeAutospacing="0" w:after="0" w:afterAutospacing="0"/>
                        <w:jc w:val="center"/>
                        <w:rPr>
                          <w:rFonts w:ascii="Arial" w:hAnsi="Arial" w:cs="Arial"/>
                        </w:rPr>
                      </w:pPr>
                      <w:r w:rsidRPr="00850F34">
                        <w:rPr>
                          <w:rFonts w:ascii="Arial" w:hAnsi="Arial" w:cs="Arial"/>
                          <w:color w:val="000000"/>
                          <w:sz w:val="16"/>
                          <w:szCs w:val="16"/>
                        </w:rPr>
                        <w:t>No</w:t>
                      </w:r>
                    </w:p>
                  </w:txbxContent>
                </v:textbox>
              </v:rect>
            </w:pict>
          </mc:Fallback>
        </mc:AlternateContent>
      </w:r>
      <w:r w:rsidR="0073634E">
        <mc:AlternateContent>
          <mc:Choice Requires="wps">
            <w:drawing>
              <wp:anchor distT="0" distB="0" distL="114300" distR="114300" simplePos="0" relativeHeight="251591680" behindDoc="0" locked="0" layoutInCell="1" allowOverlap="1" wp14:anchorId="1BD384EF" wp14:editId="1C9F78E7">
                <wp:simplePos x="0" y="0"/>
                <wp:positionH relativeFrom="column">
                  <wp:posOffset>3118485</wp:posOffset>
                </wp:positionH>
                <wp:positionV relativeFrom="paragraph">
                  <wp:posOffset>153035</wp:posOffset>
                </wp:positionV>
                <wp:extent cx="1054100" cy="389255"/>
                <wp:effectExtent l="0" t="0" r="12700" b="10795"/>
                <wp:wrapNone/>
                <wp:docPr id="141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389255"/>
                        </a:xfrm>
                        <a:prstGeom prst="rect">
                          <a:avLst/>
                        </a:prstGeom>
                        <a:solidFill>
                          <a:srgbClr val="FFFFFF"/>
                        </a:solidFill>
                        <a:ln w="9525">
                          <a:solidFill>
                            <a:srgbClr val="000000"/>
                          </a:solidFill>
                          <a:miter lim="800000"/>
                          <a:headEnd/>
                          <a:tailEnd/>
                        </a:ln>
                      </wps:spPr>
                      <wps:txbx>
                        <w:txbxContent>
                          <w:p w:rsidR="001B5FF8" w:rsidRPr="002C51D2" w:rsidRDefault="001B5FF8" w:rsidP="0073634E">
                            <w:pPr>
                              <w:jc w:val="center"/>
                              <w:rPr>
                                <w:rFonts w:cs="Arial"/>
                                <w:sz w:val="16"/>
                                <w:szCs w:val="16"/>
                              </w:rPr>
                            </w:pPr>
                            <w:r>
                              <w:rPr>
                                <w:rFonts w:cs="Arial"/>
                                <w:color w:val="000000"/>
                                <w:sz w:val="16"/>
                                <w:szCs w:val="16"/>
                              </w:rPr>
                              <w:t>Connected to Electricity Distribution 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9" style="position:absolute;left:0;text-align:left;margin-left:245.55pt;margin-top:12.05pt;width:83pt;height:30.6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">
                <v:textbox inset="0,0,0,0">
                  <w:txbxContent>
                    <w:p w:rsidR="001B5FF8" w:rsidRPr="002C51D2" w:rsidRDefault="001B5FF8" w:rsidP="0073634E">
                      <w:pPr>
                        <w:jc w:val="center"/>
                        <w:rPr>
                          <w:rFonts w:cs="Arial"/>
                          <w:sz w:val="16"/>
                          <w:szCs w:val="16"/>
                        </w:rPr>
                      </w:pPr>
                      <w:r>
                        <w:rPr>
                          <w:rFonts w:cs="Arial"/>
                          <w:color w:val="000000"/>
                          <w:sz w:val="16"/>
                          <w:szCs w:val="16"/>
                        </w:rPr>
                        <w:t>Connected to Electricity Distribution Network?</w:t>
                      </w:r>
                    </w:p>
                  </w:txbxContent>
                </v:textbox>
              </v:rect>
            </w:pict>
          </mc:Fallback>
        </mc:AlternateContent>
      </w:r>
    </w:p>
    <w:p w:rsidR="0073634E" w:rsidRDefault="00327E39" w:rsidP="007D0321">
      <w:pPr>
        <w:pStyle w:val="BodyText"/>
      </w:pPr>
      <w:r>
        <mc:AlternateContent>
          <mc:Choice Requires="wps">
            <w:drawing>
              <wp:anchor distT="0" distB="0" distL="114300" distR="114300" simplePos="0" relativeHeight="251581440" behindDoc="0" locked="0" layoutInCell="1" allowOverlap="1" wp14:anchorId="2CEDF29D" wp14:editId="24A42012">
                <wp:simplePos x="0" y="0"/>
                <wp:positionH relativeFrom="column">
                  <wp:posOffset>2487930</wp:posOffset>
                </wp:positionH>
                <wp:positionV relativeFrom="paragraph">
                  <wp:posOffset>46990</wp:posOffset>
                </wp:positionV>
                <wp:extent cx="2524125" cy="0"/>
                <wp:effectExtent l="0" t="0" r="28575" b="19050"/>
                <wp:wrapNone/>
                <wp:docPr id="14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4125"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9pt,3.7pt" to="394.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U0cGwIAADY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" strokeweight=".6pt">
                <v:stroke endcap="round"/>
              </v:line>
            </w:pict>
          </mc:Fallback>
        </mc:AlternateContent>
      </w:r>
      <w:r>
        <mc:AlternateContent>
          <mc:Choice Requires="wps">
            <w:drawing>
              <wp:anchor distT="0" distB="0" distL="114300" distR="114300" simplePos="0" relativeHeight="251585536" behindDoc="0" locked="0" layoutInCell="1" allowOverlap="1" wp14:anchorId="0DDEF78B" wp14:editId="021E7EC0">
                <wp:simplePos x="0" y="0"/>
                <wp:positionH relativeFrom="column">
                  <wp:posOffset>2478405</wp:posOffset>
                </wp:positionH>
                <wp:positionV relativeFrom="paragraph">
                  <wp:posOffset>46990</wp:posOffset>
                </wp:positionV>
                <wp:extent cx="0" cy="495300"/>
                <wp:effectExtent l="76200" t="0" r="57150" b="57150"/>
                <wp:wrapNone/>
                <wp:docPr id="1413" name="Straight Arrow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6" o:spid="_x0000_s1026" type="#_x0000_t32" style="position:absolute;margin-left:195.15pt;margin-top:3.7pt;width:0;height:39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">
                <v:stroke endarrow="block"/>
              </v:shape>
            </w:pict>
          </mc:Fallback>
        </mc:AlternateContent>
      </w:r>
      <w:r w:rsidR="00B56962">
        <mc:AlternateContent>
          <mc:Choice Requires="wps">
            <w:drawing>
              <wp:anchor distT="0" distB="0" distL="114300" distR="114300" simplePos="0" relativeHeight="251583488" behindDoc="0" locked="0" layoutInCell="1" allowOverlap="1" wp14:anchorId="59203EBA" wp14:editId="0267A913">
                <wp:simplePos x="0" y="0"/>
                <wp:positionH relativeFrom="column">
                  <wp:posOffset>5002530</wp:posOffset>
                </wp:positionH>
                <wp:positionV relativeFrom="paragraph">
                  <wp:posOffset>46990</wp:posOffset>
                </wp:positionV>
                <wp:extent cx="0" cy="495300"/>
                <wp:effectExtent l="76200" t="0" r="57150" b="57150"/>
                <wp:wrapNone/>
                <wp:docPr id="1412"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53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 o:spid="_x0000_s1026" type="#_x0000_t32" style="position:absolute;margin-left:393.9pt;margin-top:3.7pt;width:0;height:39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">
                <v:stroke endarrow="block"/>
              </v:shape>
            </w:pict>
          </mc:Fallback>
        </mc:AlternateContent>
      </w:r>
    </w:p>
    <w:p w:rsidR="0073634E" w:rsidRDefault="00B05E4C">
      <w:pPr>
        <w:pStyle w:val="BodyText"/>
      </w:pPr>
      <w:r>
        <mc:AlternateContent>
          <mc:Choice Requires="wps">
            <w:drawing>
              <wp:anchor distT="0" distB="0" distL="114300" distR="114300" simplePos="0" relativeHeight="251634688" behindDoc="0" locked="0" layoutInCell="1" allowOverlap="1" wp14:anchorId="3D22361C" wp14:editId="2625A88C">
                <wp:simplePos x="0" y="0"/>
                <wp:positionH relativeFrom="column">
                  <wp:posOffset>1627505</wp:posOffset>
                </wp:positionH>
                <wp:positionV relativeFrom="paragraph">
                  <wp:posOffset>231775</wp:posOffset>
                </wp:positionV>
                <wp:extent cx="591820" cy="132080"/>
                <wp:effectExtent l="0" t="0" r="0" b="1270"/>
                <wp:wrapNone/>
                <wp:docPr id="1418"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Pr="002C51D2" w:rsidRDefault="001B5FF8" w:rsidP="0073634E">
                            <w:pPr>
                              <w:rPr>
                                <w:rFonts w:cs="Arial"/>
                                <w:sz w:val="16"/>
                                <w:szCs w:val="16"/>
                              </w:rPr>
                            </w:pPr>
                            <w:r w:rsidRPr="004836B6">
                              <w:rPr>
                                <w:rFonts w:cs="Arial"/>
                                <w:i/>
                                <w:iCs/>
                                <w:color w:val="000000"/>
                                <w:sz w:val="16"/>
                                <w:szCs w:val="16"/>
                              </w:rPr>
                              <w:t>Unmetered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 o:spid="_x0000_s1030" style="position:absolute;left:0;text-align:left;margin-left:128.15pt;margin-top:18.25pt;width:46.6pt;height:10.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" stroked="f">
                <v:textbox inset="0,0,0,0">
                  <w:txbxContent>
                    <w:p w:rsidR="001B5FF8" w:rsidRPr="002C51D2" w:rsidRDefault="001B5FF8" w:rsidP="0073634E">
                      <w:pPr>
                        <w:rPr>
                          <w:rFonts w:cs="Arial"/>
                          <w:sz w:val="16"/>
                          <w:szCs w:val="16"/>
                        </w:rPr>
                      </w:pPr>
                      <w:r w:rsidRPr="004836B6">
                        <w:rPr>
                          <w:rFonts w:cs="Arial"/>
                          <w:i/>
                          <w:iCs/>
                          <w:color w:val="000000"/>
                          <w:sz w:val="16"/>
                          <w:szCs w:val="16"/>
                        </w:rPr>
                        <w:t>Unmetered</w:t>
                      </w:r>
                    </w:p>
                  </w:txbxContent>
                </v:textbox>
              </v:rect>
            </w:pict>
          </mc:Fallback>
        </mc:AlternateContent>
      </w:r>
      <w:r>
        <mc:AlternateContent>
          <mc:Choice Requires="wps">
            <w:drawing>
              <wp:anchor distT="0" distB="0" distL="114300" distR="114300" simplePos="0" relativeHeight="251630592" behindDoc="0" locked="0" layoutInCell="1" allowOverlap="1" wp14:anchorId="00572E15" wp14:editId="2B8F8178">
                <wp:simplePos x="0" y="0"/>
                <wp:positionH relativeFrom="column">
                  <wp:posOffset>2849245</wp:posOffset>
                </wp:positionH>
                <wp:positionV relativeFrom="paragraph">
                  <wp:posOffset>226695</wp:posOffset>
                </wp:positionV>
                <wp:extent cx="430530" cy="132080"/>
                <wp:effectExtent l="0" t="0" r="7620" b="1270"/>
                <wp:wrapNone/>
                <wp:docPr id="1419"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Pr="002C51D2" w:rsidRDefault="001B5FF8" w:rsidP="0073634E">
                            <w:pPr>
                              <w:rPr>
                                <w:rFonts w:cs="Arial"/>
                                <w:sz w:val="16"/>
                                <w:szCs w:val="16"/>
                              </w:rPr>
                            </w:pPr>
                            <w:r w:rsidRPr="004836B6">
                              <w:rPr>
                                <w:rFonts w:cs="Arial"/>
                                <w:i/>
                                <w:iCs/>
                                <w:color w:val="000000"/>
                                <w:sz w:val="16"/>
                                <w:szCs w:val="16"/>
                              </w:rPr>
                              <w:t>Metered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31" style="position:absolute;left:0;text-align:left;margin-left:224.35pt;margin-top:17.85pt;width:33.9pt;height:10.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" stroked="f">
                <v:textbox inset="0,0,0,0">
                  <w:txbxContent>
                    <w:p w:rsidR="001B5FF8" w:rsidRPr="002C51D2" w:rsidRDefault="001B5FF8" w:rsidP="0073634E">
                      <w:pPr>
                        <w:rPr>
                          <w:rFonts w:cs="Arial"/>
                          <w:sz w:val="16"/>
                          <w:szCs w:val="16"/>
                        </w:rPr>
                      </w:pPr>
                      <w:r w:rsidRPr="004836B6">
                        <w:rPr>
                          <w:rFonts w:cs="Arial"/>
                          <w:i/>
                          <w:iCs/>
                          <w:color w:val="000000"/>
                          <w:sz w:val="16"/>
                          <w:szCs w:val="16"/>
                        </w:rPr>
                        <w:t>Metered</w:t>
                      </w:r>
                    </w:p>
                  </w:txbxContent>
                </v:textbox>
              </v:rect>
            </w:pict>
          </mc:Fallback>
        </mc:AlternateContent>
      </w:r>
      <w:r w:rsidR="0073634E">
        <mc:AlternateContent>
          <mc:Choice Requires="wpg">
            <w:drawing>
              <wp:anchor distT="0" distB="0" distL="114300" distR="114300" simplePos="0" relativeHeight="251612160" behindDoc="0" locked="0" layoutInCell="1" allowOverlap="1" wp14:anchorId="3B66A805" wp14:editId="6C489E5B">
                <wp:simplePos x="0" y="0"/>
                <wp:positionH relativeFrom="column">
                  <wp:posOffset>4381500</wp:posOffset>
                </wp:positionH>
                <wp:positionV relativeFrom="paragraph">
                  <wp:posOffset>272415</wp:posOffset>
                </wp:positionV>
                <wp:extent cx="1152525" cy="350011"/>
                <wp:effectExtent l="0" t="0" r="28575" b="12065"/>
                <wp:wrapNone/>
                <wp:docPr id="1415"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2525" cy="350011"/>
                          <a:chOff x="5596" y="12043"/>
                          <a:chExt cx="1457" cy="734"/>
                        </a:xfrm>
                      </wpg:grpSpPr>
                      <wps:wsp>
                        <wps:cNvPr id="1416" name="Rectangle 109"/>
                        <wps:cNvSpPr>
                          <a:spLocks noChangeArrowheads="1"/>
                        </wps:cNvSpPr>
                        <wps:spPr bwMode="auto">
                          <a:xfrm>
                            <a:off x="5596" y="12043"/>
                            <a:ext cx="1457" cy="6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 name="Rectangle 110"/>
                        <wps:cNvSpPr>
                          <a:spLocks noChangeArrowheads="1"/>
                        </wps:cNvSpPr>
                        <wps:spPr bwMode="auto">
                          <a:xfrm>
                            <a:off x="5596" y="12043"/>
                            <a:ext cx="1457" cy="73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 o:spid="_x0000_s1026" style="position:absolute;margin-left:345pt;margin-top:21.45pt;width:90.75pt;height:27.55pt;z-index:251612160" coordorigin="5596,12043" coordsize="1457,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">
                <v:rect id="Rectangle 109" o:spid="_x0000_s1027" style="position:absolute;left:5596;top:12043;width:1457;height: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YMQA&#10;AADdAAAADwAAAGRycy9kb3ducmV2LnhtbERPTWvCQBC9C/0PyxR6011bDTW6CaUgFKyHaqHXITsm&#10;odnZNLsm8d93BcHbPN7nbPLRNqKnzteONcxnCgRx4UzNpYbv43b6CsIHZIONY9JwIQ959jDZYGrc&#10;wF/UH0IpYgj7FDVUIbSplL6oyKKfuZY4cifXWQwRdqU0HQ4x3DbyWalEWqw5NlTY0ntFxe/hbDVg&#10;sjB/+9PL53F3TnBVjmq7/FFaPz2Ob2sQgcZwF9/cHybOX8wTuH4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rAGDEAAAA3QAAAA8AAAAAAAAAAAAAAAAAmAIAAGRycy9k&#10;b3ducmV2LnhtbFBLBQYAAAAABAAEAPUAAACJAwAAAAA=&#10;" stroked="f"/>
                <v:rect id="Rectangle 110" o:spid="_x0000_s1028" style="position:absolute;left:5596;top:12043;width:1457;height: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9qMEA&#10;AADdAAAADwAAAGRycy9kb3ducmV2LnhtbERP3WrCMBS+H+wdwhnsbqbdZEo1yiiI9c6pD3Bojk2x&#10;OSlJ1OrTm8HAu/Px/Z75crCduJAPrWMF+SgDQVw73XKj4LBffUxBhIissXNMCm4UYLl4fZljod2V&#10;f+myi41IIRwKVGBi7AspQ23IYhi5njhxR+ctxgR9I7XHawq3nfzMsm9pseXUYLCn0lB92p2tgj2Z&#10;jT6Y1dZ/Ves7l1V+b8tOqfe34WcGItIQn+J/d6XT/HE+gb9v0gl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fajBAAAA3QAAAA8AAAAAAAAAAAAAAAAAmAIAAGRycy9kb3du&#10;cmV2LnhtbFBLBQYAAAAABAAEAPUAAACGAwAAAAA=&#10;" filled="f" strokeweight=".6pt">
                  <v:stroke endcap="round"/>
                </v:rect>
              </v:group>
            </w:pict>
          </mc:Fallback>
        </mc:AlternateContent>
      </w:r>
    </w:p>
    <w:p w:rsidR="0073634E" w:rsidRDefault="00327E39">
      <w:pPr>
        <w:pStyle w:val="BodyText"/>
      </w:pPr>
      <w:r>
        <mc:AlternateContent>
          <mc:Choice Requires="wps">
            <w:drawing>
              <wp:anchor distT="0" distB="0" distL="114300" distR="114300" simplePos="0" relativeHeight="251624448" behindDoc="0" locked="0" layoutInCell="1" allowOverlap="1" wp14:anchorId="3E439AB4" wp14:editId="25C2DBF1">
                <wp:simplePos x="0" y="0"/>
                <wp:positionH relativeFrom="column">
                  <wp:posOffset>3681730</wp:posOffset>
                </wp:positionH>
                <wp:positionV relativeFrom="paragraph">
                  <wp:posOffset>8890</wp:posOffset>
                </wp:positionV>
                <wp:extent cx="1" cy="723900"/>
                <wp:effectExtent l="76200" t="0" r="57150" b="57150"/>
                <wp:wrapNone/>
                <wp:docPr id="1421" name="Straight Arrow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72390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3" o:spid="_x0000_s1026" type="#_x0000_t32" style="position:absolute;margin-left:289.9pt;margin-top:.7pt;width:0;height:57pt;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">
                <v:stroke endarrow="block"/>
              </v:shape>
            </w:pict>
          </mc:Fallback>
        </mc:AlternateContent>
      </w:r>
      <w:r>
        <mc:AlternateContent>
          <mc:Choice Requires="wps">
            <w:drawing>
              <wp:anchor distT="0" distB="0" distL="114300" distR="114300" simplePos="0" relativeHeight="251632640" behindDoc="0" locked="0" layoutInCell="1" allowOverlap="1" wp14:anchorId="10861E10" wp14:editId="2DF33226">
                <wp:simplePos x="0" y="0"/>
                <wp:positionH relativeFrom="column">
                  <wp:posOffset>1392555</wp:posOffset>
                </wp:positionH>
                <wp:positionV relativeFrom="paragraph">
                  <wp:posOffset>8890</wp:posOffset>
                </wp:positionV>
                <wp:extent cx="0" cy="504825"/>
                <wp:effectExtent l="76200" t="0" r="76200" b="47625"/>
                <wp:wrapNone/>
                <wp:docPr id="1422" name="Straight Arrow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7" o:spid="_x0000_s1026" type="#_x0000_t32" style="position:absolute;margin-left:109.65pt;margin-top:.7pt;width:0;height:39.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">
                <v:stroke endarrow="block"/>
              </v:shape>
            </w:pict>
          </mc:Fallback>
        </mc:AlternateContent>
      </w:r>
      <w:r>
        <mc:AlternateContent>
          <mc:Choice Requires="wps">
            <w:drawing>
              <wp:anchor distT="0" distB="0" distL="114300" distR="114300" simplePos="0" relativeHeight="251597824" behindDoc="0" locked="0" layoutInCell="1" allowOverlap="1" wp14:anchorId="0BE31563" wp14:editId="7BB75885">
                <wp:simplePos x="0" y="0"/>
                <wp:positionH relativeFrom="column">
                  <wp:posOffset>1393825</wp:posOffset>
                </wp:positionH>
                <wp:positionV relativeFrom="paragraph">
                  <wp:posOffset>5715</wp:posOffset>
                </wp:positionV>
                <wp:extent cx="2286000" cy="0"/>
                <wp:effectExtent l="0" t="0" r="19050" b="19050"/>
                <wp:wrapNone/>
                <wp:docPr id="142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75pt,.45pt" to="289.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" strokeweight=".6pt">
                <v:stroke endcap="round"/>
              </v:line>
            </w:pict>
          </mc:Fallback>
        </mc:AlternateContent>
      </w:r>
      <w:r w:rsidR="00B56962">
        <mc:AlternateContent>
          <mc:Choice Requires="wps">
            <w:drawing>
              <wp:anchor distT="0" distB="0" distL="114300" distR="114300" simplePos="0" relativeHeight="251614208" behindDoc="0" locked="0" layoutInCell="1" allowOverlap="1" wp14:anchorId="38F00165" wp14:editId="1C5E2464">
                <wp:simplePos x="0" y="0"/>
                <wp:positionH relativeFrom="column">
                  <wp:posOffset>4461510</wp:posOffset>
                </wp:positionH>
                <wp:positionV relativeFrom="paragraph">
                  <wp:posOffset>54082</wp:posOffset>
                </wp:positionV>
                <wp:extent cx="1047750" cy="257175"/>
                <wp:effectExtent l="0" t="0" r="0" b="9525"/>
                <wp:wrapNone/>
                <wp:docPr id="1420"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FF8" w:rsidRPr="002C51D2" w:rsidRDefault="001B5FF8" w:rsidP="00B05E4C">
                            <w:pPr>
                              <w:jc w:val="center"/>
                              <w:rPr>
                                <w:rFonts w:cs="Arial"/>
                                <w:sz w:val="16"/>
                                <w:szCs w:val="16"/>
                              </w:rPr>
                            </w:pPr>
                            <w:r>
                              <w:rPr>
                                <w:rFonts w:cs="Arial"/>
                                <w:iCs/>
                                <w:color w:val="000000"/>
                                <w:sz w:val="16"/>
                                <w:szCs w:val="16"/>
                              </w:rPr>
                              <w:t>Transmission-connected Tariff C</w:t>
                            </w:r>
                            <w:r w:rsidRPr="002C51D2">
                              <w:rPr>
                                <w:rFonts w:cs="Arial"/>
                                <w:iCs/>
                                <w:color w:val="000000"/>
                                <w:sz w:val="16"/>
                                <w:szCs w:val="16"/>
                              </w:rPr>
                              <w:t>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32" style="position:absolute;left:0;text-align:left;margin-left:351.3pt;margin-top:4.25pt;width:82.5pt;height:20.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" filled="f" stroked="f">
                <v:textbox inset="0,0,0,0">
                  <w:txbxContent>
                    <w:p w:rsidR="001B5FF8" w:rsidRPr="002C51D2" w:rsidRDefault="001B5FF8" w:rsidP="00B05E4C">
                      <w:pPr>
                        <w:jc w:val="center"/>
                        <w:rPr>
                          <w:rFonts w:cs="Arial"/>
                          <w:sz w:val="16"/>
                          <w:szCs w:val="16"/>
                        </w:rPr>
                      </w:pPr>
                      <w:r>
                        <w:rPr>
                          <w:rFonts w:cs="Arial"/>
                          <w:iCs/>
                          <w:color w:val="000000"/>
                          <w:sz w:val="16"/>
                          <w:szCs w:val="16"/>
                        </w:rPr>
                        <w:t>Transmission-connected Tariff C</w:t>
                      </w:r>
                      <w:r w:rsidRPr="002C51D2">
                        <w:rPr>
                          <w:rFonts w:cs="Arial"/>
                          <w:iCs/>
                          <w:color w:val="000000"/>
                          <w:sz w:val="16"/>
                          <w:szCs w:val="16"/>
                        </w:rPr>
                        <w:t>lass</w:t>
                      </w:r>
                    </w:p>
                  </w:txbxContent>
                </v:textbox>
              </v:rect>
            </w:pict>
          </mc:Fallback>
        </mc:AlternateContent>
      </w:r>
    </w:p>
    <w:p w:rsidR="0073634E" w:rsidRDefault="0073634E">
      <w:pPr>
        <w:pStyle w:val="BodyText"/>
      </w:pPr>
      <w:r>
        <mc:AlternateContent>
          <mc:Choice Requires="wps">
            <w:drawing>
              <wp:anchor distT="0" distB="0" distL="114300" distR="114300" simplePos="0" relativeHeight="251626496" behindDoc="0" locked="0" layoutInCell="1" allowOverlap="1" wp14:anchorId="322138A3" wp14:editId="3F869012">
                <wp:simplePos x="0" y="0"/>
                <wp:positionH relativeFrom="column">
                  <wp:posOffset>2962275</wp:posOffset>
                </wp:positionH>
                <wp:positionV relativeFrom="paragraph">
                  <wp:posOffset>-3175</wp:posOffset>
                </wp:positionV>
                <wp:extent cx="1333500" cy="229235"/>
                <wp:effectExtent l="0" t="0" r="0" b="0"/>
                <wp:wrapNone/>
                <wp:docPr id="142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Pr="004836B6" w:rsidRDefault="001B5FF8" w:rsidP="0073634E">
                            <w:pPr>
                              <w:spacing w:before="60"/>
                              <w:jc w:val="center"/>
                              <w:rPr>
                                <w:rFonts w:cs="Arial"/>
                                <w:i/>
                                <w:sz w:val="16"/>
                                <w:szCs w:val="16"/>
                              </w:rPr>
                            </w:pPr>
                            <w:r w:rsidRPr="004836B6">
                              <w:rPr>
                                <w:rFonts w:cs="Arial"/>
                                <w:i/>
                                <w:color w:val="000000"/>
                                <w:sz w:val="16"/>
                                <w:szCs w:val="16"/>
                              </w:rPr>
                              <w:t>Voltage at metering point</w:t>
                            </w:r>
                          </w:p>
                          <w:p w:rsidR="001B5FF8" w:rsidRPr="002C51D2" w:rsidRDefault="001B5FF8" w:rsidP="0073634E">
                            <w:pPr>
                              <w:rPr>
                                <w:rFonts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33" style="position:absolute;left:0;text-align:left;margin-left:233.25pt;margin-top:-.25pt;width:105pt;height:18.0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" stroked="f">
                <v:textbox inset="0,0,0,0">
                  <w:txbxContent>
                    <w:p w:rsidR="001B5FF8" w:rsidRPr="004836B6" w:rsidRDefault="001B5FF8" w:rsidP="0073634E">
                      <w:pPr>
                        <w:spacing w:before="60"/>
                        <w:jc w:val="center"/>
                        <w:rPr>
                          <w:rFonts w:cs="Arial"/>
                          <w:i/>
                          <w:sz w:val="16"/>
                          <w:szCs w:val="16"/>
                        </w:rPr>
                      </w:pPr>
                      <w:r w:rsidRPr="004836B6">
                        <w:rPr>
                          <w:rFonts w:cs="Arial"/>
                          <w:i/>
                          <w:color w:val="000000"/>
                          <w:sz w:val="16"/>
                          <w:szCs w:val="16"/>
                        </w:rPr>
                        <w:t>Voltage at metering point</w:t>
                      </w:r>
                    </w:p>
                    <w:p w:rsidR="001B5FF8" w:rsidRPr="002C51D2" w:rsidRDefault="001B5FF8" w:rsidP="0073634E">
                      <w:pPr>
                        <w:rPr>
                          <w:rFonts w:cs="Arial"/>
                          <w:sz w:val="16"/>
                          <w:szCs w:val="16"/>
                        </w:rPr>
                      </w:pPr>
                    </w:p>
                  </w:txbxContent>
                </v:textbox>
              </v:rect>
            </w:pict>
          </mc:Fallback>
        </mc:AlternateContent>
      </w:r>
      <w:r>
        <mc:AlternateContent>
          <mc:Choice Requires="wpg">
            <w:drawing>
              <wp:anchor distT="0" distB="0" distL="114300" distR="114300" simplePos="0" relativeHeight="251593728" behindDoc="0" locked="0" layoutInCell="1" allowOverlap="1" wp14:anchorId="2851C7A0" wp14:editId="64640ABB">
                <wp:simplePos x="0" y="0"/>
                <wp:positionH relativeFrom="column">
                  <wp:posOffset>914400</wp:posOffset>
                </wp:positionH>
                <wp:positionV relativeFrom="paragraph">
                  <wp:posOffset>243840</wp:posOffset>
                </wp:positionV>
                <wp:extent cx="924560" cy="389890"/>
                <wp:effectExtent l="0" t="0" r="27940" b="10160"/>
                <wp:wrapNone/>
                <wp:docPr id="142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389890"/>
                          <a:chOff x="8178" y="8234"/>
                          <a:chExt cx="1456" cy="614"/>
                        </a:xfrm>
                      </wpg:grpSpPr>
                      <wps:wsp>
                        <wps:cNvPr id="1426" name="Rectangle 65"/>
                        <wps:cNvSpPr>
                          <a:spLocks noChangeArrowheads="1"/>
                        </wps:cNvSpPr>
                        <wps:spPr bwMode="auto">
                          <a:xfrm>
                            <a:off x="8178" y="8234"/>
                            <a:ext cx="1456" cy="6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Rectangle 66"/>
                        <wps:cNvSpPr>
                          <a:spLocks noChangeArrowheads="1"/>
                        </wps:cNvSpPr>
                        <wps:spPr bwMode="auto">
                          <a:xfrm>
                            <a:off x="8178" y="8234"/>
                            <a:ext cx="1456" cy="614"/>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1in;margin-top:19.2pt;width:72.8pt;height:30.7pt;z-index:251593728" coordorigin="8178,8234" coordsize="145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">
                <v:rect id="Rectangle 65" o:spid="_x0000_s1027" style="position:absolute;left:8178;top:8234;width:1456;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fK3cIA&#10;AADdAAAADwAAAGRycy9kb3ducmV2LnhtbERPS4vCMBC+C/sfwizsTRNfRatRRBAWVg+rC16HZmyL&#10;zaQ2Ubv/3giCt/n4njNftrYSN2p86VhDv6dAEGfOlJxr+DtsuhMQPiAbrByThn/ysFx8dOaYGnfn&#10;X7rtQy5iCPsUNRQh1KmUPivIou+5mjhyJ9dYDBE2uTQN3mO4reRAqURaLDk2FFjTuqDsvL9aDZiM&#10;zGV3Gm4PP9cEp3mrNuOj0vrrs13NQARqw1v8cn+bOH80SO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8rdwgAAAN0AAAAPAAAAAAAAAAAAAAAAAJgCAABkcnMvZG93&#10;bnJldi54bWxQSwUGAAAAAAQABAD1AAAAhwMAAAAA&#10;" stroked="f"/>
                <v:rect id="Rectangle 66" o:spid="_x0000_s1028" style="position:absolute;left:8178;top:8234;width:1456;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y3FcEA&#10;AADdAAAADwAAAGRycy9kb3ducmV2LnhtbERPzYrCMBC+L/gOYQRva6ouq1SjSEG2e9tVH2BoxqbY&#10;TEqS1erTG0HY23x8v7Pa9LYVF/KhcaxgMs5AEFdON1wrOB527wsQISJrbB2TghsF2KwHbyvMtbvy&#10;L132sRYphEOOCkyMXS5lqAxZDGPXESfu5LzFmKCvpfZ4TeG2ldMs+5QWG04NBjsqDFXn/Z9VcCDz&#10;rY9m9+Nn5dedi3Jyb4pWqdGw3y5BROrjv/jlLnWa/zGdw/ObdIJ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MtxXBAAAA3QAAAA8AAAAAAAAAAAAAAAAAmAIAAGRycy9kb3du&#10;cmV2LnhtbFBLBQYAAAAABAAEAPUAAACGAwAAAAA=&#10;" filled="f" strokeweight=".6pt">
                  <v:stroke endcap="round"/>
                </v:rect>
              </v:group>
            </w:pict>
          </mc:Fallback>
        </mc:AlternateContent>
      </w:r>
    </w:p>
    <w:p w:rsidR="0073634E" w:rsidRDefault="00327E39">
      <w:pPr>
        <w:pStyle w:val="BodyText"/>
      </w:pPr>
      <w:r>
        <mc:AlternateContent>
          <mc:Choice Requires="wps">
            <w:drawing>
              <wp:anchor distT="0" distB="0" distL="114300" distR="114300" simplePos="0" relativeHeight="251595776" behindDoc="0" locked="0" layoutInCell="1" allowOverlap="1" wp14:anchorId="5B8712F2" wp14:editId="41F5EB00">
                <wp:simplePos x="0" y="0"/>
                <wp:positionH relativeFrom="column">
                  <wp:posOffset>935355</wp:posOffset>
                </wp:positionH>
                <wp:positionV relativeFrom="paragraph">
                  <wp:posOffset>84455</wp:posOffset>
                </wp:positionV>
                <wp:extent cx="914400" cy="285750"/>
                <wp:effectExtent l="0" t="0" r="0" b="0"/>
                <wp:wrapNone/>
                <wp:docPr id="4165"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FF8" w:rsidRPr="002C51D2" w:rsidRDefault="001B5FF8" w:rsidP="0073634E">
                            <w:pPr>
                              <w:jc w:val="center"/>
                              <w:rPr>
                                <w:rFonts w:cs="Arial"/>
                                <w:sz w:val="16"/>
                                <w:szCs w:val="16"/>
                              </w:rPr>
                            </w:pPr>
                            <w:r>
                              <w:rPr>
                                <w:rFonts w:cs="Arial"/>
                                <w:iCs/>
                                <w:color w:val="000000"/>
                                <w:sz w:val="16"/>
                                <w:szCs w:val="16"/>
                              </w:rPr>
                              <w:t>Unmetered T</w:t>
                            </w:r>
                            <w:r w:rsidRPr="002C51D2">
                              <w:rPr>
                                <w:rFonts w:cs="Arial"/>
                                <w:iCs/>
                                <w:color w:val="000000"/>
                                <w:sz w:val="16"/>
                                <w:szCs w:val="16"/>
                              </w:rPr>
                              <w:t>ariff</w:t>
                            </w:r>
                            <w:r>
                              <w:rPr>
                                <w:rFonts w:cs="Arial"/>
                                <w:iCs/>
                                <w:color w:val="000000"/>
                                <w:sz w:val="16"/>
                                <w:szCs w:val="16"/>
                              </w:rPr>
                              <w:t xml:space="preserve"> 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34" style="position:absolute;left:0;text-align:left;margin-left:73.65pt;margin-top:6.65pt;width:1in;height:2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" filled="f" stroked="f">
                <v:textbox inset="0,0,0,0">
                  <w:txbxContent>
                    <w:p w:rsidR="001B5FF8" w:rsidRPr="002C51D2" w:rsidRDefault="001B5FF8" w:rsidP="0073634E">
                      <w:pPr>
                        <w:jc w:val="center"/>
                        <w:rPr>
                          <w:rFonts w:cs="Arial"/>
                          <w:sz w:val="16"/>
                          <w:szCs w:val="16"/>
                        </w:rPr>
                      </w:pPr>
                      <w:r>
                        <w:rPr>
                          <w:rFonts w:cs="Arial"/>
                          <w:iCs/>
                          <w:color w:val="000000"/>
                          <w:sz w:val="16"/>
                          <w:szCs w:val="16"/>
                        </w:rPr>
                        <w:t>Unmetered T</w:t>
                      </w:r>
                      <w:r w:rsidRPr="002C51D2">
                        <w:rPr>
                          <w:rFonts w:cs="Arial"/>
                          <w:iCs/>
                          <w:color w:val="000000"/>
                          <w:sz w:val="16"/>
                          <w:szCs w:val="16"/>
                        </w:rPr>
                        <w:t>ariff</w:t>
                      </w:r>
                      <w:r>
                        <w:rPr>
                          <w:rFonts w:cs="Arial"/>
                          <w:iCs/>
                          <w:color w:val="000000"/>
                          <w:sz w:val="16"/>
                          <w:szCs w:val="16"/>
                        </w:rPr>
                        <w:t xml:space="preserve"> Class</w:t>
                      </w:r>
                    </w:p>
                  </w:txbxContent>
                </v:textbox>
              </v:rect>
            </w:pict>
          </mc:Fallback>
        </mc:AlternateContent>
      </w:r>
      <w:r>
        <mc:AlternateContent>
          <mc:Choice Requires="wps">
            <w:drawing>
              <wp:anchor distT="0" distB="0" distL="114300" distR="114300" simplePos="0" relativeHeight="251579392" behindDoc="0" locked="0" layoutInCell="1" allowOverlap="1" wp14:anchorId="6CFC9E51" wp14:editId="5812E0DF">
                <wp:simplePos x="0" y="0"/>
                <wp:positionH relativeFrom="column">
                  <wp:posOffset>5231130</wp:posOffset>
                </wp:positionH>
                <wp:positionV relativeFrom="paragraph">
                  <wp:posOffset>199390</wp:posOffset>
                </wp:positionV>
                <wp:extent cx="0" cy="476250"/>
                <wp:effectExtent l="76200" t="0" r="57150" b="57150"/>
                <wp:wrapNone/>
                <wp:docPr id="1428"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 o:spid="_x0000_s1026" type="#_x0000_t32" style="position:absolute;margin-left:411.9pt;margin-top:15.7pt;width:0;height:3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">
                <v:stroke endarrow="block"/>
              </v:shape>
            </w:pict>
          </mc:Fallback>
        </mc:AlternateContent>
      </w:r>
      <w:r>
        <mc:AlternateContent>
          <mc:Choice Requires="wps">
            <w:drawing>
              <wp:anchor distT="0" distB="0" distL="114300" distR="114300" simplePos="0" relativeHeight="251753472" behindDoc="0" locked="0" layoutInCell="1" allowOverlap="1" wp14:anchorId="236B37C1" wp14:editId="25A03008">
                <wp:simplePos x="0" y="0"/>
                <wp:positionH relativeFrom="column">
                  <wp:posOffset>3888105</wp:posOffset>
                </wp:positionH>
                <wp:positionV relativeFrom="paragraph">
                  <wp:posOffset>199390</wp:posOffset>
                </wp:positionV>
                <wp:extent cx="0" cy="476250"/>
                <wp:effectExtent l="76200" t="0" r="57150" b="57150"/>
                <wp:wrapNone/>
                <wp:docPr id="1429"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 o:spid="_x0000_s1026" type="#_x0000_t32" style="position:absolute;margin-left:306.15pt;margin-top:15.7pt;width:0;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">
                <v:stroke endarrow="block"/>
              </v:shape>
            </w:pict>
          </mc:Fallback>
        </mc:AlternateContent>
      </w:r>
      <w:r>
        <mc:AlternateContent>
          <mc:Choice Requires="wps">
            <w:drawing>
              <wp:anchor distT="0" distB="0" distL="114300" distR="114300" simplePos="0" relativeHeight="251587584" behindDoc="0" locked="0" layoutInCell="1" allowOverlap="1" wp14:anchorId="2A17DCD3" wp14:editId="14F51885">
                <wp:simplePos x="0" y="0"/>
                <wp:positionH relativeFrom="column">
                  <wp:posOffset>2487930</wp:posOffset>
                </wp:positionH>
                <wp:positionV relativeFrom="paragraph">
                  <wp:posOffset>199390</wp:posOffset>
                </wp:positionV>
                <wp:extent cx="0" cy="476250"/>
                <wp:effectExtent l="76200" t="0" r="57150" b="57150"/>
                <wp:wrapNone/>
                <wp:docPr id="1430" name="Straight Arrow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44" o:spid="_x0000_s1026" type="#_x0000_t32" style="position:absolute;margin-left:195.9pt;margin-top:15.7pt;width:0;height:37.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">
                <v:stroke endarrow="block"/>
              </v:shape>
            </w:pict>
          </mc:Fallback>
        </mc:AlternateContent>
      </w:r>
      <w:r w:rsidR="0073634E">
        <mc:AlternateContent>
          <mc:Choice Requires="wps">
            <w:drawing>
              <wp:anchor distT="0" distB="0" distL="114300" distR="114300" simplePos="0" relativeHeight="251599872" behindDoc="0" locked="0" layoutInCell="1" allowOverlap="1" wp14:anchorId="624D66CC" wp14:editId="3839E0A9">
                <wp:simplePos x="0" y="0"/>
                <wp:positionH relativeFrom="column">
                  <wp:posOffset>2486025</wp:posOffset>
                </wp:positionH>
                <wp:positionV relativeFrom="paragraph">
                  <wp:posOffset>196215</wp:posOffset>
                </wp:positionV>
                <wp:extent cx="2743200" cy="0"/>
                <wp:effectExtent l="0" t="0" r="19050" b="19050"/>
                <wp:wrapNone/>
                <wp:docPr id="4160"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15.45pt" to="411.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B+GgIAADYEAAAOAAAAZHJzL2Uyb0RvYy54bWysU8GO2jAQvVfqP1i+QxI2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" strokeweight=".6pt">
                <v:stroke endcap="round"/>
              </v:line>
            </w:pict>
          </mc:Fallback>
        </mc:AlternateContent>
      </w:r>
    </w:p>
    <w:p w:rsidR="0073634E" w:rsidRDefault="00327E39">
      <w:pPr>
        <w:pStyle w:val="BodyText"/>
      </w:pPr>
      <w:r>
        <mc:AlternateContent>
          <mc:Choice Requires="wps">
            <w:drawing>
              <wp:anchor distT="0" distB="0" distL="114300" distR="114300" simplePos="0" relativeHeight="251628544" behindDoc="0" locked="0" layoutInCell="1" allowOverlap="1" wp14:anchorId="7C41E17F" wp14:editId="12742099">
                <wp:simplePos x="0" y="0"/>
                <wp:positionH relativeFrom="column">
                  <wp:posOffset>2120265</wp:posOffset>
                </wp:positionH>
                <wp:positionV relativeFrom="paragraph">
                  <wp:posOffset>108585</wp:posOffset>
                </wp:positionV>
                <wp:extent cx="731520" cy="149860"/>
                <wp:effectExtent l="0" t="0" r="0" b="2540"/>
                <wp:wrapNone/>
                <wp:docPr id="4168"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149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Pr="002C51D2" w:rsidRDefault="001B5FF8" w:rsidP="0073634E">
                            <w:pPr>
                              <w:jc w:val="center"/>
                              <w:rPr>
                                <w:rFonts w:cs="Arial"/>
                                <w:sz w:val="16"/>
                                <w:szCs w:val="16"/>
                              </w:rPr>
                            </w:pPr>
                            <w:r w:rsidRPr="002C51D2">
                              <w:rPr>
                                <w:rFonts w:cs="Arial"/>
                                <w:iCs/>
                                <w:color w:val="000000"/>
                                <w:sz w:val="16"/>
                                <w:szCs w:val="16"/>
                              </w:rPr>
                              <w:t>230V/400V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5" style="position:absolute;left:0;text-align:left;margin-left:166.95pt;margin-top:8.55pt;width:57.6pt;height:1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" stroked="f">
                <v:textbox inset="0,0,0,0">
                  <w:txbxContent>
                    <w:p w:rsidR="001B5FF8" w:rsidRPr="002C51D2" w:rsidRDefault="001B5FF8" w:rsidP="0073634E">
                      <w:pPr>
                        <w:jc w:val="center"/>
                        <w:rPr>
                          <w:rFonts w:cs="Arial"/>
                          <w:sz w:val="16"/>
                          <w:szCs w:val="16"/>
                        </w:rPr>
                      </w:pPr>
                      <w:r w:rsidRPr="002C51D2">
                        <w:rPr>
                          <w:rFonts w:cs="Arial"/>
                          <w:iCs/>
                          <w:color w:val="000000"/>
                          <w:sz w:val="16"/>
                          <w:szCs w:val="16"/>
                        </w:rPr>
                        <w:t>230V/400V</w:t>
                      </w:r>
                    </w:p>
                  </w:txbxContent>
                </v:textbox>
              </v:rect>
            </w:pict>
          </mc:Fallback>
        </mc:AlternateContent>
      </w:r>
      <w:r w:rsidR="009C0C43">
        <mc:AlternateContent>
          <mc:Choice Requires="wps">
            <w:drawing>
              <wp:anchor distT="0" distB="0" distL="114300" distR="114300" simplePos="0" relativeHeight="251755520" behindDoc="0" locked="0" layoutInCell="1" allowOverlap="1" wp14:anchorId="4A082463" wp14:editId="7AA3D4F5">
                <wp:simplePos x="0" y="0"/>
                <wp:positionH relativeFrom="column">
                  <wp:posOffset>3409315</wp:posOffset>
                </wp:positionH>
                <wp:positionV relativeFrom="paragraph">
                  <wp:posOffset>106680</wp:posOffset>
                </wp:positionV>
                <wp:extent cx="1007110" cy="131191"/>
                <wp:effectExtent l="0" t="0" r="21590" b="21590"/>
                <wp:wrapNone/>
                <wp:docPr id="416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131191"/>
                        </a:xfrm>
                        <a:prstGeom prst="rect">
                          <a:avLst/>
                        </a:prstGeom>
                        <a:solidFill>
                          <a:schemeClr val="bg1"/>
                        </a:solidFill>
                        <a:ln w="9525">
                          <a:solidFill>
                            <a:srgbClr val="FFFFFF"/>
                          </a:solidFill>
                          <a:miter lim="800000"/>
                          <a:headEnd/>
                          <a:tailEnd/>
                        </a:ln>
                        <a:extLst/>
                      </wps:spPr>
                      <wps:txbx>
                        <w:txbxContent>
                          <w:p w:rsidR="001B5FF8" w:rsidRPr="002C51D2" w:rsidRDefault="001B5FF8" w:rsidP="0073634E">
                            <w:pPr>
                              <w:jc w:val="center"/>
                              <w:rPr>
                                <w:rFonts w:cs="Arial"/>
                                <w:sz w:val="16"/>
                                <w:szCs w:val="16"/>
                              </w:rPr>
                            </w:pPr>
                            <w:r w:rsidRPr="002C51D2">
                              <w:rPr>
                                <w:rFonts w:cs="Arial"/>
                                <w:iCs/>
                                <w:color w:val="000000"/>
                                <w:sz w:val="16"/>
                                <w:szCs w:val="16"/>
                              </w:rPr>
                              <w:t>5kV, to 22kV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36" style="position:absolute;left:0;text-align:left;margin-left:268.45pt;margin-top:8.4pt;width:79.3pt;height:10.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" fillcolor="white [3212]" strokecolor="white">
                <v:textbox inset="0,0,0,0">
                  <w:txbxContent>
                    <w:p w:rsidR="001B5FF8" w:rsidRPr="002C51D2" w:rsidRDefault="001B5FF8" w:rsidP="0073634E">
                      <w:pPr>
                        <w:jc w:val="center"/>
                        <w:rPr>
                          <w:rFonts w:cs="Arial"/>
                          <w:sz w:val="16"/>
                          <w:szCs w:val="16"/>
                        </w:rPr>
                      </w:pPr>
                      <w:r w:rsidRPr="002C51D2">
                        <w:rPr>
                          <w:rFonts w:cs="Arial"/>
                          <w:iCs/>
                          <w:color w:val="000000"/>
                          <w:sz w:val="16"/>
                          <w:szCs w:val="16"/>
                        </w:rPr>
                        <w:t>5kV, to 22kV</w:t>
                      </w:r>
                    </w:p>
                  </w:txbxContent>
                </v:textbox>
              </v:rect>
            </w:pict>
          </mc:Fallback>
        </mc:AlternateContent>
      </w:r>
      <w:r w:rsidR="0073634E">
        <mc:AlternateContent>
          <mc:Choice Requires="wps">
            <w:drawing>
              <wp:anchor distT="0" distB="0" distL="114300" distR="114300" simplePos="0" relativeHeight="251616256" behindDoc="0" locked="0" layoutInCell="1" allowOverlap="1" wp14:anchorId="111AF144" wp14:editId="3EA6721A">
                <wp:simplePos x="0" y="0"/>
                <wp:positionH relativeFrom="column">
                  <wp:posOffset>4739640</wp:posOffset>
                </wp:positionH>
                <wp:positionV relativeFrom="paragraph">
                  <wp:posOffset>109220</wp:posOffset>
                </wp:positionV>
                <wp:extent cx="1076325" cy="94615"/>
                <wp:effectExtent l="0" t="0" r="9525" b="635"/>
                <wp:wrapNone/>
                <wp:docPr id="4167"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94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Pr="002C51D2" w:rsidRDefault="001B5FF8" w:rsidP="0073634E">
                            <w:pPr>
                              <w:rPr>
                                <w:rFonts w:cs="Arial"/>
                                <w:sz w:val="16"/>
                                <w:szCs w:val="16"/>
                              </w:rPr>
                            </w:pPr>
                            <w:r w:rsidRPr="002C51D2">
                              <w:rPr>
                                <w:rFonts w:cs="Arial"/>
                                <w:iCs/>
                                <w:color w:val="000000"/>
                                <w:sz w:val="16"/>
                                <w:szCs w:val="16"/>
                              </w:rPr>
                              <w:t>33kV</w:t>
                            </w:r>
                            <w:r>
                              <w:rPr>
                                <w:rFonts w:cs="Arial"/>
                                <w:iCs/>
                                <w:color w:val="000000"/>
                                <w:sz w:val="16"/>
                                <w:szCs w:val="16"/>
                              </w:rPr>
                              <w:t>,</w:t>
                            </w:r>
                            <w:r w:rsidRPr="002C51D2">
                              <w:rPr>
                                <w:rFonts w:cs="Arial"/>
                                <w:iCs/>
                                <w:color w:val="000000"/>
                                <w:sz w:val="16"/>
                                <w:szCs w:val="16"/>
                              </w:rPr>
                              <w:t xml:space="preserve"> 66kV and 132kV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37" style="position:absolute;left:0;text-align:left;margin-left:373.2pt;margin-top:8.6pt;width:84.75pt;height:7.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" stroked="f">
                <v:textbox inset="0,0,0,0">
                  <w:txbxContent>
                    <w:p w:rsidR="001B5FF8" w:rsidRPr="002C51D2" w:rsidRDefault="001B5FF8" w:rsidP="0073634E">
                      <w:pPr>
                        <w:rPr>
                          <w:rFonts w:cs="Arial"/>
                          <w:sz w:val="16"/>
                          <w:szCs w:val="16"/>
                        </w:rPr>
                      </w:pPr>
                      <w:r w:rsidRPr="002C51D2">
                        <w:rPr>
                          <w:rFonts w:cs="Arial"/>
                          <w:iCs/>
                          <w:color w:val="000000"/>
                          <w:sz w:val="16"/>
                          <w:szCs w:val="16"/>
                        </w:rPr>
                        <w:t>33kV</w:t>
                      </w:r>
                      <w:r>
                        <w:rPr>
                          <w:rFonts w:cs="Arial"/>
                          <w:iCs/>
                          <w:color w:val="000000"/>
                          <w:sz w:val="16"/>
                          <w:szCs w:val="16"/>
                        </w:rPr>
                        <w:t>,</w:t>
                      </w:r>
                      <w:r w:rsidRPr="002C51D2">
                        <w:rPr>
                          <w:rFonts w:cs="Arial"/>
                          <w:iCs/>
                          <w:color w:val="000000"/>
                          <w:sz w:val="16"/>
                          <w:szCs w:val="16"/>
                        </w:rPr>
                        <w:t xml:space="preserve"> 66kV and 132kV</w:t>
                      </w:r>
                    </w:p>
                  </w:txbxContent>
                </v:textbox>
              </v:rect>
            </w:pict>
          </mc:Fallback>
        </mc:AlternateContent>
      </w:r>
    </w:p>
    <w:p w:rsidR="0073634E" w:rsidRDefault="00B05E4C">
      <w:pPr>
        <w:pStyle w:val="BodyText"/>
      </w:pPr>
      <w:r>
        <mc:AlternateContent>
          <mc:Choice Requires="wpg">
            <w:drawing>
              <wp:anchor distT="0" distB="0" distL="114300" distR="114300" simplePos="0" relativeHeight="251603968" behindDoc="0" locked="0" layoutInCell="1" allowOverlap="1" wp14:anchorId="47DD76B3" wp14:editId="161F81CE">
                <wp:simplePos x="0" y="0"/>
                <wp:positionH relativeFrom="column">
                  <wp:posOffset>4772025</wp:posOffset>
                </wp:positionH>
                <wp:positionV relativeFrom="paragraph">
                  <wp:posOffset>158115</wp:posOffset>
                </wp:positionV>
                <wp:extent cx="1042670" cy="372110"/>
                <wp:effectExtent l="0" t="0" r="5080" b="27940"/>
                <wp:wrapNone/>
                <wp:docPr id="4176"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372110"/>
                          <a:chOff x="6599" y="9653"/>
                          <a:chExt cx="1642" cy="639"/>
                        </a:xfrm>
                      </wpg:grpSpPr>
                      <wps:wsp>
                        <wps:cNvPr id="4177" name="Rectangle 84"/>
                        <wps:cNvSpPr>
                          <a:spLocks noChangeArrowheads="1"/>
                        </wps:cNvSpPr>
                        <wps:spPr bwMode="auto">
                          <a:xfrm>
                            <a:off x="6644" y="9653"/>
                            <a:ext cx="1597"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8" name="Rectangle 85"/>
                        <wps:cNvSpPr>
                          <a:spLocks noChangeArrowheads="1"/>
                        </wps:cNvSpPr>
                        <wps:spPr bwMode="auto">
                          <a:xfrm>
                            <a:off x="6599" y="9653"/>
                            <a:ext cx="1597" cy="639"/>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26" style="position:absolute;margin-left:375.75pt;margin-top:12.45pt;width:82.1pt;height:29.3pt;z-index:251603968" coordorigin="6599,9653" coordsize="1642,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">
                <v:rect id="Rectangle 84" o:spid="_x0000_s1027" style="position:absolute;left:6644;top:9653;width:1597;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hk7MUA&#10;AADdAAAADwAAAGRycy9kb3ducmV2LnhtbESPQWvCQBSE70L/w/IK3nTXqrFNXUUEQdAeGgu9PrLP&#10;JDT7Ns2uGv+9Kwgeh5n5hpkvO1uLM7W+cqxhNFQgiHNnKi40/Bw2g3cQPiAbrB2Thit5WC5eenNM&#10;jbvwN52zUIgIYZ+ihjKEJpXS5yVZ9EPXEEfv6FqLIcq2kKbFS4TbWr4plUiLFceFEhtal5T/ZSer&#10;AZOJ+f86jveH3SnBj6JTm+mv0rr/2q0+QQTqwjP8aG+NhsloNoP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GTsxQAAAN0AAAAPAAAAAAAAAAAAAAAAAJgCAABkcnMv&#10;ZG93bnJldi54bWxQSwUGAAAAAAQABAD1AAAAigMAAAAA&#10;" stroked="f"/>
                <v:rect id="Rectangle 85" o:spid="_x0000_s1028" style="position:absolute;left:6599;top:9653;width:1597;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AozcEA&#10;AADdAAAADwAAAGRycy9kb3ducmV2LnhtbERP3WrCMBS+F3yHcITdaVodbnRGkYLY3W3VBzg0Z02x&#10;OSlJ1M6nXy4GXn58/5vdaHtxIx86xwryRQaCuHG641bB+XSYv4MIEVlj75gU/FKA3XY62WCh3Z2/&#10;6VbHVqQQDgUqMDEOhZShMWQxLNxAnLgf5y3GBH0rtcd7Cre9XGbZWlrsODUYHKg01Fzqq1VwIvOp&#10;z+bw5VfV8cFllT+6slfqZTbuP0BEGuNT/O+utILX/C3NTW/SE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wKM3BAAAA3QAAAA8AAAAAAAAAAAAAAAAAmAIAAGRycy9kb3du&#10;cmV2LnhtbFBLBQYAAAAABAAEAPUAAACGAwAAAAA=&#10;" filled="f" strokeweight=".6pt">
                  <v:stroke endcap="round"/>
                </v:rect>
              </v:group>
            </w:pict>
          </mc:Fallback>
        </mc:AlternateContent>
      </w:r>
      <w:r w:rsidR="0073634E">
        <mc:AlternateContent>
          <mc:Choice Requires="wps">
            <w:drawing>
              <wp:anchor distT="0" distB="0" distL="114300" distR="114300" simplePos="0" relativeHeight="251601920" behindDoc="0" locked="0" layoutInCell="1" allowOverlap="1" wp14:anchorId="51C367F8" wp14:editId="043956A5">
                <wp:simplePos x="0" y="0"/>
                <wp:positionH relativeFrom="column">
                  <wp:posOffset>3467100</wp:posOffset>
                </wp:positionH>
                <wp:positionV relativeFrom="paragraph">
                  <wp:posOffset>177165</wp:posOffset>
                </wp:positionV>
                <wp:extent cx="743585" cy="280670"/>
                <wp:effectExtent l="0" t="0" r="18415" b="5080"/>
                <wp:wrapNone/>
                <wp:docPr id="4170"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FF8" w:rsidRPr="002C51D2" w:rsidRDefault="001B5FF8" w:rsidP="0073634E">
                            <w:pPr>
                              <w:jc w:val="center"/>
                              <w:rPr>
                                <w:rFonts w:cs="Arial"/>
                                <w:sz w:val="16"/>
                                <w:szCs w:val="16"/>
                              </w:rPr>
                            </w:pPr>
                            <w:r>
                              <w:rPr>
                                <w:rFonts w:cs="Arial"/>
                                <w:iCs/>
                                <w:color w:val="000000"/>
                                <w:sz w:val="16"/>
                                <w:szCs w:val="16"/>
                              </w:rPr>
                              <w:t>High Voltage T</w:t>
                            </w:r>
                            <w:r w:rsidRPr="002C51D2">
                              <w:rPr>
                                <w:rFonts w:cs="Arial"/>
                                <w:iCs/>
                                <w:color w:val="000000"/>
                                <w:sz w:val="16"/>
                                <w:szCs w:val="16"/>
                              </w:rPr>
                              <w:t>ariff</w:t>
                            </w:r>
                            <w:r>
                              <w:rPr>
                                <w:rFonts w:cs="Arial"/>
                                <w:iCs/>
                                <w:color w:val="000000"/>
                                <w:sz w:val="16"/>
                                <w:szCs w:val="16"/>
                              </w:rPr>
                              <w:t xml:space="preserve"> 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38" style="position:absolute;left:0;text-align:left;margin-left:273pt;margin-top:13.95pt;width:58.55pt;height:22.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" filled="f" stroked="f">
                <v:textbox inset="0,0,0,0">
                  <w:txbxContent>
                    <w:p w:rsidR="001B5FF8" w:rsidRPr="002C51D2" w:rsidRDefault="001B5FF8" w:rsidP="0073634E">
                      <w:pPr>
                        <w:jc w:val="center"/>
                        <w:rPr>
                          <w:rFonts w:cs="Arial"/>
                          <w:sz w:val="16"/>
                          <w:szCs w:val="16"/>
                        </w:rPr>
                      </w:pPr>
                      <w:r>
                        <w:rPr>
                          <w:rFonts w:cs="Arial"/>
                          <w:iCs/>
                          <w:color w:val="000000"/>
                          <w:sz w:val="16"/>
                          <w:szCs w:val="16"/>
                        </w:rPr>
                        <w:t>High Voltage T</w:t>
                      </w:r>
                      <w:r w:rsidRPr="002C51D2">
                        <w:rPr>
                          <w:rFonts w:cs="Arial"/>
                          <w:iCs/>
                          <w:color w:val="000000"/>
                          <w:sz w:val="16"/>
                          <w:szCs w:val="16"/>
                        </w:rPr>
                        <w:t>ariff</w:t>
                      </w:r>
                      <w:r>
                        <w:rPr>
                          <w:rFonts w:cs="Arial"/>
                          <w:iCs/>
                          <w:color w:val="000000"/>
                          <w:sz w:val="16"/>
                          <w:szCs w:val="16"/>
                        </w:rPr>
                        <w:t xml:space="preserve"> Class</w:t>
                      </w:r>
                    </w:p>
                  </w:txbxContent>
                </v:textbox>
              </v:rect>
            </w:pict>
          </mc:Fallback>
        </mc:AlternateContent>
      </w:r>
      <w:r w:rsidR="0073634E">
        <mc:AlternateContent>
          <mc:Choice Requires="wpg">
            <w:drawing>
              <wp:anchor distT="0" distB="0" distL="114300" distR="114300" simplePos="0" relativeHeight="251608064" behindDoc="0" locked="0" layoutInCell="1" allowOverlap="1" wp14:anchorId="37307967" wp14:editId="72D16431">
                <wp:simplePos x="0" y="0"/>
                <wp:positionH relativeFrom="column">
                  <wp:posOffset>2052638</wp:posOffset>
                </wp:positionH>
                <wp:positionV relativeFrom="paragraph">
                  <wp:posOffset>139065</wp:posOffset>
                </wp:positionV>
                <wp:extent cx="803275" cy="395605"/>
                <wp:effectExtent l="0" t="0" r="15875" b="4445"/>
                <wp:wrapNone/>
                <wp:docPr id="4172"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395605"/>
                          <a:chOff x="2516" y="9653"/>
                          <a:chExt cx="1265" cy="623"/>
                        </a:xfrm>
                      </wpg:grpSpPr>
                      <wps:wsp>
                        <wps:cNvPr id="4173" name="Rectangle 90"/>
                        <wps:cNvSpPr>
                          <a:spLocks noChangeArrowheads="1"/>
                        </wps:cNvSpPr>
                        <wps:spPr bwMode="auto">
                          <a:xfrm>
                            <a:off x="2516" y="9653"/>
                            <a:ext cx="1265" cy="6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4" name="Rectangle 91"/>
                        <wps:cNvSpPr>
                          <a:spLocks noChangeArrowheads="1"/>
                        </wps:cNvSpPr>
                        <wps:spPr bwMode="auto">
                          <a:xfrm>
                            <a:off x="2516" y="9653"/>
                            <a:ext cx="1265" cy="570"/>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161.65pt;margin-top:10.95pt;width:63.25pt;height:31.15pt;z-index:251608064" coordorigin="2516,9653" coordsize="1265,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">
                <v:rect id="Rectangle 90" o:spid="_x0000_s1027" style="position:absolute;left:2516;top:9653;width:1265;height: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Ni78YA&#10;AADdAAAADwAAAGRycy9kb3ducmV2LnhtbESPT2vCQBTE74V+h+UVetPdVI2aZpVSEArVg3/A6yP7&#10;TEKzb9PsqvHbuwWhx2FmfsPky9424kKdrx1rSIYKBHHhTM2lhsN+NZiB8AHZYOOYNNzIw3Lx/JRj&#10;ZtyVt3TZhVJECPsMNVQhtJmUvqjIoh+6ljh6J9dZDFF2pTQdXiPcNvJNqVRarDkuVNjSZ0XFz+5s&#10;NWA6Nr+b02i9/z6nOC97tZocldavL/3HO4hAffgPP9pfRsM4mY7g701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Ni78YAAADdAAAADwAAAAAAAAAAAAAAAACYAgAAZHJz&#10;L2Rvd25yZXYueG1sUEsFBgAAAAAEAAQA9QAAAIsDAAAAAA==&#10;" stroked="f"/>
                <v:rect id="Rectangle 91" o:spid="_x0000_s1028" style="position:absolute;left:2516;top:9653;width:126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iyMQA&#10;AADdAAAADwAAAGRycy9kb3ducmV2LnhtbESPUWvCMBSF3wX/Q7jC3jTtJlOqUaQgq2+b+gMuzbUp&#10;NjclybTz15vBYI+Hc853OOvtYDtxIx9axwryWQaCuHa65UbB+bSfLkGEiKyxc0wKfijAdjMerbHQ&#10;7s5fdDvGRiQIhwIVmBj7QspQG7IYZq4nTt7FeYsxSd9I7fGe4LaTr1n2Li22nBYM9lQaqq/Hb6vg&#10;ROagz2b/6d+qjweXVf5oy06pl8mwW4GINMT/8F+70grm+WIOv2/SE5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9IsjEAAAA3QAAAA8AAAAAAAAAAAAAAAAAmAIAAGRycy9k&#10;b3ducmV2LnhtbFBLBQYAAAAABAAEAPUAAACJAwAAAAA=&#10;" filled="f" strokeweight=".6pt">
                  <v:stroke endcap="round"/>
                </v:rect>
              </v:group>
            </w:pict>
          </mc:Fallback>
        </mc:AlternateContent>
      </w:r>
      <w:r w:rsidR="0073634E">
        <mc:AlternateContent>
          <mc:Choice Requires="wps">
            <w:drawing>
              <wp:anchor distT="0" distB="0" distL="114300" distR="114300" simplePos="0" relativeHeight="251610112" behindDoc="0" locked="0" layoutInCell="1" allowOverlap="1" wp14:anchorId="0B18ECDA" wp14:editId="5643253C">
                <wp:simplePos x="0" y="0"/>
                <wp:positionH relativeFrom="column">
                  <wp:posOffset>2114550</wp:posOffset>
                </wp:positionH>
                <wp:positionV relativeFrom="paragraph">
                  <wp:posOffset>176530</wp:posOffset>
                </wp:positionV>
                <wp:extent cx="677545" cy="280670"/>
                <wp:effectExtent l="0" t="0" r="8255" b="5080"/>
                <wp:wrapNone/>
                <wp:docPr id="417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54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FF8" w:rsidRPr="002C51D2" w:rsidRDefault="001B5FF8" w:rsidP="0073634E">
                            <w:pPr>
                              <w:jc w:val="center"/>
                              <w:rPr>
                                <w:rFonts w:cs="Arial"/>
                                <w:sz w:val="16"/>
                                <w:szCs w:val="16"/>
                              </w:rPr>
                            </w:pPr>
                            <w:r w:rsidRPr="002C51D2">
                              <w:rPr>
                                <w:rFonts w:cs="Arial"/>
                                <w:iCs/>
                                <w:color w:val="000000"/>
                                <w:sz w:val="16"/>
                                <w:szCs w:val="16"/>
                              </w:rPr>
                              <w:t xml:space="preserve">Low Voltage </w:t>
                            </w:r>
                            <w:r>
                              <w:rPr>
                                <w:rFonts w:cs="Arial"/>
                                <w:iCs/>
                                <w:color w:val="000000"/>
                                <w:sz w:val="16"/>
                                <w:szCs w:val="16"/>
                              </w:rPr>
                              <w:t>Tariff 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39" style="position:absolute;left:0;text-align:left;margin-left:166.5pt;margin-top:13.9pt;width:53.35pt;height:22.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" filled="f" stroked="f">
                <v:textbox inset="0,0,0,0">
                  <w:txbxContent>
                    <w:p w:rsidR="001B5FF8" w:rsidRPr="002C51D2" w:rsidRDefault="001B5FF8" w:rsidP="0073634E">
                      <w:pPr>
                        <w:jc w:val="center"/>
                        <w:rPr>
                          <w:rFonts w:cs="Arial"/>
                          <w:sz w:val="16"/>
                          <w:szCs w:val="16"/>
                        </w:rPr>
                      </w:pPr>
                      <w:r w:rsidRPr="002C51D2">
                        <w:rPr>
                          <w:rFonts w:cs="Arial"/>
                          <w:iCs/>
                          <w:color w:val="000000"/>
                          <w:sz w:val="16"/>
                          <w:szCs w:val="16"/>
                        </w:rPr>
                        <w:t xml:space="preserve">Low Voltage </w:t>
                      </w:r>
                      <w:r>
                        <w:rPr>
                          <w:rFonts w:cs="Arial"/>
                          <w:iCs/>
                          <w:color w:val="000000"/>
                          <w:sz w:val="16"/>
                          <w:szCs w:val="16"/>
                        </w:rPr>
                        <w:t>Tariff Class</w:t>
                      </w:r>
                    </w:p>
                  </w:txbxContent>
                </v:textbox>
              </v:rect>
            </w:pict>
          </mc:Fallback>
        </mc:AlternateContent>
      </w:r>
      <w:r w:rsidR="0073634E">
        <mc:AlternateContent>
          <mc:Choice Requires="wps">
            <w:drawing>
              <wp:anchor distT="0" distB="0" distL="114300" distR="114300" simplePos="0" relativeHeight="251606016" behindDoc="0" locked="0" layoutInCell="1" allowOverlap="1" wp14:anchorId="68F857EB" wp14:editId="1A51CC82">
                <wp:simplePos x="0" y="0"/>
                <wp:positionH relativeFrom="column">
                  <wp:posOffset>4804410</wp:posOffset>
                </wp:positionH>
                <wp:positionV relativeFrom="paragraph">
                  <wp:posOffset>225425</wp:posOffset>
                </wp:positionV>
                <wp:extent cx="934085" cy="310515"/>
                <wp:effectExtent l="0" t="0" r="18415" b="13335"/>
                <wp:wrapNone/>
                <wp:docPr id="4179"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08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5FF8" w:rsidRPr="002C51D2" w:rsidRDefault="001B5FF8" w:rsidP="0073634E">
                            <w:pPr>
                              <w:jc w:val="center"/>
                              <w:rPr>
                                <w:rFonts w:cs="Arial"/>
                                <w:sz w:val="16"/>
                                <w:szCs w:val="16"/>
                              </w:rPr>
                            </w:pPr>
                            <w:r w:rsidRPr="002C51D2">
                              <w:rPr>
                                <w:rFonts w:cs="Arial"/>
                                <w:iCs/>
                                <w:color w:val="000000"/>
                                <w:sz w:val="16"/>
                                <w:szCs w:val="16"/>
                              </w:rPr>
                              <w:t>Sub-transmission</w:t>
                            </w:r>
                            <w:r>
                              <w:rPr>
                                <w:rFonts w:cs="Arial"/>
                                <w:iCs/>
                                <w:color w:val="000000"/>
                                <w:sz w:val="16"/>
                                <w:szCs w:val="16"/>
                              </w:rPr>
                              <w:t xml:space="preserve"> Voltage Tariff 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40" style="position:absolute;left:0;text-align:left;margin-left:378.3pt;margin-top:17.75pt;width:73.55pt;height:24.4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" filled="f" stroked="f">
                <v:textbox inset="0,0,0,0">
                  <w:txbxContent>
                    <w:p w:rsidR="001B5FF8" w:rsidRPr="002C51D2" w:rsidRDefault="001B5FF8" w:rsidP="0073634E">
                      <w:pPr>
                        <w:jc w:val="center"/>
                        <w:rPr>
                          <w:rFonts w:cs="Arial"/>
                          <w:sz w:val="16"/>
                          <w:szCs w:val="16"/>
                        </w:rPr>
                      </w:pPr>
                      <w:r w:rsidRPr="002C51D2">
                        <w:rPr>
                          <w:rFonts w:cs="Arial"/>
                          <w:iCs/>
                          <w:color w:val="000000"/>
                          <w:sz w:val="16"/>
                          <w:szCs w:val="16"/>
                        </w:rPr>
                        <w:t>Sub-transmission</w:t>
                      </w:r>
                      <w:r>
                        <w:rPr>
                          <w:rFonts w:cs="Arial"/>
                          <w:iCs/>
                          <w:color w:val="000000"/>
                          <w:sz w:val="16"/>
                          <w:szCs w:val="16"/>
                        </w:rPr>
                        <w:t xml:space="preserve"> Voltage Tariff Class</w:t>
                      </w:r>
                    </w:p>
                  </w:txbxContent>
                </v:textbox>
              </v:rect>
            </w:pict>
          </mc:Fallback>
        </mc:AlternateContent>
      </w:r>
      <w:r w:rsidR="0073634E">
        <mc:AlternateContent>
          <mc:Choice Requires="wpg">
            <w:drawing>
              <wp:anchor distT="0" distB="0" distL="114300" distR="114300" simplePos="0" relativeHeight="251569152" behindDoc="0" locked="0" layoutInCell="1" allowOverlap="1" wp14:anchorId="4F1F4D8D" wp14:editId="7EEEE825">
                <wp:simplePos x="0" y="0"/>
                <wp:positionH relativeFrom="column">
                  <wp:posOffset>3457575</wp:posOffset>
                </wp:positionH>
                <wp:positionV relativeFrom="paragraph">
                  <wp:posOffset>141605</wp:posOffset>
                </wp:positionV>
                <wp:extent cx="803275" cy="356870"/>
                <wp:effectExtent l="0" t="0" r="15875" b="24130"/>
                <wp:wrapNone/>
                <wp:docPr id="418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275" cy="356870"/>
                          <a:chOff x="2516" y="9653"/>
                          <a:chExt cx="1265" cy="562"/>
                        </a:xfrm>
                      </wpg:grpSpPr>
                      <wps:wsp>
                        <wps:cNvPr id="4181" name="Rectangle 90"/>
                        <wps:cNvSpPr>
                          <a:spLocks noChangeArrowheads="1"/>
                        </wps:cNvSpPr>
                        <wps:spPr bwMode="auto">
                          <a:xfrm>
                            <a:off x="2516" y="9653"/>
                            <a:ext cx="1265" cy="5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2" name="Rectangle 91"/>
                        <wps:cNvSpPr>
                          <a:spLocks noChangeArrowheads="1"/>
                        </wps:cNvSpPr>
                        <wps:spPr bwMode="auto">
                          <a:xfrm>
                            <a:off x="2516" y="9653"/>
                            <a:ext cx="1265" cy="562"/>
                          </a:xfrm>
                          <a:prstGeom prst="rect">
                            <a:avLst/>
                          </a:prstGeom>
                          <a:noFill/>
                          <a:ln w="762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26" style="position:absolute;margin-left:272.25pt;margin-top:11.15pt;width:63.25pt;height:28.1pt;z-index:251569152" coordorigin="2516,9653" coordsize="1265,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">
                <v:rect id="Rectangle 90" o:spid="_x0000_s1027" style="position:absolute;left:2516;top:9653;width:126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pJMUA&#10;AADdAAAADwAAAGRycy9kb3ducmV2LnhtbESPQWvCQBSE7wX/w/IEb3U3VYNNs5EiCELrQS30+sg+&#10;k2D2bcyumv77bqHgcZiZb5h8NdhW3Kj3jWMNyVSBIC6dabjS8HXcPC9B+IBssHVMGn7Iw6oYPeWY&#10;GXfnPd0OoRIRwj5DDXUIXSalL2uy6KeuI47eyfUWQ5R9JU2P9wi3rXxRKpUWG44LNXa0rqk8H65W&#10;A6Zzc9mdZp/Hj2uKr9WgNotvpfVkPLy/gQg0hEf4v701GubJMoG/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CkkxQAAAN0AAAAPAAAAAAAAAAAAAAAAAJgCAABkcnMv&#10;ZG93bnJldi54bWxQSwUGAAAAAAQABAD1AAAAigMAAAAA&#10;" stroked="f"/>
                <v:rect id="Rectangle 91" o:spid="_x0000_s1028" style="position:absolute;left:2516;top:9653;width:1265;height:5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1vAMMA&#10;AADdAAAADwAAAGRycy9kb3ducmV2LnhtbESP3YrCMBSE7xd8h3CEvVvTqoh0jbIUxHrn3wMcmrNN&#10;2eakJFGrT78RFvZymJlvmNVmsJ24kQ+tYwX5JANBXDvdcqPgct5+LEGEiKyxc0wKHhRgsx69rbDQ&#10;7s5Hup1iIxKEQ4EKTIx9IWWoDVkME9cTJ+/beYsxSd9I7fGe4LaT0yxbSIstpwWDPZWG6p/T1So4&#10;k9nri9ke/KzaPbms8mdbdkq9j4evTxCRhvgf/mtXWsE8X07h9S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1vAMMAAADdAAAADwAAAAAAAAAAAAAAAACYAgAAZHJzL2Rv&#10;d25yZXYueG1sUEsFBgAAAAAEAAQA9QAAAIgDAAAAAA==&#10;" filled="f" strokeweight=".6pt">
                  <v:stroke endcap="round"/>
                </v:rect>
              </v:group>
            </w:pict>
          </mc:Fallback>
        </mc:AlternateContent>
      </w:r>
    </w:p>
    <w:p w:rsidR="0073634E" w:rsidRDefault="0073634E">
      <w:pPr>
        <w:pStyle w:val="BodyText"/>
      </w:pPr>
    </w:p>
    <w:p w:rsidR="0073634E" w:rsidRDefault="0073634E">
      <w:pPr>
        <w:pStyle w:val="BodyText"/>
      </w:pPr>
      <w:r>
        <mc:AlternateContent>
          <mc:Choice Requires="wps">
            <w:drawing>
              <wp:anchor distT="0" distB="0" distL="114300" distR="114300" simplePos="0" relativeHeight="251618304" behindDoc="0" locked="0" layoutInCell="1" allowOverlap="1" wp14:anchorId="2E4CD00C" wp14:editId="53D638E5">
                <wp:simplePos x="0" y="0"/>
                <wp:positionH relativeFrom="column">
                  <wp:posOffset>21152485</wp:posOffset>
                </wp:positionH>
                <wp:positionV relativeFrom="paragraph">
                  <wp:posOffset>720090</wp:posOffset>
                </wp:positionV>
                <wp:extent cx="1036320" cy="5080"/>
                <wp:effectExtent l="9525" t="8890" r="11430" b="5080"/>
                <wp:wrapNone/>
                <wp:docPr id="418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6320" cy="5080"/>
                        </a:xfrm>
                        <a:prstGeom prst="line">
                          <a:avLst/>
                        </a:prstGeom>
                        <a:noFill/>
                        <a:ln w="7620" cap="rnd">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5.55pt,56.7pt" to="1747.1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" strokeweight=".6pt">
                <v:stroke endcap="round"/>
              </v:line>
            </w:pict>
          </mc:Fallback>
        </mc:AlternateContent>
      </w:r>
    </w:p>
    <w:p w:rsidR="0073634E" w:rsidRDefault="0073634E" w:rsidP="00722C30">
      <w:pPr>
        <w:pStyle w:val="Heading3"/>
      </w:pPr>
      <w:r>
        <w:t>Procedure for assigning new retail customers to a default NUOS tariff</w:t>
      </w:r>
    </w:p>
    <w:p w:rsidR="00F016B5" w:rsidRPr="00F93A72" w:rsidRDefault="00F016B5" w:rsidP="00D34AE4">
      <w:pPr>
        <w:pStyle w:val="BodyText"/>
      </w:pPr>
      <w:r w:rsidRPr="00F93A72">
        <w:t>Ausgrid’s procedure for assigning new retail customers to a default NUOS tariff is directed at assigning the relevant customer to the most economically efficient NUOS tariff possible, given the absence of historical network usage information. Ausgrid proposes to achieve this by assigning new retail customers to a NUOS tariff within the applicable tariff class by reference to a range of factors, such as:</w:t>
      </w:r>
    </w:p>
    <w:p w:rsidR="00F016B5" w:rsidRPr="00F93A72" w:rsidRDefault="00F016B5" w:rsidP="00724201">
      <w:pPr>
        <w:numPr>
          <w:ilvl w:val="0"/>
          <w:numId w:val="14"/>
        </w:numPr>
        <w:spacing w:after="120" w:line="260" w:lineRule="exact"/>
        <w:ind w:left="1276" w:hanging="340"/>
        <w:rPr>
          <w:sz w:val="20"/>
        </w:rPr>
      </w:pPr>
      <w:r w:rsidRPr="00F93A72">
        <w:rPr>
          <w:sz w:val="20"/>
        </w:rPr>
        <w:t>the voltage level of supply as measured at the metering point;</w:t>
      </w:r>
    </w:p>
    <w:p w:rsidR="00F016B5" w:rsidRPr="00F93A72" w:rsidRDefault="00F016B5" w:rsidP="00724201">
      <w:pPr>
        <w:numPr>
          <w:ilvl w:val="0"/>
          <w:numId w:val="14"/>
        </w:numPr>
        <w:spacing w:after="120" w:line="260" w:lineRule="exact"/>
        <w:ind w:left="1276" w:hanging="340"/>
        <w:rPr>
          <w:sz w:val="20"/>
        </w:rPr>
      </w:pPr>
      <w:r w:rsidRPr="00F93A72">
        <w:rPr>
          <w:sz w:val="20"/>
        </w:rPr>
        <w:t>the type of metering installed, e.g. unmetered or metered;</w:t>
      </w:r>
    </w:p>
    <w:p w:rsidR="00F016B5" w:rsidRPr="00F93A72" w:rsidRDefault="00F016B5" w:rsidP="00724201">
      <w:pPr>
        <w:numPr>
          <w:ilvl w:val="0"/>
          <w:numId w:val="14"/>
        </w:numPr>
        <w:spacing w:after="120" w:line="260" w:lineRule="exact"/>
        <w:ind w:left="1276" w:hanging="340"/>
        <w:rPr>
          <w:sz w:val="20"/>
        </w:rPr>
      </w:pPr>
      <w:r w:rsidRPr="00F93A72">
        <w:rPr>
          <w:sz w:val="20"/>
        </w:rPr>
        <w:t>the nature of the network usage, e.g. residential or business; and</w:t>
      </w:r>
    </w:p>
    <w:p w:rsidR="00F016B5" w:rsidRPr="00F93A72" w:rsidRDefault="00F016B5" w:rsidP="00724201">
      <w:pPr>
        <w:numPr>
          <w:ilvl w:val="0"/>
          <w:numId w:val="14"/>
        </w:numPr>
        <w:spacing w:after="120" w:line="260" w:lineRule="exact"/>
        <w:ind w:left="1276" w:hanging="340"/>
        <w:rPr>
          <w:sz w:val="20"/>
        </w:rPr>
      </w:pPr>
      <w:proofErr w:type="gramStart"/>
      <w:r w:rsidRPr="00F93A72">
        <w:rPr>
          <w:sz w:val="20"/>
        </w:rPr>
        <w:t>the</w:t>
      </w:r>
      <w:proofErr w:type="gramEnd"/>
      <w:r w:rsidRPr="00F93A72">
        <w:rPr>
          <w:sz w:val="20"/>
        </w:rPr>
        <w:t xml:space="preserve"> connection to </w:t>
      </w:r>
      <w:proofErr w:type="spellStart"/>
      <w:r w:rsidRPr="00F93A72">
        <w:rPr>
          <w:sz w:val="20"/>
        </w:rPr>
        <w:t>Ausgrid’s</w:t>
      </w:r>
      <w:proofErr w:type="spellEnd"/>
      <w:r w:rsidRPr="00F93A72">
        <w:rPr>
          <w:sz w:val="20"/>
        </w:rPr>
        <w:t xml:space="preserve"> electricity network, e.g. distribution or transmission connected.</w:t>
      </w:r>
    </w:p>
    <w:p w:rsidR="00F016B5" w:rsidRPr="00F93A72" w:rsidRDefault="00F016B5" w:rsidP="00FD6C67">
      <w:pPr>
        <w:pStyle w:val="BodyText"/>
      </w:pPr>
      <w:r w:rsidRPr="00F93A72">
        <w:t xml:space="preserve">A key </w:t>
      </w:r>
      <w:r w:rsidRPr="00FD6C67">
        <w:rPr>
          <w:rStyle w:val="AERbody"/>
        </w:rPr>
        <w:t>change</w:t>
      </w:r>
      <w:r w:rsidRPr="00F93A72">
        <w:t xml:space="preserve"> in Ausgrid’s procedure for assigning new customers to a tariff is that, from 1 July 2018, all new residential and small business customers will be assigned to a default TOU tariff (</w:t>
      </w:r>
      <w:r w:rsidRPr="00F93A72">
        <w:rPr>
          <w:szCs w:val="18"/>
        </w:rPr>
        <w:t>EA025 for residential customers and EA225 for small business customers), with the option to opt-</w:t>
      </w:r>
      <w:r w:rsidR="00B17C8B">
        <w:rPr>
          <w:szCs w:val="18"/>
        </w:rPr>
        <w:t>in</w:t>
      </w:r>
      <w:r w:rsidR="00B17C8B" w:rsidRPr="00F93A72">
        <w:rPr>
          <w:szCs w:val="18"/>
        </w:rPr>
        <w:t xml:space="preserve"> </w:t>
      </w:r>
      <w:r w:rsidRPr="00F93A72">
        <w:rPr>
          <w:szCs w:val="18"/>
        </w:rPr>
        <w:t xml:space="preserve">to a transitional TOU tariff (EA332 for residential customers and EA333 for small business customers). Transitional tariffs are discussed in more detail in section </w:t>
      </w:r>
      <w:r w:rsidR="00054017" w:rsidRPr="00722C30">
        <w:rPr>
          <w:rStyle w:val="AERbody"/>
        </w:rPr>
        <w:fldChar w:fldCharType="begin"/>
      </w:r>
      <w:r w:rsidR="00054017" w:rsidRPr="00722C30">
        <w:rPr>
          <w:rStyle w:val="AERbody"/>
        </w:rPr>
        <w:instrText xml:space="preserve"> REF _Ref462143792 \r \h </w:instrText>
      </w:r>
      <w:r w:rsidR="00054017" w:rsidRPr="00722C30">
        <w:rPr>
          <w:rStyle w:val="AERbody"/>
        </w:rPr>
      </w:r>
      <w:r w:rsidR="00054017" w:rsidRPr="00722C30">
        <w:rPr>
          <w:rStyle w:val="AERbody"/>
        </w:rPr>
        <w:fldChar w:fldCharType="separate"/>
      </w:r>
      <w:r w:rsidR="00BE0834">
        <w:rPr>
          <w:rStyle w:val="AERbody"/>
        </w:rPr>
        <w:t>8.3.6</w:t>
      </w:r>
      <w:r w:rsidR="00054017" w:rsidRPr="00722C30">
        <w:rPr>
          <w:rStyle w:val="AERbody"/>
        </w:rPr>
        <w:fldChar w:fldCharType="end"/>
      </w:r>
      <w:r w:rsidR="00054017" w:rsidRPr="00722C30">
        <w:rPr>
          <w:rStyle w:val="AERbody"/>
        </w:rPr>
        <w:t>.</w:t>
      </w:r>
      <w:r w:rsidRPr="00F93A72">
        <w:rPr>
          <w:rStyle w:val="FootnoteReference"/>
          <w:szCs w:val="18"/>
        </w:rPr>
        <w:footnoteReference w:id="8"/>
      </w:r>
    </w:p>
    <w:p w:rsidR="00940234" w:rsidRDefault="00F016B5" w:rsidP="0094273A">
      <w:pPr>
        <w:pStyle w:val="BodyText"/>
      </w:pPr>
      <w:r w:rsidRPr="00F93A72">
        <w:lastRenderedPageBreak/>
        <w:t xml:space="preserve">An </w:t>
      </w:r>
      <w:r w:rsidRPr="0094273A">
        <w:rPr>
          <w:rStyle w:val="AERbody"/>
        </w:rPr>
        <w:t>overview</w:t>
      </w:r>
      <w:r w:rsidRPr="00F93A72">
        <w:t xml:space="preserve"> of the proposed procedure for assigning new retail customers to a default NUOS</w:t>
      </w:r>
      <w:r w:rsidRPr="00F93A72">
        <w:rPr>
          <w:rStyle w:val="FootnoteReference"/>
        </w:rPr>
        <w:footnoteReference w:id="9"/>
      </w:r>
      <w:r w:rsidRPr="00F93A72">
        <w:t xml:space="preserve"> tariff under the proposed tariff reform agenda is presented </w:t>
      </w:r>
      <w:r w:rsidR="006A450F">
        <w:t xml:space="preserve">in </w:t>
      </w:r>
      <w:r w:rsidR="006A450F" w:rsidRPr="00081DCC">
        <w:fldChar w:fldCharType="begin"/>
      </w:r>
      <w:r w:rsidR="006A450F" w:rsidRPr="00081DCC">
        <w:instrText xml:space="preserve"> REF _Ref462919721 \h </w:instrText>
      </w:r>
      <w:r w:rsidR="00D0678A">
        <w:instrText xml:space="preserve"> \* MERGEFORMAT </w:instrText>
      </w:r>
      <w:r w:rsidR="006A450F" w:rsidRPr="00081DCC">
        <w:fldChar w:fldCharType="separate"/>
      </w:r>
      <w:r w:rsidR="00BE0834" w:rsidRPr="0071162E">
        <w:t xml:space="preserve">Figure </w:t>
      </w:r>
      <w:r w:rsidR="00BE0834">
        <w:t>4</w:t>
      </w:r>
      <w:r w:rsidR="006A450F" w:rsidRPr="00081DCC">
        <w:fldChar w:fldCharType="end"/>
      </w:r>
      <w:r w:rsidRPr="00F93A72">
        <w:t>. It is important to note that Ausgrid will continue to apply the existing procedure prior to 1 July 2018, which is the date on which the last of the reforms in this TSS come into effect.</w:t>
      </w:r>
      <w:r w:rsidR="00940234" w:rsidRPr="00940234">
        <w:t xml:space="preserve"> Ausgrid’s existing procedures are set out in our ES7 Network Pricing Guide. This document is available to be downloaded from </w:t>
      </w:r>
      <w:r w:rsidR="00940234">
        <w:t>our website:</w:t>
      </w:r>
    </w:p>
    <w:p w:rsidR="00940234" w:rsidRPr="00940234" w:rsidRDefault="00940234" w:rsidP="0094273A">
      <w:pPr>
        <w:pStyle w:val="BodyText"/>
        <w:rPr>
          <w:rFonts w:ascii="Arial Bold" w:hAnsi="Arial Bold"/>
          <w:color w:val="0070C0"/>
        </w:rPr>
      </w:pPr>
      <w:r w:rsidRPr="00940234">
        <w:rPr>
          <w:rFonts w:ascii="Arial Bold" w:hAnsi="Arial Bold"/>
          <w:color w:val="0070C0"/>
        </w:rPr>
        <w:t>www.ausgrid.com.au/Common/Industry/Regulation/Network-prices/Price-lists-and-policy.aspx</w:t>
      </w:r>
    </w:p>
    <w:p w:rsidR="00940234" w:rsidRDefault="00940234" w:rsidP="0094273A">
      <w:pPr>
        <w:pStyle w:val="BodyText"/>
      </w:pPr>
    </w:p>
    <w:p w:rsidR="0073634E" w:rsidRPr="00F93A72" w:rsidRDefault="0073634E" w:rsidP="0094273A">
      <w:pPr>
        <w:pStyle w:val="BodyText"/>
        <w:sectPr w:rsidR="0073634E" w:rsidRPr="00F93A72" w:rsidSect="00D652AB">
          <w:pgSz w:w="11909" w:h="16834" w:code="9"/>
          <w:pgMar w:top="992" w:right="1077" w:bottom="1418" w:left="1077" w:header="431" w:footer="431" w:gutter="0"/>
          <w:cols w:space="720"/>
        </w:sectPr>
      </w:pPr>
    </w:p>
    <w:p w:rsidR="000C43BC" w:rsidRPr="00F90A32" w:rsidRDefault="000C43BC">
      <w:pPr>
        <w:pStyle w:val="Caption"/>
      </w:pPr>
      <w:bookmarkStart w:id="367" w:name="_Ref462919721"/>
      <w:r w:rsidRPr="0071162E">
        <w:lastRenderedPageBreak/>
        <w:t xml:space="preserve">Figure </w:t>
      </w:r>
      <w:fldSimple w:instr=" SEQ Figure \* ARABIC ">
        <w:r w:rsidR="00BE0834">
          <w:rPr>
            <w:noProof/>
          </w:rPr>
          <w:t>4</w:t>
        </w:r>
      </w:fldSimple>
      <w:bookmarkEnd w:id="367"/>
      <w:r w:rsidRPr="0071162E">
        <w:t xml:space="preserve"> – Overview</w:t>
      </w:r>
      <w:r w:rsidRPr="0071162E">
        <w:rPr>
          <w:sz w:val="24"/>
        </w:rPr>
        <w:t xml:space="preserve"> </w:t>
      </w:r>
      <w:r w:rsidRPr="00C04796">
        <w:t xml:space="preserve">of </w:t>
      </w:r>
      <w:proofErr w:type="spellStart"/>
      <w:r>
        <w:t>Ausgrid’s</w:t>
      </w:r>
      <w:proofErr w:type="spellEnd"/>
      <w:r>
        <w:t xml:space="preserve"> default NUOS t</w:t>
      </w:r>
      <w:r w:rsidRPr="00C04796">
        <w:t xml:space="preserve">ariff </w:t>
      </w:r>
      <w:r>
        <w:t>assignment p</w:t>
      </w:r>
      <w:r w:rsidRPr="00C04796">
        <w:t>rocedure</w:t>
      </w:r>
      <w:r>
        <w:t xml:space="preserve"> for FY 2018/19</w:t>
      </w:r>
    </w:p>
    <w:p w:rsidR="00E52075" w:rsidRDefault="0073634E" w:rsidP="00BD7A0B">
      <w:pPr>
        <w:pStyle w:val="BodyText"/>
      </w:pPr>
      <w:r>
        <mc:AlternateContent>
          <mc:Choice Requires="wps">
            <w:drawing>
              <wp:anchor distT="0" distB="0" distL="114300" distR="114300" simplePos="0" relativeHeight="251646976" behindDoc="0" locked="0" layoutInCell="1" allowOverlap="1" wp14:anchorId="4284FEDA" wp14:editId="36E10ACB">
                <wp:simplePos x="0" y="0"/>
                <wp:positionH relativeFrom="column">
                  <wp:posOffset>752475</wp:posOffset>
                </wp:positionH>
                <wp:positionV relativeFrom="paragraph">
                  <wp:posOffset>7648575</wp:posOffset>
                </wp:positionV>
                <wp:extent cx="180975" cy="133350"/>
                <wp:effectExtent l="0" t="0" r="28575" b="19050"/>
                <wp:wrapNone/>
                <wp:docPr id="418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33350"/>
                        </a:xfrm>
                        <a:prstGeom prst="rect">
                          <a:avLst/>
                        </a:prstGeom>
                        <a:solidFill>
                          <a:srgbClr val="92D050"/>
                        </a:solidFill>
                        <a:ln w="9525">
                          <a:solidFill>
                            <a:srgbClr val="000000"/>
                          </a:solidFill>
                          <a:miter lim="800000"/>
                          <a:headEnd/>
                          <a:tailEnd/>
                        </a:ln>
                      </wps:spPr>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59.25pt;margin-top:602.25pt;width:14.25pt;height: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" fillcolor="#92d050">
                <v:textbox inset="0,0,0,0"/>
              </v:rect>
            </w:pict>
          </mc:Fallback>
        </mc:AlternateContent>
      </w:r>
      <w:r>
        <mc:AlternateContent>
          <mc:Choice Requires="wps">
            <w:drawing>
              <wp:anchor distT="0" distB="0" distL="114300" distR="114300" simplePos="0" relativeHeight="251667456" behindDoc="0" locked="0" layoutInCell="1" allowOverlap="1" wp14:anchorId="27F0ADD3" wp14:editId="57493339">
                <wp:simplePos x="0" y="0"/>
                <wp:positionH relativeFrom="column">
                  <wp:posOffset>752475</wp:posOffset>
                </wp:positionH>
                <wp:positionV relativeFrom="paragraph">
                  <wp:posOffset>7839075</wp:posOffset>
                </wp:positionV>
                <wp:extent cx="180975" cy="133350"/>
                <wp:effectExtent l="0" t="0" r="28575" b="19050"/>
                <wp:wrapNone/>
                <wp:docPr id="418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33350"/>
                        </a:xfrm>
                        <a:prstGeom prst="rect">
                          <a:avLst/>
                        </a:prstGeom>
                        <a:solidFill>
                          <a:srgbClr val="FFFF00"/>
                        </a:solidFill>
                        <a:ln w="9525">
                          <a:solidFill>
                            <a:srgbClr val="000000"/>
                          </a:solidFill>
                          <a:miter lim="800000"/>
                          <a:headEnd/>
                          <a:tailEnd/>
                        </a:ln>
                      </wps:spPr>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59.25pt;margin-top:617.25pt;width:14.25pt;height: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" fillcolor="yellow">
                <v:textbox inset="0,0,0,0"/>
              </v:rect>
            </w:pict>
          </mc:Fallback>
        </mc:AlternateContent>
      </w:r>
      <w:r>
        <mc:AlternateContent>
          <mc:Choice Requires="wps">
            <w:drawing>
              <wp:anchor distT="0" distB="0" distL="114300" distR="114300" simplePos="0" relativeHeight="251679744" behindDoc="0" locked="0" layoutInCell="1" allowOverlap="1" wp14:anchorId="2E3EEBB3" wp14:editId="3EE4EB46">
                <wp:simplePos x="0" y="0"/>
                <wp:positionH relativeFrom="column">
                  <wp:posOffset>752475</wp:posOffset>
                </wp:positionH>
                <wp:positionV relativeFrom="paragraph">
                  <wp:posOffset>8029575</wp:posOffset>
                </wp:positionV>
                <wp:extent cx="180975" cy="133350"/>
                <wp:effectExtent l="0" t="0" r="28575" b="19050"/>
                <wp:wrapNone/>
                <wp:docPr id="4189"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33350"/>
                        </a:xfrm>
                        <a:prstGeom prst="rect">
                          <a:avLst/>
                        </a:prstGeom>
                        <a:solidFill>
                          <a:srgbClr val="F79646"/>
                        </a:solidFill>
                        <a:ln w="9525">
                          <a:solidFill>
                            <a:srgbClr val="000000"/>
                          </a:solidFill>
                          <a:miter lim="800000"/>
                          <a:headEnd/>
                          <a:tailEnd/>
                        </a:ln>
                      </wps:spPr>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59.25pt;margin-top:632.25pt;width:14.2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" fillcolor="#f79646">
                <v:textbox inset="0,0,0,0"/>
              </v:rect>
            </w:pict>
          </mc:Fallback>
        </mc:AlternateContent>
      </w:r>
      <w:r>
        <mc:AlternateContent>
          <mc:Choice Requires="wps">
            <w:drawing>
              <wp:anchor distT="0" distB="0" distL="114300" distR="114300" simplePos="0" relativeHeight="251683840" behindDoc="0" locked="0" layoutInCell="1" allowOverlap="1" wp14:anchorId="6F22AD93" wp14:editId="2069D5BE">
                <wp:simplePos x="0" y="0"/>
                <wp:positionH relativeFrom="column">
                  <wp:posOffset>752475</wp:posOffset>
                </wp:positionH>
                <wp:positionV relativeFrom="paragraph">
                  <wp:posOffset>8220075</wp:posOffset>
                </wp:positionV>
                <wp:extent cx="180975" cy="133350"/>
                <wp:effectExtent l="0" t="0" r="28575" b="19050"/>
                <wp:wrapNone/>
                <wp:docPr id="419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33350"/>
                        </a:xfrm>
                        <a:prstGeom prst="rect">
                          <a:avLst/>
                        </a:prstGeom>
                        <a:solidFill>
                          <a:srgbClr val="00B0F0"/>
                        </a:solidFill>
                        <a:ln w="9525">
                          <a:solidFill>
                            <a:srgbClr val="000000"/>
                          </a:solidFill>
                          <a:miter lim="800000"/>
                          <a:headEnd/>
                          <a:tailEnd/>
                        </a:ln>
                      </wps:spPr>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59.25pt;margin-top:647.25pt;width:14.25pt;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" fillcolor="#00b0f0">
                <v:textbox inset="0,0,0,0"/>
              </v:rect>
            </w:pict>
          </mc:Fallback>
        </mc:AlternateContent>
      </w:r>
      <w:r>
        <mc:AlternateContent>
          <mc:Choice Requires="wps">
            <w:drawing>
              <wp:anchor distT="0" distB="0" distL="114300" distR="114300" simplePos="0" relativeHeight="251685888" behindDoc="0" locked="0" layoutInCell="1" allowOverlap="1" wp14:anchorId="17399EE3" wp14:editId="18911B2C">
                <wp:simplePos x="0" y="0"/>
                <wp:positionH relativeFrom="column">
                  <wp:posOffset>752475</wp:posOffset>
                </wp:positionH>
                <wp:positionV relativeFrom="paragraph">
                  <wp:posOffset>8391525</wp:posOffset>
                </wp:positionV>
                <wp:extent cx="180975" cy="161925"/>
                <wp:effectExtent l="0" t="0" r="28575" b="28575"/>
                <wp:wrapNone/>
                <wp:docPr id="419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61925"/>
                        </a:xfrm>
                        <a:prstGeom prst="rect">
                          <a:avLst/>
                        </a:prstGeom>
                        <a:solidFill>
                          <a:sysClr val="window" lastClr="FFFFFF">
                            <a:lumMod val="75000"/>
                          </a:sysClr>
                        </a:solidFill>
                        <a:ln w="9525">
                          <a:solidFill>
                            <a:srgbClr val="000000"/>
                          </a:solidFill>
                          <a:miter lim="800000"/>
                          <a:headEnd/>
                          <a:tailEnd/>
                        </a:ln>
                      </wps:spPr>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59.25pt;margin-top:660.75pt;width:14.25pt;height:1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" fillcolor="#bfbfbf">
                <v:textbox inset="0,0,0,0"/>
              </v:rect>
            </w:pict>
          </mc:Fallback>
        </mc:AlternateContent>
      </w:r>
      <w:r>
        <mc:AlternateContent>
          <mc:Choice Requires="wps">
            <w:drawing>
              <wp:anchor distT="0" distB="0" distL="114300" distR="114300" simplePos="0" relativeHeight="251694080" behindDoc="0" locked="0" layoutInCell="1" allowOverlap="1" wp14:anchorId="11CC1D03" wp14:editId="5E81AE24">
                <wp:simplePos x="0" y="0"/>
                <wp:positionH relativeFrom="column">
                  <wp:posOffset>1028700</wp:posOffset>
                </wp:positionH>
                <wp:positionV relativeFrom="paragraph">
                  <wp:posOffset>7600950</wp:posOffset>
                </wp:positionV>
                <wp:extent cx="1600200" cy="209550"/>
                <wp:effectExtent l="0" t="0" r="19050" b="19050"/>
                <wp:wrapNone/>
                <wp:docPr id="3010"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209550"/>
                        </a:xfrm>
                        <a:prstGeom prst="rect">
                          <a:avLst/>
                        </a:prstGeom>
                        <a:solidFill>
                          <a:sysClr val="window" lastClr="FFFFFF"/>
                        </a:solidFill>
                        <a:ln w="9525" cmpd="sng">
                          <a:solidFill>
                            <a:sysClr val="window" lastClr="FFFFFF">
                              <a:shade val="50000"/>
                            </a:sysClr>
                          </a:solidFill>
                        </a:ln>
                        <a:effectLst/>
                      </wps:spPr>
                      <wps:txbx>
                        <w:txbxContent>
                          <w:p w:rsidR="001B5FF8" w:rsidRDefault="001B5FF8" w:rsidP="0073634E">
                            <w:pPr>
                              <w:pStyle w:val="NormalWeb"/>
                              <w:spacing w:before="0" w:beforeAutospacing="0" w:after="0" w:afterAutospacing="0"/>
                            </w:pPr>
                            <w:r w:rsidRPr="00C65A0A">
                              <w:rPr>
                                <w:rFonts w:ascii="Calibri" w:hAnsi="Calibri"/>
                                <w:color w:val="000000"/>
                                <w:sz w:val="22"/>
                                <w:szCs w:val="22"/>
                              </w:rPr>
                              <w:t>CRNP Tariff Class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Box 81" o:spid="_x0000_s1041" type="#_x0000_t202" style="position:absolute;left:0;text-align:left;margin-left:81pt;margin-top:598.5pt;width:126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" fillcolor="window" strokecolor="#bcbcbc">
                <v:path arrowok="t"/>
                <v:textbox>
                  <w:txbxContent>
                    <w:p w:rsidR="001B5FF8" w:rsidRDefault="001B5FF8" w:rsidP="0073634E">
                      <w:pPr>
                        <w:pStyle w:val="NormalWeb"/>
                        <w:spacing w:before="0" w:beforeAutospacing="0" w:after="0" w:afterAutospacing="0"/>
                      </w:pPr>
                      <w:r w:rsidRPr="00C65A0A">
                        <w:rPr>
                          <w:rFonts w:ascii="Calibri" w:hAnsi="Calibri"/>
                          <w:color w:val="000000"/>
                          <w:sz w:val="22"/>
                          <w:szCs w:val="22"/>
                        </w:rPr>
                        <w:t>CRNP Tariff Class</w:t>
                      </w:r>
                    </w:p>
                  </w:txbxContent>
                </v:textbox>
              </v:shape>
            </w:pict>
          </mc:Fallback>
        </mc:AlternateContent>
      </w:r>
      <w:r>
        <mc:AlternateContent>
          <mc:Choice Requires="wps">
            <w:drawing>
              <wp:anchor distT="0" distB="0" distL="114300" distR="114300" simplePos="0" relativeHeight="251696128" behindDoc="0" locked="0" layoutInCell="1" allowOverlap="1" wp14:anchorId="300281CE" wp14:editId="6B3A96CC">
                <wp:simplePos x="0" y="0"/>
                <wp:positionH relativeFrom="column">
                  <wp:posOffset>1019175</wp:posOffset>
                </wp:positionH>
                <wp:positionV relativeFrom="paragraph">
                  <wp:posOffset>7800975</wp:posOffset>
                </wp:positionV>
                <wp:extent cx="1600200" cy="180975"/>
                <wp:effectExtent l="0" t="0" r="19050" b="28575"/>
                <wp:wrapNone/>
                <wp:docPr id="3011"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180975"/>
                        </a:xfrm>
                        <a:prstGeom prst="rect">
                          <a:avLst/>
                        </a:prstGeom>
                        <a:solidFill>
                          <a:sysClr val="window" lastClr="FFFFFF"/>
                        </a:solidFill>
                        <a:ln w="9525" cmpd="sng">
                          <a:solidFill>
                            <a:sysClr val="window" lastClr="FFFFFF">
                              <a:shade val="50000"/>
                            </a:sysClr>
                          </a:solidFill>
                        </a:ln>
                        <a:effectLst/>
                      </wps:spPr>
                      <wps:txbx>
                        <w:txbxContent>
                          <w:p w:rsidR="001B5FF8" w:rsidRDefault="001B5FF8" w:rsidP="0073634E">
                            <w:pPr>
                              <w:pStyle w:val="NormalWeb"/>
                              <w:spacing w:before="0" w:beforeAutospacing="0" w:after="0" w:afterAutospacing="0"/>
                            </w:pPr>
                            <w:r w:rsidRPr="00C65A0A">
                              <w:rPr>
                                <w:rFonts w:ascii="Calibri" w:hAnsi="Calibri"/>
                                <w:color w:val="000000"/>
                                <w:sz w:val="22"/>
                                <w:szCs w:val="22"/>
                              </w:rPr>
                              <w:t>Unmetered Tariff Class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Box 349" o:spid="_x0000_s1042" type="#_x0000_t202" style="position:absolute;left:0;text-align:left;margin-left:80.25pt;margin-top:614.25pt;width:126pt;height:1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" fillcolor="window" strokecolor="#bcbcbc">
                <v:path arrowok="t"/>
                <v:textbox>
                  <w:txbxContent>
                    <w:p w:rsidR="001B5FF8" w:rsidRDefault="001B5FF8" w:rsidP="0073634E">
                      <w:pPr>
                        <w:pStyle w:val="NormalWeb"/>
                        <w:spacing w:before="0" w:beforeAutospacing="0" w:after="0" w:afterAutospacing="0"/>
                      </w:pPr>
                      <w:r w:rsidRPr="00C65A0A">
                        <w:rPr>
                          <w:rFonts w:ascii="Calibri" w:hAnsi="Calibri"/>
                          <w:color w:val="000000"/>
                          <w:sz w:val="22"/>
                          <w:szCs w:val="22"/>
                        </w:rPr>
                        <w:t>Unmetered Tariff Class</w:t>
                      </w:r>
                    </w:p>
                  </w:txbxContent>
                </v:textbox>
              </v:shape>
            </w:pict>
          </mc:Fallback>
        </mc:AlternateContent>
      </w:r>
      <w:r>
        <mc:AlternateContent>
          <mc:Choice Requires="wps">
            <w:drawing>
              <wp:anchor distT="0" distB="0" distL="114300" distR="114300" simplePos="0" relativeHeight="251698176" behindDoc="0" locked="0" layoutInCell="1" allowOverlap="1" wp14:anchorId="41B7FD94" wp14:editId="4A87FF24">
                <wp:simplePos x="0" y="0"/>
                <wp:positionH relativeFrom="column">
                  <wp:posOffset>1000125</wp:posOffset>
                </wp:positionH>
                <wp:positionV relativeFrom="paragraph">
                  <wp:posOffset>7991475</wp:posOffset>
                </wp:positionV>
                <wp:extent cx="2047875" cy="200025"/>
                <wp:effectExtent l="0" t="0" r="28575" b="28575"/>
                <wp:wrapNone/>
                <wp:docPr id="3012"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200025"/>
                        </a:xfrm>
                        <a:prstGeom prst="rect">
                          <a:avLst/>
                        </a:prstGeom>
                        <a:solidFill>
                          <a:sysClr val="window" lastClr="FFFFFF"/>
                        </a:solidFill>
                        <a:ln w="9525" cmpd="sng">
                          <a:solidFill>
                            <a:sysClr val="window" lastClr="FFFFFF">
                              <a:shade val="50000"/>
                            </a:sysClr>
                          </a:solidFill>
                        </a:ln>
                        <a:effectLst/>
                      </wps:spPr>
                      <wps:txbx>
                        <w:txbxContent>
                          <w:p w:rsidR="001B5FF8" w:rsidRDefault="001B5FF8" w:rsidP="0073634E">
                            <w:pPr>
                              <w:pStyle w:val="NormalWeb"/>
                              <w:spacing w:before="0" w:beforeAutospacing="0" w:after="0" w:afterAutospacing="0"/>
                            </w:pPr>
                            <w:r w:rsidRPr="00C65A0A">
                              <w:rPr>
                                <w:rFonts w:ascii="Calibri" w:hAnsi="Calibri"/>
                                <w:color w:val="000000"/>
                                <w:sz w:val="22"/>
                                <w:szCs w:val="22"/>
                              </w:rPr>
                              <w:t>Sub-transmission Voltage Tariff Class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Box 350" o:spid="_x0000_s1043" type="#_x0000_t202" style="position:absolute;left:0;text-align:left;margin-left:78.75pt;margin-top:629.25pt;width:161.25pt;height:1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" fillcolor="window" strokecolor="#bcbcbc">
                <v:path arrowok="t"/>
                <v:textbox>
                  <w:txbxContent>
                    <w:p w:rsidR="001B5FF8" w:rsidRDefault="001B5FF8" w:rsidP="0073634E">
                      <w:pPr>
                        <w:pStyle w:val="NormalWeb"/>
                        <w:spacing w:before="0" w:beforeAutospacing="0" w:after="0" w:afterAutospacing="0"/>
                      </w:pPr>
                      <w:r w:rsidRPr="00C65A0A">
                        <w:rPr>
                          <w:rFonts w:ascii="Calibri" w:hAnsi="Calibri"/>
                          <w:color w:val="000000"/>
                          <w:sz w:val="22"/>
                          <w:szCs w:val="22"/>
                        </w:rPr>
                        <w:t>Sub-transmission Voltage Tariff Class</w:t>
                      </w:r>
                    </w:p>
                  </w:txbxContent>
                </v:textbox>
              </v:shape>
            </w:pict>
          </mc:Fallback>
        </mc:AlternateContent>
      </w:r>
      <w:r>
        <mc:AlternateContent>
          <mc:Choice Requires="wps">
            <w:drawing>
              <wp:anchor distT="0" distB="0" distL="114300" distR="114300" simplePos="0" relativeHeight="251700224" behindDoc="0" locked="0" layoutInCell="1" allowOverlap="1" wp14:anchorId="5E53E2E4" wp14:editId="5334245C">
                <wp:simplePos x="0" y="0"/>
                <wp:positionH relativeFrom="column">
                  <wp:posOffset>1000125</wp:posOffset>
                </wp:positionH>
                <wp:positionV relativeFrom="paragraph">
                  <wp:posOffset>8201025</wp:posOffset>
                </wp:positionV>
                <wp:extent cx="2047875" cy="200025"/>
                <wp:effectExtent l="0" t="0" r="28575" b="28575"/>
                <wp:wrapNone/>
                <wp:docPr id="3032"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200025"/>
                        </a:xfrm>
                        <a:prstGeom prst="rect">
                          <a:avLst/>
                        </a:prstGeom>
                        <a:solidFill>
                          <a:sysClr val="window" lastClr="FFFFFF"/>
                        </a:solidFill>
                        <a:ln w="9525" cmpd="sng">
                          <a:solidFill>
                            <a:sysClr val="window" lastClr="FFFFFF">
                              <a:shade val="50000"/>
                            </a:sysClr>
                          </a:solidFill>
                        </a:ln>
                        <a:effectLst/>
                      </wps:spPr>
                      <wps:txbx>
                        <w:txbxContent>
                          <w:p w:rsidR="001B5FF8" w:rsidRDefault="001B5FF8" w:rsidP="0073634E">
                            <w:pPr>
                              <w:pStyle w:val="NormalWeb"/>
                              <w:spacing w:before="0" w:beforeAutospacing="0" w:after="0" w:afterAutospacing="0"/>
                            </w:pPr>
                            <w:r w:rsidRPr="00C65A0A">
                              <w:rPr>
                                <w:rFonts w:ascii="Calibri" w:hAnsi="Calibri"/>
                                <w:color w:val="000000"/>
                                <w:sz w:val="22"/>
                                <w:szCs w:val="22"/>
                              </w:rPr>
                              <w:t>High Voltage Tariff Class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Box 351" o:spid="_x0000_s1044" type="#_x0000_t202" style="position:absolute;left:0;text-align:left;margin-left:78.75pt;margin-top:645.75pt;width:161.2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" fillcolor="window" strokecolor="#bcbcbc">
                <v:path arrowok="t"/>
                <v:textbox>
                  <w:txbxContent>
                    <w:p w:rsidR="001B5FF8" w:rsidRDefault="001B5FF8" w:rsidP="0073634E">
                      <w:pPr>
                        <w:pStyle w:val="NormalWeb"/>
                        <w:spacing w:before="0" w:beforeAutospacing="0" w:after="0" w:afterAutospacing="0"/>
                      </w:pPr>
                      <w:r w:rsidRPr="00C65A0A">
                        <w:rPr>
                          <w:rFonts w:ascii="Calibri" w:hAnsi="Calibri"/>
                          <w:color w:val="000000"/>
                          <w:sz w:val="22"/>
                          <w:szCs w:val="22"/>
                        </w:rPr>
                        <w:t>High Voltage Tariff Class</w:t>
                      </w:r>
                    </w:p>
                  </w:txbxContent>
                </v:textbox>
              </v:shape>
            </w:pict>
          </mc:Fallback>
        </mc:AlternateContent>
      </w:r>
      <w:r>
        <mc:AlternateContent>
          <mc:Choice Requires="wps">
            <w:drawing>
              <wp:anchor distT="0" distB="0" distL="114300" distR="114300" simplePos="0" relativeHeight="251702272" behindDoc="0" locked="0" layoutInCell="1" allowOverlap="1" wp14:anchorId="1263CDF8" wp14:editId="19E14FD4">
                <wp:simplePos x="0" y="0"/>
                <wp:positionH relativeFrom="column">
                  <wp:posOffset>1000125</wp:posOffset>
                </wp:positionH>
                <wp:positionV relativeFrom="paragraph">
                  <wp:posOffset>8401050</wp:posOffset>
                </wp:positionV>
                <wp:extent cx="2047875" cy="200025"/>
                <wp:effectExtent l="0" t="0" r="28575" b="28575"/>
                <wp:wrapNone/>
                <wp:docPr id="33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7875" cy="200025"/>
                        </a:xfrm>
                        <a:prstGeom prst="rect">
                          <a:avLst/>
                        </a:prstGeom>
                        <a:solidFill>
                          <a:sysClr val="window" lastClr="FFFFFF"/>
                        </a:solidFill>
                        <a:ln w="9525" cmpd="sng">
                          <a:solidFill>
                            <a:sysClr val="window" lastClr="FFFFFF">
                              <a:shade val="50000"/>
                            </a:sysClr>
                          </a:solidFill>
                        </a:ln>
                        <a:effectLst/>
                      </wps:spPr>
                      <wps:txbx>
                        <w:txbxContent>
                          <w:p w:rsidR="001B5FF8" w:rsidRDefault="001B5FF8" w:rsidP="0073634E">
                            <w:pPr>
                              <w:pStyle w:val="NormalWeb"/>
                              <w:spacing w:before="0" w:beforeAutospacing="0" w:after="0" w:afterAutospacing="0"/>
                            </w:pPr>
                            <w:r w:rsidRPr="00C65A0A">
                              <w:rPr>
                                <w:rFonts w:ascii="Calibri" w:hAnsi="Calibri"/>
                                <w:color w:val="000000"/>
                                <w:sz w:val="22"/>
                                <w:szCs w:val="22"/>
                              </w:rPr>
                              <w:t>Low Voltage Tariff Class</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 id="TextBox 352" o:spid="_x0000_s1045" type="#_x0000_t202" style="position:absolute;left:0;text-align:left;margin-left:78.75pt;margin-top:661.5pt;width:161.25pt;height:1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" fillcolor="window" strokecolor="#bcbcbc">
                <v:path arrowok="t"/>
                <v:textbox>
                  <w:txbxContent>
                    <w:p w:rsidR="001B5FF8" w:rsidRDefault="001B5FF8" w:rsidP="0073634E">
                      <w:pPr>
                        <w:pStyle w:val="NormalWeb"/>
                        <w:spacing w:before="0" w:beforeAutospacing="0" w:after="0" w:afterAutospacing="0"/>
                      </w:pPr>
                      <w:r w:rsidRPr="00C65A0A">
                        <w:rPr>
                          <w:rFonts w:ascii="Calibri" w:hAnsi="Calibri"/>
                          <w:color w:val="000000"/>
                          <w:sz w:val="22"/>
                          <w:szCs w:val="22"/>
                        </w:rPr>
                        <w:t>Low Voltage Tariff Class</w:t>
                      </w:r>
                    </w:p>
                  </w:txbxContent>
                </v:textbox>
              </v:shape>
            </w:pict>
          </mc:Fallback>
        </mc:AlternateContent>
      </w:r>
      <w:r w:rsidR="00E52075">
        <mc:AlternateContent>
          <mc:Choice Requires="wps">
            <w:drawing>
              <wp:anchor distT="0" distB="0" distL="114300" distR="114300" simplePos="0" relativeHeight="251642880" behindDoc="0" locked="0" layoutInCell="1" allowOverlap="1" wp14:anchorId="5A7869E5" wp14:editId="7267E722">
                <wp:simplePos x="0" y="0"/>
                <wp:positionH relativeFrom="column">
                  <wp:posOffset>3852545</wp:posOffset>
                </wp:positionH>
                <wp:positionV relativeFrom="paragraph">
                  <wp:posOffset>179705</wp:posOffset>
                </wp:positionV>
                <wp:extent cx="1047750" cy="428625"/>
                <wp:effectExtent l="0" t="0" r="19050" b="28575"/>
                <wp:wrapNone/>
                <wp:docPr id="418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428625"/>
                        </a:xfrm>
                        <a:prstGeom prst="rect">
                          <a:avLst/>
                        </a:prstGeom>
                        <a:solidFill>
                          <a:srgbClr val="FFFFFF"/>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 xml:space="preserve">Connected to </w:t>
                            </w:r>
                            <w:proofErr w:type="spellStart"/>
                            <w:r w:rsidRPr="00C65A0A">
                              <w:rPr>
                                <w:rFonts w:ascii="Calibri" w:hAnsi="Calibri"/>
                                <w:color w:val="000000"/>
                                <w:sz w:val="16"/>
                                <w:szCs w:val="16"/>
                              </w:rPr>
                              <w:t>Ausgrid's</w:t>
                            </w:r>
                            <w:proofErr w:type="spellEnd"/>
                            <w:r w:rsidRPr="00C65A0A">
                              <w:rPr>
                                <w:rFonts w:ascii="Calibri" w:hAnsi="Calibri"/>
                                <w:color w:val="000000"/>
                                <w:sz w:val="16"/>
                                <w:szCs w:val="16"/>
                              </w:rPr>
                              <w:t xml:space="preserve"> Electricity Distribution Network?</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303.35pt;margin-top:14.15pt;width:82.5pt;height:3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">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 xml:space="preserve">Connected to </w:t>
                      </w:r>
                      <w:proofErr w:type="spellStart"/>
                      <w:r w:rsidRPr="00C65A0A">
                        <w:rPr>
                          <w:rFonts w:ascii="Calibri" w:hAnsi="Calibri"/>
                          <w:color w:val="000000"/>
                          <w:sz w:val="16"/>
                          <w:szCs w:val="16"/>
                        </w:rPr>
                        <w:t>Ausgrid's</w:t>
                      </w:r>
                      <w:proofErr w:type="spellEnd"/>
                      <w:r w:rsidRPr="00C65A0A">
                        <w:rPr>
                          <w:rFonts w:ascii="Calibri" w:hAnsi="Calibri"/>
                          <w:color w:val="000000"/>
                          <w:sz w:val="16"/>
                          <w:szCs w:val="16"/>
                        </w:rPr>
                        <w:t xml:space="preserve"> Electricity Distribution Network?</w:t>
                      </w:r>
                    </w:p>
                  </w:txbxContent>
                </v:textbox>
              </v:rect>
            </w:pict>
          </mc:Fallback>
        </mc:AlternateContent>
      </w:r>
    </w:p>
    <w:p w:rsidR="00E52075" w:rsidRDefault="00E52075" w:rsidP="007D0321">
      <w:pPr>
        <w:pStyle w:val="BodyText"/>
      </w:pPr>
    </w:p>
    <w:p w:rsidR="0073634E" w:rsidRDefault="001E5B1F">
      <w:pPr>
        <w:pStyle w:val="BodyText"/>
      </w:pPr>
      <w:r>
        <mc:AlternateContent>
          <mc:Choice Requires="wps">
            <w:drawing>
              <wp:anchor distT="0" distB="0" distL="114300" distR="114300" simplePos="0" relativeHeight="251661312" behindDoc="0" locked="0" layoutInCell="1" allowOverlap="1" wp14:anchorId="6CB7CA46" wp14:editId="66D5EE35">
                <wp:simplePos x="0" y="0"/>
                <wp:positionH relativeFrom="column">
                  <wp:posOffset>3124200</wp:posOffset>
                </wp:positionH>
                <wp:positionV relativeFrom="paragraph">
                  <wp:posOffset>204470</wp:posOffset>
                </wp:positionV>
                <wp:extent cx="0" cy="581025"/>
                <wp:effectExtent l="76200" t="0" r="76200" b="47625"/>
                <wp:wrapNone/>
                <wp:docPr id="339"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straightConnector1">
                          <a:avLst/>
                        </a:prstGeom>
                        <a:noFill/>
                        <a:ln w="9525" cap="flat" cmpd="sng" algn="ctr">
                          <a:solidFill>
                            <a:sysClr val="windowText" lastClr="000000"/>
                          </a:solidFill>
                          <a:prstDash val="solid"/>
                          <a:headEnd type="none"/>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46pt;margin-top:16.1pt;width:0;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" strokecolor="windowText">
                <v:stroke endarrow="block"/>
                <o:lock v:ext="edit" shapetype="f"/>
              </v:shape>
            </w:pict>
          </mc:Fallback>
        </mc:AlternateContent>
      </w:r>
      <w:r>
        <mc:AlternateContent>
          <mc:Choice Requires="wps">
            <w:drawing>
              <wp:anchor distT="0" distB="0" distL="114300" distR="114300" simplePos="0" relativeHeight="251780096" behindDoc="0" locked="0" layoutInCell="1" allowOverlap="1" wp14:anchorId="07279BC9" wp14:editId="67F5727D">
                <wp:simplePos x="0" y="0"/>
                <wp:positionH relativeFrom="column">
                  <wp:posOffset>4419600</wp:posOffset>
                </wp:positionH>
                <wp:positionV relativeFrom="paragraph">
                  <wp:posOffset>71120</wp:posOffset>
                </wp:positionV>
                <wp:extent cx="0" cy="133350"/>
                <wp:effectExtent l="76200" t="0" r="57150" b="57150"/>
                <wp:wrapNone/>
                <wp:docPr id="24"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348pt;margin-top:5.6pt;width:0;height:1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OixNgIAAF8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">
                <v:stroke endarrow="block"/>
              </v:shape>
            </w:pict>
          </mc:Fallback>
        </mc:AlternateContent>
      </w:r>
      <w:r w:rsidR="008D28AD">
        <mc:AlternateContent>
          <mc:Choice Requires="wps">
            <w:drawing>
              <wp:anchor distT="0" distB="0" distL="114300" distR="114300" simplePos="0" relativeHeight="251644928" behindDoc="0" locked="0" layoutInCell="1" allowOverlap="1" wp14:anchorId="73C03C59" wp14:editId="1B283B15">
                <wp:simplePos x="0" y="0"/>
                <wp:positionH relativeFrom="column">
                  <wp:posOffset>5869305</wp:posOffset>
                </wp:positionH>
                <wp:positionV relativeFrom="paragraph">
                  <wp:posOffset>62865</wp:posOffset>
                </wp:positionV>
                <wp:extent cx="1047750" cy="295275"/>
                <wp:effectExtent l="0" t="0" r="19050" b="28575"/>
                <wp:wrapNone/>
                <wp:docPr id="3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95275"/>
                        </a:xfrm>
                        <a:prstGeom prst="rect">
                          <a:avLst/>
                        </a:prstGeom>
                        <a:solidFill>
                          <a:srgbClr val="92D050"/>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Pr>
                                <w:rFonts w:ascii="Calibri" w:hAnsi="Calibri"/>
                                <w:color w:val="000000"/>
                                <w:sz w:val="16"/>
                                <w:szCs w:val="16"/>
                              </w:rPr>
                              <w:t>Transmission-Connected</w:t>
                            </w:r>
                            <w:r w:rsidRPr="00C65A0A">
                              <w:rPr>
                                <w:rFonts w:ascii="Calibri" w:hAnsi="Calibri"/>
                                <w:color w:val="000000"/>
                                <w:sz w:val="16"/>
                                <w:szCs w:val="16"/>
                              </w:rPr>
                              <w:t xml:space="preserve"> Tariff</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47" style="position:absolute;left:0;text-align:left;margin-left:462.15pt;margin-top:4.95pt;width:82.5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" fillcolor="#92d050">
                <v:textbox inset="0,0,0,0">
                  <w:txbxContent>
                    <w:p w:rsidR="001B5FF8" w:rsidRDefault="001B5FF8" w:rsidP="0073634E">
                      <w:pPr>
                        <w:pStyle w:val="NormalWeb"/>
                        <w:spacing w:before="0" w:beforeAutospacing="0" w:after="0" w:afterAutospacing="0"/>
                        <w:jc w:val="center"/>
                      </w:pPr>
                      <w:r>
                        <w:rPr>
                          <w:rFonts w:ascii="Calibri" w:hAnsi="Calibri"/>
                          <w:color w:val="000000"/>
                          <w:sz w:val="16"/>
                          <w:szCs w:val="16"/>
                        </w:rPr>
                        <w:t>Transmission-Connected</w:t>
                      </w:r>
                      <w:r w:rsidRPr="00C65A0A">
                        <w:rPr>
                          <w:rFonts w:ascii="Calibri" w:hAnsi="Calibri"/>
                          <w:color w:val="000000"/>
                          <w:sz w:val="16"/>
                          <w:szCs w:val="16"/>
                        </w:rPr>
                        <w:t xml:space="preserve"> Tariff</w:t>
                      </w:r>
                    </w:p>
                  </w:txbxContent>
                </v:textbox>
              </v:rect>
            </w:pict>
          </mc:Fallback>
        </mc:AlternateContent>
      </w:r>
      <w:r w:rsidR="0073634E">
        <mc:AlternateContent>
          <mc:Choice Requires="wps">
            <w:drawing>
              <wp:anchor distT="0" distB="0" distL="114300" distR="114300" simplePos="0" relativeHeight="251640832" behindDoc="0" locked="0" layoutInCell="1" allowOverlap="1" wp14:anchorId="321B36A1" wp14:editId="590B9E8C">
                <wp:simplePos x="0" y="0"/>
                <wp:positionH relativeFrom="column">
                  <wp:posOffset>5248275</wp:posOffset>
                </wp:positionH>
                <wp:positionV relativeFrom="paragraph">
                  <wp:posOffset>136525</wp:posOffset>
                </wp:positionV>
                <wp:extent cx="266700" cy="152400"/>
                <wp:effectExtent l="0" t="0" r="0" b="0"/>
                <wp:wrapNone/>
                <wp:docPr id="343"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73634E">
                            <w:pPr>
                              <w:pStyle w:val="NormalWeb"/>
                              <w:spacing w:before="0" w:beforeAutospacing="0" w:after="0" w:afterAutospacing="0"/>
                              <w:jc w:val="center"/>
                            </w:pPr>
                            <w:r>
                              <w:rPr>
                                <w:rFonts w:ascii="Arial" w:hAnsi="Arial" w:cs="Arial"/>
                                <w:color w:val="000000"/>
                                <w:sz w:val="16"/>
                                <w:szCs w:val="16"/>
                              </w:rPr>
                              <w:t>No</w:t>
                            </w:r>
                          </w:p>
                        </w:txbxContent>
                      </wps:txbx>
                      <wps:bodyPr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48" style="position:absolute;left:0;text-align:left;margin-left:413.25pt;margin-top:10.75pt;width:21pt;height: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" stroked="f">
                <v:textbox inset="0,0,0,0">
                  <w:txbxContent>
                    <w:p w:rsidR="001B5FF8" w:rsidRDefault="001B5FF8" w:rsidP="0073634E">
                      <w:pPr>
                        <w:pStyle w:val="NormalWeb"/>
                        <w:spacing w:before="0" w:beforeAutospacing="0" w:after="0" w:afterAutospacing="0"/>
                        <w:jc w:val="center"/>
                      </w:pPr>
                      <w:r>
                        <w:rPr>
                          <w:rFonts w:ascii="Arial" w:hAnsi="Arial" w:cs="Arial"/>
                          <w:color w:val="000000"/>
                          <w:sz w:val="16"/>
                          <w:szCs w:val="16"/>
                        </w:rPr>
                        <w:t>No</w:t>
                      </w:r>
                    </w:p>
                  </w:txbxContent>
                </v:textbox>
              </v:rect>
            </w:pict>
          </mc:Fallback>
        </mc:AlternateContent>
      </w:r>
      <w:r w:rsidR="0073634E">
        <mc:AlternateContent>
          <mc:Choice Requires="wps">
            <w:drawing>
              <wp:anchor distT="0" distB="0" distL="114300" distR="114300" simplePos="0" relativeHeight="251665408" behindDoc="0" locked="0" layoutInCell="1" allowOverlap="1" wp14:anchorId="2DCE3574" wp14:editId="5AE57FC0">
                <wp:simplePos x="0" y="0"/>
                <wp:positionH relativeFrom="column">
                  <wp:posOffset>3438525</wp:posOffset>
                </wp:positionH>
                <wp:positionV relativeFrom="paragraph">
                  <wp:posOffset>139700</wp:posOffset>
                </wp:positionV>
                <wp:extent cx="247650" cy="180975"/>
                <wp:effectExtent l="0" t="0" r="0" b="9525"/>
                <wp:wrapNone/>
                <wp:docPr id="34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6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73634E">
                            <w:pPr>
                              <w:pStyle w:val="NormalWeb"/>
                              <w:spacing w:before="0" w:beforeAutospacing="0" w:after="0" w:afterAutospacing="0"/>
                            </w:pPr>
                            <w:r>
                              <w:rPr>
                                <w:rFonts w:ascii="Arial" w:hAnsi="Arial" w:cs="Arial"/>
                                <w:color w:val="000000"/>
                                <w:sz w:val="16"/>
                                <w:szCs w:val="16"/>
                              </w:rPr>
                              <w:t>Yes</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49" style="position:absolute;left:0;text-align:left;margin-left:270.75pt;margin-top:11pt;width:19.5pt;height:14.2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" stroked="f">
                <v:textbox inset="0,0,0,0">
                  <w:txbxContent>
                    <w:p w:rsidR="001B5FF8" w:rsidRDefault="001B5FF8" w:rsidP="0073634E">
                      <w:pPr>
                        <w:pStyle w:val="NormalWeb"/>
                        <w:spacing w:before="0" w:beforeAutospacing="0" w:after="0" w:afterAutospacing="0"/>
                      </w:pPr>
                      <w:r>
                        <w:rPr>
                          <w:rFonts w:ascii="Arial" w:hAnsi="Arial" w:cs="Arial"/>
                          <w:color w:val="000000"/>
                          <w:sz w:val="16"/>
                          <w:szCs w:val="16"/>
                        </w:rPr>
                        <w:t>Yes</w:t>
                      </w:r>
                    </w:p>
                  </w:txbxContent>
                </v:textbox>
              </v:rect>
            </w:pict>
          </mc:Fallback>
        </mc:AlternateContent>
      </w:r>
      <w:r w:rsidR="0073634E">
        <mc:AlternateContent>
          <mc:Choice Requires="wps">
            <w:drawing>
              <wp:anchor distT="0" distB="0" distL="114300" distR="114300" simplePos="0" relativeHeight="251638784" behindDoc="0" locked="0" layoutInCell="1" allowOverlap="1" wp14:anchorId="3162D612" wp14:editId="37BB4AE7">
                <wp:simplePos x="0" y="0"/>
                <wp:positionH relativeFrom="column">
                  <wp:posOffset>3124200</wp:posOffset>
                </wp:positionH>
                <wp:positionV relativeFrom="paragraph">
                  <wp:posOffset>196850</wp:posOffset>
                </wp:positionV>
                <wp:extent cx="2743200" cy="0"/>
                <wp:effectExtent l="0" t="76200" r="19050" b="95250"/>
                <wp:wrapNone/>
                <wp:docPr id="35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5.5pt" to="46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">
                <v:stroke endarrow="block"/>
              </v:line>
            </w:pict>
          </mc:Fallback>
        </mc:AlternateContent>
      </w:r>
    </w:p>
    <w:p w:rsidR="0073634E" w:rsidRDefault="0073634E">
      <w:pPr>
        <w:pStyle w:val="BodyText"/>
      </w:pPr>
      <w:r>
        <mc:AlternateContent>
          <mc:Choice Requires="wps">
            <w:drawing>
              <wp:anchor distT="0" distB="0" distL="114300" distR="114300" simplePos="0" relativeHeight="251663360" behindDoc="0" locked="0" layoutInCell="1" allowOverlap="1" wp14:anchorId="27355C02" wp14:editId="2A1A3C5E">
                <wp:simplePos x="0" y="0"/>
                <wp:positionH relativeFrom="column">
                  <wp:posOffset>2743200</wp:posOffset>
                </wp:positionH>
                <wp:positionV relativeFrom="paragraph">
                  <wp:posOffset>155413</wp:posOffset>
                </wp:positionV>
                <wp:extent cx="752475" cy="133350"/>
                <wp:effectExtent l="0" t="0" r="28575" b="19050"/>
                <wp:wrapNone/>
                <wp:docPr id="35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133350"/>
                        </a:xfrm>
                        <a:prstGeom prst="rect">
                          <a:avLst/>
                        </a:prstGeom>
                        <a:solidFill>
                          <a:srgbClr val="FFFFFF"/>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Metered?</w:t>
                            </w: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left:0;text-align:left;margin-left:3in;margin-top:12.25pt;width:59.2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">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Metered?</w:t>
                      </w:r>
                    </w:p>
                  </w:txbxContent>
                </v:textbox>
              </v:rect>
            </w:pict>
          </mc:Fallback>
        </mc:AlternateContent>
      </w:r>
    </w:p>
    <w:p w:rsidR="0073634E" w:rsidRDefault="001E5B1F">
      <w:pPr>
        <w:pStyle w:val="BodyText"/>
      </w:pPr>
      <w:r>
        <mc:AlternateContent>
          <mc:Choice Requires="wps">
            <w:drawing>
              <wp:anchor distT="0" distB="0" distL="114300" distR="114300" simplePos="0" relativeHeight="251704320" behindDoc="0" locked="0" layoutInCell="1" allowOverlap="1" wp14:anchorId="2A18E127" wp14:editId="699DBBB2">
                <wp:simplePos x="0" y="0"/>
                <wp:positionH relativeFrom="column">
                  <wp:posOffset>1619250</wp:posOffset>
                </wp:positionH>
                <wp:positionV relativeFrom="paragraph">
                  <wp:posOffset>261620</wp:posOffset>
                </wp:positionV>
                <wp:extent cx="0" cy="428625"/>
                <wp:effectExtent l="76200" t="0" r="76200" b="47625"/>
                <wp:wrapNone/>
                <wp:docPr id="353" name="AutoShap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7" o:spid="_x0000_s1026" type="#_x0000_t32" style="position:absolute;margin-left:127.5pt;margin-top:20.6pt;width:0;height:3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">
                <v:stroke endarrow="block"/>
              </v:shape>
            </w:pict>
          </mc:Fallback>
        </mc:AlternateContent>
      </w:r>
      <w:r>
        <mc:AlternateContent>
          <mc:Choice Requires="wps">
            <w:drawing>
              <wp:anchor distT="0" distB="0" distL="114300" distR="114300" simplePos="0" relativeHeight="251649024" behindDoc="0" locked="0" layoutInCell="1" allowOverlap="1" wp14:anchorId="27A8D585" wp14:editId="766245FB">
                <wp:simplePos x="0" y="0"/>
                <wp:positionH relativeFrom="column">
                  <wp:posOffset>1619250</wp:posOffset>
                </wp:positionH>
                <wp:positionV relativeFrom="paragraph">
                  <wp:posOffset>252095</wp:posOffset>
                </wp:positionV>
                <wp:extent cx="3409950" cy="0"/>
                <wp:effectExtent l="0" t="76200" r="19050" b="95250"/>
                <wp:wrapNone/>
                <wp:docPr id="426"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95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5pt,19.85pt" to="396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">
                <v:stroke endarrow="block"/>
              </v:line>
            </w:pict>
          </mc:Fallback>
        </mc:AlternateContent>
      </w:r>
      <w:r w:rsidR="00B80ED1">
        <mc:AlternateContent>
          <mc:Choice Requires="wps">
            <w:drawing>
              <wp:anchor distT="0" distB="0" distL="114300" distR="114300" simplePos="0" relativeHeight="251669504" behindDoc="0" locked="0" layoutInCell="1" allowOverlap="1" wp14:anchorId="2FFAA8EA" wp14:editId="3E2EF279">
                <wp:simplePos x="0" y="0"/>
                <wp:positionH relativeFrom="column">
                  <wp:posOffset>5029200</wp:posOffset>
                </wp:positionH>
                <wp:positionV relativeFrom="paragraph">
                  <wp:posOffset>169545</wp:posOffset>
                </wp:positionV>
                <wp:extent cx="914400" cy="180975"/>
                <wp:effectExtent l="0" t="0" r="19050" b="28575"/>
                <wp:wrapNone/>
                <wp:docPr id="435"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80975"/>
                        </a:xfrm>
                        <a:prstGeom prst="rect">
                          <a:avLst/>
                        </a:prstGeom>
                        <a:solidFill>
                          <a:srgbClr val="FFFFFF"/>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Nature of connection</w:t>
                            </w: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Rectangle 435" o:spid="_x0000_s1051" style="position:absolute;left:0;text-align:left;margin-left:396pt;margin-top:13.35pt;width:1in;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">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Nature of connection</w:t>
                      </w:r>
                    </w:p>
                  </w:txbxContent>
                </v:textbox>
              </v:rect>
            </w:pict>
          </mc:Fallback>
        </mc:AlternateContent>
      </w:r>
      <w:r w:rsidR="0073634E">
        <mc:AlternateContent>
          <mc:Choice Requires="wps">
            <w:drawing>
              <wp:anchor distT="0" distB="0" distL="114300" distR="114300" simplePos="0" relativeHeight="251706368" behindDoc="0" locked="0" layoutInCell="1" allowOverlap="1" wp14:anchorId="7F2EF0D2" wp14:editId="16200F16">
                <wp:simplePos x="0" y="0"/>
                <wp:positionH relativeFrom="column">
                  <wp:posOffset>2095500</wp:posOffset>
                </wp:positionH>
                <wp:positionV relativeFrom="paragraph">
                  <wp:posOffset>172085</wp:posOffset>
                </wp:positionV>
                <wp:extent cx="247650" cy="198120"/>
                <wp:effectExtent l="0" t="0" r="0" b="0"/>
                <wp:wrapNone/>
                <wp:docPr id="42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650" cy="198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73634E">
                            <w:pPr>
                              <w:pStyle w:val="NormalWeb"/>
                              <w:spacing w:before="0" w:beforeAutospacing="0" w:after="0" w:afterAutospacing="0"/>
                              <w:jc w:val="center"/>
                            </w:pPr>
                            <w:r>
                              <w:rPr>
                                <w:rFonts w:ascii="Arial" w:hAnsi="Arial" w:cs="Arial"/>
                                <w:color w:val="000000"/>
                                <w:sz w:val="16"/>
                                <w:szCs w:val="16"/>
                              </w:rPr>
                              <w:t>No</w:t>
                            </w: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165pt;margin-top:13.55pt;width:19.5pt;height:15.6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" stroked="f">
                <v:textbox inset="0,0,0,0">
                  <w:txbxContent>
                    <w:p w:rsidR="001B5FF8" w:rsidRDefault="001B5FF8" w:rsidP="0073634E">
                      <w:pPr>
                        <w:pStyle w:val="NormalWeb"/>
                        <w:spacing w:before="0" w:beforeAutospacing="0" w:after="0" w:afterAutospacing="0"/>
                        <w:jc w:val="center"/>
                      </w:pPr>
                      <w:r>
                        <w:rPr>
                          <w:rFonts w:ascii="Arial" w:hAnsi="Arial" w:cs="Arial"/>
                          <w:color w:val="000000"/>
                          <w:sz w:val="16"/>
                          <w:szCs w:val="16"/>
                        </w:rPr>
                        <w:t>No</w:t>
                      </w:r>
                    </w:p>
                  </w:txbxContent>
                </v:textbox>
              </v:rect>
            </w:pict>
          </mc:Fallback>
        </mc:AlternateContent>
      </w:r>
      <w:r w:rsidR="0073634E">
        <mc:AlternateContent>
          <mc:Choice Requires="wps">
            <w:drawing>
              <wp:anchor distT="0" distB="0" distL="114300" distR="114300" simplePos="0" relativeHeight="251671552" behindDoc="0" locked="0" layoutInCell="1" allowOverlap="1" wp14:anchorId="03798360" wp14:editId="67B1BA50">
                <wp:simplePos x="0" y="0"/>
                <wp:positionH relativeFrom="column">
                  <wp:posOffset>3981450</wp:posOffset>
                </wp:positionH>
                <wp:positionV relativeFrom="paragraph">
                  <wp:posOffset>174625</wp:posOffset>
                </wp:positionV>
                <wp:extent cx="247650" cy="180975"/>
                <wp:effectExtent l="0" t="0" r="0" b="9525"/>
                <wp:wrapNone/>
                <wp:docPr id="4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76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73634E">
                            <w:pPr>
                              <w:pStyle w:val="NormalWeb"/>
                              <w:spacing w:before="0" w:beforeAutospacing="0" w:after="0" w:afterAutospacing="0"/>
                              <w:jc w:val="center"/>
                            </w:pPr>
                            <w:r>
                              <w:rPr>
                                <w:rFonts w:ascii="Arial" w:hAnsi="Arial" w:cs="Arial"/>
                                <w:color w:val="000000"/>
                                <w:sz w:val="16"/>
                                <w:szCs w:val="16"/>
                              </w:rPr>
                              <w:t>Yes</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313.5pt;margin-top:13.75pt;width:19.5pt;height:14.2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" stroked="f">
                <v:textbox inset="0,0,0,0">
                  <w:txbxContent>
                    <w:p w:rsidR="001B5FF8" w:rsidRDefault="001B5FF8" w:rsidP="0073634E">
                      <w:pPr>
                        <w:pStyle w:val="NormalWeb"/>
                        <w:spacing w:before="0" w:beforeAutospacing="0" w:after="0" w:afterAutospacing="0"/>
                        <w:jc w:val="center"/>
                      </w:pPr>
                      <w:r>
                        <w:rPr>
                          <w:rFonts w:ascii="Arial" w:hAnsi="Arial" w:cs="Arial"/>
                          <w:color w:val="000000"/>
                          <w:sz w:val="16"/>
                          <w:szCs w:val="16"/>
                        </w:rPr>
                        <w:t>Yes</w:t>
                      </w:r>
                    </w:p>
                  </w:txbxContent>
                </v:textbox>
              </v:rect>
            </w:pict>
          </mc:Fallback>
        </mc:AlternateContent>
      </w:r>
    </w:p>
    <w:p w:rsidR="0073634E" w:rsidRDefault="001E5B1F">
      <w:pPr>
        <w:pStyle w:val="BodyText"/>
      </w:pPr>
      <w:r>
        <mc:AlternateContent>
          <mc:Choice Requires="wps">
            <w:drawing>
              <wp:anchor distT="0" distB="0" distL="114300" distR="114300" simplePos="0" relativeHeight="251673600" behindDoc="0" locked="0" layoutInCell="1" allowOverlap="1" wp14:anchorId="284570FF" wp14:editId="45EEC3C5">
                <wp:simplePos x="0" y="0"/>
                <wp:positionH relativeFrom="column">
                  <wp:posOffset>5486400</wp:posOffset>
                </wp:positionH>
                <wp:positionV relativeFrom="paragraph">
                  <wp:posOffset>90170</wp:posOffset>
                </wp:positionV>
                <wp:extent cx="0" cy="838200"/>
                <wp:effectExtent l="76200" t="0" r="57150" b="57150"/>
                <wp:wrapNone/>
                <wp:docPr id="436"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3820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6in;margin-top:7.1pt;width:0;height:66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" strokecolor="windowText">
                <v:stroke startarrow="block"/>
                <o:lock v:ext="edit" shapetype="f"/>
              </v:shape>
            </w:pict>
          </mc:Fallback>
        </mc:AlternateContent>
      </w:r>
    </w:p>
    <w:p w:rsidR="0073634E" w:rsidRDefault="00873C79">
      <w:pPr>
        <w:pStyle w:val="BodyText"/>
      </w:pPr>
      <w:r>
        <mc:AlternateContent>
          <mc:Choice Requires="wps">
            <w:drawing>
              <wp:anchor distT="0" distB="0" distL="114300" distR="114300" simplePos="0" relativeHeight="251651072" behindDoc="0" locked="0" layoutInCell="1" allowOverlap="1" wp14:anchorId="5CD1A4FB" wp14:editId="74731B43">
                <wp:simplePos x="0" y="0"/>
                <wp:positionH relativeFrom="column">
                  <wp:posOffset>733425</wp:posOffset>
                </wp:positionH>
                <wp:positionV relativeFrom="paragraph">
                  <wp:posOffset>166370</wp:posOffset>
                </wp:positionV>
                <wp:extent cx="0" cy="332740"/>
                <wp:effectExtent l="76200" t="0" r="76200" b="48260"/>
                <wp:wrapNone/>
                <wp:docPr id="507"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274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7.75pt;margin-top:13.1pt;width:0;height:26.2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" strokecolor="windowText">
                <v:stroke startarrow="block"/>
                <o:lock v:ext="edit" shapetype="f"/>
              </v:shape>
            </w:pict>
          </mc:Fallback>
        </mc:AlternateContent>
      </w:r>
      <w:r w:rsidR="001E5B1F">
        <mc:AlternateContent>
          <mc:Choice Requires="wps">
            <w:drawing>
              <wp:anchor distT="0" distB="0" distL="114300" distR="114300" simplePos="0" relativeHeight="251714560" behindDoc="0" locked="0" layoutInCell="1" allowOverlap="1" wp14:anchorId="7FD4216F" wp14:editId="2CA4C4BD">
                <wp:simplePos x="0" y="0"/>
                <wp:positionH relativeFrom="column">
                  <wp:posOffset>6629400</wp:posOffset>
                </wp:positionH>
                <wp:positionV relativeFrom="paragraph">
                  <wp:posOffset>128270</wp:posOffset>
                </wp:positionV>
                <wp:extent cx="0" cy="533400"/>
                <wp:effectExtent l="76200" t="0" r="57150" b="57150"/>
                <wp:wrapNone/>
                <wp:docPr id="437" name="AutoShape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6" o:spid="_x0000_s1026" type="#_x0000_t32" style="position:absolute;margin-left:522pt;margin-top:10.1pt;width:0;height: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">
                <v:stroke endarrow="block"/>
              </v:shape>
            </w:pict>
          </mc:Fallback>
        </mc:AlternateContent>
      </w:r>
      <w:r w:rsidR="001E5B1F">
        <mc:AlternateContent>
          <mc:Choice Requires="wps">
            <w:drawing>
              <wp:anchor distT="0" distB="0" distL="114300" distR="114300" simplePos="0" relativeHeight="251739136" behindDoc="0" locked="0" layoutInCell="1" allowOverlap="1" wp14:anchorId="1FDCDD9F" wp14:editId="6BC2995E">
                <wp:simplePos x="0" y="0"/>
                <wp:positionH relativeFrom="column">
                  <wp:posOffset>2343150</wp:posOffset>
                </wp:positionH>
                <wp:positionV relativeFrom="paragraph">
                  <wp:posOffset>166371</wp:posOffset>
                </wp:positionV>
                <wp:extent cx="0" cy="332739"/>
                <wp:effectExtent l="76200" t="0" r="76200" b="48895"/>
                <wp:wrapNone/>
                <wp:docPr id="506"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2739"/>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84.5pt;margin-top:13.1pt;width:0;height:26.2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" strokecolor="windowText">
                <v:stroke startarrow="block"/>
                <o:lock v:ext="edit" shapetype="f"/>
              </v:shape>
            </w:pict>
          </mc:Fallback>
        </mc:AlternateContent>
      </w:r>
      <w:r w:rsidR="001E5B1F">
        <mc:AlternateContent>
          <mc:Choice Requires="wps">
            <w:drawing>
              <wp:anchor distT="0" distB="0" distL="114300" distR="114300" simplePos="0" relativeHeight="251737088" behindDoc="0" locked="0" layoutInCell="1" allowOverlap="1" wp14:anchorId="726EC023" wp14:editId="03CBDC4C">
                <wp:simplePos x="0" y="0"/>
                <wp:positionH relativeFrom="column">
                  <wp:posOffset>1543050</wp:posOffset>
                </wp:positionH>
                <wp:positionV relativeFrom="paragraph">
                  <wp:posOffset>166370</wp:posOffset>
                </wp:positionV>
                <wp:extent cx="0" cy="352425"/>
                <wp:effectExtent l="76200" t="0" r="76200" b="47625"/>
                <wp:wrapNone/>
                <wp:docPr id="439"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52425"/>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121.5pt;margin-top:13.1pt;width:0;height:27.75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" strokecolor="windowText">
                <v:stroke startarrow="block"/>
                <o:lock v:ext="edit" shapetype="f"/>
              </v:shape>
            </w:pict>
          </mc:Fallback>
        </mc:AlternateContent>
      </w:r>
      <w:r w:rsidR="001E5B1F">
        <mc:AlternateContent>
          <mc:Choice Requires="wps">
            <w:drawing>
              <wp:anchor distT="0" distB="0" distL="114300" distR="114300" simplePos="0" relativeHeight="251708416" behindDoc="0" locked="0" layoutInCell="1" allowOverlap="1" wp14:anchorId="67416BA6" wp14:editId="20AE49A1">
                <wp:simplePos x="0" y="0"/>
                <wp:positionH relativeFrom="column">
                  <wp:posOffset>4114800</wp:posOffset>
                </wp:positionH>
                <wp:positionV relativeFrom="paragraph">
                  <wp:posOffset>128270</wp:posOffset>
                </wp:positionV>
                <wp:extent cx="0" cy="533400"/>
                <wp:effectExtent l="76200" t="0" r="57150" b="57150"/>
                <wp:wrapNone/>
                <wp:docPr id="441"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9" o:spid="_x0000_s1026" type="#_x0000_t32" style="position:absolute;margin-left:324pt;margin-top:10.1pt;width:0;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4eNgIAAGA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">
                <v:stroke endarrow="block"/>
              </v:shape>
            </w:pict>
          </mc:Fallback>
        </mc:AlternateContent>
      </w:r>
      <w:r w:rsidR="0073634E">
        <mc:AlternateContent>
          <mc:Choice Requires="wps">
            <w:drawing>
              <wp:anchor distT="0" distB="0" distL="114300" distR="114300" simplePos="0" relativeHeight="251712512" behindDoc="0" locked="0" layoutInCell="1" allowOverlap="1" wp14:anchorId="009A07A4" wp14:editId="42F5D77E">
                <wp:simplePos x="0" y="0"/>
                <wp:positionH relativeFrom="column">
                  <wp:posOffset>3457575</wp:posOffset>
                </wp:positionH>
                <wp:positionV relativeFrom="paragraph">
                  <wp:posOffset>269240</wp:posOffset>
                </wp:positionV>
                <wp:extent cx="1181100" cy="227965"/>
                <wp:effectExtent l="0" t="0" r="0" b="635"/>
                <wp:wrapNone/>
                <wp:docPr id="440"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81100" cy="227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73634E">
                            <w:pPr>
                              <w:pStyle w:val="NormalWeb"/>
                              <w:spacing w:before="0" w:beforeAutospacing="0" w:after="0" w:afterAutospacing="0"/>
                              <w:jc w:val="center"/>
                            </w:pPr>
                            <w:r>
                              <w:rPr>
                                <w:rFonts w:ascii="Arial" w:hAnsi="Arial" w:cs="Arial"/>
                                <w:i/>
                                <w:iCs/>
                                <w:color w:val="000000"/>
                                <w:sz w:val="16"/>
                                <w:szCs w:val="16"/>
                              </w:rPr>
                              <w:t>Metering Voltage 33KV, 66 kV &amp; 132kV</w:t>
                            </w: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left:0;text-align:left;margin-left:272.25pt;margin-top:21.2pt;width:93pt;height:17.9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" stroked="f">
                <v:textbox inset="0,0,0,0">
                  <w:txbxContent>
                    <w:p w:rsidR="001B5FF8" w:rsidRDefault="001B5FF8" w:rsidP="0073634E">
                      <w:pPr>
                        <w:pStyle w:val="NormalWeb"/>
                        <w:spacing w:before="0" w:beforeAutospacing="0" w:after="0" w:afterAutospacing="0"/>
                        <w:jc w:val="center"/>
                      </w:pPr>
                      <w:r>
                        <w:rPr>
                          <w:rFonts w:ascii="Arial" w:hAnsi="Arial" w:cs="Arial"/>
                          <w:i/>
                          <w:iCs/>
                          <w:color w:val="000000"/>
                          <w:sz w:val="16"/>
                          <w:szCs w:val="16"/>
                        </w:rPr>
                        <w:t>Metering Voltage 33KV, 66 kV &amp; 132kV</w:t>
                      </w:r>
                    </w:p>
                  </w:txbxContent>
                </v:textbox>
              </v:rect>
            </w:pict>
          </mc:Fallback>
        </mc:AlternateContent>
      </w:r>
      <w:r w:rsidR="0073634E">
        <mc:AlternateContent>
          <mc:Choice Requires="wps">
            <w:drawing>
              <wp:anchor distT="0" distB="0" distL="114300" distR="114300" simplePos="0" relativeHeight="251677696" behindDoc="0" locked="0" layoutInCell="1" allowOverlap="1" wp14:anchorId="467B0E18" wp14:editId="79D89418">
                <wp:simplePos x="0" y="0"/>
                <wp:positionH relativeFrom="column">
                  <wp:posOffset>4114800</wp:posOffset>
                </wp:positionH>
                <wp:positionV relativeFrom="paragraph">
                  <wp:posOffset>126365</wp:posOffset>
                </wp:positionV>
                <wp:extent cx="2514600" cy="0"/>
                <wp:effectExtent l="0" t="0" r="25400" b="25400"/>
                <wp:wrapNone/>
                <wp:docPr id="443"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146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95pt" to="52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" strokecolor="windowText">
                <o:lock v:ext="edit" shapetype="f"/>
              </v:line>
            </w:pict>
          </mc:Fallback>
        </mc:AlternateContent>
      </w:r>
      <w:r w:rsidR="0073634E">
        <mc:AlternateContent>
          <mc:Choice Requires="wps">
            <w:drawing>
              <wp:anchor distT="0" distB="0" distL="114300" distR="114300" simplePos="0" relativeHeight="251710464" behindDoc="0" locked="0" layoutInCell="1" allowOverlap="1" wp14:anchorId="04B653B5" wp14:editId="58BEB346">
                <wp:simplePos x="0" y="0"/>
                <wp:positionH relativeFrom="column">
                  <wp:posOffset>4114800</wp:posOffset>
                </wp:positionH>
                <wp:positionV relativeFrom="paragraph">
                  <wp:posOffset>126365</wp:posOffset>
                </wp:positionV>
                <wp:extent cx="0" cy="228600"/>
                <wp:effectExtent l="50800" t="0" r="76200" b="76200"/>
                <wp:wrapNone/>
                <wp:docPr id="444" name="AutoShape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0" o:spid="_x0000_s1026" type="#_x0000_t32" style="position:absolute;margin-left:324pt;margin-top:9.95pt;width:0;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">
                <v:stroke endarrow="block"/>
              </v:shape>
            </w:pict>
          </mc:Fallback>
        </mc:AlternateContent>
      </w:r>
      <w:r w:rsidR="0073634E">
        <mc:AlternateContent>
          <mc:Choice Requires="wps">
            <w:drawing>
              <wp:anchor distT="0" distB="0" distL="114300" distR="114300" simplePos="0" relativeHeight="251659264" behindDoc="0" locked="0" layoutInCell="1" allowOverlap="1" wp14:anchorId="00C5884C" wp14:editId="350A8B60">
                <wp:simplePos x="0" y="0"/>
                <wp:positionH relativeFrom="column">
                  <wp:posOffset>737870</wp:posOffset>
                </wp:positionH>
                <wp:positionV relativeFrom="paragraph">
                  <wp:posOffset>160655</wp:posOffset>
                </wp:positionV>
                <wp:extent cx="1600200" cy="0"/>
                <wp:effectExtent l="0" t="0" r="19050" b="19050"/>
                <wp:wrapNone/>
                <wp:docPr id="509"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pt,12.65pt" to="184.1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" strokecolor="windowText">
                <o:lock v:ext="edit" shapetype="f"/>
              </v:line>
            </w:pict>
          </mc:Fallback>
        </mc:AlternateContent>
      </w:r>
    </w:p>
    <w:p w:rsidR="0073634E" w:rsidRDefault="001E5B1F">
      <w:pPr>
        <w:pStyle w:val="BodyText"/>
      </w:pPr>
      <w:r>
        <mc:AlternateContent>
          <mc:Choice Requires="wps">
            <w:drawing>
              <wp:anchor distT="0" distB="0" distL="114300" distR="114300" simplePos="0" relativeHeight="251681792" behindDoc="0" locked="0" layoutInCell="1" allowOverlap="1" wp14:anchorId="0B51A3CC" wp14:editId="3C3FBB0A">
                <wp:simplePos x="0" y="0"/>
                <wp:positionH relativeFrom="column">
                  <wp:posOffset>4886325</wp:posOffset>
                </wp:positionH>
                <wp:positionV relativeFrom="paragraph">
                  <wp:posOffset>5715</wp:posOffset>
                </wp:positionV>
                <wp:extent cx="1143000" cy="238125"/>
                <wp:effectExtent l="0" t="0" r="0" b="9525"/>
                <wp:wrapNone/>
                <wp:docPr id="4662"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73634E">
                            <w:pPr>
                              <w:pStyle w:val="NormalWeb"/>
                              <w:spacing w:before="0" w:beforeAutospacing="0" w:after="0" w:afterAutospacing="0"/>
                              <w:jc w:val="center"/>
                            </w:pPr>
                            <w:r>
                              <w:rPr>
                                <w:rFonts w:ascii="Arial" w:hAnsi="Arial" w:cs="Arial"/>
                                <w:i/>
                                <w:iCs/>
                                <w:color w:val="000000"/>
                                <w:sz w:val="16"/>
                                <w:szCs w:val="16"/>
                              </w:rPr>
                              <w:t>Metering Voltage 5KV, 11kV &amp; 22kV</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55" style="position:absolute;left:0;text-align:left;margin-left:384.75pt;margin-top:.45pt;width:90pt;height:18.7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" stroked="f">
                <v:textbox inset="0,0,0,0">
                  <w:txbxContent>
                    <w:p w:rsidR="001B5FF8" w:rsidRDefault="001B5FF8" w:rsidP="0073634E">
                      <w:pPr>
                        <w:pStyle w:val="NormalWeb"/>
                        <w:spacing w:before="0" w:beforeAutospacing="0" w:after="0" w:afterAutospacing="0"/>
                        <w:jc w:val="center"/>
                      </w:pPr>
                      <w:r>
                        <w:rPr>
                          <w:rFonts w:ascii="Arial" w:hAnsi="Arial" w:cs="Arial"/>
                          <w:i/>
                          <w:iCs/>
                          <w:color w:val="000000"/>
                          <w:sz w:val="16"/>
                          <w:szCs w:val="16"/>
                        </w:rPr>
                        <w:t>Metering Voltage 5KV, 11kV &amp; 22kV</w:t>
                      </w:r>
                    </w:p>
                  </w:txbxContent>
                </v:textbox>
              </v:rect>
            </w:pict>
          </mc:Fallback>
        </mc:AlternateContent>
      </w:r>
      <w:r w:rsidR="00B80ED1">
        <mc:AlternateContent>
          <mc:Choice Requires="wps">
            <w:drawing>
              <wp:anchor distT="0" distB="0" distL="114300" distR="114300" simplePos="0" relativeHeight="251716608" behindDoc="0" locked="0" layoutInCell="1" allowOverlap="1" wp14:anchorId="7091AB74" wp14:editId="1F6B74B8">
                <wp:simplePos x="0" y="0"/>
                <wp:positionH relativeFrom="column">
                  <wp:posOffset>6172200</wp:posOffset>
                </wp:positionH>
                <wp:positionV relativeFrom="paragraph">
                  <wp:posOffset>17145</wp:posOffset>
                </wp:positionV>
                <wp:extent cx="838200" cy="238125"/>
                <wp:effectExtent l="0" t="0" r="0" b="9525"/>
                <wp:wrapNone/>
                <wp:docPr id="50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382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73634E">
                            <w:pPr>
                              <w:pStyle w:val="NormalWeb"/>
                              <w:spacing w:before="0" w:beforeAutospacing="0" w:after="0" w:afterAutospacing="0"/>
                              <w:jc w:val="center"/>
                            </w:pPr>
                            <w:r>
                              <w:rPr>
                                <w:rFonts w:ascii="Arial" w:hAnsi="Arial" w:cs="Arial"/>
                                <w:i/>
                                <w:iCs/>
                                <w:color w:val="000000"/>
                                <w:sz w:val="16"/>
                                <w:szCs w:val="16"/>
                              </w:rPr>
                              <w:t>Metering Voltage</w:t>
                            </w:r>
                          </w:p>
                          <w:p w:rsidR="001B5FF8" w:rsidRDefault="001B5FF8" w:rsidP="0073634E">
                            <w:pPr>
                              <w:pStyle w:val="NormalWeb"/>
                              <w:spacing w:before="0" w:beforeAutospacing="0" w:after="0" w:afterAutospacing="0"/>
                              <w:jc w:val="center"/>
                            </w:pPr>
                            <w:r>
                              <w:rPr>
                                <w:rFonts w:ascii="Arial" w:hAnsi="Arial" w:cs="Arial"/>
                                <w:i/>
                                <w:iCs/>
                                <w:color w:val="000000"/>
                                <w:sz w:val="16"/>
                                <w:szCs w:val="16"/>
                              </w:rPr>
                              <w:t>230V/400V</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56" style="position:absolute;left:0;text-align:left;margin-left:486pt;margin-top:1.35pt;width:66pt;height:18.7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" stroked="f">
                <v:textbox inset="0,0,0,0">
                  <w:txbxContent>
                    <w:p w:rsidR="001B5FF8" w:rsidRDefault="001B5FF8" w:rsidP="0073634E">
                      <w:pPr>
                        <w:pStyle w:val="NormalWeb"/>
                        <w:spacing w:before="0" w:beforeAutospacing="0" w:after="0" w:afterAutospacing="0"/>
                        <w:jc w:val="center"/>
                      </w:pPr>
                      <w:r>
                        <w:rPr>
                          <w:rFonts w:ascii="Arial" w:hAnsi="Arial" w:cs="Arial"/>
                          <w:i/>
                          <w:iCs/>
                          <w:color w:val="000000"/>
                          <w:sz w:val="16"/>
                          <w:szCs w:val="16"/>
                        </w:rPr>
                        <w:t>Metering Voltage</w:t>
                      </w:r>
                    </w:p>
                    <w:p w:rsidR="001B5FF8" w:rsidRDefault="001B5FF8" w:rsidP="0073634E">
                      <w:pPr>
                        <w:pStyle w:val="NormalWeb"/>
                        <w:spacing w:before="0" w:beforeAutospacing="0" w:after="0" w:afterAutospacing="0"/>
                        <w:jc w:val="center"/>
                      </w:pPr>
                      <w:r>
                        <w:rPr>
                          <w:rFonts w:ascii="Arial" w:hAnsi="Arial" w:cs="Arial"/>
                          <w:i/>
                          <w:iCs/>
                          <w:color w:val="000000"/>
                          <w:sz w:val="16"/>
                          <w:szCs w:val="16"/>
                        </w:rPr>
                        <w:t>230V/400V</w:t>
                      </w:r>
                    </w:p>
                  </w:txbxContent>
                </v:textbox>
              </v:rect>
            </w:pict>
          </mc:Fallback>
        </mc:AlternateContent>
      </w:r>
      <w:r w:rsidR="0073634E">
        <mc:AlternateContent>
          <mc:Choice Requires="wps">
            <w:drawing>
              <wp:anchor distT="0" distB="0" distL="114300" distR="114300" simplePos="0" relativeHeight="251653120" behindDoc="0" locked="0" layoutInCell="1" allowOverlap="1" wp14:anchorId="7869848B" wp14:editId="030EB033">
                <wp:simplePos x="0" y="0"/>
                <wp:positionH relativeFrom="column">
                  <wp:posOffset>1219200</wp:posOffset>
                </wp:positionH>
                <wp:positionV relativeFrom="paragraph">
                  <wp:posOffset>250190</wp:posOffset>
                </wp:positionV>
                <wp:extent cx="714375" cy="390525"/>
                <wp:effectExtent l="0" t="0" r="28575" b="28575"/>
                <wp:wrapNone/>
                <wp:docPr id="51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00"/>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Constant Unmetered Tariff (EA402)</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96pt;margin-top:19.7pt;width:56.25pt;height:30.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" fillcolor="yellow">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Constant Unmetered Tariff (EA402)</w:t>
                      </w:r>
                    </w:p>
                  </w:txbxContent>
                </v:textbox>
              </v:rect>
            </w:pict>
          </mc:Fallback>
        </mc:AlternateContent>
      </w:r>
      <w:r w:rsidR="0073634E">
        <mc:AlternateContent>
          <mc:Choice Requires="wps">
            <w:drawing>
              <wp:anchor distT="0" distB="0" distL="114300" distR="114300" simplePos="0" relativeHeight="251655168" behindDoc="0" locked="0" layoutInCell="1" allowOverlap="1" wp14:anchorId="658A56FD" wp14:editId="6AFC03B6">
                <wp:simplePos x="0" y="0"/>
                <wp:positionH relativeFrom="column">
                  <wp:posOffset>352425</wp:posOffset>
                </wp:positionH>
                <wp:positionV relativeFrom="paragraph">
                  <wp:posOffset>252095</wp:posOffset>
                </wp:positionV>
                <wp:extent cx="714375" cy="390525"/>
                <wp:effectExtent l="0" t="0" r="28575" b="28575"/>
                <wp:wrapNone/>
                <wp:docPr id="51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FFFF00"/>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Public Lighting Tariff (EA401)</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58" style="position:absolute;left:0;text-align:left;margin-left:27.75pt;margin-top:19.85pt;width:56.25pt;height:3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" fillcolor="yellow">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Public Lighting Tariff (EA401)</w:t>
                      </w:r>
                    </w:p>
                  </w:txbxContent>
                </v:textbox>
              </v:rect>
            </w:pict>
          </mc:Fallback>
        </mc:AlternateContent>
      </w:r>
      <w:r w:rsidR="0073634E">
        <mc:AlternateContent>
          <mc:Choice Requires="wps">
            <w:drawing>
              <wp:anchor distT="0" distB="0" distL="114300" distR="114300" simplePos="0" relativeHeight="251657216" behindDoc="0" locked="0" layoutInCell="1" allowOverlap="1" wp14:anchorId="2DEABCC0" wp14:editId="2157CD78">
                <wp:simplePos x="0" y="0"/>
                <wp:positionH relativeFrom="column">
                  <wp:posOffset>2047875</wp:posOffset>
                </wp:positionH>
                <wp:positionV relativeFrom="paragraph">
                  <wp:posOffset>240665</wp:posOffset>
                </wp:positionV>
                <wp:extent cx="666750" cy="390525"/>
                <wp:effectExtent l="0" t="0" r="19050" b="28575"/>
                <wp:wrapNone/>
                <wp:docPr id="51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390525"/>
                        </a:xfrm>
                        <a:prstGeom prst="rect">
                          <a:avLst/>
                        </a:prstGeom>
                        <a:solidFill>
                          <a:srgbClr val="FFFF00"/>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Energy Light Tariff (EA403)</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161.25pt;margin-top:18.95pt;width:52.5pt;height:3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" fillcolor="yellow">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Energy Light Tariff (EA403)</w:t>
                      </w:r>
                    </w:p>
                  </w:txbxContent>
                </v:textbox>
              </v:rect>
            </w:pict>
          </mc:Fallback>
        </mc:AlternateContent>
      </w:r>
    </w:p>
    <w:p w:rsidR="0073634E" w:rsidRDefault="001E5B1F">
      <w:pPr>
        <w:pStyle w:val="BodyText"/>
      </w:pPr>
      <w:r>
        <mc:AlternateContent>
          <mc:Choice Requires="wps">
            <w:drawing>
              <wp:anchor distT="0" distB="0" distL="114300" distR="114300" simplePos="0" relativeHeight="251718656" behindDoc="0" locked="0" layoutInCell="1" allowOverlap="1" wp14:anchorId="40724584" wp14:editId="30A9552E">
                <wp:simplePos x="0" y="0"/>
                <wp:positionH relativeFrom="column">
                  <wp:posOffset>6209665</wp:posOffset>
                </wp:positionH>
                <wp:positionV relativeFrom="paragraph">
                  <wp:posOffset>138430</wp:posOffset>
                </wp:positionV>
                <wp:extent cx="1006475" cy="277495"/>
                <wp:effectExtent l="0" t="0" r="22225" b="27305"/>
                <wp:wrapNone/>
                <wp:docPr id="51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475" cy="277495"/>
                        </a:xfrm>
                        <a:prstGeom prst="rect">
                          <a:avLst/>
                        </a:prstGeom>
                        <a:solidFill>
                          <a:srgbClr val="FFFFFF"/>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Pr>
                                <w:rFonts w:ascii="Calibri" w:hAnsi="Calibri"/>
                                <w:color w:val="000000"/>
                                <w:sz w:val="16"/>
                                <w:szCs w:val="16"/>
                              </w:rPr>
                              <w:t>Extent of network usage</w:t>
                            </w: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left:0;text-align:left;margin-left:488.95pt;margin-top:10.9pt;width:79.25pt;height:2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">
                <v:textbox inset="0,0,0,0">
                  <w:txbxContent>
                    <w:p w:rsidR="001B5FF8" w:rsidRDefault="001B5FF8" w:rsidP="0073634E">
                      <w:pPr>
                        <w:pStyle w:val="NormalWeb"/>
                        <w:spacing w:before="0" w:beforeAutospacing="0" w:after="0" w:afterAutospacing="0"/>
                        <w:jc w:val="center"/>
                      </w:pPr>
                      <w:r>
                        <w:rPr>
                          <w:rFonts w:ascii="Calibri" w:hAnsi="Calibri"/>
                          <w:color w:val="000000"/>
                          <w:sz w:val="16"/>
                          <w:szCs w:val="16"/>
                        </w:rPr>
                        <w:t>Extent of network usage</w:t>
                      </w:r>
                    </w:p>
                  </w:txbxContent>
                </v:textbox>
              </v:rect>
            </w:pict>
          </mc:Fallback>
        </mc:AlternateContent>
      </w:r>
      <w:r>
        <mc:AlternateContent>
          <mc:Choice Requires="wps">
            <w:drawing>
              <wp:anchor distT="0" distB="0" distL="114300" distR="114300" simplePos="0" relativeHeight="251675648" behindDoc="0" locked="0" layoutInCell="1" allowOverlap="1" wp14:anchorId="13D6A327" wp14:editId="1E72AED1">
                <wp:simplePos x="0" y="0"/>
                <wp:positionH relativeFrom="column">
                  <wp:posOffset>5153025</wp:posOffset>
                </wp:positionH>
                <wp:positionV relativeFrom="paragraph">
                  <wp:posOffset>126365</wp:posOffset>
                </wp:positionV>
                <wp:extent cx="714375" cy="390525"/>
                <wp:effectExtent l="0" t="0" r="28575" b="28575"/>
                <wp:wrapNone/>
                <wp:docPr id="51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90525"/>
                        </a:xfrm>
                        <a:prstGeom prst="rect">
                          <a:avLst/>
                        </a:prstGeom>
                        <a:solidFill>
                          <a:srgbClr val="00B0F0"/>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High Voltage C</w:t>
                            </w:r>
                            <w:r>
                              <w:rPr>
                                <w:rFonts w:ascii="Calibri" w:hAnsi="Calibri"/>
                                <w:color w:val="000000"/>
                                <w:sz w:val="16"/>
                                <w:szCs w:val="16"/>
                              </w:rPr>
                              <w:t>o</w:t>
                            </w:r>
                            <w:r w:rsidRPr="00C65A0A">
                              <w:rPr>
                                <w:rFonts w:ascii="Calibri" w:hAnsi="Calibri"/>
                                <w:color w:val="000000"/>
                                <w:sz w:val="16"/>
                                <w:szCs w:val="16"/>
                              </w:rPr>
                              <w:t>nnection Tariff (EA370)</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405.75pt;margin-top:9.95pt;width:56.25pt;height:3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" fillcolor="#00b0f0">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High Voltage C</w:t>
                      </w:r>
                      <w:r>
                        <w:rPr>
                          <w:rFonts w:ascii="Calibri" w:hAnsi="Calibri"/>
                          <w:color w:val="000000"/>
                          <w:sz w:val="16"/>
                          <w:szCs w:val="16"/>
                        </w:rPr>
                        <w:t>o</w:t>
                      </w:r>
                      <w:r w:rsidRPr="00C65A0A">
                        <w:rPr>
                          <w:rFonts w:ascii="Calibri" w:hAnsi="Calibri"/>
                          <w:color w:val="000000"/>
                          <w:sz w:val="16"/>
                          <w:szCs w:val="16"/>
                        </w:rPr>
                        <w:t>nnection Tariff (EA370)</w:t>
                      </w:r>
                    </w:p>
                  </w:txbxContent>
                </v:textbox>
              </v:rect>
            </w:pict>
          </mc:Fallback>
        </mc:AlternateContent>
      </w:r>
      <w:r w:rsidR="0073634E">
        <mc:AlternateContent>
          <mc:Choice Requires="wps">
            <w:drawing>
              <wp:anchor distT="0" distB="0" distL="114300" distR="114300" simplePos="0" relativeHeight="251751424" behindDoc="0" locked="0" layoutInCell="1" allowOverlap="1" wp14:anchorId="4091DC0A" wp14:editId="5E064714">
                <wp:simplePos x="0" y="0"/>
                <wp:positionH relativeFrom="column">
                  <wp:posOffset>3578225</wp:posOffset>
                </wp:positionH>
                <wp:positionV relativeFrom="paragraph">
                  <wp:posOffset>126365</wp:posOffset>
                </wp:positionV>
                <wp:extent cx="1222375" cy="369570"/>
                <wp:effectExtent l="0" t="0" r="22225" b="36830"/>
                <wp:wrapNone/>
                <wp:docPr id="51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2375" cy="369570"/>
                        </a:xfrm>
                        <a:prstGeom prst="rect">
                          <a:avLst/>
                        </a:prstGeom>
                        <a:solidFill>
                          <a:srgbClr val="F79646"/>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Sub-transmission Connection Tariff (EA390)</w:t>
                            </w: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62" style="position:absolute;left:0;text-align:left;margin-left:281.75pt;margin-top:9.95pt;width:96.25pt;height:29.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" fillcolor="#f79646">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Sub-transmission Connection Tariff (EA390)</w:t>
                      </w:r>
                    </w:p>
                  </w:txbxContent>
                </v:textbox>
              </v:rect>
            </w:pict>
          </mc:Fallback>
        </mc:AlternateContent>
      </w:r>
    </w:p>
    <w:p w:rsidR="0073634E" w:rsidRDefault="00873C79">
      <w:pPr>
        <w:pStyle w:val="BodyText"/>
      </w:pPr>
      <w:r>
        <mc:AlternateContent>
          <mc:Choice Requires="wps">
            <w:drawing>
              <wp:anchor distT="0" distB="0" distL="114300" distR="114300" simplePos="0" relativeHeight="251782144" behindDoc="0" locked="0" layoutInCell="1" allowOverlap="1" wp14:anchorId="2ABC2393" wp14:editId="4B59D760">
                <wp:simplePos x="0" y="0"/>
                <wp:positionH relativeFrom="column">
                  <wp:posOffset>6638925</wp:posOffset>
                </wp:positionH>
                <wp:positionV relativeFrom="paragraph">
                  <wp:posOffset>157480</wp:posOffset>
                </wp:positionV>
                <wp:extent cx="0" cy="332740"/>
                <wp:effectExtent l="76200" t="0" r="76200" b="48260"/>
                <wp:wrapNone/>
                <wp:docPr id="2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2740"/>
                        </a:xfrm>
                        <a:prstGeom prst="straightConnector1">
                          <a:avLst/>
                        </a:prstGeom>
                        <a:noFill/>
                        <a:ln w="9525" cap="flat" cmpd="sng" algn="ctr">
                          <a:solidFill>
                            <a:sysClr val="windowText" lastClr="000000"/>
                          </a:solidFill>
                          <a:prstDash val="solid"/>
                          <a:headEnd type="triangle"/>
                          <a:tailEnd type="non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522.75pt;margin-top:12.4pt;width:0;height:26.2pt;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" strokecolor="windowText">
                <v:stroke startarrow="block"/>
                <o:lock v:ext="edit" shapetype="f"/>
              </v:shape>
            </w:pict>
          </mc:Fallback>
        </mc:AlternateContent>
      </w:r>
    </w:p>
    <w:p w:rsidR="0073634E" w:rsidRDefault="001E5B1F">
      <w:pPr>
        <w:pStyle w:val="BodyText"/>
      </w:pPr>
      <w:r>
        <mc:AlternateContent>
          <mc:Choice Requires="wps">
            <w:drawing>
              <wp:anchor distT="0" distB="0" distL="114300" distR="114300" simplePos="0" relativeHeight="251571200" behindDoc="0" locked="0" layoutInCell="1" allowOverlap="1" wp14:anchorId="61DE25D2" wp14:editId="3F0F5847">
                <wp:simplePos x="0" y="0"/>
                <wp:positionH relativeFrom="column">
                  <wp:posOffset>8258175</wp:posOffset>
                </wp:positionH>
                <wp:positionV relativeFrom="paragraph">
                  <wp:posOffset>213995</wp:posOffset>
                </wp:positionV>
                <wp:extent cx="0" cy="1047750"/>
                <wp:effectExtent l="76200" t="0" r="57150" b="57150"/>
                <wp:wrapNone/>
                <wp:docPr id="521"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0" o:spid="_x0000_s1026" type="#_x0000_t32" style="position:absolute;margin-left:650.25pt;margin-top:16.85pt;width:0;height:82.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uSNwIAAGE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">
                <v:stroke endarrow="block"/>
              </v:shape>
            </w:pict>
          </mc:Fallback>
        </mc:AlternateContent>
      </w:r>
      <w:r w:rsidR="008D28AD">
        <mc:AlternateContent>
          <mc:Choice Requires="wps">
            <w:drawing>
              <wp:anchor distT="0" distB="0" distL="114300" distR="114300" simplePos="0" relativeHeight="251720704" behindDoc="0" locked="0" layoutInCell="1" allowOverlap="1" wp14:anchorId="5A552F1C" wp14:editId="72559AF1">
                <wp:simplePos x="0" y="0"/>
                <wp:positionH relativeFrom="column">
                  <wp:posOffset>2743200</wp:posOffset>
                </wp:positionH>
                <wp:positionV relativeFrom="paragraph">
                  <wp:posOffset>223520</wp:posOffset>
                </wp:positionV>
                <wp:extent cx="0" cy="733425"/>
                <wp:effectExtent l="76200" t="0" r="76200" b="47625"/>
                <wp:wrapNone/>
                <wp:docPr id="519"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8" o:spid="_x0000_s1026" type="#_x0000_t32" style="position:absolute;margin-left:3in;margin-top:17.6pt;width:0;height:5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">
                <v:stroke endarrow="block"/>
              </v:shape>
            </w:pict>
          </mc:Fallback>
        </mc:AlternateContent>
      </w:r>
      <w:r w:rsidR="008D28AD">
        <mc:AlternateContent>
          <mc:Choice Requires="wps">
            <w:drawing>
              <wp:anchor distT="0" distB="0" distL="114300" distR="114300" simplePos="0" relativeHeight="251689984" behindDoc="0" locked="0" layoutInCell="1" allowOverlap="1" wp14:anchorId="5B50741A" wp14:editId="3882FC9C">
                <wp:simplePos x="0" y="0"/>
                <wp:positionH relativeFrom="column">
                  <wp:posOffset>6465570</wp:posOffset>
                </wp:positionH>
                <wp:positionV relativeFrom="paragraph">
                  <wp:posOffset>1336040</wp:posOffset>
                </wp:positionV>
                <wp:extent cx="638175" cy="409575"/>
                <wp:effectExtent l="0" t="0" r="28575" b="28575"/>
                <wp:wrapNone/>
                <wp:docPr id="331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9575"/>
                        </a:xfrm>
                        <a:prstGeom prst="rect">
                          <a:avLst/>
                        </a:prstGeom>
                        <a:solidFill>
                          <a:sysClr val="window" lastClr="FFFFFF">
                            <a:lumMod val="75000"/>
                          </a:sysClr>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LV TOU Capacity Tariff (EA305)</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63" style="position:absolute;left:0;text-align:left;margin-left:509.1pt;margin-top:105.2pt;width:50.25pt;height:3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" fillcolor="#bfbfbf">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LV TOU Capacity Tariff (EA305)</w:t>
                      </w:r>
                    </w:p>
                  </w:txbxContent>
                </v:textbox>
              </v:rect>
            </w:pict>
          </mc:Fallback>
        </mc:AlternateContent>
      </w:r>
      <w:r w:rsidR="008D28AD">
        <mc:AlternateContent>
          <mc:Choice Requires="wps">
            <w:drawing>
              <wp:anchor distT="0" distB="0" distL="114300" distR="114300" simplePos="0" relativeHeight="251573248" behindDoc="0" locked="0" layoutInCell="1" allowOverlap="1" wp14:anchorId="1421CD7B" wp14:editId="6FD4B53B">
                <wp:simplePos x="0" y="0"/>
                <wp:positionH relativeFrom="column">
                  <wp:posOffset>6776085</wp:posOffset>
                </wp:positionH>
                <wp:positionV relativeFrom="paragraph">
                  <wp:posOffset>215900</wp:posOffset>
                </wp:positionV>
                <wp:extent cx="0" cy="1108710"/>
                <wp:effectExtent l="76200" t="0" r="57150" b="53340"/>
                <wp:wrapNone/>
                <wp:docPr id="525" name="AutoShap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8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0" o:spid="_x0000_s1026" type="#_x0000_t32" style="position:absolute;margin-left:533.55pt;margin-top:17pt;width:0;height:87.3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">
                <v:stroke endarrow="block"/>
              </v:shape>
            </w:pict>
          </mc:Fallback>
        </mc:AlternateContent>
      </w:r>
      <w:r w:rsidR="008D28AD">
        <mc:AlternateContent>
          <mc:Choice Requires="wps">
            <w:drawing>
              <wp:anchor distT="0" distB="0" distL="114300" distR="114300" simplePos="0" relativeHeight="251687936" behindDoc="0" locked="0" layoutInCell="1" allowOverlap="1" wp14:anchorId="4E39988F" wp14:editId="129E972B">
                <wp:simplePos x="0" y="0"/>
                <wp:positionH relativeFrom="column">
                  <wp:posOffset>5107940</wp:posOffset>
                </wp:positionH>
                <wp:positionV relativeFrom="paragraph">
                  <wp:posOffset>1343660</wp:posOffset>
                </wp:positionV>
                <wp:extent cx="638175" cy="409575"/>
                <wp:effectExtent l="0" t="0" r="28575" b="28575"/>
                <wp:wrapNone/>
                <wp:docPr id="331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9575"/>
                        </a:xfrm>
                        <a:prstGeom prst="rect">
                          <a:avLst/>
                        </a:prstGeom>
                        <a:solidFill>
                          <a:sysClr val="window" lastClr="FFFFFF">
                            <a:lumMod val="75000"/>
                          </a:sysClr>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LV TOU Capacity Tariff (EA302)</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64" style="position:absolute;left:0;text-align:left;margin-left:402.2pt;margin-top:105.8pt;width:50.25pt;height:3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" fillcolor="#bfbfbf">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LV TOU Capacity Tariff (EA302)</w:t>
                      </w:r>
                    </w:p>
                  </w:txbxContent>
                </v:textbox>
              </v:rect>
            </w:pict>
          </mc:Fallback>
        </mc:AlternateContent>
      </w:r>
      <w:r w:rsidR="008D28AD">
        <mc:AlternateContent>
          <mc:Choice Requires="wps">
            <w:drawing>
              <wp:anchor distT="0" distB="0" distL="114300" distR="114300" simplePos="0" relativeHeight="251743232" behindDoc="0" locked="0" layoutInCell="1" allowOverlap="1" wp14:anchorId="691A11B4" wp14:editId="65D29064">
                <wp:simplePos x="0" y="0"/>
                <wp:positionH relativeFrom="column">
                  <wp:posOffset>5431790</wp:posOffset>
                </wp:positionH>
                <wp:positionV relativeFrom="paragraph">
                  <wp:posOffset>219710</wp:posOffset>
                </wp:positionV>
                <wp:extent cx="0" cy="1108710"/>
                <wp:effectExtent l="76200" t="0" r="57150" b="53340"/>
                <wp:wrapNone/>
                <wp:docPr id="520" name="AutoShap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08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9" o:spid="_x0000_s1026" type="#_x0000_t32" style="position:absolute;margin-left:427.7pt;margin-top:17.3pt;width:0;height:87.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YoyNwIAAGE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">
                <v:stroke endarrow="block"/>
              </v:shape>
            </w:pict>
          </mc:Fallback>
        </mc:AlternateContent>
      </w:r>
      <w:r w:rsidR="0073634E">
        <mc:AlternateContent>
          <mc:Choice Requires="wps">
            <w:drawing>
              <wp:anchor distT="0" distB="0" distL="114300" distR="114300" simplePos="0" relativeHeight="251575296" behindDoc="0" locked="0" layoutInCell="1" allowOverlap="1" wp14:anchorId="04807EBB" wp14:editId="508A772B">
                <wp:simplePos x="0" y="0"/>
                <wp:positionH relativeFrom="column">
                  <wp:posOffset>2743200</wp:posOffset>
                </wp:positionH>
                <wp:positionV relativeFrom="paragraph">
                  <wp:posOffset>219710</wp:posOffset>
                </wp:positionV>
                <wp:extent cx="5514975" cy="0"/>
                <wp:effectExtent l="0" t="0" r="9525" b="19050"/>
                <wp:wrapNone/>
                <wp:docPr id="523"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1497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24"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7.3pt" to="650.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" strokecolor="windowText">
                <o:lock v:ext="edit" shapetype="f"/>
              </v:line>
            </w:pict>
          </mc:Fallback>
        </mc:AlternateContent>
      </w:r>
    </w:p>
    <w:p w:rsidR="0073634E" w:rsidRDefault="008D28AD">
      <w:pPr>
        <w:pStyle w:val="BodyText"/>
      </w:pPr>
      <w:r>
        <mc:AlternateContent>
          <mc:Choice Requires="wps">
            <w:drawing>
              <wp:anchor distT="0" distB="0" distL="114300" distR="114300" simplePos="0" relativeHeight="251741184" behindDoc="0" locked="0" layoutInCell="1" allowOverlap="1" wp14:anchorId="6B0A7F0A" wp14:editId="0CB89B59">
                <wp:simplePos x="0" y="0"/>
                <wp:positionH relativeFrom="column">
                  <wp:posOffset>2340429</wp:posOffset>
                </wp:positionH>
                <wp:positionV relativeFrom="paragraph">
                  <wp:posOffset>120922</wp:posOffset>
                </wp:positionV>
                <wp:extent cx="857250" cy="332014"/>
                <wp:effectExtent l="0" t="0" r="19050" b="11430"/>
                <wp:wrapNone/>
                <wp:docPr id="52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332014"/>
                        </a:xfrm>
                        <a:prstGeom prst="rect">
                          <a:avLst/>
                        </a:prstGeom>
                        <a:solidFill>
                          <a:srgbClr val="FFFFFF"/>
                        </a:solidFill>
                        <a:ln w="9525">
                          <a:solidFill>
                            <a:srgbClr val="000000"/>
                          </a:solidFill>
                          <a:miter lim="800000"/>
                          <a:headEnd/>
                          <a:tailEnd/>
                        </a:ln>
                      </wps:spPr>
                      <wps:txbx>
                        <w:txbxContent>
                          <w:p w:rsidR="001B5FF8" w:rsidRPr="000D6076" w:rsidRDefault="001B5FF8" w:rsidP="008D28AD">
                            <w:pPr>
                              <w:pStyle w:val="NormalWeb"/>
                              <w:spacing w:before="0" w:beforeAutospacing="0" w:after="0" w:afterAutospacing="0"/>
                              <w:jc w:val="center"/>
                              <w:rPr>
                                <w:rFonts w:ascii="Calibri" w:hAnsi="Calibri"/>
                                <w:color w:val="000000"/>
                                <w:sz w:val="12"/>
                                <w:szCs w:val="12"/>
                              </w:rPr>
                            </w:pPr>
                          </w:p>
                          <w:p w:rsidR="001B5FF8" w:rsidRDefault="001B5FF8" w:rsidP="008D28AD">
                            <w:pPr>
                              <w:pStyle w:val="NormalWeb"/>
                              <w:spacing w:before="0" w:beforeAutospacing="0" w:after="0" w:afterAutospacing="0"/>
                              <w:jc w:val="center"/>
                            </w:pPr>
                            <w:r>
                              <w:rPr>
                                <w:rFonts w:ascii="Calibri" w:hAnsi="Calibri"/>
                                <w:color w:val="000000"/>
                                <w:sz w:val="16"/>
                                <w:szCs w:val="16"/>
                              </w:rPr>
                              <w:t>&lt;40</w:t>
                            </w:r>
                            <w:r w:rsidRPr="00C65A0A">
                              <w:rPr>
                                <w:rFonts w:ascii="Calibri" w:hAnsi="Calibri"/>
                                <w:color w:val="000000"/>
                                <w:sz w:val="16"/>
                                <w:szCs w:val="16"/>
                              </w:rPr>
                              <w:t xml:space="preserve"> </w:t>
                            </w:r>
                            <w:r>
                              <w:rPr>
                                <w:rFonts w:ascii="Calibri" w:hAnsi="Calibri"/>
                                <w:color w:val="000000"/>
                                <w:sz w:val="16"/>
                                <w:szCs w:val="16"/>
                              </w:rPr>
                              <w:t>MWh pa</w:t>
                            </w:r>
                          </w:p>
                          <w:p w:rsidR="001B5FF8" w:rsidRPr="000D6076" w:rsidRDefault="001B5FF8" w:rsidP="00591C70">
                            <w:pPr>
                              <w:pStyle w:val="NormalWeb"/>
                              <w:spacing w:before="0" w:beforeAutospacing="0" w:after="0" w:afterAutospacing="0"/>
                              <w:jc w:val="center"/>
                              <w:rPr>
                                <w:sz w:val="8"/>
                                <w:szCs w:val="8"/>
                              </w:rPr>
                            </w:pP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65" style="position:absolute;left:0;text-align:left;margin-left:184.3pt;margin-top:9.5pt;width:67.5pt;height:2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">
                <v:textbox inset="0,0,0,0">
                  <w:txbxContent>
                    <w:p w:rsidR="001B5FF8" w:rsidRPr="000D6076" w:rsidRDefault="001B5FF8" w:rsidP="008D28AD">
                      <w:pPr>
                        <w:pStyle w:val="NormalWeb"/>
                        <w:spacing w:before="0" w:beforeAutospacing="0" w:after="0" w:afterAutospacing="0"/>
                        <w:jc w:val="center"/>
                        <w:rPr>
                          <w:rFonts w:ascii="Calibri" w:hAnsi="Calibri"/>
                          <w:color w:val="000000"/>
                          <w:sz w:val="12"/>
                          <w:szCs w:val="12"/>
                        </w:rPr>
                      </w:pPr>
                    </w:p>
                    <w:p w:rsidR="001B5FF8" w:rsidRDefault="001B5FF8" w:rsidP="008D28AD">
                      <w:pPr>
                        <w:pStyle w:val="NormalWeb"/>
                        <w:spacing w:before="0" w:beforeAutospacing="0" w:after="0" w:afterAutospacing="0"/>
                        <w:jc w:val="center"/>
                      </w:pPr>
                      <w:r>
                        <w:rPr>
                          <w:rFonts w:ascii="Calibri" w:hAnsi="Calibri"/>
                          <w:color w:val="000000"/>
                          <w:sz w:val="16"/>
                          <w:szCs w:val="16"/>
                        </w:rPr>
                        <w:t>&lt;40</w:t>
                      </w:r>
                      <w:r w:rsidRPr="00C65A0A">
                        <w:rPr>
                          <w:rFonts w:ascii="Calibri" w:hAnsi="Calibri"/>
                          <w:color w:val="000000"/>
                          <w:sz w:val="16"/>
                          <w:szCs w:val="16"/>
                        </w:rPr>
                        <w:t xml:space="preserve"> </w:t>
                      </w:r>
                      <w:r>
                        <w:rPr>
                          <w:rFonts w:ascii="Calibri" w:hAnsi="Calibri"/>
                          <w:color w:val="000000"/>
                          <w:sz w:val="16"/>
                          <w:szCs w:val="16"/>
                        </w:rPr>
                        <w:t>MWh pa</w:t>
                      </w:r>
                    </w:p>
                    <w:p w:rsidR="001B5FF8" w:rsidRPr="000D6076" w:rsidRDefault="001B5FF8" w:rsidP="00591C70">
                      <w:pPr>
                        <w:pStyle w:val="NormalWeb"/>
                        <w:spacing w:before="0" w:beforeAutospacing="0" w:after="0" w:afterAutospacing="0"/>
                        <w:jc w:val="center"/>
                        <w:rPr>
                          <w:sz w:val="8"/>
                          <w:szCs w:val="8"/>
                        </w:rPr>
                      </w:pPr>
                    </w:p>
                  </w:txbxContent>
                </v:textbox>
              </v:rect>
            </w:pict>
          </mc:Fallback>
        </mc:AlternateContent>
      </w:r>
      <w:r>
        <mc:AlternateContent>
          <mc:Choice Requires="wps">
            <w:drawing>
              <wp:anchor distT="0" distB="0" distL="114300" distR="114300" simplePos="0" relativeHeight="251747328" behindDoc="0" locked="0" layoutInCell="1" allowOverlap="1" wp14:anchorId="212C4A6C" wp14:editId="3B2FE7B4">
                <wp:simplePos x="0" y="0"/>
                <wp:positionH relativeFrom="column">
                  <wp:posOffset>6373586</wp:posOffset>
                </wp:positionH>
                <wp:positionV relativeFrom="paragraph">
                  <wp:posOffset>273322</wp:posOffset>
                </wp:positionV>
                <wp:extent cx="843643" cy="356235"/>
                <wp:effectExtent l="0" t="0" r="13970" b="24765"/>
                <wp:wrapNone/>
                <wp:docPr id="52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643" cy="356235"/>
                        </a:xfrm>
                        <a:prstGeom prst="rect">
                          <a:avLst/>
                        </a:prstGeom>
                        <a:solidFill>
                          <a:srgbClr val="FFFFFF"/>
                        </a:solidFill>
                        <a:ln w="9525">
                          <a:solidFill>
                            <a:srgbClr val="000000"/>
                          </a:solidFill>
                          <a:miter lim="800000"/>
                          <a:headEnd/>
                          <a:tailEnd/>
                        </a:ln>
                      </wps:spPr>
                      <wps:txbx>
                        <w:txbxContent>
                          <w:p w:rsidR="001B5FF8" w:rsidRPr="000D6076" w:rsidRDefault="001B5FF8" w:rsidP="000D6076">
                            <w:pPr>
                              <w:pStyle w:val="NormalWeb"/>
                              <w:spacing w:before="0" w:beforeAutospacing="0" w:after="0" w:afterAutospacing="0"/>
                              <w:ind w:right="-46"/>
                              <w:jc w:val="center"/>
                              <w:rPr>
                                <w:rFonts w:ascii="Calibri" w:hAnsi="Calibri"/>
                                <w:color w:val="000000"/>
                                <w:sz w:val="12"/>
                                <w:szCs w:val="12"/>
                              </w:rPr>
                            </w:pPr>
                          </w:p>
                          <w:p w:rsidR="001B5FF8" w:rsidRDefault="001B5FF8" w:rsidP="008D28AD">
                            <w:pPr>
                              <w:pStyle w:val="NormalWeb"/>
                              <w:spacing w:before="0" w:beforeAutospacing="0" w:after="0" w:afterAutospacing="0"/>
                              <w:ind w:right="-46"/>
                              <w:jc w:val="center"/>
                            </w:pPr>
                            <w:r>
                              <w:rPr>
                                <w:rFonts w:ascii="Calibri" w:hAnsi="Calibri"/>
                                <w:color w:val="000000"/>
                                <w:sz w:val="16"/>
                                <w:szCs w:val="16"/>
                              </w:rPr>
                              <w:t xml:space="preserve">160-750 MWh </w:t>
                            </w:r>
                            <w:proofErr w:type="gramStart"/>
                            <w:r>
                              <w:rPr>
                                <w:rFonts w:ascii="Calibri" w:hAnsi="Calibri"/>
                                <w:color w:val="000000"/>
                                <w:sz w:val="16"/>
                                <w:szCs w:val="16"/>
                              </w:rPr>
                              <w:t>pa</w:t>
                            </w:r>
                            <w:proofErr w:type="gramEnd"/>
                          </w:p>
                          <w:p w:rsidR="001B5FF8" w:rsidRDefault="001B5FF8" w:rsidP="0073634E">
                            <w:pPr>
                              <w:pStyle w:val="NormalWeb"/>
                              <w:spacing w:before="0" w:beforeAutospacing="0" w:after="0" w:afterAutospacing="0"/>
                              <w:jc w:val="center"/>
                            </w:pP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501.85pt;margin-top:21.5pt;width:66.45pt;height:28.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">
                <v:textbox inset="0,0,0,0">
                  <w:txbxContent>
                    <w:p w:rsidR="001B5FF8" w:rsidRPr="000D6076" w:rsidRDefault="001B5FF8" w:rsidP="000D6076">
                      <w:pPr>
                        <w:pStyle w:val="NormalWeb"/>
                        <w:spacing w:before="0" w:beforeAutospacing="0" w:after="0" w:afterAutospacing="0"/>
                        <w:ind w:right="-46"/>
                        <w:jc w:val="center"/>
                        <w:rPr>
                          <w:rFonts w:ascii="Calibri" w:hAnsi="Calibri"/>
                          <w:color w:val="000000"/>
                          <w:sz w:val="12"/>
                          <w:szCs w:val="12"/>
                        </w:rPr>
                      </w:pPr>
                    </w:p>
                    <w:p w:rsidR="001B5FF8" w:rsidRDefault="001B5FF8" w:rsidP="008D28AD">
                      <w:pPr>
                        <w:pStyle w:val="NormalWeb"/>
                        <w:spacing w:before="0" w:beforeAutospacing="0" w:after="0" w:afterAutospacing="0"/>
                        <w:ind w:right="-46"/>
                        <w:jc w:val="center"/>
                      </w:pPr>
                      <w:r>
                        <w:rPr>
                          <w:rFonts w:ascii="Calibri" w:hAnsi="Calibri"/>
                          <w:color w:val="000000"/>
                          <w:sz w:val="16"/>
                          <w:szCs w:val="16"/>
                        </w:rPr>
                        <w:t xml:space="preserve">160-750 MWh </w:t>
                      </w:r>
                      <w:proofErr w:type="gramStart"/>
                      <w:r>
                        <w:rPr>
                          <w:rFonts w:ascii="Calibri" w:hAnsi="Calibri"/>
                          <w:color w:val="000000"/>
                          <w:sz w:val="16"/>
                          <w:szCs w:val="16"/>
                        </w:rPr>
                        <w:t>pa</w:t>
                      </w:r>
                      <w:proofErr w:type="gramEnd"/>
                    </w:p>
                    <w:p w:rsidR="001B5FF8" w:rsidRDefault="001B5FF8" w:rsidP="0073634E">
                      <w:pPr>
                        <w:pStyle w:val="NormalWeb"/>
                        <w:spacing w:before="0" w:beforeAutospacing="0" w:after="0" w:afterAutospacing="0"/>
                        <w:jc w:val="center"/>
                      </w:pPr>
                    </w:p>
                  </w:txbxContent>
                </v:textbox>
              </v:rect>
            </w:pict>
          </mc:Fallback>
        </mc:AlternateContent>
      </w:r>
      <w:r>
        <mc:AlternateContent>
          <mc:Choice Requires="wps">
            <w:drawing>
              <wp:anchor distT="0" distB="0" distL="114300" distR="114300" simplePos="0" relativeHeight="251745280" behindDoc="0" locked="0" layoutInCell="1" allowOverlap="1" wp14:anchorId="37D8AF65" wp14:editId="0ECD88B7">
                <wp:simplePos x="0" y="0"/>
                <wp:positionH relativeFrom="column">
                  <wp:posOffset>5050790</wp:posOffset>
                </wp:positionH>
                <wp:positionV relativeFrom="paragraph">
                  <wp:posOffset>273050</wp:posOffset>
                </wp:positionV>
                <wp:extent cx="885825" cy="352425"/>
                <wp:effectExtent l="0" t="0" r="28575" b="28575"/>
                <wp:wrapNone/>
                <wp:docPr id="528"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352425"/>
                        </a:xfrm>
                        <a:prstGeom prst="rect">
                          <a:avLst/>
                        </a:prstGeom>
                        <a:solidFill>
                          <a:srgbClr val="FFFFFF"/>
                        </a:solidFill>
                        <a:ln w="9525">
                          <a:solidFill>
                            <a:srgbClr val="000000"/>
                          </a:solidFill>
                          <a:miter lim="800000"/>
                          <a:headEnd/>
                          <a:tailEnd/>
                        </a:ln>
                      </wps:spPr>
                      <wps:txbx>
                        <w:txbxContent>
                          <w:p w:rsidR="001B5FF8" w:rsidRPr="000D6076" w:rsidRDefault="001B5FF8" w:rsidP="0073634E">
                            <w:pPr>
                              <w:pStyle w:val="NormalWeb"/>
                              <w:spacing w:before="0" w:beforeAutospacing="0" w:after="0" w:afterAutospacing="0"/>
                              <w:ind w:left="284" w:right="-46"/>
                              <w:rPr>
                                <w:rFonts w:ascii="Calibri" w:hAnsi="Calibri"/>
                                <w:color w:val="000000"/>
                                <w:sz w:val="12"/>
                                <w:szCs w:val="12"/>
                              </w:rPr>
                            </w:pPr>
                          </w:p>
                          <w:p w:rsidR="001B5FF8" w:rsidRDefault="001B5FF8" w:rsidP="000D6076">
                            <w:pPr>
                              <w:pStyle w:val="NormalWeb"/>
                              <w:spacing w:before="0" w:beforeAutospacing="0" w:after="0" w:afterAutospacing="0"/>
                              <w:ind w:right="-46"/>
                              <w:jc w:val="center"/>
                            </w:pPr>
                            <w:r>
                              <w:rPr>
                                <w:rFonts w:ascii="Calibri" w:hAnsi="Calibri"/>
                                <w:color w:val="000000"/>
                                <w:sz w:val="16"/>
                                <w:szCs w:val="16"/>
                              </w:rPr>
                              <w:t xml:space="preserve">40-160 MWh </w:t>
                            </w:r>
                            <w:proofErr w:type="gramStart"/>
                            <w:r>
                              <w:rPr>
                                <w:rFonts w:ascii="Calibri" w:hAnsi="Calibri"/>
                                <w:color w:val="000000"/>
                                <w:sz w:val="16"/>
                                <w:szCs w:val="16"/>
                              </w:rPr>
                              <w:t>pa</w:t>
                            </w:r>
                            <w:proofErr w:type="gramEnd"/>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67" style="position:absolute;left:0;text-align:left;margin-left:397.7pt;margin-top:21.5pt;width:69.75pt;height:27.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">
                <v:textbox inset="0,0,0,0">
                  <w:txbxContent>
                    <w:p w:rsidR="001B5FF8" w:rsidRPr="000D6076" w:rsidRDefault="001B5FF8" w:rsidP="0073634E">
                      <w:pPr>
                        <w:pStyle w:val="NormalWeb"/>
                        <w:spacing w:before="0" w:beforeAutospacing="0" w:after="0" w:afterAutospacing="0"/>
                        <w:ind w:left="284" w:right="-46"/>
                        <w:rPr>
                          <w:rFonts w:ascii="Calibri" w:hAnsi="Calibri"/>
                          <w:color w:val="000000"/>
                          <w:sz w:val="12"/>
                          <w:szCs w:val="12"/>
                        </w:rPr>
                      </w:pPr>
                    </w:p>
                    <w:p w:rsidR="001B5FF8" w:rsidRDefault="001B5FF8" w:rsidP="000D6076">
                      <w:pPr>
                        <w:pStyle w:val="NormalWeb"/>
                        <w:spacing w:before="0" w:beforeAutospacing="0" w:after="0" w:afterAutospacing="0"/>
                        <w:ind w:right="-46"/>
                        <w:jc w:val="center"/>
                      </w:pPr>
                      <w:r>
                        <w:rPr>
                          <w:rFonts w:ascii="Calibri" w:hAnsi="Calibri"/>
                          <w:color w:val="000000"/>
                          <w:sz w:val="16"/>
                          <w:szCs w:val="16"/>
                        </w:rPr>
                        <w:t xml:space="preserve">40-160 MWh </w:t>
                      </w:r>
                      <w:proofErr w:type="gramStart"/>
                      <w:r>
                        <w:rPr>
                          <w:rFonts w:ascii="Calibri" w:hAnsi="Calibri"/>
                          <w:color w:val="000000"/>
                          <w:sz w:val="16"/>
                          <w:szCs w:val="16"/>
                        </w:rPr>
                        <w:t>pa</w:t>
                      </w:r>
                      <w:proofErr w:type="gramEnd"/>
                    </w:p>
                  </w:txbxContent>
                </v:textbox>
              </v:rect>
            </w:pict>
          </mc:Fallback>
        </mc:AlternateContent>
      </w:r>
    </w:p>
    <w:p w:rsidR="0073634E" w:rsidRDefault="008D28AD">
      <w:pPr>
        <w:pStyle w:val="BodyText"/>
      </w:pPr>
      <w:r>
        <mc:AlternateContent>
          <mc:Choice Requires="wps">
            <w:drawing>
              <wp:anchor distT="0" distB="0" distL="114300" distR="114300" simplePos="0" relativeHeight="251749376" behindDoc="0" locked="0" layoutInCell="1" allowOverlap="1" wp14:anchorId="394AC6F5" wp14:editId="04BF65E5">
                <wp:simplePos x="0" y="0"/>
                <wp:positionH relativeFrom="column">
                  <wp:posOffset>7870190</wp:posOffset>
                </wp:positionH>
                <wp:positionV relativeFrom="paragraph">
                  <wp:posOffset>27305</wp:posOffset>
                </wp:positionV>
                <wp:extent cx="676275" cy="318135"/>
                <wp:effectExtent l="0" t="0" r="28575" b="24765"/>
                <wp:wrapNone/>
                <wp:docPr id="53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18135"/>
                        </a:xfrm>
                        <a:prstGeom prst="rect">
                          <a:avLst/>
                        </a:prstGeom>
                        <a:solidFill>
                          <a:srgbClr val="FFFFFF"/>
                        </a:solidFill>
                        <a:ln w="9525">
                          <a:solidFill>
                            <a:srgbClr val="000000"/>
                          </a:solidFill>
                          <a:miter lim="800000"/>
                          <a:headEnd/>
                          <a:tailEnd/>
                        </a:ln>
                      </wps:spPr>
                      <wps:txbx>
                        <w:txbxContent>
                          <w:p w:rsidR="001B5FF8" w:rsidRPr="000D6076" w:rsidRDefault="001B5FF8" w:rsidP="0073634E">
                            <w:pPr>
                              <w:pStyle w:val="NormalWeb"/>
                              <w:spacing w:before="0" w:beforeAutospacing="0" w:after="0" w:afterAutospacing="0"/>
                              <w:jc w:val="center"/>
                              <w:rPr>
                                <w:rFonts w:ascii="Calibri" w:hAnsi="Calibri"/>
                                <w:color w:val="000000"/>
                                <w:sz w:val="12"/>
                                <w:szCs w:val="12"/>
                              </w:rPr>
                            </w:pPr>
                          </w:p>
                          <w:p w:rsidR="001B5FF8" w:rsidRDefault="001B5FF8" w:rsidP="0073634E">
                            <w:pPr>
                              <w:pStyle w:val="NormalWeb"/>
                              <w:spacing w:before="0" w:beforeAutospacing="0" w:after="0" w:afterAutospacing="0"/>
                              <w:jc w:val="center"/>
                            </w:pPr>
                            <w:proofErr w:type="gramStart"/>
                            <w:r>
                              <w:rPr>
                                <w:rFonts w:ascii="Calibri" w:hAnsi="Calibri"/>
                                <w:color w:val="000000"/>
                                <w:sz w:val="16"/>
                                <w:szCs w:val="16"/>
                              </w:rPr>
                              <w:t>&gt;75</w:t>
                            </w:r>
                            <w:r w:rsidRPr="00C65A0A">
                              <w:rPr>
                                <w:rFonts w:ascii="Calibri" w:hAnsi="Calibri"/>
                                <w:color w:val="000000"/>
                                <w:sz w:val="16"/>
                                <w:szCs w:val="16"/>
                              </w:rPr>
                              <w:t xml:space="preserve">0 </w:t>
                            </w:r>
                            <w:r>
                              <w:rPr>
                                <w:rFonts w:ascii="Calibri" w:hAnsi="Calibri"/>
                                <w:color w:val="000000"/>
                                <w:sz w:val="16"/>
                                <w:szCs w:val="16"/>
                              </w:rPr>
                              <w:t>MWh pa</w:t>
                            </w:r>
                            <w:proofErr w:type="gramEnd"/>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68" style="position:absolute;left:0;text-align:left;margin-left:619.7pt;margin-top:2.15pt;width:53.25pt;height:25.0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">
                <v:textbox inset="0,0,0,0">
                  <w:txbxContent>
                    <w:p w:rsidR="001B5FF8" w:rsidRPr="000D6076" w:rsidRDefault="001B5FF8" w:rsidP="0073634E">
                      <w:pPr>
                        <w:pStyle w:val="NormalWeb"/>
                        <w:spacing w:before="0" w:beforeAutospacing="0" w:after="0" w:afterAutospacing="0"/>
                        <w:jc w:val="center"/>
                        <w:rPr>
                          <w:rFonts w:ascii="Calibri" w:hAnsi="Calibri"/>
                          <w:color w:val="000000"/>
                          <w:sz w:val="12"/>
                          <w:szCs w:val="12"/>
                        </w:rPr>
                      </w:pPr>
                    </w:p>
                    <w:p w:rsidR="001B5FF8" w:rsidRDefault="001B5FF8" w:rsidP="0073634E">
                      <w:pPr>
                        <w:pStyle w:val="NormalWeb"/>
                        <w:spacing w:before="0" w:beforeAutospacing="0" w:after="0" w:afterAutospacing="0"/>
                        <w:jc w:val="center"/>
                      </w:pPr>
                      <w:proofErr w:type="gramStart"/>
                      <w:r>
                        <w:rPr>
                          <w:rFonts w:ascii="Calibri" w:hAnsi="Calibri"/>
                          <w:color w:val="000000"/>
                          <w:sz w:val="16"/>
                          <w:szCs w:val="16"/>
                        </w:rPr>
                        <w:t>&gt;75</w:t>
                      </w:r>
                      <w:r w:rsidRPr="00C65A0A">
                        <w:rPr>
                          <w:rFonts w:ascii="Calibri" w:hAnsi="Calibri"/>
                          <w:color w:val="000000"/>
                          <w:sz w:val="16"/>
                          <w:szCs w:val="16"/>
                        </w:rPr>
                        <w:t xml:space="preserve">0 </w:t>
                      </w:r>
                      <w:r>
                        <w:rPr>
                          <w:rFonts w:ascii="Calibri" w:hAnsi="Calibri"/>
                          <w:color w:val="000000"/>
                          <w:sz w:val="16"/>
                          <w:szCs w:val="16"/>
                        </w:rPr>
                        <w:t>MWh pa</w:t>
                      </w:r>
                      <w:proofErr w:type="gramEnd"/>
                    </w:p>
                  </w:txbxContent>
                </v:textbox>
              </v:rect>
            </w:pict>
          </mc:Fallback>
        </mc:AlternateContent>
      </w:r>
    </w:p>
    <w:p w:rsidR="0073634E" w:rsidRDefault="001E5B1F">
      <w:pPr>
        <w:pStyle w:val="BodyText"/>
      </w:pPr>
      <w:r>
        <mc:AlternateContent>
          <mc:Choice Requires="wps">
            <w:drawing>
              <wp:anchor distT="0" distB="0" distL="114300" distR="114300" simplePos="0" relativeHeight="251577344" behindDoc="0" locked="0" layoutInCell="1" allowOverlap="1" wp14:anchorId="222E8424" wp14:editId="71F44EB2">
                <wp:simplePos x="0" y="0"/>
                <wp:positionH relativeFrom="column">
                  <wp:posOffset>4010025</wp:posOffset>
                </wp:positionH>
                <wp:positionV relativeFrom="paragraph">
                  <wp:posOffset>261620</wp:posOffset>
                </wp:positionV>
                <wp:extent cx="0" cy="638175"/>
                <wp:effectExtent l="76200" t="0" r="76200" b="47625"/>
                <wp:wrapNone/>
                <wp:docPr id="3308"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4" o:spid="_x0000_s1026" type="#_x0000_t32" style="position:absolute;margin-left:315.75pt;margin-top:20.6pt;width:0;height:50.2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">
                <v:stroke endarrow="block"/>
              </v:shape>
            </w:pict>
          </mc:Fallback>
        </mc:AlternateContent>
      </w:r>
      <w:r w:rsidR="008D28AD">
        <mc:AlternateContent>
          <mc:Choice Requires="wps">
            <w:drawing>
              <wp:anchor distT="0" distB="0" distL="114300" distR="114300" simplePos="0" relativeHeight="251728896" behindDoc="0" locked="0" layoutInCell="1" allowOverlap="1" wp14:anchorId="6AC7224C" wp14:editId="07C2EFD9">
                <wp:simplePos x="0" y="0"/>
                <wp:positionH relativeFrom="column">
                  <wp:posOffset>1649095</wp:posOffset>
                </wp:positionH>
                <wp:positionV relativeFrom="paragraph">
                  <wp:posOffset>194945</wp:posOffset>
                </wp:positionV>
                <wp:extent cx="636270" cy="180975"/>
                <wp:effectExtent l="0" t="0" r="0" b="9525"/>
                <wp:wrapNone/>
                <wp:docPr id="5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627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73634E">
                            <w:pPr>
                              <w:pStyle w:val="NormalWeb"/>
                              <w:spacing w:before="0" w:beforeAutospacing="0" w:after="0" w:afterAutospacing="0"/>
                              <w:jc w:val="center"/>
                            </w:pPr>
                            <w:r>
                              <w:rPr>
                                <w:rFonts w:ascii="Arial" w:hAnsi="Arial" w:cs="Arial"/>
                                <w:color w:val="000000"/>
                                <w:sz w:val="16"/>
                                <w:szCs w:val="16"/>
                              </w:rPr>
                              <w:t>Residential</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69" style="position:absolute;left:0;text-align:left;margin-left:129.85pt;margin-top:15.35pt;width:50.1pt;height:14.2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" stroked="f">
                <v:textbox inset="0,0,0,0">
                  <w:txbxContent>
                    <w:p w:rsidR="001B5FF8" w:rsidRDefault="001B5FF8" w:rsidP="0073634E">
                      <w:pPr>
                        <w:pStyle w:val="NormalWeb"/>
                        <w:spacing w:before="0" w:beforeAutospacing="0" w:after="0" w:afterAutospacing="0"/>
                        <w:jc w:val="center"/>
                      </w:pPr>
                      <w:r>
                        <w:rPr>
                          <w:rFonts w:ascii="Arial" w:hAnsi="Arial" w:cs="Arial"/>
                          <w:color w:val="000000"/>
                          <w:sz w:val="16"/>
                          <w:szCs w:val="16"/>
                        </w:rPr>
                        <w:t>Residential</w:t>
                      </w:r>
                    </w:p>
                  </w:txbxContent>
                </v:textbox>
              </v:rect>
            </w:pict>
          </mc:Fallback>
        </mc:AlternateContent>
      </w:r>
      <w:r w:rsidR="008D28AD">
        <mc:AlternateContent>
          <mc:Choice Requires="wps">
            <w:drawing>
              <wp:anchor distT="0" distB="0" distL="114300" distR="114300" simplePos="0" relativeHeight="251726848" behindDoc="0" locked="0" layoutInCell="1" allowOverlap="1" wp14:anchorId="4595FB47" wp14:editId="25D5B7B9">
                <wp:simplePos x="0" y="0"/>
                <wp:positionH relativeFrom="column">
                  <wp:posOffset>3223985</wp:posOffset>
                </wp:positionH>
                <wp:positionV relativeFrom="paragraph">
                  <wp:posOffset>157843</wp:posOffset>
                </wp:positionV>
                <wp:extent cx="636270" cy="331470"/>
                <wp:effectExtent l="0" t="0" r="0" b="0"/>
                <wp:wrapNone/>
                <wp:docPr id="3309"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36270" cy="331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B5FF8" w:rsidRDefault="001B5FF8" w:rsidP="000D6076">
                            <w:pPr>
                              <w:pStyle w:val="NormalWeb"/>
                              <w:spacing w:before="0" w:beforeAutospacing="0" w:after="0" w:afterAutospacing="0"/>
                              <w:jc w:val="center"/>
                            </w:pPr>
                            <w:r>
                              <w:rPr>
                                <w:rFonts w:ascii="Arial" w:hAnsi="Arial" w:cs="Arial"/>
                                <w:color w:val="000000"/>
                                <w:sz w:val="16"/>
                                <w:szCs w:val="16"/>
                              </w:rPr>
                              <w:t>Small Business</w:t>
                            </w: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70" style="position:absolute;left:0;text-align:left;margin-left:253.85pt;margin-top:12.45pt;width:50.1pt;height:26.1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" stroked="f">
                <v:textbox inset="0,0,0,0">
                  <w:txbxContent>
                    <w:p w:rsidR="001B5FF8" w:rsidRDefault="001B5FF8" w:rsidP="000D6076">
                      <w:pPr>
                        <w:pStyle w:val="NormalWeb"/>
                        <w:spacing w:before="0" w:beforeAutospacing="0" w:after="0" w:afterAutospacing="0"/>
                        <w:jc w:val="center"/>
                      </w:pPr>
                      <w:r>
                        <w:rPr>
                          <w:rFonts w:ascii="Arial" w:hAnsi="Arial" w:cs="Arial"/>
                          <w:color w:val="000000"/>
                          <w:sz w:val="16"/>
                          <w:szCs w:val="16"/>
                        </w:rPr>
                        <w:t>Small Business</w:t>
                      </w:r>
                    </w:p>
                  </w:txbxContent>
                </v:textbox>
              </v:rect>
            </w:pict>
          </mc:Fallback>
        </mc:AlternateContent>
      </w:r>
      <w:r w:rsidR="008D28AD">
        <mc:AlternateContent>
          <mc:Choice Requires="wps">
            <w:drawing>
              <wp:anchor distT="0" distB="0" distL="114300" distR="114300" simplePos="0" relativeHeight="251760640" behindDoc="0" locked="0" layoutInCell="1" allowOverlap="1" wp14:anchorId="12F60163" wp14:editId="029FE9E4">
                <wp:simplePos x="0" y="0"/>
                <wp:positionH relativeFrom="column">
                  <wp:posOffset>2449286</wp:posOffset>
                </wp:positionH>
                <wp:positionV relativeFrom="paragraph">
                  <wp:posOffset>157388</wp:posOffset>
                </wp:positionV>
                <wp:extent cx="571500" cy="314053"/>
                <wp:effectExtent l="0" t="0" r="19050" b="10160"/>
                <wp:wrapNone/>
                <wp:docPr id="54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14053"/>
                        </a:xfrm>
                        <a:prstGeom prst="rect">
                          <a:avLst/>
                        </a:prstGeom>
                        <a:solidFill>
                          <a:srgbClr val="FFFFFF"/>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Natu</w:t>
                            </w:r>
                            <w:r>
                              <w:rPr>
                                <w:rFonts w:ascii="Calibri" w:hAnsi="Calibri"/>
                                <w:color w:val="000000"/>
                                <w:sz w:val="16"/>
                                <w:szCs w:val="16"/>
                              </w:rPr>
                              <w:t>re</w:t>
                            </w:r>
                            <w:r w:rsidRPr="00C65A0A">
                              <w:rPr>
                                <w:rFonts w:ascii="Calibri" w:hAnsi="Calibri"/>
                                <w:color w:val="000000"/>
                                <w:sz w:val="16"/>
                                <w:szCs w:val="16"/>
                              </w:rPr>
                              <w:t xml:space="preserve"> of usage</w:t>
                            </w:r>
                          </w:p>
                        </w:txbxContent>
                      </wps:txbx>
                      <wps:bodyPr vertOverflow="clip" wrap="square" lIns="0" tIns="0" rIns="0" bIns="0" anchor="t" upright="1">
                        <a:noAutofit/>
                      </wps:bodyPr>
                    </wps:wsp>
                  </a:graphicData>
                </a:graphic>
                <wp14:sizeRelH relativeFrom="page">
                  <wp14:pctWidth>0</wp14:pctWidth>
                </wp14:sizeRelH>
                <wp14:sizeRelV relativeFrom="page">
                  <wp14:pctHeight>0</wp14:pctHeight>
                </wp14:sizeRelV>
              </wp:anchor>
            </w:drawing>
          </mc:Choice>
          <mc:Fallback>
            <w:pict>
              <v:rect id="_x0000_s1071" style="position:absolute;left:0;text-align:left;margin-left:192.85pt;margin-top:12.4pt;width:45pt;height:24.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">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Natu</w:t>
                      </w:r>
                      <w:r>
                        <w:rPr>
                          <w:rFonts w:ascii="Calibri" w:hAnsi="Calibri"/>
                          <w:color w:val="000000"/>
                          <w:sz w:val="16"/>
                          <w:szCs w:val="16"/>
                        </w:rPr>
                        <w:t>re</w:t>
                      </w:r>
                      <w:r w:rsidRPr="00C65A0A">
                        <w:rPr>
                          <w:rFonts w:ascii="Calibri" w:hAnsi="Calibri"/>
                          <w:color w:val="000000"/>
                          <w:sz w:val="16"/>
                          <w:szCs w:val="16"/>
                        </w:rPr>
                        <w:t xml:space="preserve"> of usage</w:t>
                      </w:r>
                    </w:p>
                  </w:txbxContent>
                </v:textbox>
              </v:rect>
            </w:pict>
          </mc:Fallback>
        </mc:AlternateContent>
      </w:r>
    </w:p>
    <w:p w:rsidR="0073634E" w:rsidRDefault="0029143B">
      <w:pPr>
        <w:pStyle w:val="BodyText"/>
      </w:pPr>
      <w:r>
        <mc:AlternateContent>
          <mc:Choice Requires="wps">
            <w:drawing>
              <wp:anchor distT="0" distB="0" distL="114300" distR="114300" simplePos="0" relativeHeight="251732992" behindDoc="0" locked="0" layoutInCell="1" allowOverlap="1" wp14:anchorId="4B3E49BF" wp14:editId="15955BDC">
                <wp:simplePos x="0" y="0"/>
                <wp:positionH relativeFrom="column">
                  <wp:posOffset>1476375</wp:posOffset>
                </wp:positionH>
                <wp:positionV relativeFrom="paragraph">
                  <wp:posOffset>4445</wp:posOffset>
                </wp:positionV>
                <wp:extent cx="0" cy="609600"/>
                <wp:effectExtent l="76200" t="0" r="57150" b="57150"/>
                <wp:wrapNone/>
                <wp:docPr id="532" name="AutoShap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1" o:spid="_x0000_s1026" type="#_x0000_t32" style="position:absolute;margin-left:116.25pt;margin-top:.35pt;width:0;height:4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">
                <v:stroke endarrow="block"/>
              </v:shape>
            </w:pict>
          </mc:Fallback>
        </mc:AlternateContent>
      </w:r>
      <w:r w:rsidR="008D28AD">
        <mc:AlternateContent>
          <mc:Choice Requires="wps">
            <w:drawing>
              <wp:anchor distT="0" distB="0" distL="114300" distR="114300" simplePos="0" relativeHeight="251722752" behindDoc="0" locked="0" layoutInCell="1" allowOverlap="1" wp14:anchorId="2A612C4B" wp14:editId="6CECFA5B">
                <wp:simplePos x="0" y="0"/>
                <wp:positionH relativeFrom="column">
                  <wp:posOffset>1476375</wp:posOffset>
                </wp:positionH>
                <wp:positionV relativeFrom="paragraph">
                  <wp:posOffset>0</wp:posOffset>
                </wp:positionV>
                <wp:extent cx="2533650" cy="0"/>
                <wp:effectExtent l="0" t="0" r="19050" b="19050"/>
                <wp:wrapNone/>
                <wp:docPr id="53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3"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25pt,0" to="315.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"/>
            </w:pict>
          </mc:Fallback>
        </mc:AlternateContent>
      </w:r>
      <w:r w:rsidR="0073634E">
        <mc:AlternateContent>
          <mc:Choice Requires="wps">
            <w:drawing>
              <wp:anchor distT="0" distB="0" distL="114300" distR="114300" simplePos="0" relativeHeight="251692032" behindDoc="0" locked="0" layoutInCell="1" allowOverlap="1" wp14:anchorId="70522188" wp14:editId="19DD44D6">
                <wp:simplePos x="0" y="0"/>
                <wp:positionH relativeFrom="column">
                  <wp:posOffset>7909560</wp:posOffset>
                </wp:positionH>
                <wp:positionV relativeFrom="paragraph">
                  <wp:posOffset>196215</wp:posOffset>
                </wp:positionV>
                <wp:extent cx="638175" cy="409575"/>
                <wp:effectExtent l="0" t="0" r="28575" b="28575"/>
                <wp:wrapNone/>
                <wp:docPr id="331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9575"/>
                        </a:xfrm>
                        <a:prstGeom prst="rect">
                          <a:avLst/>
                        </a:prstGeom>
                        <a:solidFill>
                          <a:sysClr val="window" lastClr="FFFFFF">
                            <a:lumMod val="75000"/>
                          </a:sysClr>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LV TOU Capacity Tariff (EA3</w:t>
                            </w:r>
                            <w:r>
                              <w:rPr>
                                <w:rFonts w:ascii="Calibri" w:hAnsi="Calibri"/>
                                <w:color w:val="000000"/>
                                <w:sz w:val="16"/>
                                <w:szCs w:val="16"/>
                              </w:rPr>
                              <w:t>10</w:t>
                            </w:r>
                            <w:r w:rsidRPr="00C65A0A">
                              <w:rPr>
                                <w:rFonts w:ascii="Calibri" w:hAnsi="Calibri"/>
                                <w:color w:val="000000"/>
                                <w:sz w:val="16"/>
                                <w:szCs w:val="16"/>
                              </w:rPr>
                              <w:t>)</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72" style="position:absolute;left:0;text-align:left;margin-left:622.8pt;margin-top:15.45pt;width:50.25pt;height:3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" fillcolor="#bfbfbf">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LV TOU Capacity Tariff (EA3</w:t>
                      </w:r>
                      <w:r>
                        <w:rPr>
                          <w:rFonts w:ascii="Calibri" w:hAnsi="Calibri"/>
                          <w:color w:val="000000"/>
                          <w:sz w:val="16"/>
                          <w:szCs w:val="16"/>
                        </w:rPr>
                        <w:t>10</w:t>
                      </w:r>
                      <w:r w:rsidRPr="00C65A0A">
                        <w:rPr>
                          <w:rFonts w:ascii="Calibri" w:hAnsi="Calibri"/>
                          <w:color w:val="000000"/>
                          <w:sz w:val="16"/>
                          <w:szCs w:val="16"/>
                        </w:rPr>
                        <w:t>)</w:t>
                      </w:r>
                    </w:p>
                  </w:txbxContent>
                </v:textbox>
              </v:rect>
            </w:pict>
          </mc:Fallback>
        </mc:AlternateContent>
      </w:r>
    </w:p>
    <w:p w:rsidR="0073634E" w:rsidRDefault="0073634E">
      <w:pPr>
        <w:pStyle w:val="BodyText"/>
      </w:pPr>
    </w:p>
    <w:p w:rsidR="0073634E" w:rsidRDefault="008D28AD">
      <w:pPr>
        <w:pStyle w:val="BodyText"/>
      </w:pPr>
      <w:r>
        <mc:AlternateContent>
          <mc:Choice Requires="wps">
            <w:drawing>
              <wp:anchor distT="0" distB="0" distL="114300" distR="114300" simplePos="0" relativeHeight="251724800" behindDoc="0" locked="0" layoutInCell="1" allowOverlap="1" wp14:anchorId="6A1B28F9" wp14:editId="2EFFC913">
                <wp:simplePos x="0" y="0"/>
                <wp:positionH relativeFrom="column">
                  <wp:posOffset>3717290</wp:posOffset>
                </wp:positionH>
                <wp:positionV relativeFrom="paragraph">
                  <wp:posOffset>104775</wp:posOffset>
                </wp:positionV>
                <wp:extent cx="638175" cy="409575"/>
                <wp:effectExtent l="0" t="0" r="28575" b="28575"/>
                <wp:wrapNone/>
                <wp:docPr id="57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9575"/>
                        </a:xfrm>
                        <a:prstGeom prst="rect">
                          <a:avLst/>
                        </a:prstGeom>
                        <a:solidFill>
                          <a:sysClr val="window" lastClr="FFFFFF">
                            <a:lumMod val="75000"/>
                          </a:sysClr>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Pr>
                                <w:rFonts w:ascii="Calibri" w:hAnsi="Calibri"/>
                                <w:color w:val="000000"/>
                                <w:sz w:val="16"/>
                                <w:szCs w:val="16"/>
                              </w:rPr>
                              <w:t xml:space="preserve">Small Business </w:t>
                            </w:r>
                            <w:r w:rsidRPr="00C65A0A">
                              <w:rPr>
                                <w:rFonts w:ascii="Calibri" w:hAnsi="Calibri"/>
                                <w:color w:val="000000"/>
                                <w:sz w:val="16"/>
                                <w:szCs w:val="16"/>
                              </w:rPr>
                              <w:t>TOU Tariff (EA</w:t>
                            </w:r>
                            <w:r>
                              <w:rPr>
                                <w:rFonts w:ascii="Calibri" w:hAnsi="Calibri"/>
                                <w:color w:val="000000"/>
                                <w:sz w:val="16"/>
                                <w:szCs w:val="16"/>
                              </w:rPr>
                              <w:t>225</w:t>
                            </w:r>
                            <w:r w:rsidRPr="00C65A0A">
                              <w:rPr>
                                <w:rFonts w:ascii="Calibri" w:hAnsi="Calibri"/>
                                <w:color w:val="000000"/>
                                <w:sz w:val="16"/>
                                <w:szCs w:val="16"/>
                              </w:rPr>
                              <w:t>)</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73" style="position:absolute;left:0;text-align:left;margin-left:292.7pt;margin-top:8.25pt;width:50.25pt;height:3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" fillcolor="#bfbfbf">
                <v:textbox inset="0,0,0,0">
                  <w:txbxContent>
                    <w:p w:rsidR="001B5FF8" w:rsidRDefault="001B5FF8" w:rsidP="0073634E">
                      <w:pPr>
                        <w:pStyle w:val="NormalWeb"/>
                        <w:spacing w:before="0" w:beforeAutospacing="0" w:after="0" w:afterAutospacing="0"/>
                        <w:jc w:val="center"/>
                      </w:pPr>
                      <w:r>
                        <w:rPr>
                          <w:rFonts w:ascii="Calibri" w:hAnsi="Calibri"/>
                          <w:color w:val="000000"/>
                          <w:sz w:val="16"/>
                          <w:szCs w:val="16"/>
                        </w:rPr>
                        <w:t xml:space="preserve">Small Business </w:t>
                      </w:r>
                      <w:r w:rsidRPr="00C65A0A">
                        <w:rPr>
                          <w:rFonts w:ascii="Calibri" w:hAnsi="Calibri"/>
                          <w:color w:val="000000"/>
                          <w:sz w:val="16"/>
                          <w:szCs w:val="16"/>
                        </w:rPr>
                        <w:t>TOU Tariff (EA</w:t>
                      </w:r>
                      <w:r>
                        <w:rPr>
                          <w:rFonts w:ascii="Calibri" w:hAnsi="Calibri"/>
                          <w:color w:val="000000"/>
                          <w:sz w:val="16"/>
                          <w:szCs w:val="16"/>
                        </w:rPr>
                        <w:t>225</w:t>
                      </w:r>
                      <w:r w:rsidRPr="00C65A0A">
                        <w:rPr>
                          <w:rFonts w:ascii="Calibri" w:hAnsi="Calibri"/>
                          <w:color w:val="000000"/>
                          <w:sz w:val="16"/>
                          <w:szCs w:val="16"/>
                        </w:rPr>
                        <w:t>)</w:t>
                      </w:r>
                    </w:p>
                  </w:txbxContent>
                </v:textbox>
              </v:rect>
            </w:pict>
          </mc:Fallback>
        </mc:AlternateContent>
      </w:r>
      <w:r>
        <mc:AlternateContent>
          <mc:Choice Requires="wps">
            <w:drawing>
              <wp:anchor distT="0" distB="0" distL="114300" distR="114300" simplePos="0" relativeHeight="251735040" behindDoc="0" locked="0" layoutInCell="1" allowOverlap="1" wp14:anchorId="25D1B7F8" wp14:editId="798B654E">
                <wp:simplePos x="0" y="0"/>
                <wp:positionH relativeFrom="column">
                  <wp:posOffset>1144723</wp:posOffset>
                </wp:positionH>
                <wp:positionV relativeFrom="paragraph">
                  <wp:posOffset>104140</wp:posOffset>
                </wp:positionV>
                <wp:extent cx="638175" cy="409575"/>
                <wp:effectExtent l="0" t="0" r="28575" b="28575"/>
                <wp:wrapNone/>
                <wp:docPr id="56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09575"/>
                        </a:xfrm>
                        <a:prstGeom prst="rect">
                          <a:avLst/>
                        </a:prstGeom>
                        <a:solidFill>
                          <a:sysClr val="window" lastClr="FFFFFF">
                            <a:lumMod val="75000"/>
                          </a:sysClr>
                        </a:solidFill>
                        <a:ln w="9525">
                          <a:solidFill>
                            <a:srgbClr val="000000"/>
                          </a:solidFill>
                          <a:miter lim="800000"/>
                          <a:headEnd/>
                          <a:tailEnd/>
                        </a:ln>
                      </wps:spPr>
                      <wps:txbx>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Residential TOU Tariff (EA025)</w:t>
                            </w:r>
                          </w:p>
                        </w:txbxContent>
                      </wps:txbx>
                      <wps:bodyPr vertOverflow="clip" wrap="square" lIns="0" tIns="0" rIns="0" bIns="0" anchor="t" upright="1"/>
                    </wps:wsp>
                  </a:graphicData>
                </a:graphic>
                <wp14:sizeRelH relativeFrom="page">
                  <wp14:pctWidth>0</wp14:pctWidth>
                </wp14:sizeRelH>
                <wp14:sizeRelV relativeFrom="page">
                  <wp14:pctHeight>0</wp14:pctHeight>
                </wp14:sizeRelV>
              </wp:anchor>
            </w:drawing>
          </mc:Choice>
          <mc:Fallback>
            <w:pict>
              <v:rect id="_x0000_s1074" style="position:absolute;left:0;text-align:left;margin-left:90.15pt;margin-top:8.2pt;width:50.25pt;height:3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" fillcolor="#bfbfbf">
                <v:textbox inset="0,0,0,0">
                  <w:txbxContent>
                    <w:p w:rsidR="001B5FF8" w:rsidRDefault="001B5FF8" w:rsidP="0073634E">
                      <w:pPr>
                        <w:pStyle w:val="NormalWeb"/>
                        <w:spacing w:before="0" w:beforeAutospacing="0" w:after="0" w:afterAutospacing="0"/>
                        <w:jc w:val="center"/>
                      </w:pPr>
                      <w:r w:rsidRPr="00C65A0A">
                        <w:rPr>
                          <w:rFonts w:ascii="Calibri" w:hAnsi="Calibri"/>
                          <w:color w:val="000000"/>
                          <w:sz w:val="16"/>
                          <w:szCs w:val="16"/>
                        </w:rPr>
                        <w:t>Residential TOU Tariff (EA025)</w:t>
                      </w:r>
                    </w:p>
                  </w:txbxContent>
                </v:textbox>
              </v:rect>
            </w:pict>
          </mc:Fallback>
        </mc:AlternateContent>
      </w:r>
    </w:p>
    <w:p w:rsidR="0073634E" w:rsidRDefault="0073634E">
      <w:pPr>
        <w:pStyle w:val="BodyText"/>
      </w:pPr>
    </w:p>
    <w:p w:rsidR="0073634E" w:rsidRDefault="00021F72">
      <w:pPr>
        <w:pStyle w:val="BodyText"/>
      </w:pPr>
      <w:r>
        <mc:AlternateContent>
          <mc:Choice Requires="wps">
            <w:drawing>
              <wp:anchor distT="0" distB="0" distL="114300" distR="114300" simplePos="0" relativeHeight="251730944" behindDoc="0" locked="0" layoutInCell="1" allowOverlap="1" wp14:anchorId="5DE14EA4" wp14:editId="21236984">
                <wp:simplePos x="0" y="0"/>
                <wp:positionH relativeFrom="column">
                  <wp:posOffset>6543675</wp:posOffset>
                </wp:positionH>
                <wp:positionV relativeFrom="paragraph">
                  <wp:posOffset>27940</wp:posOffset>
                </wp:positionV>
                <wp:extent cx="2057400" cy="1123950"/>
                <wp:effectExtent l="0" t="0" r="19050" b="19050"/>
                <wp:wrapNone/>
                <wp:docPr id="564"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1123950"/>
                        </a:xfrm>
                        <a:prstGeom prst="rect">
                          <a:avLst/>
                        </a:prstGeom>
                        <a:solidFill>
                          <a:sysClr val="window" lastClr="FFFFFF"/>
                        </a:solidFill>
                        <a:ln w="9525" cmpd="sng">
                          <a:solidFill>
                            <a:sysClr val="window" lastClr="FFFFFF">
                              <a:shade val="50000"/>
                            </a:sysClr>
                          </a:solidFill>
                        </a:ln>
                        <a:effectLst/>
                      </wps:spPr>
                      <wps:txbx>
                        <w:txbxContent>
                          <w:p w:rsidR="001B5FF8" w:rsidRPr="00B80ED1" w:rsidRDefault="001B5FF8" w:rsidP="0073634E">
                            <w:pPr>
                              <w:pStyle w:val="NormalWeb"/>
                              <w:spacing w:before="0" w:beforeAutospacing="0" w:after="0" w:afterAutospacing="0"/>
                              <w:rPr>
                                <w:rFonts w:ascii="Calibri" w:hAnsi="Calibri"/>
                                <w:b/>
                                <w:color w:val="000000"/>
                                <w:sz w:val="16"/>
                                <w:szCs w:val="16"/>
                              </w:rPr>
                            </w:pPr>
                            <w:r w:rsidRPr="00B80ED1">
                              <w:rPr>
                                <w:rFonts w:ascii="Calibri" w:hAnsi="Calibri"/>
                                <w:b/>
                                <w:color w:val="000000"/>
                                <w:sz w:val="16"/>
                                <w:szCs w:val="16"/>
                              </w:rPr>
                              <w:t>LEGEND – TARIFF CLASS IDENTIFICATION</w:t>
                            </w:r>
                          </w:p>
                          <w:p w:rsidR="001B5FF8" w:rsidRDefault="001B5FF8" w:rsidP="0073634E">
                            <w:pPr>
                              <w:pStyle w:val="NormalWeb"/>
                              <w:spacing w:before="0" w:beforeAutospacing="0" w:after="0" w:afterAutospacing="0"/>
                              <w:rPr>
                                <w:rFonts w:ascii="Calibri" w:hAnsi="Calibri"/>
                                <w:color w:val="000000"/>
                                <w:sz w:val="16"/>
                                <w:szCs w:val="16"/>
                              </w:rPr>
                            </w:pPr>
                          </w:p>
                          <w:p w:rsidR="001B5FF8" w:rsidRPr="00722C28" w:rsidRDefault="001B5FF8" w:rsidP="0073634E">
                            <w:pPr>
                              <w:pStyle w:val="NormalWeb"/>
                              <w:spacing w:before="0" w:beforeAutospacing="0" w:after="0" w:afterAutospacing="0"/>
                              <w:rPr>
                                <w:sz w:val="16"/>
                                <w:szCs w:val="16"/>
                              </w:rPr>
                            </w:pPr>
                            <w:r>
                              <w:rPr>
                                <w:rFonts w:ascii="Calibri" w:hAnsi="Calibri"/>
                                <w:noProof/>
                                <w:color w:val="000000"/>
                                <w:sz w:val="16"/>
                                <w:szCs w:val="16"/>
                              </w:rPr>
                              <w:drawing>
                                <wp:inline distT="0" distB="0" distL="0" distR="0" wp14:anchorId="11C8EC19" wp14:editId="64163945">
                                  <wp:extent cx="133109" cy="9875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12" cy="98901"/>
                                          </a:xfrm>
                                          <a:prstGeom prst="rect">
                                            <a:avLst/>
                                          </a:prstGeom>
                                          <a:noFill/>
                                          <a:ln>
                                            <a:noFill/>
                                          </a:ln>
                                        </pic:spPr>
                                      </pic:pic>
                                    </a:graphicData>
                                  </a:graphic>
                                </wp:inline>
                              </w:drawing>
                            </w:r>
                            <w:r>
                              <w:rPr>
                                <w:rFonts w:ascii="Calibri" w:hAnsi="Calibri"/>
                                <w:color w:val="000000"/>
                                <w:sz w:val="16"/>
                                <w:szCs w:val="16"/>
                              </w:rPr>
                              <w:t xml:space="preserve">    Transmission Connected</w:t>
                            </w:r>
                            <w:r w:rsidRPr="00CC1ED3">
                              <w:rPr>
                                <w:rFonts w:ascii="Calibri" w:hAnsi="Calibri"/>
                                <w:color w:val="000000"/>
                                <w:sz w:val="16"/>
                                <w:szCs w:val="16"/>
                              </w:rPr>
                              <w:t xml:space="preserve"> Tariff Class</w:t>
                            </w:r>
                          </w:p>
                          <w:p w:rsidR="001B5FF8" w:rsidRPr="00803AE5" w:rsidRDefault="001B5FF8" w:rsidP="0073634E">
                            <w:pPr>
                              <w:pStyle w:val="NormalWeb"/>
                              <w:spacing w:before="0" w:beforeAutospacing="0" w:after="0" w:afterAutospacing="0"/>
                              <w:rPr>
                                <w:rFonts w:ascii="Calibri" w:hAnsi="Calibri"/>
                                <w:color w:val="000000"/>
                                <w:sz w:val="16"/>
                                <w:szCs w:val="16"/>
                              </w:rPr>
                            </w:pPr>
                            <w:r>
                              <w:rPr>
                                <w:noProof/>
                                <w:sz w:val="16"/>
                                <w:szCs w:val="16"/>
                              </w:rPr>
                              <w:drawing>
                                <wp:inline distT="0" distB="0" distL="0" distR="0" wp14:anchorId="43A00321" wp14:editId="6CA4D483">
                                  <wp:extent cx="130215" cy="96603"/>
                                  <wp:effectExtent l="0" t="0" r="0" b="5080"/>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131654" cy="97671"/>
                                          </a:xfrm>
                                          <a:prstGeom prst="rect">
                                            <a:avLst/>
                                          </a:prstGeom>
                                          <a:noFill/>
                                          <a:ln>
                                            <a:noFill/>
                                          </a:ln>
                                        </pic:spPr>
                                      </pic:pic>
                                    </a:graphicData>
                                  </a:graphic>
                                </wp:inline>
                              </w:drawing>
                            </w:r>
                            <w:r>
                              <w:rPr>
                                <w:rFonts w:ascii="Calibri" w:hAnsi="Calibri"/>
                                <w:color w:val="000000"/>
                                <w:sz w:val="16"/>
                                <w:szCs w:val="16"/>
                              </w:rPr>
                              <w:t xml:space="preserve">    </w:t>
                            </w:r>
                            <w:r w:rsidRPr="00CC1ED3">
                              <w:rPr>
                                <w:rFonts w:ascii="Calibri" w:hAnsi="Calibri"/>
                                <w:color w:val="000000"/>
                                <w:sz w:val="16"/>
                                <w:szCs w:val="16"/>
                              </w:rPr>
                              <w:t>Unmetered Tariff Class</w:t>
                            </w:r>
                          </w:p>
                          <w:p w:rsidR="001B5FF8" w:rsidRDefault="001B5FF8" w:rsidP="0073634E">
                            <w:pPr>
                              <w:pStyle w:val="NormalWeb"/>
                              <w:spacing w:before="0" w:beforeAutospacing="0" w:after="0" w:afterAutospacing="0"/>
                              <w:jc w:val="left"/>
                              <w:rPr>
                                <w:rFonts w:ascii="Calibri" w:hAnsi="Calibri"/>
                                <w:color w:val="000000"/>
                                <w:sz w:val="16"/>
                                <w:szCs w:val="16"/>
                              </w:rPr>
                            </w:pPr>
                            <w:r>
                              <w:rPr>
                                <w:noProof/>
                                <w:sz w:val="16"/>
                                <w:szCs w:val="16"/>
                              </w:rPr>
                              <w:drawing>
                                <wp:inline distT="0" distB="0" distL="0" distR="0" wp14:anchorId="0A79A964" wp14:editId="78642848">
                                  <wp:extent cx="136003" cy="105873"/>
                                  <wp:effectExtent l="0" t="0" r="0"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136407" cy="106187"/>
                                          </a:xfrm>
                                          <a:prstGeom prst="rect">
                                            <a:avLst/>
                                          </a:prstGeom>
                                          <a:noFill/>
                                          <a:ln>
                                            <a:noFill/>
                                          </a:ln>
                                        </pic:spPr>
                                      </pic:pic>
                                    </a:graphicData>
                                  </a:graphic>
                                </wp:inline>
                              </w:drawing>
                            </w:r>
                            <w:r>
                              <w:rPr>
                                <w:rFonts w:ascii="Calibri" w:hAnsi="Calibri"/>
                                <w:color w:val="000000"/>
                                <w:sz w:val="16"/>
                                <w:szCs w:val="16"/>
                              </w:rPr>
                              <w:t xml:space="preserve">    </w:t>
                            </w:r>
                            <w:r w:rsidRPr="00CC1ED3">
                              <w:rPr>
                                <w:rFonts w:ascii="Calibri" w:hAnsi="Calibri"/>
                                <w:color w:val="000000"/>
                                <w:sz w:val="16"/>
                                <w:szCs w:val="16"/>
                              </w:rPr>
                              <w:t>S</w:t>
                            </w:r>
                            <w:r>
                              <w:rPr>
                                <w:rFonts w:ascii="Calibri" w:hAnsi="Calibri"/>
                                <w:color w:val="000000"/>
                                <w:sz w:val="16"/>
                                <w:szCs w:val="16"/>
                              </w:rPr>
                              <w:t xml:space="preserve">ub-transmission </w:t>
                            </w:r>
                            <w:r w:rsidRPr="00CC1ED3">
                              <w:rPr>
                                <w:rFonts w:ascii="Calibri" w:hAnsi="Calibri"/>
                                <w:color w:val="000000"/>
                                <w:sz w:val="16"/>
                                <w:szCs w:val="16"/>
                              </w:rPr>
                              <w:t>Voltage Tariff</w:t>
                            </w:r>
                            <w:r w:rsidRPr="00CC1ED3">
                              <w:rPr>
                                <w:rFonts w:ascii="Calibri" w:hAnsi="Calibri"/>
                                <w:color w:val="000000"/>
                                <w:sz w:val="22"/>
                                <w:szCs w:val="22"/>
                              </w:rPr>
                              <w:t xml:space="preserve"> </w:t>
                            </w:r>
                            <w:r w:rsidRPr="00CC1ED3">
                              <w:rPr>
                                <w:rFonts w:ascii="Calibri" w:hAnsi="Calibri"/>
                                <w:color w:val="000000"/>
                                <w:sz w:val="16"/>
                                <w:szCs w:val="16"/>
                              </w:rPr>
                              <w:t>Class</w:t>
                            </w:r>
                          </w:p>
                          <w:p w:rsidR="001B5FF8" w:rsidRPr="00CC1ED3" w:rsidRDefault="001B5FF8" w:rsidP="0073634E">
                            <w:pPr>
                              <w:pStyle w:val="NormalWeb"/>
                              <w:spacing w:before="0" w:beforeAutospacing="0" w:after="0" w:afterAutospacing="0"/>
                              <w:jc w:val="left"/>
                              <w:rPr>
                                <w:sz w:val="16"/>
                                <w:szCs w:val="16"/>
                              </w:rPr>
                            </w:pPr>
                            <w:r>
                              <w:rPr>
                                <w:noProof/>
                                <w:sz w:val="16"/>
                                <w:szCs w:val="16"/>
                              </w:rPr>
                              <w:drawing>
                                <wp:inline distT="0" distB="0" distL="0" distR="0" wp14:anchorId="356A52E2" wp14:editId="4AFA8457">
                                  <wp:extent cx="136003" cy="100896"/>
                                  <wp:effectExtent l="0" t="0" r="0" b="1270"/>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36931" cy="101585"/>
                                          </a:xfrm>
                                          <a:prstGeom prst="rect">
                                            <a:avLst/>
                                          </a:prstGeom>
                                          <a:noFill/>
                                          <a:ln>
                                            <a:noFill/>
                                          </a:ln>
                                        </pic:spPr>
                                      </pic:pic>
                                    </a:graphicData>
                                  </a:graphic>
                                </wp:inline>
                              </w:drawing>
                            </w:r>
                            <w:r>
                              <w:rPr>
                                <w:sz w:val="16"/>
                                <w:szCs w:val="16"/>
                              </w:rPr>
                              <w:t xml:space="preserve">   </w:t>
                            </w:r>
                            <w:r w:rsidRPr="009F4E75">
                              <w:rPr>
                                <w:rFonts w:asciiTheme="minorHAnsi" w:hAnsiTheme="minorHAnsi"/>
                                <w:sz w:val="16"/>
                                <w:szCs w:val="16"/>
                              </w:rPr>
                              <w:t xml:space="preserve">High </w:t>
                            </w:r>
                            <w:r w:rsidRPr="009F4E75">
                              <w:rPr>
                                <w:rFonts w:asciiTheme="minorHAnsi" w:hAnsiTheme="minorHAnsi"/>
                                <w:color w:val="000000"/>
                                <w:sz w:val="16"/>
                                <w:szCs w:val="16"/>
                              </w:rPr>
                              <w:t>Voltage Tariff</w:t>
                            </w:r>
                            <w:r w:rsidRPr="009F4E75">
                              <w:rPr>
                                <w:rFonts w:asciiTheme="minorHAnsi" w:hAnsiTheme="minorHAnsi"/>
                                <w:color w:val="000000"/>
                                <w:sz w:val="22"/>
                                <w:szCs w:val="22"/>
                              </w:rPr>
                              <w:t xml:space="preserve"> </w:t>
                            </w:r>
                            <w:r w:rsidRPr="009F4E75">
                              <w:rPr>
                                <w:rFonts w:asciiTheme="minorHAnsi" w:hAnsiTheme="minorHAnsi"/>
                                <w:color w:val="000000"/>
                                <w:sz w:val="16"/>
                                <w:szCs w:val="16"/>
                              </w:rPr>
                              <w:t>Class</w:t>
                            </w:r>
                          </w:p>
                          <w:p w:rsidR="001B5FF8" w:rsidRPr="009F4E75" w:rsidRDefault="001B5FF8" w:rsidP="0073634E">
                            <w:pPr>
                              <w:pStyle w:val="NormalWeb"/>
                              <w:spacing w:before="0" w:beforeAutospacing="0" w:after="0" w:afterAutospacing="0"/>
                              <w:rPr>
                                <w:rFonts w:asciiTheme="minorHAnsi" w:hAnsiTheme="minorHAnsi"/>
                                <w:sz w:val="16"/>
                                <w:szCs w:val="16"/>
                              </w:rPr>
                            </w:pPr>
                            <w:r w:rsidRPr="009F4E75">
                              <w:rPr>
                                <w:rFonts w:ascii="Calibri" w:hAnsi="Calibri"/>
                                <w:noProof/>
                                <w:color w:val="000000"/>
                                <w:sz w:val="16"/>
                                <w:szCs w:val="16"/>
                                <w:shd w:val="clear" w:color="auto" w:fill="A6A6A6" w:themeFill="background1" w:themeFillShade="A6"/>
                              </w:rPr>
                              <w:drawing>
                                <wp:inline distT="0" distB="0" distL="0" distR="0" wp14:anchorId="07B3C817" wp14:editId="170FBC9A">
                                  <wp:extent cx="133350" cy="98929"/>
                                  <wp:effectExtent l="0" t="0" r="0" b="0"/>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143809" cy="106689"/>
                                          </a:xfrm>
                                          <a:prstGeom prst="rect">
                                            <a:avLst/>
                                          </a:prstGeom>
                                          <a:noFill/>
                                          <a:ln>
                                            <a:noFill/>
                                          </a:ln>
                                        </pic:spPr>
                                      </pic:pic>
                                    </a:graphicData>
                                  </a:graphic>
                                </wp:inline>
                              </w:drawing>
                            </w:r>
                            <w:r>
                              <w:rPr>
                                <w:sz w:val="16"/>
                                <w:szCs w:val="16"/>
                              </w:rPr>
                              <w:t xml:space="preserve">   </w:t>
                            </w:r>
                            <w:r>
                              <w:rPr>
                                <w:rFonts w:asciiTheme="minorHAnsi" w:hAnsiTheme="minorHAnsi"/>
                                <w:sz w:val="16"/>
                                <w:szCs w:val="16"/>
                              </w:rPr>
                              <w:t>Low Voltage Tariff Class</w:t>
                            </w:r>
                          </w:p>
                          <w:p w:rsidR="001B5FF8" w:rsidRPr="00CC1ED3" w:rsidRDefault="001B5FF8" w:rsidP="0073634E">
                            <w:pPr>
                              <w:pStyle w:val="NormalWeb"/>
                              <w:spacing w:before="0" w:beforeAutospacing="0" w:after="0" w:afterAutospacing="0"/>
                              <w:rPr>
                                <w:sz w:val="16"/>
                                <w:szCs w:val="16"/>
                              </w:rPr>
                            </w:pPr>
                          </w:p>
                        </w:txbxContent>
                      </wps:txbx>
                      <wps:bodyPr vertOverflow="clip" horzOverflow="clip" wrap="square" rtlCol="0" anchor="ctr" anchorCtr="0">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515.25pt;margin-top:2.2pt;width:162pt;height:8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" fillcolor="window" strokecolor="#bcbcbc">
                <v:path arrowok="t"/>
                <v:textbox>
                  <w:txbxContent>
                    <w:p w:rsidR="001B5FF8" w:rsidRPr="00B80ED1" w:rsidRDefault="001B5FF8" w:rsidP="0073634E">
                      <w:pPr>
                        <w:pStyle w:val="NormalWeb"/>
                        <w:spacing w:before="0" w:beforeAutospacing="0" w:after="0" w:afterAutospacing="0"/>
                        <w:rPr>
                          <w:rFonts w:ascii="Calibri" w:hAnsi="Calibri"/>
                          <w:b/>
                          <w:color w:val="000000"/>
                          <w:sz w:val="16"/>
                          <w:szCs w:val="16"/>
                        </w:rPr>
                      </w:pPr>
                      <w:r w:rsidRPr="00B80ED1">
                        <w:rPr>
                          <w:rFonts w:ascii="Calibri" w:hAnsi="Calibri"/>
                          <w:b/>
                          <w:color w:val="000000"/>
                          <w:sz w:val="16"/>
                          <w:szCs w:val="16"/>
                        </w:rPr>
                        <w:t>LEGEND – TARIFF CLASS IDENTIFICATION</w:t>
                      </w:r>
                    </w:p>
                    <w:p w:rsidR="001B5FF8" w:rsidRDefault="001B5FF8" w:rsidP="0073634E">
                      <w:pPr>
                        <w:pStyle w:val="NormalWeb"/>
                        <w:spacing w:before="0" w:beforeAutospacing="0" w:after="0" w:afterAutospacing="0"/>
                        <w:rPr>
                          <w:rFonts w:ascii="Calibri" w:hAnsi="Calibri"/>
                          <w:color w:val="000000"/>
                          <w:sz w:val="16"/>
                          <w:szCs w:val="16"/>
                        </w:rPr>
                      </w:pPr>
                    </w:p>
                    <w:p w:rsidR="001B5FF8" w:rsidRPr="00722C28" w:rsidRDefault="001B5FF8" w:rsidP="0073634E">
                      <w:pPr>
                        <w:pStyle w:val="NormalWeb"/>
                        <w:spacing w:before="0" w:beforeAutospacing="0" w:after="0" w:afterAutospacing="0"/>
                        <w:rPr>
                          <w:sz w:val="16"/>
                          <w:szCs w:val="16"/>
                        </w:rPr>
                      </w:pPr>
                      <w:r>
                        <w:rPr>
                          <w:rFonts w:ascii="Calibri" w:hAnsi="Calibri"/>
                          <w:noProof/>
                          <w:color w:val="000000"/>
                          <w:sz w:val="16"/>
                          <w:szCs w:val="16"/>
                        </w:rPr>
                        <w:drawing>
                          <wp:inline distT="0" distB="0" distL="0" distR="0" wp14:anchorId="11C8EC19" wp14:editId="64163945">
                            <wp:extent cx="133109" cy="9875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3312" cy="98901"/>
                                    </a:xfrm>
                                    <a:prstGeom prst="rect">
                                      <a:avLst/>
                                    </a:prstGeom>
                                    <a:noFill/>
                                    <a:ln>
                                      <a:noFill/>
                                    </a:ln>
                                  </pic:spPr>
                                </pic:pic>
                              </a:graphicData>
                            </a:graphic>
                          </wp:inline>
                        </w:drawing>
                      </w:r>
                      <w:r>
                        <w:rPr>
                          <w:rFonts w:ascii="Calibri" w:hAnsi="Calibri"/>
                          <w:color w:val="000000"/>
                          <w:sz w:val="16"/>
                          <w:szCs w:val="16"/>
                        </w:rPr>
                        <w:t xml:space="preserve">    Transmission Connected</w:t>
                      </w:r>
                      <w:r w:rsidRPr="00CC1ED3">
                        <w:rPr>
                          <w:rFonts w:ascii="Calibri" w:hAnsi="Calibri"/>
                          <w:color w:val="000000"/>
                          <w:sz w:val="16"/>
                          <w:szCs w:val="16"/>
                        </w:rPr>
                        <w:t xml:space="preserve"> Tariff Class</w:t>
                      </w:r>
                    </w:p>
                    <w:p w:rsidR="001B5FF8" w:rsidRPr="00803AE5" w:rsidRDefault="001B5FF8" w:rsidP="0073634E">
                      <w:pPr>
                        <w:pStyle w:val="NormalWeb"/>
                        <w:spacing w:before="0" w:beforeAutospacing="0" w:after="0" w:afterAutospacing="0"/>
                        <w:rPr>
                          <w:rFonts w:ascii="Calibri" w:hAnsi="Calibri"/>
                          <w:color w:val="000000"/>
                          <w:sz w:val="16"/>
                          <w:szCs w:val="16"/>
                        </w:rPr>
                      </w:pPr>
                      <w:r>
                        <w:rPr>
                          <w:noProof/>
                          <w:sz w:val="16"/>
                          <w:szCs w:val="16"/>
                        </w:rPr>
                        <w:drawing>
                          <wp:inline distT="0" distB="0" distL="0" distR="0" wp14:anchorId="43A00321" wp14:editId="6CA4D483">
                            <wp:extent cx="130215" cy="96603"/>
                            <wp:effectExtent l="0" t="0" r="0" b="5080"/>
                            <wp:docPr id="4652" name="Picture 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V="1">
                                      <a:off x="0" y="0"/>
                                      <a:ext cx="131654" cy="97671"/>
                                    </a:xfrm>
                                    <a:prstGeom prst="rect">
                                      <a:avLst/>
                                    </a:prstGeom>
                                    <a:noFill/>
                                    <a:ln>
                                      <a:noFill/>
                                    </a:ln>
                                  </pic:spPr>
                                </pic:pic>
                              </a:graphicData>
                            </a:graphic>
                          </wp:inline>
                        </w:drawing>
                      </w:r>
                      <w:r>
                        <w:rPr>
                          <w:rFonts w:ascii="Calibri" w:hAnsi="Calibri"/>
                          <w:color w:val="000000"/>
                          <w:sz w:val="16"/>
                          <w:szCs w:val="16"/>
                        </w:rPr>
                        <w:t xml:space="preserve">    </w:t>
                      </w:r>
                      <w:r w:rsidRPr="00CC1ED3">
                        <w:rPr>
                          <w:rFonts w:ascii="Calibri" w:hAnsi="Calibri"/>
                          <w:color w:val="000000"/>
                          <w:sz w:val="16"/>
                          <w:szCs w:val="16"/>
                        </w:rPr>
                        <w:t>Unmetered Tariff Class</w:t>
                      </w:r>
                    </w:p>
                    <w:p w:rsidR="001B5FF8" w:rsidRDefault="001B5FF8" w:rsidP="0073634E">
                      <w:pPr>
                        <w:pStyle w:val="NormalWeb"/>
                        <w:spacing w:before="0" w:beforeAutospacing="0" w:after="0" w:afterAutospacing="0"/>
                        <w:jc w:val="left"/>
                        <w:rPr>
                          <w:rFonts w:ascii="Calibri" w:hAnsi="Calibri"/>
                          <w:color w:val="000000"/>
                          <w:sz w:val="16"/>
                          <w:szCs w:val="16"/>
                        </w:rPr>
                      </w:pPr>
                      <w:r>
                        <w:rPr>
                          <w:noProof/>
                          <w:sz w:val="16"/>
                          <w:szCs w:val="16"/>
                        </w:rPr>
                        <w:drawing>
                          <wp:inline distT="0" distB="0" distL="0" distR="0" wp14:anchorId="0A79A964" wp14:editId="78642848">
                            <wp:extent cx="136003" cy="105873"/>
                            <wp:effectExtent l="0" t="0" r="0" b="0"/>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V="1">
                                      <a:off x="0" y="0"/>
                                      <a:ext cx="136407" cy="106187"/>
                                    </a:xfrm>
                                    <a:prstGeom prst="rect">
                                      <a:avLst/>
                                    </a:prstGeom>
                                    <a:noFill/>
                                    <a:ln>
                                      <a:noFill/>
                                    </a:ln>
                                  </pic:spPr>
                                </pic:pic>
                              </a:graphicData>
                            </a:graphic>
                          </wp:inline>
                        </w:drawing>
                      </w:r>
                      <w:r>
                        <w:rPr>
                          <w:rFonts w:ascii="Calibri" w:hAnsi="Calibri"/>
                          <w:color w:val="000000"/>
                          <w:sz w:val="16"/>
                          <w:szCs w:val="16"/>
                        </w:rPr>
                        <w:t xml:space="preserve">    </w:t>
                      </w:r>
                      <w:r w:rsidRPr="00CC1ED3">
                        <w:rPr>
                          <w:rFonts w:ascii="Calibri" w:hAnsi="Calibri"/>
                          <w:color w:val="000000"/>
                          <w:sz w:val="16"/>
                          <w:szCs w:val="16"/>
                        </w:rPr>
                        <w:t>S</w:t>
                      </w:r>
                      <w:r>
                        <w:rPr>
                          <w:rFonts w:ascii="Calibri" w:hAnsi="Calibri"/>
                          <w:color w:val="000000"/>
                          <w:sz w:val="16"/>
                          <w:szCs w:val="16"/>
                        </w:rPr>
                        <w:t xml:space="preserve">ub-transmission </w:t>
                      </w:r>
                      <w:r w:rsidRPr="00CC1ED3">
                        <w:rPr>
                          <w:rFonts w:ascii="Calibri" w:hAnsi="Calibri"/>
                          <w:color w:val="000000"/>
                          <w:sz w:val="16"/>
                          <w:szCs w:val="16"/>
                        </w:rPr>
                        <w:t>Voltage Tariff</w:t>
                      </w:r>
                      <w:r w:rsidRPr="00CC1ED3">
                        <w:rPr>
                          <w:rFonts w:ascii="Calibri" w:hAnsi="Calibri"/>
                          <w:color w:val="000000"/>
                          <w:sz w:val="22"/>
                          <w:szCs w:val="22"/>
                        </w:rPr>
                        <w:t xml:space="preserve"> </w:t>
                      </w:r>
                      <w:r w:rsidRPr="00CC1ED3">
                        <w:rPr>
                          <w:rFonts w:ascii="Calibri" w:hAnsi="Calibri"/>
                          <w:color w:val="000000"/>
                          <w:sz w:val="16"/>
                          <w:szCs w:val="16"/>
                        </w:rPr>
                        <w:t>Class</w:t>
                      </w:r>
                    </w:p>
                    <w:p w:rsidR="001B5FF8" w:rsidRPr="00CC1ED3" w:rsidRDefault="001B5FF8" w:rsidP="0073634E">
                      <w:pPr>
                        <w:pStyle w:val="NormalWeb"/>
                        <w:spacing w:before="0" w:beforeAutospacing="0" w:after="0" w:afterAutospacing="0"/>
                        <w:jc w:val="left"/>
                        <w:rPr>
                          <w:sz w:val="16"/>
                          <w:szCs w:val="16"/>
                        </w:rPr>
                      </w:pPr>
                      <w:r>
                        <w:rPr>
                          <w:noProof/>
                          <w:sz w:val="16"/>
                          <w:szCs w:val="16"/>
                        </w:rPr>
                        <w:drawing>
                          <wp:inline distT="0" distB="0" distL="0" distR="0" wp14:anchorId="356A52E2" wp14:editId="4AFA8457">
                            <wp:extent cx="136003" cy="100896"/>
                            <wp:effectExtent l="0" t="0" r="0" b="1270"/>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136931" cy="101585"/>
                                    </a:xfrm>
                                    <a:prstGeom prst="rect">
                                      <a:avLst/>
                                    </a:prstGeom>
                                    <a:noFill/>
                                    <a:ln>
                                      <a:noFill/>
                                    </a:ln>
                                  </pic:spPr>
                                </pic:pic>
                              </a:graphicData>
                            </a:graphic>
                          </wp:inline>
                        </w:drawing>
                      </w:r>
                      <w:r>
                        <w:rPr>
                          <w:sz w:val="16"/>
                          <w:szCs w:val="16"/>
                        </w:rPr>
                        <w:t xml:space="preserve">   </w:t>
                      </w:r>
                      <w:r w:rsidRPr="009F4E75">
                        <w:rPr>
                          <w:rFonts w:asciiTheme="minorHAnsi" w:hAnsiTheme="minorHAnsi"/>
                          <w:sz w:val="16"/>
                          <w:szCs w:val="16"/>
                        </w:rPr>
                        <w:t xml:space="preserve">High </w:t>
                      </w:r>
                      <w:r w:rsidRPr="009F4E75">
                        <w:rPr>
                          <w:rFonts w:asciiTheme="minorHAnsi" w:hAnsiTheme="minorHAnsi"/>
                          <w:color w:val="000000"/>
                          <w:sz w:val="16"/>
                          <w:szCs w:val="16"/>
                        </w:rPr>
                        <w:t>Voltage Tariff</w:t>
                      </w:r>
                      <w:r w:rsidRPr="009F4E75">
                        <w:rPr>
                          <w:rFonts w:asciiTheme="minorHAnsi" w:hAnsiTheme="minorHAnsi"/>
                          <w:color w:val="000000"/>
                          <w:sz w:val="22"/>
                          <w:szCs w:val="22"/>
                        </w:rPr>
                        <w:t xml:space="preserve"> </w:t>
                      </w:r>
                      <w:r w:rsidRPr="009F4E75">
                        <w:rPr>
                          <w:rFonts w:asciiTheme="minorHAnsi" w:hAnsiTheme="minorHAnsi"/>
                          <w:color w:val="000000"/>
                          <w:sz w:val="16"/>
                          <w:szCs w:val="16"/>
                        </w:rPr>
                        <w:t>Class</w:t>
                      </w:r>
                    </w:p>
                    <w:p w:rsidR="001B5FF8" w:rsidRPr="009F4E75" w:rsidRDefault="001B5FF8" w:rsidP="0073634E">
                      <w:pPr>
                        <w:pStyle w:val="NormalWeb"/>
                        <w:spacing w:before="0" w:beforeAutospacing="0" w:after="0" w:afterAutospacing="0"/>
                        <w:rPr>
                          <w:rFonts w:asciiTheme="minorHAnsi" w:hAnsiTheme="minorHAnsi"/>
                          <w:sz w:val="16"/>
                          <w:szCs w:val="16"/>
                        </w:rPr>
                      </w:pPr>
                      <w:r w:rsidRPr="009F4E75">
                        <w:rPr>
                          <w:rFonts w:ascii="Calibri" w:hAnsi="Calibri"/>
                          <w:noProof/>
                          <w:color w:val="000000"/>
                          <w:sz w:val="16"/>
                          <w:szCs w:val="16"/>
                          <w:shd w:val="clear" w:color="auto" w:fill="A6A6A6" w:themeFill="background1" w:themeFillShade="A6"/>
                        </w:rPr>
                        <w:drawing>
                          <wp:inline distT="0" distB="0" distL="0" distR="0" wp14:anchorId="07B3C817" wp14:editId="170FBC9A">
                            <wp:extent cx="133350" cy="98929"/>
                            <wp:effectExtent l="0" t="0" r="0" b="0"/>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143809" cy="106689"/>
                                    </a:xfrm>
                                    <a:prstGeom prst="rect">
                                      <a:avLst/>
                                    </a:prstGeom>
                                    <a:noFill/>
                                    <a:ln>
                                      <a:noFill/>
                                    </a:ln>
                                  </pic:spPr>
                                </pic:pic>
                              </a:graphicData>
                            </a:graphic>
                          </wp:inline>
                        </w:drawing>
                      </w:r>
                      <w:r>
                        <w:rPr>
                          <w:sz w:val="16"/>
                          <w:szCs w:val="16"/>
                        </w:rPr>
                        <w:t xml:space="preserve">   </w:t>
                      </w:r>
                      <w:r>
                        <w:rPr>
                          <w:rFonts w:asciiTheme="minorHAnsi" w:hAnsiTheme="minorHAnsi"/>
                          <w:sz w:val="16"/>
                          <w:szCs w:val="16"/>
                        </w:rPr>
                        <w:t>Low Voltage Tariff Class</w:t>
                      </w:r>
                    </w:p>
                    <w:p w:rsidR="001B5FF8" w:rsidRPr="00CC1ED3" w:rsidRDefault="001B5FF8" w:rsidP="0073634E">
                      <w:pPr>
                        <w:pStyle w:val="NormalWeb"/>
                        <w:spacing w:before="0" w:beforeAutospacing="0" w:after="0" w:afterAutospacing="0"/>
                        <w:rPr>
                          <w:sz w:val="16"/>
                          <w:szCs w:val="16"/>
                        </w:rPr>
                      </w:pPr>
                    </w:p>
                  </w:txbxContent>
                </v:textbox>
              </v:shape>
            </w:pict>
          </mc:Fallback>
        </mc:AlternateContent>
      </w:r>
    </w:p>
    <w:p w:rsidR="008D28AD" w:rsidRDefault="008D28AD">
      <w:pPr>
        <w:pStyle w:val="BodyText"/>
      </w:pPr>
    </w:p>
    <w:p w:rsidR="0073634E" w:rsidRDefault="0073634E">
      <w:pPr>
        <w:pStyle w:val="BodyText"/>
      </w:pPr>
    </w:p>
    <w:p w:rsidR="0073634E" w:rsidRDefault="0073634E" w:rsidP="00722C30">
      <w:pPr>
        <w:pStyle w:val="Heading2"/>
        <w:sectPr w:rsidR="0073634E" w:rsidSect="00B52323">
          <w:footerReference w:type="default" r:id="rId24"/>
          <w:pgSz w:w="16834" w:h="11909" w:orient="landscape" w:code="9"/>
          <w:pgMar w:top="993" w:right="1440" w:bottom="1135" w:left="1440" w:header="431" w:footer="431" w:gutter="0"/>
          <w:cols w:space="720"/>
          <w:docGrid w:linePitch="245"/>
        </w:sectPr>
      </w:pPr>
    </w:p>
    <w:p w:rsidR="0073634E" w:rsidRPr="00457392" w:rsidRDefault="00054017" w:rsidP="00722C30">
      <w:pPr>
        <w:pStyle w:val="Heading2"/>
      </w:pPr>
      <w:bookmarkStart w:id="368" w:name="_Ref462146988"/>
      <w:bookmarkStart w:id="369" w:name="_Toc475527421"/>
      <w:r>
        <w:lastRenderedPageBreak/>
        <w:t>The r</w:t>
      </w:r>
      <w:r w:rsidRPr="00457392">
        <w:t>e</w:t>
      </w:r>
      <w:r w:rsidR="0073634E" w:rsidRPr="00457392">
        <w:t>-</w:t>
      </w:r>
      <w:r>
        <w:t xml:space="preserve">assignement of </w:t>
      </w:r>
      <w:r w:rsidR="0073634E" w:rsidRPr="00457392">
        <w:t>existing retail customers</w:t>
      </w:r>
      <w:bookmarkEnd w:id="368"/>
      <w:bookmarkEnd w:id="369"/>
      <w:r w:rsidR="0073634E" w:rsidRPr="00457392">
        <w:t xml:space="preserve"> </w:t>
      </w:r>
    </w:p>
    <w:p w:rsidR="00F016B5" w:rsidRPr="00F93A72" w:rsidRDefault="00F016B5" w:rsidP="0094273A">
      <w:pPr>
        <w:pStyle w:val="BodyText"/>
      </w:pPr>
      <w:r w:rsidRPr="0094273A">
        <w:rPr>
          <w:rStyle w:val="AERbody"/>
        </w:rPr>
        <w:t>There are a number of circumstances where Ausgrid’s annual review and assessment may identify an existing retail customer that is no longer eligible to remain assigned to their existing NUOS tariff, eg, because:</w:t>
      </w:r>
    </w:p>
    <w:p w:rsidR="00F016B5" w:rsidRPr="00457392" w:rsidRDefault="00F016B5" w:rsidP="00F93A72">
      <w:pPr>
        <w:pStyle w:val="Bulletedtext"/>
        <w:rPr>
          <w:rFonts w:eastAsia="Cambria"/>
          <w:lang w:eastAsia="en-AU"/>
        </w:rPr>
      </w:pPr>
      <w:r>
        <w:rPr>
          <w:rFonts w:eastAsia="Cambria"/>
          <w:lang w:eastAsia="en-AU"/>
        </w:rPr>
        <w:t>t</w:t>
      </w:r>
      <w:r w:rsidRPr="00457392">
        <w:rPr>
          <w:rFonts w:eastAsia="Cambria"/>
          <w:lang w:eastAsia="en-AU"/>
        </w:rPr>
        <w:t>hey have changed their voltage level of supply as measured at the metering point to the extent that they are no longer eligible to remain assigned to their existing tariff class;</w:t>
      </w:r>
      <w:r>
        <w:rPr>
          <w:rStyle w:val="FootnoteReference"/>
          <w:rFonts w:eastAsia="Cambria"/>
          <w:szCs w:val="16"/>
          <w:lang w:eastAsia="en-AU"/>
        </w:rPr>
        <w:footnoteReference w:id="10"/>
      </w:r>
      <w:r w:rsidRPr="00457392">
        <w:rPr>
          <w:rFonts w:eastAsia="Cambria"/>
          <w:lang w:eastAsia="en-AU"/>
        </w:rPr>
        <w:t xml:space="preserve"> </w:t>
      </w:r>
    </w:p>
    <w:p w:rsidR="00F016B5" w:rsidRDefault="00F016B5" w:rsidP="00F93A72">
      <w:pPr>
        <w:pStyle w:val="Bulletedtext"/>
        <w:rPr>
          <w:rFonts w:eastAsia="Cambria"/>
          <w:lang w:eastAsia="en-AU"/>
        </w:rPr>
      </w:pPr>
      <w:r>
        <w:rPr>
          <w:rFonts w:eastAsia="Cambria"/>
          <w:lang w:eastAsia="en-AU"/>
        </w:rPr>
        <w:t>t</w:t>
      </w:r>
      <w:r w:rsidRPr="00457392">
        <w:rPr>
          <w:rFonts w:eastAsia="Cambria"/>
          <w:lang w:eastAsia="en-AU"/>
        </w:rPr>
        <w:t xml:space="preserve">hey are assigned to the correct tariff class, but have changed their usage of </w:t>
      </w:r>
      <w:proofErr w:type="spellStart"/>
      <w:r w:rsidRPr="00457392">
        <w:rPr>
          <w:rFonts w:eastAsia="Cambria"/>
          <w:lang w:eastAsia="en-AU"/>
        </w:rPr>
        <w:t>Ausgrid’s</w:t>
      </w:r>
      <w:proofErr w:type="spellEnd"/>
      <w:r w:rsidRPr="00457392">
        <w:rPr>
          <w:rFonts w:eastAsia="Cambria"/>
          <w:lang w:eastAsia="en-AU"/>
        </w:rPr>
        <w:t xml:space="preserve"> electricity network to the extent that they are no longer eligible to remain assigned to their existing network use of system tariff</w:t>
      </w:r>
      <w:r>
        <w:rPr>
          <w:rFonts w:eastAsia="Cambria"/>
          <w:lang w:eastAsia="en-AU"/>
        </w:rPr>
        <w:t>;</w:t>
      </w:r>
      <w:r>
        <w:rPr>
          <w:rStyle w:val="FootnoteReference"/>
          <w:rFonts w:eastAsia="Cambria"/>
          <w:szCs w:val="16"/>
          <w:lang w:eastAsia="en-AU"/>
        </w:rPr>
        <w:footnoteReference w:id="11"/>
      </w:r>
      <w:r>
        <w:rPr>
          <w:rFonts w:eastAsia="Cambria"/>
          <w:lang w:eastAsia="en-AU"/>
        </w:rPr>
        <w:t xml:space="preserve"> or</w:t>
      </w:r>
    </w:p>
    <w:p w:rsidR="00F016B5" w:rsidRDefault="00F016B5" w:rsidP="00F93A72">
      <w:pPr>
        <w:pStyle w:val="Bulletedtext"/>
        <w:rPr>
          <w:rFonts w:eastAsia="Cambria"/>
          <w:lang w:eastAsia="en-AU"/>
        </w:rPr>
      </w:pPr>
      <w:proofErr w:type="gramStart"/>
      <w:r>
        <w:rPr>
          <w:rFonts w:eastAsia="Cambria"/>
          <w:lang w:eastAsia="en-AU"/>
        </w:rPr>
        <w:t>they</w:t>
      </w:r>
      <w:proofErr w:type="gramEnd"/>
      <w:r>
        <w:rPr>
          <w:rFonts w:eastAsia="Cambria"/>
          <w:lang w:eastAsia="en-AU"/>
        </w:rPr>
        <w:t xml:space="preserve"> have changed from a basic accumulation meter to an interval (or better) meter and so are no longer eligible to remain assigned to a non-TOU tariff.</w:t>
      </w:r>
    </w:p>
    <w:p w:rsidR="0073634E" w:rsidRPr="00457392" w:rsidRDefault="0073634E" w:rsidP="00722C30">
      <w:pPr>
        <w:pStyle w:val="Heading3"/>
      </w:pPr>
      <w:r w:rsidRPr="00457392">
        <w:t>Re-assigning existing retail customers to another NUOS tariff within their existing tariff class</w:t>
      </w:r>
    </w:p>
    <w:p w:rsidR="00995400" w:rsidRPr="00722C30" w:rsidRDefault="00B82A37" w:rsidP="00BD7A0B">
      <w:pPr>
        <w:pStyle w:val="BodyText"/>
        <w:rPr>
          <w:rStyle w:val="AERbody"/>
        </w:rPr>
      </w:pPr>
      <w:r w:rsidRPr="00722C30">
        <w:rPr>
          <w:rStyle w:val="AERbody"/>
        </w:rPr>
        <w:t>Where the annual review and assessment undertaken as part of the pricing proposal for FY 2018/19 identifies that an existing customer no longer satisfies the new eligibility cri</w:t>
      </w:r>
      <w:r w:rsidR="002552F5">
        <w:rPr>
          <w:rStyle w:val="AERbody"/>
        </w:rPr>
        <w:t>teria for their existing tariff</w:t>
      </w:r>
      <w:r w:rsidR="00A24396">
        <w:rPr>
          <w:rStyle w:val="AERbody"/>
        </w:rPr>
        <w:t>,</w:t>
      </w:r>
      <w:r w:rsidRPr="00025BDF">
        <w:rPr>
          <w:rStyle w:val="AERbody"/>
          <w:vertAlign w:val="superscript"/>
        </w:rPr>
        <w:footnoteReference w:id="12"/>
      </w:r>
      <w:r w:rsidR="00A24396">
        <w:rPr>
          <w:rStyle w:val="AERbody"/>
        </w:rPr>
        <w:t xml:space="preserve"> </w:t>
      </w:r>
      <w:r w:rsidRPr="00722C30">
        <w:rPr>
          <w:rStyle w:val="AERbody"/>
        </w:rPr>
        <w:t>Ausgrid proposes to re-assign these customers to an applicable transitional network tariff</w:t>
      </w:r>
      <w:r w:rsidR="0026147F" w:rsidRPr="00722C30">
        <w:rPr>
          <w:rStyle w:val="AERbody"/>
        </w:rPr>
        <w:t xml:space="preserve"> on the basis of the nature of their usage (residential or business), type of meter and</w:t>
      </w:r>
      <w:r w:rsidR="00995400" w:rsidRPr="00722C30">
        <w:rPr>
          <w:rStyle w:val="AERbody"/>
        </w:rPr>
        <w:t>/or the</w:t>
      </w:r>
      <w:r w:rsidR="0026147F" w:rsidRPr="00722C30">
        <w:rPr>
          <w:rStyle w:val="AERbody"/>
        </w:rPr>
        <w:t xml:space="preserve"> extent of</w:t>
      </w:r>
      <w:r w:rsidR="00356BDC" w:rsidRPr="00722C30">
        <w:rPr>
          <w:rStyle w:val="AERbody"/>
        </w:rPr>
        <w:t xml:space="preserve"> their</w:t>
      </w:r>
      <w:r w:rsidR="0026147F" w:rsidRPr="00722C30">
        <w:rPr>
          <w:rStyle w:val="AERbody"/>
        </w:rPr>
        <w:t xml:space="preserve"> </w:t>
      </w:r>
      <w:r w:rsidR="00356BDC" w:rsidRPr="00722C30">
        <w:rPr>
          <w:rStyle w:val="AERbody"/>
        </w:rPr>
        <w:t>network usage</w:t>
      </w:r>
      <w:r w:rsidRPr="00722C30">
        <w:rPr>
          <w:rStyle w:val="AERbody"/>
        </w:rPr>
        <w:t>.</w:t>
      </w:r>
    </w:p>
    <w:p w:rsidR="00054017" w:rsidRPr="00F93A72" w:rsidRDefault="00054017" w:rsidP="00054017">
      <w:pPr>
        <w:spacing w:before="120" w:after="240" w:line="240" w:lineRule="exact"/>
        <w:ind w:left="851"/>
        <w:rPr>
          <w:rFonts w:eastAsia="Cambria"/>
          <w:sz w:val="20"/>
          <w:szCs w:val="16"/>
          <w:lang w:val="en-AU" w:eastAsia="en-AU"/>
        </w:rPr>
      </w:pPr>
      <w:r w:rsidRPr="00F93A72">
        <w:rPr>
          <w:sz w:val="20"/>
        </w:rPr>
        <w:t>Key</w:t>
      </w:r>
      <w:r w:rsidRPr="00F93A72">
        <w:rPr>
          <w:rFonts w:eastAsia="Cambria"/>
          <w:sz w:val="20"/>
          <w:szCs w:val="16"/>
          <w:lang w:val="en-AU" w:eastAsia="en-AU"/>
        </w:rPr>
        <w:t xml:space="preserve"> changes to our procedure for reassigning existing retail customers to another network tariff include that, from 1 July 2018:</w:t>
      </w:r>
    </w:p>
    <w:p w:rsidR="00054017" w:rsidRDefault="00054017" w:rsidP="00054017">
      <w:pPr>
        <w:pStyle w:val="Bulletedtext"/>
        <w:rPr>
          <w:rFonts w:eastAsia="Cambria"/>
          <w:lang w:eastAsia="en-AU"/>
        </w:rPr>
      </w:pPr>
      <w:r>
        <w:rPr>
          <w:rFonts w:eastAsia="Cambria"/>
          <w:lang w:eastAsia="en-AU"/>
        </w:rPr>
        <w:t>no existing customers will be reassigned to a non-TOU tariff;</w:t>
      </w:r>
    </w:p>
    <w:p w:rsidR="00054017" w:rsidRDefault="00054017" w:rsidP="00054017">
      <w:pPr>
        <w:pStyle w:val="Bulletedtext"/>
        <w:rPr>
          <w:rFonts w:eastAsia="Cambria"/>
          <w:lang w:eastAsia="en-AU"/>
        </w:rPr>
      </w:pPr>
      <w:proofErr w:type="gramStart"/>
      <w:r>
        <w:rPr>
          <w:rFonts w:eastAsia="Cambria"/>
          <w:lang w:eastAsia="en-AU"/>
        </w:rPr>
        <w:t>existing</w:t>
      </w:r>
      <w:proofErr w:type="gramEnd"/>
      <w:r>
        <w:rPr>
          <w:rFonts w:eastAsia="Cambria"/>
          <w:lang w:eastAsia="en-AU"/>
        </w:rPr>
        <w:t xml:space="preserve"> customers with an interval (or better) meter that are on a non-TOU tariff, will be reassigned to a transitional TOU tariff, with the option to opt-in to a more cost reflective tariff.</w:t>
      </w:r>
    </w:p>
    <w:p w:rsidR="00054017" w:rsidRPr="00F93A72" w:rsidRDefault="00054017" w:rsidP="00F93A72">
      <w:pPr>
        <w:spacing w:before="120" w:after="240" w:line="240" w:lineRule="exact"/>
        <w:ind w:left="851"/>
        <w:rPr>
          <w:rStyle w:val="AERbody"/>
        </w:rPr>
      </w:pPr>
      <w:r w:rsidRPr="00505882">
        <w:rPr>
          <w:rStyle w:val="AERbody"/>
        </w:rPr>
        <w:t>These transitional TOU network tariffs will have the same NUOS energy charge across the peak, shoulder and off-peak periods. This will mitigate potential adverse bill impacts arising from this reassignment, while providing opportunities for customers to un</w:t>
      </w:r>
      <w:r w:rsidRPr="00BD7A0B">
        <w:rPr>
          <w:rStyle w:val="AERbody"/>
        </w:rPr>
        <w:t xml:space="preserve">derstand their energy use patterns. Transitional tariffs are discussed in section </w:t>
      </w:r>
      <w:r w:rsidRPr="001659D8">
        <w:rPr>
          <w:rStyle w:val="AERbody"/>
        </w:rPr>
        <w:fldChar w:fldCharType="begin"/>
      </w:r>
      <w:r w:rsidRPr="00F93A72">
        <w:rPr>
          <w:rStyle w:val="AERbody"/>
        </w:rPr>
        <w:instrText xml:space="preserve"> REF _Ref462143792 \r \h  \* MERGEFORMAT </w:instrText>
      </w:r>
      <w:r w:rsidRPr="001659D8">
        <w:rPr>
          <w:rStyle w:val="AERbody"/>
        </w:rPr>
      </w:r>
      <w:r w:rsidRPr="001659D8">
        <w:rPr>
          <w:rStyle w:val="AERbody"/>
        </w:rPr>
        <w:fldChar w:fldCharType="separate"/>
      </w:r>
      <w:r w:rsidR="00BE0834">
        <w:rPr>
          <w:rStyle w:val="AERbody"/>
        </w:rPr>
        <w:t>8.3.6</w:t>
      </w:r>
      <w:r w:rsidRPr="001659D8">
        <w:rPr>
          <w:rStyle w:val="AERbody"/>
        </w:rPr>
        <w:fldChar w:fldCharType="end"/>
      </w:r>
      <w:r w:rsidRPr="00DC68FA">
        <w:rPr>
          <w:rStyle w:val="AERbody"/>
        </w:rPr>
        <w:t>.</w:t>
      </w:r>
    </w:p>
    <w:p w:rsidR="00054017" w:rsidRPr="00722C30" w:rsidRDefault="00995400" w:rsidP="00BD7A0B">
      <w:pPr>
        <w:pStyle w:val="BodyText"/>
        <w:rPr>
          <w:rStyle w:val="AERbody"/>
          <w:rFonts w:cs="Times New Roman"/>
          <w:noProof w:val="0"/>
          <w:szCs w:val="24"/>
          <w:lang w:val="en-US" w:eastAsia="en-US"/>
        </w:rPr>
      </w:pPr>
      <w:r w:rsidRPr="00054017">
        <w:rPr>
          <w:rStyle w:val="AERbody"/>
        </w:rPr>
        <w:t xml:space="preserve">A summary of the reassignment procedure applying to customers </w:t>
      </w:r>
      <w:r w:rsidR="009E5FD9">
        <w:rPr>
          <w:rStyle w:val="AERbody"/>
        </w:rPr>
        <w:t xml:space="preserve">in </w:t>
      </w:r>
      <w:r w:rsidR="00D0678A">
        <w:rPr>
          <w:rStyle w:val="AERbody"/>
        </w:rPr>
        <w:t xml:space="preserve">different </w:t>
      </w:r>
      <w:r w:rsidR="009E5FD9">
        <w:rPr>
          <w:rStyle w:val="AERbody"/>
        </w:rPr>
        <w:t xml:space="preserve">circumstances </w:t>
      </w:r>
      <w:r w:rsidRPr="00054017">
        <w:rPr>
          <w:rStyle w:val="AERbody"/>
        </w:rPr>
        <w:t>is included at the end of this section. However, we address a few particular scenarios below so as to provide clarity to our customers.</w:t>
      </w:r>
    </w:p>
    <w:p w:rsidR="00440119" w:rsidRPr="0068721E" w:rsidRDefault="00440119">
      <w:pPr>
        <w:pStyle w:val="Heading4"/>
      </w:pPr>
      <w:r w:rsidRPr="0068721E">
        <w:t xml:space="preserve">Existing customer with a basic accumulation meter </w:t>
      </w:r>
    </w:p>
    <w:p w:rsidR="00440119" w:rsidRPr="00722C30" w:rsidRDefault="00440119" w:rsidP="00BD7A0B">
      <w:pPr>
        <w:pStyle w:val="BodyText"/>
        <w:rPr>
          <w:rStyle w:val="AERbody"/>
        </w:rPr>
      </w:pPr>
      <w:r w:rsidRPr="00722C30">
        <w:rPr>
          <w:rStyle w:val="AERbody"/>
        </w:rPr>
        <w:t xml:space="preserve">At present, an existing residential or small business customer with a basic accumulation meter will have been assigned to the flat-rate tariff, ie: </w:t>
      </w:r>
    </w:p>
    <w:p w:rsidR="00440119" w:rsidRDefault="00440119" w:rsidP="00722C30">
      <w:pPr>
        <w:pStyle w:val="Bulletedtext"/>
      </w:pPr>
      <w:r w:rsidRPr="0068721E">
        <w:rPr>
          <w:rFonts w:eastAsia="Cambria"/>
          <w:szCs w:val="16"/>
          <w:lang w:eastAsia="en-AU"/>
        </w:rPr>
        <w:t>EA010</w:t>
      </w:r>
      <w:r>
        <w:t xml:space="preserve"> for residential customers; and  </w:t>
      </w:r>
    </w:p>
    <w:p w:rsidR="00440119" w:rsidRPr="0068721E" w:rsidRDefault="00440119" w:rsidP="00722C30">
      <w:pPr>
        <w:pStyle w:val="Bulletedtext"/>
      </w:pPr>
      <w:r>
        <w:rPr>
          <w:rFonts w:eastAsia="Cambria"/>
          <w:szCs w:val="16"/>
          <w:lang w:eastAsia="en-AU"/>
        </w:rPr>
        <w:t>EA050 for small business customers.</w:t>
      </w:r>
    </w:p>
    <w:p w:rsidR="009E5FD9" w:rsidRDefault="00440119" w:rsidP="00F93A72">
      <w:pPr>
        <w:pStyle w:val="BodyText"/>
        <w:rPr>
          <w:rStyle w:val="AERbody"/>
        </w:rPr>
      </w:pPr>
      <w:r w:rsidRPr="00722C30">
        <w:rPr>
          <w:rStyle w:val="AERbody"/>
        </w:rPr>
        <w:t>Since their metering technology prevents the reassignment of these customers to a more cost reflective tariff, they will remain assigned to their current tariff</w:t>
      </w:r>
      <w:r w:rsidR="00025324" w:rsidRPr="00722C30">
        <w:rPr>
          <w:rStyle w:val="AERbody"/>
        </w:rPr>
        <w:t xml:space="preserve"> from 1 July 2018</w:t>
      </w:r>
      <w:r w:rsidRPr="00722C30">
        <w:rPr>
          <w:rStyle w:val="AERbody"/>
        </w:rPr>
        <w:t xml:space="preserve">, unless they change their meter. </w:t>
      </w:r>
    </w:p>
    <w:p w:rsidR="00490DAD" w:rsidRDefault="00490DAD" w:rsidP="00F93A72">
      <w:pPr>
        <w:pStyle w:val="BodyText"/>
        <w:rPr>
          <w:color w:val="0065A6"/>
          <w:szCs w:val="22"/>
        </w:rPr>
      </w:pPr>
    </w:p>
    <w:p w:rsidR="00440119" w:rsidRPr="0068721E" w:rsidRDefault="00440119">
      <w:pPr>
        <w:pStyle w:val="Heading4"/>
      </w:pPr>
      <w:r w:rsidRPr="0068721E">
        <w:t>Existing customer with a basic accumulation meter that changes to an interval (or better) meter</w:t>
      </w:r>
      <w:r w:rsidR="00025324">
        <w:t xml:space="preserve"> </w:t>
      </w:r>
    </w:p>
    <w:p w:rsidR="00440119" w:rsidRPr="00722C30" w:rsidRDefault="00440119" w:rsidP="00BD7A0B">
      <w:pPr>
        <w:pStyle w:val="BodyText"/>
        <w:rPr>
          <w:rStyle w:val="AERbody"/>
          <w:lang w:val="en-US" w:eastAsia="en-US"/>
        </w:rPr>
      </w:pPr>
      <w:r w:rsidRPr="00722C30">
        <w:rPr>
          <w:rStyle w:val="AERbody"/>
          <w:lang w:val="en-US" w:eastAsia="en-US"/>
        </w:rPr>
        <w:t xml:space="preserve">An existing customer with a basic accumulation meter will have previously been assigned to a flat-rate tariff. If an existing customer with a basic accumulation meter changes their meter to a interval (or better) </w:t>
      </w:r>
      <w:r w:rsidR="002A7C31" w:rsidRPr="00722C30">
        <w:rPr>
          <w:rStyle w:val="AERbody"/>
          <w:lang w:val="en-US" w:eastAsia="en-US"/>
        </w:rPr>
        <w:t xml:space="preserve">meter – say due to the AEMC metering rule change – </w:t>
      </w:r>
      <w:r w:rsidRPr="00722C30">
        <w:rPr>
          <w:rStyle w:val="AERbody"/>
          <w:lang w:val="en-US" w:eastAsia="en-US"/>
        </w:rPr>
        <w:t xml:space="preserve"> </w:t>
      </w:r>
      <w:r w:rsidR="00995400" w:rsidRPr="00722C30">
        <w:rPr>
          <w:rStyle w:val="AERbody"/>
          <w:lang w:val="en-US" w:eastAsia="en-US"/>
        </w:rPr>
        <w:t xml:space="preserve">from 1 July 2018 </w:t>
      </w:r>
      <w:r w:rsidRPr="00722C30">
        <w:rPr>
          <w:rStyle w:val="AERbody"/>
          <w:lang w:val="en-US" w:eastAsia="en-US"/>
        </w:rPr>
        <w:t>they will be reassigned to a transitional TOU tariff, ie:</w:t>
      </w:r>
    </w:p>
    <w:p w:rsidR="00440119" w:rsidRDefault="00440119" w:rsidP="00722C30">
      <w:pPr>
        <w:pStyle w:val="Bulletedtext"/>
      </w:pPr>
      <w:r w:rsidRPr="006E6343">
        <w:rPr>
          <w:rFonts w:eastAsia="Cambria"/>
          <w:szCs w:val="16"/>
          <w:lang w:eastAsia="en-AU"/>
        </w:rPr>
        <w:t>EA</w:t>
      </w:r>
      <w:r>
        <w:rPr>
          <w:rFonts w:eastAsia="Cambria"/>
          <w:szCs w:val="16"/>
          <w:lang w:eastAsia="en-AU"/>
        </w:rPr>
        <w:t>332</w:t>
      </w:r>
      <w:r>
        <w:t xml:space="preserve"> for residential customers; and  </w:t>
      </w:r>
    </w:p>
    <w:p w:rsidR="00440119" w:rsidRPr="006E6343" w:rsidRDefault="00440119" w:rsidP="00722C30">
      <w:pPr>
        <w:pStyle w:val="Bulletedtext"/>
      </w:pPr>
      <w:r>
        <w:rPr>
          <w:rFonts w:eastAsia="Cambria"/>
          <w:szCs w:val="16"/>
          <w:lang w:eastAsia="en-AU"/>
        </w:rPr>
        <w:t>EA333 for small business customers.</w:t>
      </w:r>
    </w:p>
    <w:p w:rsidR="002A7C31" w:rsidRPr="00722C30" w:rsidRDefault="009E5FD9" w:rsidP="00BD7A0B">
      <w:pPr>
        <w:pStyle w:val="BodyText"/>
        <w:rPr>
          <w:rStyle w:val="AERbody"/>
          <w:lang w:val="en-US" w:eastAsia="en-US"/>
        </w:rPr>
      </w:pPr>
      <w:r>
        <w:rPr>
          <w:rStyle w:val="AERbody"/>
        </w:rPr>
        <w:t>T</w:t>
      </w:r>
      <w:r w:rsidR="002A7C31" w:rsidRPr="00722C30">
        <w:rPr>
          <w:rStyle w:val="AERbody"/>
        </w:rPr>
        <w:t>hese transitional TOU network tariffs will have the same NUOS energy charge across the peak, shoulder and off-peak periods. This will mitigate potential adverse bill impacts arising from th</w:t>
      </w:r>
      <w:r w:rsidR="00995400" w:rsidRPr="00722C30">
        <w:rPr>
          <w:rStyle w:val="AERbody"/>
        </w:rPr>
        <w:t>is</w:t>
      </w:r>
      <w:r w:rsidR="002A7C31" w:rsidRPr="00722C30">
        <w:rPr>
          <w:rStyle w:val="AERbody"/>
        </w:rPr>
        <w:t xml:space="preserve"> reassignment, while providing opportunities for customers to understand their energy use patterns. </w:t>
      </w:r>
      <w:r w:rsidR="00440119" w:rsidRPr="00722C30">
        <w:rPr>
          <w:rStyle w:val="AERbody"/>
          <w:lang w:val="en-US" w:eastAsia="en-US"/>
        </w:rPr>
        <w:t xml:space="preserve">Transitional tariffs are discussed in </w:t>
      </w:r>
      <w:r w:rsidR="002A7C31" w:rsidRPr="00722C30">
        <w:rPr>
          <w:rStyle w:val="AERbody"/>
          <w:lang w:val="en-US" w:eastAsia="en-US"/>
        </w:rPr>
        <w:t xml:space="preserve">section </w:t>
      </w:r>
      <w:r w:rsidR="002A7C31" w:rsidRPr="00722C30">
        <w:rPr>
          <w:rStyle w:val="AERbody"/>
          <w:lang w:val="en-US" w:eastAsia="en-US"/>
        </w:rPr>
        <w:fldChar w:fldCharType="begin"/>
      </w:r>
      <w:r w:rsidR="002A7C31" w:rsidRPr="00722C30">
        <w:rPr>
          <w:rStyle w:val="AERbody"/>
          <w:lang w:val="en-US" w:eastAsia="en-US"/>
        </w:rPr>
        <w:instrText xml:space="preserve"> REF _Ref462143792 \r \h </w:instrText>
      </w:r>
      <w:r w:rsidR="002A7C31" w:rsidRPr="00722C30">
        <w:rPr>
          <w:rStyle w:val="AERbody"/>
          <w:lang w:val="en-US" w:eastAsia="en-US"/>
        </w:rPr>
      </w:r>
      <w:r w:rsidR="002A7C31" w:rsidRPr="00722C30">
        <w:rPr>
          <w:rStyle w:val="AERbody"/>
          <w:lang w:val="en-US" w:eastAsia="en-US"/>
        </w:rPr>
        <w:fldChar w:fldCharType="separate"/>
      </w:r>
      <w:r w:rsidR="00BE0834">
        <w:rPr>
          <w:rStyle w:val="AERbody"/>
          <w:lang w:val="en-US" w:eastAsia="en-US"/>
        </w:rPr>
        <w:t>8.3.6</w:t>
      </w:r>
      <w:r w:rsidR="002A7C31" w:rsidRPr="00722C30">
        <w:rPr>
          <w:rStyle w:val="AERbody"/>
          <w:lang w:val="en-US" w:eastAsia="en-US"/>
        </w:rPr>
        <w:fldChar w:fldCharType="end"/>
      </w:r>
      <w:r w:rsidR="002A7C31" w:rsidRPr="00722C30">
        <w:rPr>
          <w:rStyle w:val="AERbody"/>
          <w:lang w:val="en-US" w:eastAsia="en-US"/>
        </w:rPr>
        <w:t xml:space="preserve">. </w:t>
      </w:r>
    </w:p>
    <w:p w:rsidR="00440119" w:rsidRPr="00722C30" w:rsidRDefault="002A7C31" w:rsidP="007D0321">
      <w:pPr>
        <w:pStyle w:val="BodyText"/>
        <w:rPr>
          <w:rStyle w:val="AERbody"/>
          <w:lang w:val="en-US" w:eastAsia="en-US"/>
        </w:rPr>
      </w:pPr>
      <w:r w:rsidRPr="00722C30">
        <w:rPr>
          <w:rStyle w:val="AERbody"/>
          <w:lang w:val="en-US" w:eastAsia="en-US"/>
        </w:rPr>
        <w:t>Importantly, these customers will have the option to opt-in to a more cost reflective TOU tariff, ie:</w:t>
      </w:r>
    </w:p>
    <w:p w:rsidR="002A7C31" w:rsidRDefault="002A7C31" w:rsidP="00722C30">
      <w:pPr>
        <w:pStyle w:val="Bulletedtext"/>
      </w:pPr>
      <w:r w:rsidRPr="006E6343">
        <w:rPr>
          <w:rFonts w:eastAsia="Cambria"/>
          <w:szCs w:val="16"/>
          <w:lang w:eastAsia="en-AU"/>
        </w:rPr>
        <w:t>EA</w:t>
      </w:r>
      <w:r>
        <w:rPr>
          <w:rFonts w:eastAsia="Cambria"/>
          <w:szCs w:val="16"/>
          <w:lang w:eastAsia="en-AU"/>
        </w:rPr>
        <w:t>025</w:t>
      </w:r>
      <w:r>
        <w:t xml:space="preserve"> for residential customers; and  </w:t>
      </w:r>
    </w:p>
    <w:p w:rsidR="00440119" w:rsidRPr="002A7C31" w:rsidRDefault="002A7C31" w:rsidP="00722C30">
      <w:pPr>
        <w:pStyle w:val="Bulletedtext"/>
      </w:pPr>
      <w:r>
        <w:rPr>
          <w:rFonts w:eastAsia="Cambria"/>
          <w:szCs w:val="16"/>
          <w:lang w:eastAsia="en-AU"/>
        </w:rPr>
        <w:t>EA225 for small business customers.</w:t>
      </w:r>
    </w:p>
    <w:p w:rsidR="00440119" w:rsidRPr="0068721E" w:rsidRDefault="00440119">
      <w:pPr>
        <w:pStyle w:val="Heading4"/>
      </w:pPr>
      <w:r w:rsidRPr="0068721E">
        <w:t xml:space="preserve">Existing customer with an interval </w:t>
      </w:r>
      <w:r w:rsidR="002A7C31" w:rsidRPr="0068721E">
        <w:t>(</w:t>
      </w:r>
      <w:r w:rsidRPr="0068721E">
        <w:t>or better</w:t>
      </w:r>
      <w:r w:rsidR="002A7C31" w:rsidRPr="0068721E">
        <w:t>)</w:t>
      </w:r>
      <w:r w:rsidRPr="0068721E">
        <w:t xml:space="preserve"> meter</w:t>
      </w:r>
      <w:r w:rsidR="002A7C31" w:rsidRPr="0068721E">
        <w:t xml:space="preserve"> on a non-TOU tariff </w:t>
      </w:r>
    </w:p>
    <w:p w:rsidR="0026147F" w:rsidRPr="00722C30" w:rsidRDefault="0026147F" w:rsidP="00BD7A0B">
      <w:pPr>
        <w:pStyle w:val="BodyText"/>
        <w:rPr>
          <w:rStyle w:val="AERbody"/>
        </w:rPr>
      </w:pPr>
      <w:r w:rsidRPr="00722C30">
        <w:rPr>
          <w:rStyle w:val="AERbody"/>
        </w:rPr>
        <w:t xml:space="preserve">Ausgrid has a number of existing residential and small business customers with interval meters that are currently assigned to non-TOU network tariffs. </w:t>
      </w:r>
      <w:r w:rsidR="00995400" w:rsidRPr="00722C30">
        <w:rPr>
          <w:rStyle w:val="AERbody"/>
        </w:rPr>
        <w:t>Since</w:t>
      </w:r>
      <w:r w:rsidRPr="00722C30">
        <w:rPr>
          <w:rStyle w:val="AERbody"/>
        </w:rPr>
        <w:t xml:space="preserve"> metering technology does not restrict these customers from being assigned to a TOU tariff, Ausgrid considers that these customer should begin the transition to a more cost reflective TOU tariff. </w:t>
      </w:r>
    </w:p>
    <w:p w:rsidR="002A7C31" w:rsidRPr="00722C30" w:rsidRDefault="002A7C31" w:rsidP="007D0321">
      <w:pPr>
        <w:pStyle w:val="BodyText"/>
        <w:rPr>
          <w:rStyle w:val="AERbody"/>
        </w:rPr>
      </w:pPr>
      <w:r w:rsidRPr="00722C30">
        <w:rPr>
          <w:rStyle w:val="AERbody"/>
        </w:rPr>
        <w:t xml:space="preserve">From 1 July 2018, Ausgrid will reassign existing customers with an interval </w:t>
      </w:r>
      <w:r w:rsidR="009E5FD9">
        <w:rPr>
          <w:rStyle w:val="AERbody"/>
        </w:rPr>
        <w:t xml:space="preserve">(or better) </w:t>
      </w:r>
      <w:r w:rsidRPr="00722C30">
        <w:rPr>
          <w:rStyle w:val="AERbody"/>
        </w:rPr>
        <w:t>meter</w:t>
      </w:r>
      <w:r w:rsidR="009E5FD9">
        <w:rPr>
          <w:rStyle w:val="AERbody"/>
        </w:rPr>
        <w:t>,</w:t>
      </w:r>
      <w:r w:rsidRPr="00722C30">
        <w:rPr>
          <w:rStyle w:val="AERbody"/>
        </w:rPr>
        <w:t xml:space="preserve"> that are on a non-TOU tariff</w:t>
      </w:r>
      <w:r w:rsidR="009E5FD9">
        <w:rPr>
          <w:rStyle w:val="AERbody"/>
        </w:rPr>
        <w:t>,</w:t>
      </w:r>
      <w:r w:rsidRPr="00722C30">
        <w:rPr>
          <w:rStyle w:val="AERbody"/>
        </w:rPr>
        <w:t xml:space="preserve"> to a transitional TOU tariff, ie:</w:t>
      </w:r>
    </w:p>
    <w:p w:rsidR="002A7C31" w:rsidRDefault="002A7C31" w:rsidP="00722C30">
      <w:pPr>
        <w:pStyle w:val="Bulletedtext"/>
      </w:pPr>
      <w:r w:rsidRPr="006E6343">
        <w:rPr>
          <w:rFonts w:eastAsia="Cambria"/>
          <w:szCs w:val="16"/>
          <w:lang w:eastAsia="en-AU"/>
        </w:rPr>
        <w:t>EA</w:t>
      </w:r>
      <w:r>
        <w:rPr>
          <w:rFonts w:eastAsia="Cambria"/>
          <w:szCs w:val="16"/>
          <w:lang w:eastAsia="en-AU"/>
        </w:rPr>
        <w:t>332</w:t>
      </w:r>
      <w:r>
        <w:t xml:space="preserve"> for residential customers; and  </w:t>
      </w:r>
    </w:p>
    <w:p w:rsidR="002A7C31" w:rsidRPr="006E6343" w:rsidRDefault="002A7C31" w:rsidP="00722C30">
      <w:pPr>
        <w:pStyle w:val="Bulletedtext"/>
      </w:pPr>
      <w:r>
        <w:rPr>
          <w:rFonts w:eastAsia="Cambria"/>
          <w:szCs w:val="16"/>
          <w:lang w:eastAsia="en-AU"/>
        </w:rPr>
        <w:t>EA333 for small business customers.</w:t>
      </w:r>
    </w:p>
    <w:p w:rsidR="002A7C31" w:rsidRPr="00722C30" w:rsidRDefault="002A7C31" w:rsidP="00BD7A0B">
      <w:pPr>
        <w:pStyle w:val="BodyText"/>
        <w:rPr>
          <w:rStyle w:val="AERbody"/>
        </w:rPr>
      </w:pPr>
      <w:r w:rsidRPr="00722C30">
        <w:rPr>
          <w:rStyle w:val="AERbody"/>
        </w:rPr>
        <w:t xml:space="preserve">These customers will have the option to opt-in to a more cost reflective TOU tariff, ie, </w:t>
      </w:r>
    </w:p>
    <w:p w:rsidR="002A7C31" w:rsidRDefault="002A7C31" w:rsidP="00722C30">
      <w:pPr>
        <w:pStyle w:val="Bulletedtext"/>
      </w:pPr>
      <w:r w:rsidRPr="006E6343">
        <w:rPr>
          <w:rFonts w:eastAsia="Cambria"/>
          <w:szCs w:val="16"/>
          <w:lang w:eastAsia="en-AU"/>
        </w:rPr>
        <w:t>EA</w:t>
      </w:r>
      <w:r>
        <w:rPr>
          <w:rFonts w:eastAsia="Cambria"/>
          <w:szCs w:val="16"/>
          <w:lang w:eastAsia="en-AU"/>
        </w:rPr>
        <w:t>025</w:t>
      </w:r>
      <w:r>
        <w:t xml:space="preserve"> for residential customers; and  </w:t>
      </w:r>
    </w:p>
    <w:p w:rsidR="002A7C31" w:rsidRDefault="002A7C31" w:rsidP="00722C30">
      <w:pPr>
        <w:pStyle w:val="Bulletedtext"/>
      </w:pPr>
      <w:r>
        <w:rPr>
          <w:rFonts w:eastAsia="Cambria"/>
          <w:szCs w:val="16"/>
          <w:lang w:eastAsia="en-AU"/>
        </w:rPr>
        <w:t>EA225 for small business customers.</w:t>
      </w:r>
    </w:p>
    <w:p w:rsidR="002A7C31" w:rsidRPr="0068721E" w:rsidRDefault="002A7C31">
      <w:pPr>
        <w:pStyle w:val="Heading4"/>
      </w:pPr>
      <w:r w:rsidRPr="0068721E">
        <w:t>Existing customer with an interval (or better) meter on a TOU tariff</w:t>
      </w:r>
      <w:r w:rsidR="00025324">
        <w:t xml:space="preserve"> or a TOU Capacity tariff</w:t>
      </w:r>
      <w:r w:rsidRPr="0068721E">
        <w:t xml:space="preserve"> </w:t>
      </w:r>
    </w:p>
    <w:p w:rsidR="002A7C31" w:rsidRPr="00722C30" w:rsidRDefault="002A7C31" w:rsidP="00BD7A0B">
      <w:pPr>
        <w:pStyle w:val="BodyText"/>
        <w:rPr>
          <w:rStyle w:val="AERbody"/>
        </w:rPr>
      </w:pPr>
      <w:r w:rsidRPr="00722C30">
        <w:rPr>
          <w:rStyle w:val="AERbody"/>
        </w:rPr>
        <w:t>These customers will remain assigned to their existing TOU tariff</w:t>
      </w:r>
      <w:r w:rsidR="00625EA0" w:rsidRPr="00722C30">
        <w:rPr>
          <w:rStyle w:val="AERbody"/>
        </w:rPr>
        <w:t xml:space="preserve">, unless they change their </w:t>
      </w:r>
      <w:r w:rsidR="00625EA0" w:rsidRPr="00722C30">
        <w:rPr>
          <w:rStyle w:val="AERbody"/>
          <w:szCs w:val="24"/>
          <w:lang w:val="en-US" w:eastAsia="en-US"/>
        </w:rPr>
        <w:t>voltage level of supply such that they are no longer eligible to remain assigned to their existing tariff class or they change their usage of the network such that they are no longer eligible to remain assigned to their existing tariff</w:t>
      </w:r>
      <w:r w:rsidRPr="00722C30">
        <w:rPr>
          <w:rStyle w:val="AERbody"/>
        </w:rPr>
        <w:t xml:space="preserve">. </w:t>
      </w:r>
    </w:p>
    <w:p w:rsidR="002A7C31" w:rsidRDefault="002A7C31">
      <w:pPr>
        <w:pStyle w:val="Heading4"/>
      </w:pPr>
      <w:r w:rsidRPr="0068721E">
        <w:t>Summary</w:t>
      </w:r>
      <w:r w:rsidR="00025324">
        <w:t xml:space="preserve"> </w:t>
      </w:r>
    </w:p>
    <w:p w:rsidR="004E75FD" w:rsidRPr="00D62263" w:rsidRDefault="009E5FD9" w:rsidP="00BD7A0B">
      <w:pPr>
        <w:pStyle w:val="BodyText"/>
        <w:rPr>
          <w:rStyle w:val="AERbody"/>
        </w:rPr>
      </w:pPr>
      <w:r>
        <w:rPr>
          <w:rStyle w:val="AERbody"/>
        </w:rPr>
        <w:fldChar w:fldCharType="begin"/>
      </w:r>
      <w:r>
        <w:rPr>
          <w:rStyle w:val="AERbody"/>
        </w:rPr>
        <w:instrText xml:space="preserve"> REF _Ref462919621 \h </w:instrText>
      </w:r>
      <w:r>
        <w:rPr>
          <w:rStyle w:val="AERbody"/>
        </w:rPr>
      </w:r>
      <w:r>
        <w:rPr>
          <w:rStyle w:val="AERbody"/>
        </w:rPr>
        <w:fldChar w:fldCharType="separate"/>
      </w:r>
      <w:r w:rsidR="00BE0834" w:rsidRPr="000C43BC">
        <w:t xml:space="preserve">Table </w:t>
      </w:r>
      <w:r w:rsidR="00BE0834">
        <w:t>5</w:t>
      </w:r>
      <w:r>
        <w:rPr>
          <w:rStyle w:val="AERbody"/>
        </w:rPr>
        <w:fldChar w:fldCharType="end"/>
      </w:r>
      <w:r>
        <w:rPr>
          <w:rStyle w:val="AERbody"/>
        </w:rPr>
        <w:t xml:space="preserve"> </w:t>
      </w:r>
      <w:r w:rsidR="004E75FD" w:rsidRPr="00D62263">
        <w:rPr>
          <w:rStyle w:val="AERbody"/>
        </w:rPr>
        <w:t xml:space="preserve">on the following page describes the tariff assignment and reassignment for low voltage (230V/400V) customers. </w:t>
      </w:r>
    </w:p>
    <w:p w:rsidR="00BC01C6" w:rsidRDefault="004E75FD" w:rsidP="00F93A72">
      <w:pPr>
        <w:pStyle w:val="BodyText"/>
        <w:sectPr w:rsidR="00BC01C6" w:rsidSect="00B52323">
          <w:footerReference w:type="default" r:id="rId25"/>
          <w:pgSz w:w="11907" w:h="16840" w:code="9"/>
          <w:pgMar w:top="1440" w:right="1134" w:bottom="1440" w:left="1440" w:header="431" w:footer="431" w:gutter="0"/>
          <w:cols w:space="720"/>
        </w:sectPr>
      </w:pPr>
      <w:r w:rsidRPr="00D62263">
        <w:rPr>
          <w:rStyle w:val="AERbody"/>
        </w:rPr>
        <w:t xml:space="preserve">Should a customer’s circumstances change – say due to upgrading their meter – they can determine the tariff that will apply to them from 1 July 2018, and the options available to them, by identifying the scenario (or row) with the </w:t>
      </w:r>
      <w:r w:rsidR="009E5FD9">
        <w:rPr>
          <w:rStyle w:val="AERbody"/>
        </w:rPr>
        <w:t>‘</w:t>
      </w:r>
      <w:r w:rsidRPr="00D62263">
        <w:rPr>
          <w:rStyle w:val="AERbody"/>
        </w:rPr>
        <w:t>customer type</w:t>
      </w:r>
      <w:r w:rsidR="009E5FD9">
        <w:rPr>
          <w:rStyle w:val="AERbody"/>
        </w:rPr>
        <w:t>’</w:t>
      </w:r>
      <w:r w:rsidRPr="00D62263">
        <w:rPr>
          <w:rStyle w:val="AERbody"/>
        </w:rPr>
        <w:t>/</w:t>
      </w:r>
      <w:r w:rsidR="009E5FD9">
        <w:rPr>
          <w:rStyle w:val="AERbody"/>
        </w:rPr>
        <w:t>’</w:t>
      </w:r>
      <w:r w:rsidRPr="00D62263">
        <w:rPr>
          <w:rStyle w:val="AERbody"/>
        </w:rPr>
        <w:t>meter type</w:t>
      </w:r>
      <w:r w:rsidR="009E5FD9">
        <w:rPr>
          <w:rStyle w:val="AERbody"/>
        </w:rPr>
        <w:t>’</w:t>
      </w:r>
      <w:r w:rsidRPr="00D62263">
        <w:rPr>
          <w:rStyle w:val="AERbody"/>
        </w:rPr>
        <w:t>/</w:t>
      </w:r>
      <w:r w:rsidR="009E5FD9">
        <w:rPr>
          <w:rStyle w:val="AERbody"/>
        </w:rPr>
        <w:t>’</w:t>
      </w:r>
      <w:r w:rsidRPr="00D62263">
        <w:rPr>
          <w:rStyle w:val="AERbody"/>
        </w:rPr>
        <w:t>existing tariff</w:t>
      </w:r>
      <w:r w:rsidR="009E5FD9">
        <w:rPr>
          <w:rStyle w:val="AERbody"/>
        </w:rPr>
        <w:t>’</w:t>
      </w:r>
      <w:r w:rsidRPr="00D62263">
        <w:rPr>
          <w:rStyle w:val="AERbody"/>
        </w:rPr>
        <w:t xml:space="preserve"> combination that reflects their particular circumstances.</w:t>
      </w:r>
    </w:p>
    <w:p w:rsidR="00BC01C6" w:rsidRPr="000C43BC" w:rsidRDefault="00BC01C6" w:rsidP="00722C30">
      <w:pPr>
        <w:pStyle w:val="Caption"/>
      </w:pPr>
      <w:bookmarkStart w:id="370" w:name="_Ref462919621"/>
      <w:r w:rsidRPr="000C43BC">
        <w:lastRenderedPageBreak/>
        <w:t xml:space="preserve">Table </w:t>
      </w:r>
      <w:r w:rsidR="000178E9" w:rsidRPr="00722C30">
        <w:fldChar w:fldCharType="begin"/>
      </w:r>
      <w:r w:rsidR="000178E9" w:rsidRPr="000C43BC">
        <w:instrText xml:space="preserve"> SEQ Table \* ARABIC </w:instrText>
      </w:r>
      <w:r w:rsidR="000178E9" w:rsidRPr="00722C30">
        <w:fldChar w:fldCharType="separate"/>
      </w:r>
      <w:r w:rsidR="00BE0834">
        <w:rPr>
          <w:noProof/>
        </w:rPr>
        <w:t>5</w:t>
      </w:r>
      <w:r w:rsidR="000178E9" w:rsidRPr="00722C30">
        <w:fldChar w:fldCharType="end"/>
      </w:r>
      <w:bookmarkEnd w:id="370"/>
      <w:r w:rsidRPr="000C43BC">
        <w:t xml:space="preserve"> </w:t>
      </w:r>
      <w:r w:rsidRPr="000C43BC">
        <w:rPr>
          <w:rFonts w:hint="eastAsia"/>
        </w:rPr>
        <w:t>–</w:t>
      </w:r>
      <w:r w:rsidRPr="000C43BC">
        <w:t xml:space="preserve"> Tariff assignment and reassignment for low voltage customers from 1 July 2018</w:t>
      </w:r>
      <w:r w:rsidR="00025324" w:rsidRPr="000C43BC">
        <w:t xml:space="preserve"> </w:t>
      </w:r>
      <w:r w:rsidR="00025324" w:rsidRPr="000C43BC">
        <w:rPr>
          <w:rFonts w:hint="eastAsia"/>
        </w:rPr>
        <w:t>–</w:t>
      </w:r>
      <w:r w:rsidR="00025324" w:rsidRPr="000C43BC">
        <w:t xml:space="preserve"> Select appropriate scenario to identify default tariff</w:t>
      </w:r>
    </w:p>
    <w:tbl>
      <w:tblPr>
        <w:tblW w:w="13907" w:type="dxa"/>
        <w:tblInd w:w="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08"/>
        <w:gridCol w:w="1559"/>
        <w:gridCol w:w="1559"/>
        <w:gridCol w:w="1418"/>
        <w:gridCol w:w="1417"/>
        <w:gridCol w:w="3544"/>
        <w:gridCol w:w="3402"/>
      </w:tblGrid>
      <w:tr w:rsidR="00BC01C6" w:rsidRPr="00BC01C6" w:rsidTr="00722C30">
        <w:trPr>
          <w:trHeight w:val="510"/>
        </w:trPr>
        <w:tc>
          <w:tcPr>
            <w:tcW w:w="1008" w:type="dxa"/>
            <w:shd w:val="clear" w:color="auto" w:fill="0065A6"/>
            <w:vAlign w:val="center"/>
            <w:hideMark/>
          </w:tcPr>
          <w:p w:rsidR="00BC01C6" w:rsidRPr="0068721E" w:rsidRDefault="00BC01C6" w:rsidP="00722C30">
            <w:pPr>
              <w:spacing w:after="0" w:line="220" w:lineRule="exact"/>
              <w:jc w:val="center"/>
              <w:rPr>
                <w:rFonts w:cs="Arial"/>
                <w:b/>
                <w:bCs/>
                <w:color w:val="FFFFFF"/>
                <w:sz w:val="16"/>
                <w:szCs w:val="16"/>
                <w:lang w:val="en-AU" w:eastAsia="en-AU"/>
              </w:rPr>
            </w:pPr>
            <w:r>
              <w:rPr>
                <w:rFonts w:cs="Arial"/>
                <w:b/>
                <w:bCs/>
                <w:color w:val="FFFFFF"/>
                <w:sz w:val="16"/>
                <w:szCs w:val="16"/>
                <w:lang w:val="en-AU" w:eastAsia="en-AU"/>
              </w:rPr>
              <w:t>Scenario</w:t>
            </w:r>
          </w:p>
        </w:tc>
        <w:tc>
          <w:tcPr>
            <w:tcW w:w="1559" w:type="dxa"/>
            <w:shd w:val="clear" w:color="auto" w:fill="0065A6"/>
            <w:vAlign w:val="center"/>
            <w:hideMark/>
          </w:tcPr>
          <w:p w:rsidR="00BC01C6" w:rsidRPr="0068721E" w:rsidRDefault="00BC01C6" w:rsidP="00722C30">
            <w:pPr>
              <w:spacing w:after="0" w:line="220" w:lineRule="exact"/>
              <w:jc w:val="center"/>
              <w:rPr>
                <w:rFonts w:cs="Arial"/>
                <w:b/>
                <w:bCs/>
                <w:color w:val="FFFFFF"/>
                <w:sz w:val="16"/>
                <w:szCs w:val="16"/>
                <w:lang w:val="en-AU" w:eastAsia="en-AU"/>
              </w:rPr>
            </w:pPr>
            <w:r w:rsidRPr="0068721E">
              <w:rPr>
                <w:rFonts w:cs="Arial"/>
                <w:b/>
                <w:bCs/>
                <w:color w:val="FFFFFF"/>
                <w:sz w:val="16"/>
                <w:szCs w:val="16"/>
                <w:lang w:val="en-AU" w:eastAsia="en-AU"/>
              </w:rPr>
              <w:t xml:space="preserve">Customer </w:t>
            </w:r>
            <w:r w:rsidR="001E38C6">
              <w:rPr>
                <w:rFonts w:cs="Arial"/>
                <w:b/>
                <w:bCs/>
                <w:color w:val="FFFFFF"/>
                <w:sz w:val="16"/>
                <w:szCs w:val="16"/>
                <w:lang w:val="en-AU" w:eastAsia="en-AU"/>
              </w:rPr>
              <w:t>type</w:t>
            </w:r>
          </w:p>
        </w:tc>
        <w:tc>
          <w:tcPr>
            <w:tcW w:w="1559" w:type="dxa"/>
            <w:shd w:val="clear" w:color="auto" w:fill="0065A6"/>
            <w:vAlign w:val="center"/>
            <w:hideMark/>
          </w:tcPr>
          <w:p w:rsidR="00BC01C6" w:rsidRPr="0068721E" w:rsidRDefault="00BC01C6" w:rsidP="00722C30">
            <w:pPr>
              <w:spacing w:after="0" w:line="220" w:lineRule="exact"/>
              <w:jc w:val="center"/>
              <w:rPr>
                <w:rFonts w:cs="Arial"/>
                <w:b/>
                <w:bCs/>
                <w:color w:val="FFFFFF"/>
                <w:sz w:val="16"/>
                <w:szCs w:val="16"/>
                <w:lang w:val="en-AU" w:eastAsia="en-AU"/>
              </w:rPr>
            </w:pPr>
            <w:r w:rsidRPr="0068721E">
              <w:rPr>
                <w:rFonts w:cs="Arial"/>
                <w:b/>
                <w:bCs/>
                <w:color w:val="FFFFFF"/>
                <w:sz w:val="16"/>
                <w:szCs w:val="16"/>
                <w:lang w:val="en-AU" w:eastAsia="en-AU"/>
              </w:rPr>
              <w:t xml:space="preserve">Meter Type </w:t>
            </w:r>
          </w:p>
        </w:tc>
        <w:tc>
          <w:tcPr>
            <w:tcW w:w="1418" w:type="dxa"/>
            <w:shd w:val="clear" w:color="auto" w:fill="0065A6"/>
            <w:vAlign w:val="center"/>
            <w:hideMark/>
          </w:tcPr>
          <w:p w:rsidR="00BC01C6" w:rsidRPr="0068721E" w:rsidRDefault="00025324" w:rsidP="00722C30">
            <w:pPr>
              <w:spacing w:after="0" w:line="220" w:lineRule="exact"/>
              <w:jc w:val="center"/>
              <w:rPr>
                <w:rFonts w:cs="Arial"/>
                <w:b/>
                <w:bCs/>
                <w:color w:val="FFFFFF"/>
                <w:sz w:val="16"/>
                <w:szCs w:val="16"/>
                <w:lang w:val="en-AU" w:eastAsia="en-AU"/>
              </w:rPr>
            </w:pPr>
            <w:r>
              <w:rPr>
                <w:rFonts w:cs="Arial"/>
                <w:b/>
                <w:bCs/>
                <w:color w:val="FFFFFF"/>
                <w:sz w:val="16"/>
                <w:szCs w:val="16"/>
                <w:lang w:val="en-AU" w:eastAsia="en-AU"/>
              </w:rPr>
              <w:t>Existing tariff</w:t>
            </w:r>
          </w:p>
        </w:tc>
        <w:tc>
          <w:tcPr>
            <w:tcW w:w="1417" w:type="dxa"/>
            <w:shd w:val="clear" w:color="auto" w:fill="0065A6"/>
            <w:vAlign w:val="center"/>
            <w:hideMark/>
          </w:tcPr>
          <w:p w:rsidR="00BC01C6" w:rsidRPr="0068721E" w:rsidRDefault="00BC01C6" w:rsidP="00722C30">
            <w:pPr>
              <w:spacing w:after="0" w:line="220" w:lineRule="exact"/>
              <w:jc w:val="center"/>
              <w:rPr>
                <w:rFonts w:cs="Arial"/>
                <w:b/>
                <w:bCs/>
                <w:color w:val="FFFFFF"/>
                <w:sz w:val="16"/>
                <w:szCs w:val="16"/>
                <w:lang w:val="en-AU" w:eastAsia="en-AU"/>
              </w:rPr>
            </w:pPr>
            <w:r w:rsidRPr="0068721E">
              <w:rPr>
                <w:rFonts w:cs="Arial"/>
                <w:b/>
                <w:bCs/>
                <w:color w:val="FFFFFF"/>
                <w:sz w:val="16"/>
                <w:szCs w:val="16"/>
                <w:lang w:val="en-AU" w:eastAsia="en-AU"/>
              </w:rPr>
              <w:t>Tariff from 1 July 2018</w:t>
            </w:r>
          </w:p>
        </w:tc>
        <w:tc>
          <w:tcPr>
            <w:tcW w:w="3544" w:type="dxa"/>
            <w:shd w:val="clear" w:color="auto" w:fill="0065A6"/>
            <w:vAlign w:val="center"/>
            <w:hideMark/>
          </w:tcPr>
          <w:p w:rsidR="00BC01C6" w:rsidRPr="0068721E" w:rsidRDefault="00BC01C6" w:rsidP="00722C30">
            <w:pPr>
              <w:spacing w:after="0" w:line="220" w:lineRule="exact"/>
              <w:jc w:val="center"/>
              <w:rPr>
                <w:rFonts w:cs="Arial"/>
                <w:b/>
                <w:bCs/>
                <w:color w:val="FFFFFF"/>
                <w:sz w:val="16"/>
                <w:szCs w:val="16"/>
                <w:lang w:val="en-AU" w:eastAsia="en-AU"/>
              </w:rPr>
            </w:pPr>
            <w:r w:rsidRPr="0068721E">
              <w:rPr>
                <w:rFonts w:cs="Arial"/>
                <w:b/>
                <w:bCs/>
                <w:color w:val="FFFFFF"/>
                <w:sz w:val="16"/>
                <w:szCs w:val="16"/>
                <w:lang w:val="en-AU" w:eastAsia="en-AU"/>
              </w:rPr>
              <w:t>Description</w:t>
            </w:r>
          </w:p>
        </w:tc>
        <w:tc>
          <w:tcPr>
            <w:tcW w:w="3402" w:type="dxa"/>
            <w:shd w:val="clear" w:color="auto" w:fill="0065A6"/>
            <w:vAlign w:val="center"/>
            <w:hideMark/>
          </w:tcPr>
          <w:p w:rsidR="00BC01C6" w:rsidRPr="0068721E" w:rsidRDefault="00BC01C6" w:rsidP="00722C30">
            <w:pPr>
              <w:spacing w:after="0" w:line="220" w:lineRule="exact"/>
              <w:rPr>
                <w:rFonts w:cs="Arial"/>
                <w:b/>
                <w:bCs/>
                <w:color w:val="FFFFFF"/>
                <w:sz w:val="16"/>
                <w:szCs w:val="16"/>
                <w:lang w:val="en-AU" w:eastAsia="en-AU"/>
              </w:rPr>
            </w:pPr>
            <w:r w:rsidRPr="0068721E">
              <w:rPr>
                <w:rFonts w:cs="Arial"/>
                <w:b/>
                <w:bCs/>
                <w:color w:val="FFFFFF"/>
                <w:sz w:val="16"/>
                <w:szCs w:val="16"/>
                <w:lang w:val="en-AU" w:eastAsia="en-AU"/>
              </w:rPr>
              <w:t>Available Options</w:t>
            </w:r>
          </w:p>
        </w:tc>
      </w:tr>
      <w:tr w:rsidR="00BC01C6" w:rsidRPr="00BC01C6" w:rsidTr="00722C30">
        <w:trPr>
          <w:trHeight w:val="1290"/>
        </w:trPr>
        <w:tc>
          <w:tcPr>
            <w:tcW w:w="1008" w:type="dxa"/>
            <w:shd w:val="clear" w:color="auto" w:fill="C6D9F1"/>
            <w:vAlign w:val="center"/>
            <w:hideMark/>
          </w:tcPr>
          <w:p w:rsidR="00BC01C6" w:rsidRPr="0068721E" w:rsidRDefault="00BC01C6" w:rsidP="00722C30">
            <w:pPr>
              <w:spacing w:after="0" w:line="220" w:lineRule="exact"/>
              <w:jc w:val="center"/>
              <w:rPr>
                <w:rFonts w:cs="Arial"/>
                <w:b/>
                <w:bCs/>
                <w:color w:val="000000"/>
                <w:sz w:val="16"/>
                <w:szCs w:val="16"/>
                <w:lang w:val="en-AU" w:eastAsia="en-AU"/>
              </w:rPr>
            </w:pPr>
            <w:r w:rsidRPr="0068721E">
              <w:rPr>
                <w:rFonts w:cs="Arial"/>
                <w:b/>
                <w:bCs/>
                <w:color w:val="000000"/>
                <w:sz w:val="16"/>
                <w:szCs w:val="16"/>
                <w:lang w:val="en-AU" w:eastAsia="en-AU"/>
              </w:rPr>
              <w:t>A</w:t>
            </w:r>
          </w:p>
        </w:tc>
        <w:tc>
          <w:tcPr>
            <w:tcW w:w="1559" w:type="dxa"/>
            <w:shd w:val="clear" w:color="auto" w:fill="C6D9F1"/>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 xml:space="preserve">Existing </w:t>
            </w:r>
          </w:p>
        </w:tc>
        <w:tc>
          <w:tcPr>
            <w:tcW w:w="1559" w:type="dxa"/>
            <w:shd w:val="clear" w:color="auto" w:fill="C6D9F1"/>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Basic Meter</w:t>
            </w:r>
          </w:p>
        </w:tc>
        <w:tc>
          <w:tcPr>
            <w:tcW w:w="1418" w:type="dxa"/>
            <w:shd w:val="clear" w:color="auto" w:fill="C6D9F1"/>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Non-TOU</w:t>
            </w:r>
            <w:r w:rsidR="00C82F38">
              <w:rPr>
                <w:rFonts w:cs="Arial"/>
                <w:color w:val="000000"/>
                <w:sz w:val="16"/>
                <w:szCs w:val="16"/>
                <w:lang w:val="en-AU" w:eastAsia="en-AU"/>
              </w:rPr>
              <w:t>/flat tariff *</w:t>
            </w:r>
          </w:p>
        </w:tc>
        <w:tc>
          <w:tcPr>
            <w:tcW w:w="1417" w:type="dxa"/>
            <w:shd w:val="clear" w:color="auto" w:fill="C6D9F1"/>
            <w:vAlign w:val="center"/>
            <w:hideMark/>
          </w:tcPr>
          <w:p w:rsidR="00BC01C6" w:rsidRPr="0068721E" w:rsidRDefault="00BC01C6" w:rsidP="00722C30">
            <w:pPr>
              <w:spacing w:after="0" w:line="220" w:lineRule="exact"/>
              <w:jc w:val="center"/>
              <w:rPr>
                <w:rFonts w:cs="Arial"/>
                <w:b/>
                <w:color w:val="000000"/>
                <w:sz w:val="16"/>
                <w:szCs w:val="16"/>
                <w:lang w:val="en-AU" w:eastAsia="en-AU"/>
              </w:rPr>
            </w:pPr>
            <w:r w:rsidRPr="0068721E">
              <w:rPr>
                <w:rFonts w:cs="Arial"/>
                <w:b/>
                <w:color w:val="000000"/>
                <w:sz w:val="16"/>
                <w:szCs w:val="16"/>
                <w:lang w:val="en-AU" w:eastAsia="en-AU"/>
              </w:rPr>
              <w:t>Flat Tariff</w:t>
            </w:r>
            <w:r w:rsidR="00C82F38">
              <w:rPr>
                <w:rFonts w:cs="Arial"/>
                <w:b/>
                <w:color w:val="000000"/>
                <w:sz w:val="16"/>
                <w:szCs w:val="16"/>
                <w:lang w:val="en-AU" w:eastAsia="en-AU"/>
              </w:rPr>
              <w:t>*</w:t>
            </w:r>
            <w:r w:rsidRPr="0068721E">
              <w:rPr>
                <w:rFonts w:cs="Arial"/>
                <w:b/>
                <w:color w:val="000000"/>
                <w:sz w:val="16"/>
                <w:szCs w:val="16"/>
                <w:lang w:val="en-AU" w:eastAsia="en-AU"/>
              </w:rPr>
              <w:br/>
              <w:t>(Closed)</w:t>
            </w:r>
          </w:p>
        </w:tc>
        <w:tc>
          <w:tcPr>
            <w:tcW w:w="3544" w:type="dxa"/>
            <w:shd w:val="clear" w:color="auto" w:fill="C6D9F1"/>
            <w:vAlign w:val="center"/>
            <w:hideMark/>
          </w:tcPr>
          <w:p w:rsidR="00BC01C6" w:rsidRPr="0068721E" w:rsidRDefault="00BC01C6" w:rsidP="00722C30">
            <w:pPr>
              <w:spacing w:after="0" w:line="220" w:lineRule="exact"/>
              <w:rPr>
                <w:rFonts w:cs="Arial"/>
                <w:color w:val="000000"/>
                <w:sz w:val="16"/>
                <w:szCs w:val="16"/>
                <w:lang w:val="en-AU" w:eastAsia="en-AU"/>
              </w:rPr>
            </w:pPr>
            <w:r w:rsidRPr="0068721E">
              <w:rPr>
                <w:rFonts w:cs="Arial"/>
                <w:color w:val="000000"/>
                <w:sz w:val="16"/>
                <w:szCs w:val="16"/>
                <w:lang w:val="en-AU" w:eastAsia="en-AU"/>
              </w:rPr>
              <w:t>Fixed charge and a flat usage charge.</w:t>
            </w:r>
          </w:p>
        </w:tc>
        <w:tc>
          <w:tcPr>
            <w:tcW w:w="3402" w:type="dxa"/>
            <w:shd w:val="clear" w:color="auto" w:fill="C6D9F1"/>
            <w:vAlign w:val="center"/>
            <w:hideMark/>
          </w:tcPr>
          <w:p w:rsidR="00BC01C6" w:rsidRPr="0068721E" w:rsidRDefault="00BC01C6" w:rsidP="00722C30">
            <w:pPr>
              <w:spacing w:after="0" w:line="220" w:lineRule="exact"/>
              <w:rPr>
                <w:rFonts w:cs="Arial"/>
                <w:color w:val="000000"/>
                <w:sz w:val="16"/>
                <w:szCs w:val="16"/>
                <w:lang w:val="en-AU" w:eastAsia="en-AU"/>
              </w:rPr>
            </w:pPr>
            <w:r w:rsidRPr="0068721E">
              <w:rPr>
                <w:rFonts w:cs="Arial"/>
                <w:color w:val="000000"/>
                <w:sz w:val="16"/>
                <w:szCs w:val="16"/>
                <w:lang w:val="en-AU" w:eastAsia="en-AU"/>
              </w:rPr>
              <w:t xml:space="preserve">If </w:t>
            </w:r>
            <w:r>
              <w:rPr>
                <w:rFonts w:cs="Arial"/>
                <w:color w:val="000000"/>
                <w:sz w:val="16"/>
                <w:szCs w:val="16"/>
                <w:lang w:val="en-AU" w:eastAsia="en-AU"/>
              </w:rPr>
              <w:t>meter changes to</w:t>
            </w:r>
            <w:r w:rsidRPr="0068721E">
              <w:rPr>
                <w:rFonts w:cs="Arial"/>
                <w:color w:val="000000"/>
                <w:sz w:val="16"/>
                <w:szCs w:val="16"/>
                <w:lang w:val="en-AU" w:eastAsia="en-AU"/>
              </w:rPr>
              <w:t xml:space="preserve"> interval (or better),</w:t>
            </w:r>
            <w:r>
              <w:rPr>
                <w:rFonts w:cs="Arial"/>
                <w:color w:val="000000"/>
                <w:sz w:val="16"/>
                <w:szCs w:val="16"/>
                <w:lang w:val="en-AU" w:eastAsia="en-AU"/>
              </w:rPr>
              <w:t xml:space="preserve"> they will be</w:t>
            </w:r>
            <w:r w:rsidRPr="0068721E">
              <w:rPr>
                <w:rFonts w:cs="Arial"/>
                <w:color w:val="000000"/>
                <w:sz w:val="16"/>
                <w:szCs w:val="16"/>
                <w:lang w:val="en-AU" w:eastAsia="en-AU"/>
              </w:rPr>
              <w:t xml:space="preserve"> reassigned to a transitional TOU tariff</w:t>
            </w:r>
            <w:r w:rsidR="00D0678A">
              <w:rPr>
                <w:rFonts w:cs="Arial"/>
                <w:color w:val="000000"/>
                <w:sz w:val="16"/>
                <w:szCs w:val="16"/>
                <w:lang w:val="en-AU" w:eastAsia="en-AU"/>
              </w:rPr>
              <w:t>,</w:t>
            </w:r>
            <w:r w:rsidR="00C82F38" w:rsidRPr="00B6705C">
              <w:rPr>
                <w:sz w:val="16"/>
                <w:vertAlign w:val="superscript"/>
              </w:rPr>
              <w:t xml:space="preserve"># </w:t>
            </w:r>
            <w:r w:rsidRPr="0068721E">
              <w:rPr>
                <w:rFonts w:cs="Arial"/>
                <w:color w:val="000000"/>
                <w:sz w:val="16"/>
                <w:szCs w:val="16"/>
                <w:lang w:val="en-AU" w:eastAsia="en-AU"/>
              </w:rPr>
              <w:t>with the option to opt-in to the cost reflective TOU tariff - See scenario B.</w:t>
            </w:r>
          </w:p>
        </w:tc>
      </w:tr>
      <w:tr w:rsidR="00BC01C6" w:rsidRPr="00BC01C6" w:rsidTr="00722C30">
        <w:trPr>
          <w:trHeight w:val="1200"/>
        </w:trPr>
        <w:tc>
          <w:tcPr>
            <w:tcW w:w="1008" w:type="dxa"/>
            <w:shd w:val="clear" w:color="auto" w:fill="DEEAF6"/>
            <w:vAlign w:val="center"/>
            <w:hideMark/>
          </w:tcPr>
          <w:p w:rsidR="00BC01C6" w:rsidRPr="0068721E" w:rsidRDefault="00BC01C6" w:rsidP="00722C30">
            <w:pPr>
              <w:spacing w:after="0" w:line="220" w:lineRule="exact"/>
              <w:jc w:val="center"/>
              <w:rPr>
                <w:rFonts w:cs="Arial"/>
                <w:b/>
                <w:bCs/>
                <w:color w:val="000000"/>
                <w:sz w:val="16"/>
                <w:szCs w:val="16"/>
                <w:lang w:val="en-AU" w:eastAsia="en-AU"/>
              </w:rPr>
            </w:pPr>
            <w:r w:rsidRPr="0068721E">
              <w:rPr>
                <w:rFonts w:cs="Arial"/>
                <w:b/>
                <w:bCs/>
                <w:color w:val="000000"/>
                <w:sz w:val="16"/>
                <w:szCs w:val="16"/>
                <w:lang w:val="en-AU" w:eastAsia="en-AU"/>
              </w:rPr>
              <w:t>B</w:t>
            </w:r>
          </w:p>
        </w:tc>
        <w:tc>
          <w:tcPr>
            <w:tcW w:w="1559" w:type="dxa"/>
            <w:shd w:val="clear" w:color="auto" w:fill="DEEAF6"/>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 xml:space="preserve">Existing </w:t>
            </w:r>
          </w:p>
        </w:tc>
        <w:tc>
          <w:tcPr>
            <w:tcW w:w="1559" w:type="dxa"/>
            <w:shd w:val="clear" w:color="auto" w:fill="DEEAF6"/>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 xml:space="preserve">Interval or better </w:t>
            </w:r>
          </w:p>
        </w:tc>
        <w:tc>
          <w:tcPr>
            <w:tcW w:w="1418" w:type="dxa"/>
            <w:shd w:val="clear" w:color="auto" w:fill="DEEAF6"/>
            <w:vAlign w:val="center"/>
            <w:hideMark/>
          </w:tcPr>
          <w:p w:rsidR="00BC01C6" w:rsidRPr="0068721E" w:rsidRDefault="00C82F38" w:rsidP="00722C30">
            <w:pPr>
              <w:spacing w:after="0" w:line="220" w:lineRule="exact"/>
              <w:jc w:val="center"/>
              <w:rPr>
                <w:rFonts w:cs="Arial"/>
                <w:color w:val="000000"/>
                <w:sz w:val="16"/>
                <w:szCs w:val="16"/>
                <w:lang w:val="en-AU" w:eastAsia="en-AU"/>
              </w:rPr>
            </w:pPr>
            <w:r w:rsidRPr="00B6705C">
              <w:rPr>
                <w:rFonts w:cs="Arial"/>
                <w:color w:val="000000"/>
                <w:sz w:val="16"/>
                <w:szCs w:val="16"/>
                <w:lang w:val="en-AU" w:eastAsia="en-AU"/>
              </w:rPr>
              <w:t>Non-TOU</w:t>
            </w:r>
            <w:r>
              <w:rPr>
                <w:rFonts w:cs="Arial"/>
                <w:color w:val="000000"/>
                <w:sz w:val="16"/>
                <w:szCs w:val="16"/>
                <w:lang w:val="en-AU" w:eastAsia="en-AU"/>
              </w:rPr>
              <w:t>/flat tariff *</w:t>
            </w:r>
          </w:p>
        </w:tc>
        <w:tc>
          <w:tcPr>
            <w:tcW w:w="1417" w:type="dxa"/>
            <w:shd w:val="clear" w:color="auto" w:fill="DEEAF6"/>
            <w:vAlign w:val="center"/>
            <w:hideMark/>
          </w:tcPr>
          <w:p w:rsidR="00BC01C6" w:rsidRPr="0068721E" w:rsidRDefault="00BC01C6" w:rsidP="00722C30">
            <w:pPr>
              <w:spacing w:after="0" w:line="220" w:lineRule="exact"/>
              <w:jc w:val="center"/>
              <w:rPr>
                <w:rFonts w:cs="Arial"/>
                <w:b/>
                <w:color w:val="000000"/>
                <w:sz w:val="16"/>
                <w:szCs w:val="16"/>
                <w:lang w:val="en-AU" w:eastAsia="en-AU"/>
              </w:rPr>
            </w:pPr>
            <w:r w:rsidRPr="0068721E">
              <w:rPr>
                <w:rFonts w:cs="Arial"/>
                <w:b/>
                <w:color w:val="000000"/>
                <w:sz w:val="16"/>
                <w:szCs w:val="16"/>
                <w:lang w:val="en-AU" w:eastAsia="en-AU"/>
              </w:rPr>
              <w:t xml:space="preserve">Transitional </w:t>
            </w:r>
            <w:r w:rsidRPr="0068721E">
              <w:rPr>
                <w:rFonts w:cs="Arial"/>
                <w:b/>
                <w:color w:val="000000"/>
                <w:sz w:val="16"/>
                <w:szCs w:val="16"/>
                <w:lang w:val="en-AU" w:eastAsia="en-AU"/>
              </w:rPr>
              <w:br/>
              <w:t>TOU Tariff</w:t>
            </w:r>
            <w:r w:rsidR="00C82F38">
              <w:rPr>
                <w:rFonts w:cs="Arial"/>
                <w:b/>
                <w:color w:val="000000"/>
                <w:sz w:val="16"/>
                <w:szCs w:val="16"/>
                <w:lang w:val="en-AU" w:eastAsia="en-AU"/>
              </w:rPr>
              <w:t xml:space="preserve"> </w:t>
            </w:r>
            <w:r w:rsidR="00C82F38" w:rsidRPr="00B6705C">
              <w:rPr>
                <w:sz w:val="16"/>
                <w:vertAlign w:val="superscript"/>
              </w:rPr>
              <w:t>#</w:t>
            </w:r>
          </w:p>
        </w:tc>
        <w:tc>
          <w:tcPr>
            <w:tcW w:w="3544" w:type="dxa"/>
            <w:shd w:val="clear" w:color="auto" w:fill="DEEAF6"/>
            <w:vAlign w:val="center"/>
            <w:hideMark/>
          </w:tcPr>
          <w:p w:rsidR="00BC01C6" w:rsidRPr="0068721E" w:rsidRDefault="00BC01C6" w:rsidP="00722C30">
            <w:pPr>
              <w:spacing w:after="0" w:line="220" w:lineRule="exact"/>
              <w:rPr>
                <w:rFonts w:cs="Arial"/>
                <w:color w:val="000000"/>
                <w:sz w:val="16"/>
                <w:szCs w:val="16"/>
                <w:lang w:val="en-AU" w:eastAsia="en-AU"/>
              </w:rPr>
            </w:pPr>
            <w:r w:rsidRPr="0068721E">
              <w:rPr>
                <w:rFonts w:cs="Arial"/>
                <w:color w:val="000000"/>
                <w:sz w:val="16"/>
                <w:szCs w:val="16"/>
                <w:lang w:val="en-AU" w:eastAsia="en-AU"/>
              </w:rPr>
              <w:t>Fixed charge and a TOU usage charge, where the price for energy consumption in the peak, shoulder and off-period is the same.</w:t>
            </w:r>
          </w:p>
        </w:tc>
        <w:tc>
          <w:tcPr>
            <w:tcW w:w="3402" w:type="dxa"/>
            <w:shd w:val="clear" w:color="auto" w:fill="DEEAF6"/>
            <w:vAlign w:val="center"/>
            <w:hideMark/>
          </w:tcPr>
          <w:p w:rsidR="00BC01C6" w:rsidRPr="0068721E" w:rsidRDefault="00BC01C6" w:rsidP="00722C30">
            <w:pPr>
              <w:spacing w:after="0" w:line="220" w:lineRule="exact"/>
              <w:rPr>
                <w:rFonts w:ascii="Symbol" w:hAnsi="Symbol"/>
                <w:color w:val="000000"/>
                <w:sz w:val="16"/>
                <w:szCs w:val="16"/>
                <w:lang w:val="en-AU" w:eastAsia="en-AU"/>
              </w:rPr>
            </w:pPr>
            <w:r w:rsidRPr="0068721E">
              <w:rPr>
                <w:rFonts w:ascii="Times New Roman" w:hAnsi="Times New Roman"/>
                <w:color w:val="000000"/>
                <w:sz w:val="16"/>
                <w:szCs w:val="16"/>
                <w:lang w:val="en-AU" w:eastAsia="en-AU"/>
              </w:rPr>
              <w:t> </w:t>
            </w:r>
            <w:r w:rsidRPr="0068721E">
              <w:rPr>
                <w:rFonts w:cs="Arial"/>
                <w:color w:val="000000"/>
                <w:sz w:val="16"/>
                <w:szCs w:val="16"/>
                <w:lang w:val="en-AU" w:eastAsia="en-AU"/>
              </w:rPr>
              <w:t xml:space="preserve">These customers can opt-in to </w:t>
            </w:r>
            <w:r w:rsidRPr="0068721E">
              <w:rPr>
                <w:rFonts w:cs="Arial"/>
                <w:color w:val="000000"/>
                <w:sz w:val="16"/>
                <w:szCs w:val="16"/>
                <w:lang w:val="en-AU" w:eastAsia="en-AU"/>
              </w:rPr>
              <w:br/>
              <w:t>a cost reflective TOU tariff</w:t>
            </w:r>
            <w:r w:rsidR="00C82F38">
              <w:rPr>
                <w:rFonts w:cs="Arial"/>
                <w:color w:val="000000"/>
                <w:sz w:val="16"/>
                <w:szCs w:val="16"/>
                <w:lang w:val="en-AU" w:eastAsia="en-AU"/>
              </w:rPr>
              <w:t xml:space="preserve"> **</w:t>
            </w:r>
            <w:r w:rsidRPr="0068721E">
              <w:rPr>
                <w:rFonts w:cs="Arial"/>
                <w:color w:val="000000"/>
                <w:sz w:val="16"/>
                <w:szCs w:val="16"/>
                <w:lang w:val="en-AU" w:eastAsia="en-AU"/>
              </w:rPr>
              <w:t>.</w:t>
            </w:r>
          </w:p>
        </w:tc>
      </w:tr>
      <w:tr w:rsidR="00BC01C6" w:rsidRPr="00BC01C6" w:rsidTr="00722C30">
        <w:trPr>
          <w:trHeight w:val="1200"/>
        </w:trPr>
        <w:tc>
          <w:tcPr>
            <w:tcW w:w="1008" w:type="dxa"/>
            <w:shd w:val="clear" w:color="auto" w:fill="C6D9F1"/>
            <w:vAlign w:val="center"/>
            <w:hideMark/>
          </w:tcPr>
          <w:p w:rsidR="00BC01C6" w:rsidRPr="0068721E" w:rsidRDefault="00BC01C6" w:rsidP="00722C30">
            <w:pPr>
              <w:spacing w:after="0" w:line="220" w:lineRule="exact"/>
              <w:jc w:val="center"/>
              <w:rPr>
                <w:rFonts w:cs="Arial"/>
                <w:b/>
                <w:bCs/>
                <w:color w:val="000000"/>
                <w:sz w:val="16"/>
                <w:szCs w:val="16"/>
                <w:lang w:val="en-AU" w:eastAsia="en-AU"/>
              </w:rPr>
            </w:pPr>
            <w:r w:rsidRPr="0068721E">
              <w:rPr>
                <w:rFonts w:cs="Arial"/>
                <w:b/>
                <w:bCs/>
                <w:color w:val="000000"/>
                <w:sz w:val="16"/>
                <w:szCs w:val="16"/>
                <w:lang w:val="en-AU" w:eastAsia="en-AU"/>
              </w:rPr>
              <w:t>C</w:t>
            </w:r>
          </w:p>
        </w:tc>
        <w:tc>
          <w:tcPr>
            <w:tcW w:w="1559" w:type="dxa"/>
            <w:shd w:val="clear" w:color="auto" w:fill="C6D9F1"/>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 xml:space="preserve">Existing </w:t>
            </w:r>
          </w:p>
        </w:tc>
        <w:tc>
          <w:tcPr>
            <w:tcW w:w="1559" w:type="dxa"/>
            <w:shd w:val="clear" w:color="auto" w:fill="C6D9F1"/>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 xml:space="preserve">Interval or better </w:t>
            </w:r>
          </w:p>
        </w:tc>
        <w:tc>
          <w:tcPr>
            <w:tcW w:w="1418" w:type="dxa"/>
            <w:shd w:val="clear" w:color="auto" w:fill="C6D9F1"/>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Cost Reflective</w:t>
            </w:r>
            <w:r w:rsidRPr="0068721E">
              <w:rPr>
                <w:rFonts w:cs="Arial"/>
                <w:color w:val="000000"/>
                <w:sz w:val="16"/>
                <w:szCs w:val="16"/>
                <w:lang w:val="en-AU" w:eastAsia="en-AU"/>
              </w:rPr>
              <w:br/>
              <w:t xml:space="preserve"> TOU Tariff</w:t>
            </w:r>
            <w:r w:rsidR="00C82F38">
              <w:rPr>
                <w:rFonts w:cs="Arial"/>
                <w:color w:val="000000"/>
                <w:sz w:val="16"/>
                <w:szCs w:val="16"/>
                <w:lang w:val="en-AU" w:eastAsia="en-AU"/>
              </w:rPr>
              <w:t xml:space="preserve"> **</w:t>
            </w:r>
          </w:p>
        </w:tc>
        <w:tc>
          <w:tcPr>
            <w:tcW w:w="1417" w:type="dxa"/>
            <w:shd w:val="clear" w:color="auto" w:fill="C6D9F1"/>
            <w:vAlign w:val="center"/>
            <w:hideMark/>
          </w:tcPr>
          <w:p w:rsidR="00BC01C6" w:rsidRPr="0068721E" w:rsidRDefault="00BC01C6" w:rsidP="00722C30">
            <w:pPr>
              <w:spacing w:after="0" w:line="220" w:lineRule="exact"/>
              <w:jc w:val="center"/>
              <w:rPr>
                <w:rFonts w:cs="Arial"/>
                <w:b/>
                <w:color w:val="000000"/>
                <w:sz w:val="16"/>
                <w:szCs w:val="16"/>
                <w:lang w:val="en-AU" w:eastAsia="en-AU"/>
              </w:rPr>
            </w:pPr>
            <w:r w:rsidRPr="0068721E">
              <w:rPr>
                <w:rFonts w:cs="Arial"/>
                <w:b/>
                <w:color w:val="000000"/>
                <w:sz w:val="16"/>
                <w:szCs w:val="16"/>
                <w:lang w:val="en-AU" w:eastAsia="en-AU"/>
              </w:rPr>
              <w:t>Cost Reflective</w:t>
            </w:r>
            <w:r w:rsidRPr="0068721E">
              <w:rPr>
                <w:rFonts w:cs="Arial"/>
                <w:b/>
                <w:color w:val="000000"/>
                <w:sz w:val="16"/>
                <w:szCs w:val="16"/>
                <w:lang w:val="en-AU" w:eastAsia="en-AU"/>
              </w:rPr>
              <w:br/>
              <w:t xml:space="preserve"> TOU Tariff</w:t>
            </w:r>
            <w:r w:rsidR="00C82F38">
              <w:rPr>
                <w:rFonts w:cs="Arial"/>
                <w:b/>
                <w:color w:val="000000"/>
                <w:sz w:val="16"/>
                <w:szCs w:val="16"/>
                <w:lang w:val="en-AU" w:eastAsia="en-AU"/>
              </w:rPr>
              <w:t xml:space="preserve"> **</w:t>
            </w:r>
          </w:p>
        </w:tc>
        <w:tc>
          <w:tcPr>
            <w:tcW w:w="3544" w:type="dxa"/>
            <w:shd w:val="clear" w:color="auto" w:fill="C6D9F1"/>
            <w:vAlign w:val="center"/>
            <w:hideMark/>
          </w:tcPr>
          <w:p w:rsidR="00BC01C6" w:rsidRPr="0068721E" w:rsidRDefault="00BC01C6" w:rsidP="00722C30">
            <w:pPr>
              <w:spacing w:after="0" w:line="220" w:lineRule="exact"/>
              <w:rPr>
                <w:rFonts w:cs="Arial"/>
                <w:color w:val="000000"/>
                <w:sz w:val="16"/>
                <w:szCs w:val="16"/>
                <w:lang w:val="en-AU" w:eastAsia="en-AU"/>
              </w:rPr>
            </w:pPr>
            <w:r w:rsidRPr="0068721E">
              <w:rPr>
                <w:rFonts w:cs="Arial"/>
                <w:color w:val="000000"/>
                <w:sz w:val="16"/>
                <w:szCs w:val="16"/>
                <w:lang w:val="en-AU" w:eastAsia="en-AU"/>
              </w:rPr>
              <w:t>Fixed charge and a TOU usage charge, where the price for energy consumption in the peak, shoulder and off-period is different.</w:t>
            </w:r>
          </w:p>
        </w:tc>
        <w:tc>
          <w:tcPr>
            <w:tcW w:w="3402" w:type="dxa"/>
            <w:shd w:val="clear" w:color="auto" w:fill="C6D9F1"/>
            <w:vAlign w:val="center"/>
            <w:hideMark/>
          </w:tcPr>
          <w:p w:rsidR="00BC01C6" w:rsidRPr="0068721E" w:rsidRDefault="00BC01C6" w:rsidP="00722C30">
            <w:pPr>
              <w:spacing w:after="0" w:line="220" w:lineRule="exact"/>
              <w:rPr>
                <w:rFonts w:cs="Arial"/>
                <w:color w:val="000000"/>
                <w:sz w:val="16"/>
                <w:szCs w:val="16"/>
                <w:lang w:val="en-AU" w:eastAsia="en-AU"/>
              </w:rPr>
            </w:pPr>
            <w:r w:rsidRPr="0068721E">
              <w:rPr>
                <w:rFonts w:cs="Arial"/>
                <w:color w:val="000000"/>
                <w:sz w:val="16"/>
                <w:szCs w:val="16"/>
                <w:lang w:val="en-AU" w:eastAsia="en-AU"/>
              </w:rPr>
              <w:t>N/A</w:t>
            </w:r>
          </w:p>
        </w:tc>
      </w:tr>
      <w:tr w:rsidR="00BC01C6" w:rsidRPr="00BC01C6" w:rsidTr="00722C30">
        <w:trPr>
          <w:trHeight w:val="1095"/>
        </w:trPr>
        <w:tc>
          <w:tcPr>
            <w:tcW w:w="1008" w:type="dxa"/>
            <w:shd w:val="clear" w:color="auto" w:fill="DEEAF6"/>
            <w:vAlign w:val="center"/>
            <w:hideMark/>
          </w:tcPr>
          <w:p w:rsidR="00BC01C6" w:rsidRPr="0068721E" w:rsidRDefault="00BC01C6" w:rsidP="00722C30">
            <w:pPr>
              <w:spacing w:after="0" w:line="220" w:lineRule="exact"/>
              <w:jc w:val="center"/>
              <w:rPr>
                <w:rFonts w:cs="Arial"/>
                <w:b/>
                <w:bCs/>
                <w:color w:val="000000"/>
                <w:sz w:val="16"/>
                <w:szCs w:val="16"/>
                <w:lang w:val="en-AU" w:eastAsia="en-AU"/>
              </w:rPr>
            </w:pPr>
            <w:r w:rsidRPr="0068721E">
              <w:rPr>
                <w:rFonts w:cs="Arial"/>
                <w:b/>
                <w:bCs/>
                <w:color w:val="000000"/>
                <w:sz w:val="16"/>
                <w:szCs w:val="16"/>
                <w:lang w:val="en-AU" w:eastAsia="en-AU"/>
              </w:rPr>
              <w:t>D</w:t>
            </w:r>
          </w:p>
        </w:tc>
        <w:tc>
          <w:tcPr>
            <w:tcW w:w="1559" w:type="dxa"/>
            <w:shd w:val="clear" w:color="auto" w:fill="DEEAF6"/>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 xml:space="preserve">New </w:t>
            </w:r>
            <w:r w:rsidR="001E38C6">
              <w:rPr>
                <w:rFonts w:cs="Arial"/>
                <w:color w:val="000000"/>
                <w:sz w:val="16"/>
                <w:szCs w:val="16"/>
                <w:lang w:val="en-AU" w:eastAsia="en-AU"/>
              </w:rPr>
              <w:t>residential or small business</w:t>
            </w:r>
          </w:p>
        </w:tc>
        <w:tc>
          <w:tcPr>
            <w:tcW w:w="1559" w:type="dxa"/>
            <w:shd w:val="clear" w:color="auto" w:fill="DEEAF6"/>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 xml:space="preserve">Interval or better </w:t>
            </w:r>
          </w:p>
        </w:tc>
        <w:tc>
          <w:tcPr>
            <w:tcW w:w="1418" w:type="dxa"/>
            <w:shd w:val="clear" w:color="auto" w:fill="DEEAF6"/>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N/A</w:t>
            </w:r>
          </w:p>
        </w:tc>
        <w:tc>
          <w:tcPr>
            <w:tcW w:w="1417" w:type="dxa"/>
            <w:shd w:val="clear" w:color="auto" w:fill="DEEAF6"/>
            <w:vAlign w:val="center"/>
            <w:hideMark/>
          </w:tcPr>
          <w:p w:rsidR="00BC01C6" w:rsidRPr="0068721E" w:rsidRDefault="00BC01C6" w:rsidP="00722C30">
            <w:pPr>
              <w:spacing w:after="0" w:line="220" w:lineRule="exact"/>
              <w:jc w:val="center"/>
              <w:rPr>
                <w:rFonts w:cs="Arial"/>
                <w:b/>
                <w:color w:val="000000"/>
                <w:sz w:val="16"/>
                <w:szCs w:val="16"/>
                <w:lang w:val="en-AU" w:eastAsia="en-AU"/>
              </w:rPr>
            </w:pPr>
            <w:r w:rsidRPr="0068721E">
              <w:rPr>
                <w:rFonts w:cs="Arial"/>
                <w:b/>
                <w:color w:val="000000"/>
                <w:sz w:val="16"/>
                <w:szCs w:val="16"/>
                <w:lang w:val="en-AU" w:eastAsia="en-AU"/>
              </w:rPr>
              <w:t>Cost Reflective</w:t>
            </w:r>
            <w:r w:rsidRPr="0068721E">
              <w:rPr>
                <w:rFonts w:cs="Arial"/>
                <w:b/>
                <w:color w:val="000000"/>
                <w:sz w:val="16"/>
                <w:szCs w:val="16"/>
                <w:lang w:val="en-AU" w:eastAsia="en-AU"/>
              </w:rPr>
              <w:br/>
              <w:t xml:space="preserve"> TOU Tariff</w:t>
            </w:r>
            <w:r w:rsidR="00C82F38">
              <w:rPr>
                <w:rFonts w:cs="Arial"/>
                <w:b/>
                <w:color w:val="000000"/>
                <w:sz w:val="16"/>
                <w:szCs w:val="16"/>
                <w:lang w:val="en-AU" w:eastAsia="en-AU"/>
              </w:rPr>
              <w:t xml:space="preserve"> **</w:t>
            </w:r>
          </w:p>
        </w:tc>
        <w:tc>
          <w:tcPr>
            <w:tcW w:w="3544" w:type="dxa"/>
            <w:shd w:val="clear" w:color="auto" w:fill="DEEAF6"/>
            <w:vAlign w:val="center"/>
            <w:hideMark/>
          </w:tcPr>
          <w:p w:rsidR="00BC01C6" w:rsidRPr="0068721E" w:rsidRDefault="00BC01C6" w:rsidP="00722C30">
            <w:pPr>
              <w:spacing w:after="0" w:line="220" w:lineRule="exact"/>
              <w:rPr>
                <w:rFonts w:cs="Arial"/>
                <w:color w:val="000000"/>
                <w:sz w:val="16"/>
                <w:szCs w:val="16"/>
                <w:lang w:val="en-AU" w:eastAsia="en-AU"/>
              </w:rPr>
            </w:pPr>
            <w:r w:rsidRPr="0068721E">
              <w:rPr>
                <w:rFonts w:cs="Arial"/>
                <w:color w:val="000000"/>
                <w:sz w:val="16"/>
                <w:szCs w:val="16"/>
                <w:lang w:val="en-AU" w:eastAsia="en-AU"/>
              </w:rPr>
              <w:t>Fixed charge and a TOU usage charge, where the price for energy consumption in the peak, shoulder and off-period is different.</w:t>
            </w:r>
          </w:p>
        </w:tc>
        <w:tc>
          <w:tcPr>
            <w:tcW w:w="3402" w:type="dxa"/>
            <w:shd w:val="clear" w:color="auto" w:fill="DEEAF6"/>
            <w:vAlign w:val="center"/>
            <w:hideMark/>
          </w:tcPr>
          <w:p w:rsidR="00BC01C6" w:rsidRPr="0068721E" w:rsidRDefault="00BC01C6" w:rsidP="00722C30">
            <w:pPr>
              <w:spacing w:after="0" w:line="220" w:lineRule="exact"/>
              <w:rPr>
                <w:rFonts w:cs="Arial"/>
                <w:color w:val="000000"/>
                <w:sz w:val="16"/>
                <w:szCs w:val="16"/>
                <w:lang w:val="en-AU" w:eastAsia="en-AU"/>
              </w:rPr>
            </w:pPr>
            <w:r w:rsidRPr="0068721E">
              <w:rPr>
                <w:rFonts w:cs="Arial"/>
                <w:color w:val="000000"/>
                <w:sz w:val="16"/>
                <w:szCs w:val="16"/>
                <w:lang w:val="en-AU" w:eastAsia="en-AU"/>
              </w:rPr>
              <w:t xml:space="preserve">These customers can opt-in to </w:t>
            </w:r>
            <w:r w:rsidRPr="0068721E">
              <w:rPr>
                <w:rFonts w:cs="Arial"/>
                <w:color w:val="000000"/>
                <w:sz w:val="16"/>
                <w:szCs w:val="16"/>
                <w:lang w:val="en-AU" w:eastAsia="en-AU"/>
              </w:rPr>
              <w:br/>
              <w:t>a Transitional TOU tariff.</w:t>
            </w:r>
          </w:p>
        </w:tc>
      </w:tr>
      <w:tr w:rsidR="00BC01C6" w:rsidRPr="00BC01C6" w:rsidTr="00722C30">
        <w:trPr>
          <w:trHeight w:val="1005"/>
        </w:trPr>
        <w:tc>
          <w:tcPr>
            <w:tcW w:w="1008" w:type="dxa"/>
            <w:shd w:val="clear" w:color="auto" w:fill="C6D9F1"/>
            <w:vAlign w:val="center"/>
            <w:hideMark/>
          </w:tcPr>
          <w:p w:rsidR="00BC01C6" w:rsidRPr="0068721E" w:rsidRDefault="00BC01C6" w:rsidP="00722C30">
            <w:pPr>
              <w:spacing w:after="0" w:line="220" w:lineRule="exact"/>
              <w:jc w:val="center"/>
              <w:rPr>
                <w:rFonts w:cs="Arial"/>
                <w:b/>
                <w:bCs/>
                <w:color w:val="000000"/>
                <w:sz w:val="16"/>
                <w:szCs w:val="16"/>
                <w:lang w:val="en-AU" w:eastAsia="en-AU"/>
              </w:rPr>
            </w:pPr>
            <w:r w:rsidRPr="0068721E">
              <w:rPr>
                <w:rFonts w:cs="Arial"/>
                <w:b/>
                <w:bCs/>
                <w:color w:val="000000"/>
                <w:sz w:val="16"/>
                <w:szCs w:val="16"/>
                <w:lang w:val="en-AU" w:eastAsia="en-AU"/>
              </w:rPr>
              <w:t>E</w:t>
            </w:r>
          </w:p>
        </w:tc>
        <w:tc>
          <w:tcPr>
            <w:tcW w:w="1559" w:type="dxa"/>
            <w:shd w:val="clear" w:color="auto" w:fill="C6D9F1"/>
            <w:vAlign w:val="center"/>
            <w:hideMark/>
          </w:tcPr>
          <w:p w:rsidR="00BC01C6" w:rsidRPr="0068721E" w:rsidRDefault="001E38C6" w:rsidP="00722C30">
            <w:pPr>
              <w:spacing w:after="0" w:line="220" w:lineRule="exact"/>
              <w:jc w:val="center"/>
              <w:rPr>
                <w:rFonts w:cs="Arial"/>
                <w:color w:val="000000"/>
                <w:sz w:val="16"/>
                <w:szCs w:val="16"/>
                <w:lang w:val="en-AU" w:eastAsia="en-AU"/>
              </w:rPr>
            </w:pPr>
            <w:r>
              <w:rPr>
                <w:rFonts w:cs="Arial"/>
                <w:color w:val="000000"/>
                <w:sz w:val="16"/>
                <w:szCs w:val="16"/>
                <w:lang w:val="en-AU" w:eastAsia="en-AU"/>
              </w:rPr>
              <w:t>New and existing</w:t>
            </w:r>
            <w:r w:rsidR="00BC01C6" w:rsidRPr="0068721E">
              <w:rPr>
                <w:rFonts w:cs="Arial"/>
                <w:color w:val="000000"/>
                <w:sz w:val="16"/>
                <w:szCs w:val="16"/>
                <w:lang w:val="en-AU" w:eastAsia="en-AU"/>
              </w:rPr>
              <w:t xml:space="preserve"> 40+ MWh customers</w:t>
            </w:r>
          </w:p>
        </w:tc>
        <w:tc>
          <w:tcPr>
            <w:tcW w:w="1559" w:type="dxa"/>
            <w:shd w:val="clear" w:color="auto" w:fill="C6D9F1"/>
            <w:vAlign w:val="center"/>
            <w:hideMark/>
          </w:tcPr>
          <w:p w:rsidR="00BC01C6" w:rsidRPr="0068721E" w:rsidRDefault="00BC01C6" w:rsidP="00722C30">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 xml:space="preserve">Interval or better </w:t>
            </w:r>
          </w:p>
        </w:tc>
        <w:tc>
          <w:tcPr>
            <w:tcW w:w="1418" w:type="dxa"/>
            <w:shd w:val="clear" w:color="auto" w:fill="C6D9F1"/>
            <w:vAlign w:val="center"/>
            <w:hideMark/>
          </w:tcPr>
          <w:p w:rsidR="00BC01C6" w:rsidRPr="0068721E" w:rsidRDefault="00BC01C6" w:rsidP="00F93A72">
            <w:pPr>
              <w:spacing w:after="0" w:line="220" w:lineRule="exact"/>
              <w:jc w:val="center"/>
              <w:rPr>
                <w:rFonts w:cs="Arial"/>
                <w:color w:val="000000"/>
                <w:sz w:val="16"/>
                <w:szCs w:val="16"/>
                <w:lang w:val="en-AU" w:eastAsia="en-AU"/>
              </w:rPr>
            </w:pPr>
            <w:r w:rsidRPr="0068721E">
              <w:rPr>
                <w:rFonts w:cs="Arial"/>
                <w:color w:val="000000"/>
                <w:sz w:val="16"/>
                <w:szCs w:val="16"/>
                <w:lang w:val="en-AU" w:eastAsia="en-AU"/>
              </w:rPr>
              <w:t xml:space="preserve">Cost Reflective </w:t>
            </w:r>
            <w:r w:rsidRPr="0068721E">
              <w:rPr>
                <w:rFonts w:cs="Arial"/>
                <w:color w:val="000000"/>
                <w:sz w:val="16"/>
                <w:szCs w:val="16"/>
                <w:lang w:val="en-AU" w:eastAsia="en-AU"/>
              </w:rPr>
              <w:br/>
              <w:t>TOU Capacity Tariff</w:t>
            </w:r>
            <w:r w:rsidR="003F4D57">
              <w:rPr>
                <w:rStyle w:val="FootnoteReference"/>
                <w:rFonts w:cs="Arial"/>
                <w:color w:val="000000"/>
                <w:sz w:val="16"/>
                <w:szCs w:val="16"/>
                <w:lang w:val="en-AU" w:eastAsia="en-AU"/>
              </w:rPr>
              <w:footnoteReference w:id="13"/>
            </w:r>
          </w:p>
        </w:tc>
        <w:tc>
          <w:tcPr>
            <w:tcW w:w="1417" w:type="dxa"/>
            <w:shd w:val="clear" w:color="auto" w:fill="C6D9F1"/>
            <w:vAlign w:val="center"/>
            <w:hideMark/>
          </w:tcPr>
          <w:p w:rsidR="00BC01C6" w:rsidRPr="0068721E" w:rsidRDefault="00BC01C6" w:rsidP="00F93A72">
            <w:pPr>
              <w:spacing w:after="0" w:line="220" w:lineRule="exact"/>
              <w:jc w:val="center"/>
              <w:rPr>
                <w:rFonts w:cs="Arial"/>
                <w:b/>
                <w:color w:val="000000"/>
                <w:sz w:val="16"/>
                <w:szCs w:val="16"/>
                <w:lang w:val="en-AU" w:eastAsia="en-AU"/>
              </w:rPr>
            </w:pPr>
            <w:r w:rsidRPr="0068721E">
              <w:rPr>
                <w:rFonts w:cs="Arial"/>
                <w:b/>
                <w:color w:val="000000"/>
                <w:sz w:val="16"/>
                <w:szCs w:val="16"/>
                <w:lang w:val="en-AU" w:eastAsia="en-AU"/>
              </w:rPr>
              <w:t xml:space="preserve">Cost Reflective </w:t>
            </w:r>
            <w:r w:rsidRPr="0068721E">
              <w:rPr>
                <w:rFonts w:cs="Arial"/>
                <w:b/>
                <w:color w:val="000000"/>
                <w:sz w:val="16"/>
                <w:szCs w:val="16"/>
                <w:lang w:val="en-AU" w:eastAsia="en-AU"/>
              </w:rPr>
              <w:br/>
              <w:t>TOU Capacity Tariff</w:t>
            </w:r>
          </w:p>
        </w:tc>
        <w:tc>
          <w:tcPr>
            <w:tcW w:w="3544" w:type="dxa"/>
            <w:shd w:val="clear" w:color="auto" w:fill="C6D9F1"/>
            <w:vAlign w:val="center"/>
            <w:hideMark/>
          </w:tcPr>
          <w:p w:rsidR="00BC01C6" w:rsidRPr="0068721E" w:rsidRDefault="00BC01C6" w:rsidP="00722C30">
            <w:pPr>
              <w:spacing w:after="0" w:line="220" w:lineRule="exact"/>
              <w:rPr>
                <w:rFonts w:cs="Arial"/>
                <w:color w:val="000000"/>
                <w:sz w:val="16"/>
                <w:szCs w:val="16"/>
                <w:lang w:val="en-AU" w:eastAsia="en-AU"/>
              </w:rPr>
            </w:pPr>
            <w:r w:rsidRPr="0068721E">
              <w:rPr>
                <w:rFonts w:cs="Arial"/>
                <w:color w:val="000000"/>
                <w:sz w:val="16"/>
                <w:szCs w:val="16"/>
                <w:lang w:val="en-AU" w:eastAsia="en-AU"/>
              </w:rPr>
              <w:t>Consistent with existing practice, Fixed charge, TOU usage charges and a capacity charge, where the price is applied to the highest maximum demand in the peak period.</w:t>
            </w:r>
          </w:p>
        </w:tc>
        <w:tc>
          <w:tcPr>
            <w:tcW w:w="3402" w:type="dxa"/>
            <w:shd w:val="clear" w:color="auto" w:fill="C6D9F1"/>
            <w:vAlign w:val="center"/>
            <w:hideMark/>
          </w:tcPr>
          <w:p w:rsidR="00BC01C6" w:rsidRPr="0068721E" w:rsidRDefault="00BC01C6" w:rsidP="00722C30">
            <w:pPr>
              <w:spacing w:after="0" w:line="220" w:lineRule="exact"/>
              <w:rPr>
                <w:rFonts w:cs="Arial"/>
                <w:color w:val="000000"/>
                <w:sz w:val="16"/>
                <w:szCs w:val="16"/>
                <w:lang w:val="en-AU" w:eastAsia="en-AU"/>
              </w:rPr>
            </w:pPr>
            <w:r w:rsidRPr="0068721E">
              <w:rPr>
                <w:rFonts w:cs="Arial"/>
                <w:color w:val="000000"/>
                <w:sz w:val="16"/>
                <w:szCs w:val="16"/>
                <w:lang w:val="en-AU" w:eastAsia="en-AU"/>
              </w:rPr>
              <w:t>These customers may opt-in to a more cost reflective Individually Calculated Tariff or, in some circumstances, a sub-station connected tariff.</w:t>
            </w:r>
          </w:p>
        </w:tc>
      </w:tr>
    </w:tbl>
    <w:p w:rsidR="000C43BC" w:rsidRDefault="000C43BC" w:rsidP="0068721E">
      <w:pPr>
        <w:spacing w:after="0" w:line="240" w:lineRule="exact"/>
        <w:rPr>
          <w:rStyle w:val="AERbody"/>
        </w:rPr>
      </w:pPr>
    </w:p>
    <w:p w:rsidR="000C43BC" w:rsidRPr="00F93A72" w:rsidRDefault="001E38C6" w:rsidP="00722C30">
      <w:pPr>
        <w:pStyle w:val="Tabletextboxed"/>
        <w:rPr>
          <w:rStyle w:val="AERbody"/>
          <w:sz w:val="16"/>
        </w:rPr>
      </w:pPr>
      <w:r w:rsidRPr="00F93A72">
        <w:rPr>
          <w:rStyle w:val="AERbody"/>
          <w:sz w:val="16"/>
        </w:rPr>
        <w:t>Notes:</w:t>
      </w:r>
    </w:p>
    <w:p w:rsidR="00BC01C6" w:rsidRPr="00F93A72" w:rsidRDefault="001E38C6" w:rsidP="00722C30">
      <w:pPr>
        <w:pStyle w:val="Tabletextboxed"/>
        <w:rPr>
          <w:rStyle w:val="AERbody"/>
          <w:sz w:val="16"/>
        </w:rPr>
      </w:pPr>
      <w:r w:rsidRPr="00F93A72">
        <w:rPr>
          <w:rStyle w:val="AERbody"/>
          <w:sz w:val="16"/>
        </w:rPr>
        <w:t xml:space="preserve">A ‘new customer’ is a newly </w:t>
      </w:r>
      <w:proofErr w:type="spellStart"/>
      <w:r w:rsidRPr="00F93A72">
        <w:rPr>
          <w:rStyle w:val="AERbody"/>
          <w:sz w:val="16"/>
        </w:rPr>
        <w:t>energised</w:t>
      </w:r>
      <w:proofErr w:type="spellEnd"/>
      <w:r w:rsidRPr="00F93A72">
        <w:rPr>
          <w:rStyle w:val="AERbody"/>
          <w:sz w:val="16"/>
        </w:rPr>
        <w:t xml:space="preserve"> connection, </w:t>
      </w:r>
      <w:proofErr w:type="spellStart"/>
      <w:r w:rsidRPr="00F93A72">
        <w:rPr>
          <w:rStyle w:val="AERbody"/>
          <w:sz w:val="16"/>
        </w:rPr>
        <w:t>ie</w:t>
      </w:r>
      <w:proofErr w:type="spellEnd"/>
      <w:r w:rsidRPr="00F93A72">
        <w:rPr>
          <w:rStyle w:val="AERbody"/>
          <w:sz w:val="16"/>
        </w:rPr>
        <w:t xml:space="preserve">, a customer that connects to </w:t>
      </w:r>
      <w:proofErr w:type="spellStart"/>
      <w:r w:rsidRPr="00F93A72">
        <w:rPr>
          <w:rStyle w:val="AERbody"/>
          <w:sz w:val="16"/>
        </w:rPr>
        <w:t>Ausgrid's</w:t>
      </w:r>
      <w:proofErr w:type="spellEnd"/>
      <w:r w:rsidRPr="00F93A72">
        <w:rPr>
          <w:rStyle w:val="AERbody"/>
          <w:sz w:val="16"/>
        </w:rPr>
        <w:t xml:space="preserve"> electricity network on or after 1 July 2018.</w:t>
      </w:r>
    </w:p>
    <w:p w:rsidR="001E38C6" w:rsidRPr="00F93A72" w:rsidRDefault="001E38C6" w:rsidP="00722C30">
      <w:pPr>
        <w:pStyle w:val="Tabletextboxed"/>
        <w:rPr>
          <w:rStyle w:val="AERbody"/>
          <w:sz w:val="16"/>
        </w:rPr>
      </w:pPr>
      <w:r w:rsidRPr="00F93A72">
        <w:rPr>
          <w:rStyle w:val="AERbody"/>
          <w:sz w:val="16"/>
        </w:rPr>
        <w:t xml:space="preserve">An </w:t>
      </w:r>
      <w:r w:rsidR="00C82F38" w:rsidRPr="00F93A72">
        <w:rPr>
          <w:rStyle w:val="AERbody"/>
          <w:sz w:val="16"/>
        </w:rPr>
        <w:t>‘</w:t>
      </w:r>
      <w:r w:rsidRPr="00F93A72">
        <w:rPr>
          <w:rStyle w:val="AERbody"/>
          <w:sz w:val="16"/>
        </w:rPr>
        <w:t>existing customer</w:t>
      </w:r>
      <w:r w:rsidR="00C82F38" w:rsidRPr="00F93A72">
        <w:rPr>
          <w:rStyle w:val="AERbody"/>
          <w:sz w:val="16"/>
        </w:rPr>
        <w:t>’</w:t>
      </w:r>
      <w:r w:rsidRPr="00F93A72">
        <w:rPr>
          <w:rStyle w:val="AERbody"/>
          <w:sz w:val="16"/>
        </w:rPr>
        <w:t xml:space="preserve"> is a customer that exist</w:t>
      </w:r>
      <w:r w:rsidR="00491AD3">
        <w:rPr>
          <w:rStyle w:val="AERbody"/>
          <w:sz w:val="16"/>
        </w:rPr>
        <w:t>s</w:t>
      </w:r>
      <w:r w:rsidRPr="00F93A72">
        <w:rPr>
          <w:rStyle w:val="AERbody"/>
          <w:sz w:val="16"/>
        </w:rPr>
        <w:t xml:space="preserve"> at the time </w:t>
      </w:r>
      <w:proofErr w:type="spellStart"/>
      <w:r w:rsidRPr="00F93A72">
        <w:rPr>
          <w:rStyle w:val="AERbody"/>
          <w:sz w:val="16"/>
        </w:rPr>
        <w:t>Ausgrid</w:t>
      </w:r>
      <w:proofErr w:type="spellEnd"/>
      <w:r w:rsidRPr="00F93A72">
        <w:rPr>
          <w:rStyle w:val="AERbody"/>
          <w:sz w:val="16"/>
        </w:rPr>
        <w:t xml:space="preserve"> undertakes the annual review and assessment for the FY2018/19 pricing proposal.</w:t>
      </w:r>
    </w:p>
    <w:p w:rsidR="00BC01C6" w:rsidRPr="00F93A72" w:rsidRDefault="00C82F38" w:rsidP="00722C30">
      <w:pPr>
        <w:pStyle w:val="Tabletextboxed"/>
        <w:rPr>
          <w:rStyle w:val="AERbody"/>
          <w:sz w:val="16"/>
        </w:rPr>
      </w:pPr>
      <w:r w:rsidRPr="00F93A72">
        <w:rPr>
          <w:rStyle w:val="AERbody"/>
          <w:sz w:val="16"/>
        </w:rPr>
        <w:t>*</w:t>
      </w:r>
      <w:r w:rsidR="000C43BC" w:rsidRPr="00F93A72">
        <w:rPr>
          <w:rStyle w:val="AERbody"/>
          <w:sz w:val="16"/>
        </w:rPr>
        <w:t xml:space="preserve"> </w:t>
      </w:r>
      <w:r w:rsidRPr="00F93A72">
        <w:rPr>
          <w:rStyle w:val="AERbody"/>
          <w:sz w:val="16"/>
        </w:rPr>
        <w:t>EA010 for residential customers and EA050 for small business customers.</w:t>
      </w:r>
    </w:p>
    <w:p w:rsidR="00C82F38" w:rsidRPr="00F93A72" w:rsidRDefault="00C82F38" w:rsidP="00722C30">
      <w:pPr>
        <w:pStyle w:val="Tabletextboxed"/>
        <w:rPr>
          <w:rStyle w:val="AERbody"/>
          <w:sz w:val="16"/>
        </w:rPr>
      </w:pPr>
      <w:r w:rsidRPr="00F93A72">
        <w:rPr>
          <w:rStyle w:val="AERbody"/>
          <w:sz w:val="16"/>
        </w:rPr>
        <w:t>**</w:t>
      </w:r>
      <w:r w:rsidR="000C43BC" w:rsidRPr="00F93A72">
        <w:rPr>
          <w:rStyle w:val="AERbody"/>
          <w:sz w:val="16"/>
        </w:rPr>
        <w:t xml:space="preserve"> </w:t>
      </w:r>
      <w:r w:rsidRPr="00F93A72">
        <w:rPr>
          <w:rStyle w:val="AERbody"/>
          <w:sz w:val="16"/>
        </w:rPr>
        <w:t>EA025 for residential customers and EA225 for small business customers.</w:t>
      </w:r>
    </w:p>
    <w:p w:rsidR="0068721E" w:rsidRPr="00F93A72" w:rsidRDefault="00C82F38" w:rsidP="00722C30">
      <w:pPr>
        <w:pStyle w:val="Tabletextboxed"/>
        <w:rPr>
          <w:rStyle w:val="AERbody"/>
          <w:sz w:val="16"/>
        </w:rPr>
        <w:sectPr w:rsidR="0068721E" w:rsidRPr="00F93A72" w:rsidSect="0068721E">
          <w:footerReference w:type="default" r:id="rId26"/>
          <w:pgSz w:w="16840" w:h="11907" w:orient="landscape" w:code="9"/>
          <w:pgMar w:top="1440" w:right="1440" w:bottom="1134" w:left="1440" w:header="431" w:footer="431" w:gutter="0"/>
          <w:cols w:space="720"/>
          <w:docGrid w:linePitch="245"/>
        </w:sectPr>
      </w:pPr>
      <w:proofErr w:type="gramStart"/>
      <w:r w:rsidRPr="00F93A72">
        <w:rPr>
          <w:rStyle w:val="AERbody"/>
          <w:sz w:val="16"/>
          <w:vertAlign w:val="superscript"/>
        </w:rPr>
        <w:t>#</w:t>
      </w:r>
      <w:r w:rsidRPr="00F93A72">
        <w:rPr>
          <w:rStyle w:val="AERbody"/>
          <w:sz w:val="16"/>
        </w:rPr>
        <w:t xml:space="preserve"> EA332 for residential customers and EA333 for small business customers.</w:t>
      </w:r>
      <w:proofErr w:type="gramEnd"/>
    </w:p>
    <w:p w:rsidR="001E38C6" w:rsidRPr="00722C30" w:rsidRDefault="003F4D57" w:rsidP="00BD7A0B">
      <w:pPr>
        <w:pStyle w:val="BodyText"/>
        <w:rPr>
          <w:rStyle w:val="AERbody"/>
        </w:rPr>
      </w:pPr>
      <w:r w:rsidRPr="00722C30">
        <w:rPr>
          <w:rStyle w:val="AERbody"/>
        </w:rPr>
        <w:lastRenderedPageBreak/>
        <w:t>E</w:t>
      </w:r>
      <w:r w:rsidR="001E38C6" w:rsidRPr="00722C30">
        <w:rPr>
          <w:rStyle w:val="AERbody"/>
        </w:rPr>
        <w:t xml:space="preserve">xisting customers (and new) customers in the high voltage </w:t>
      </w:r>
      <w:r w:rsidRPr="00722C30">
        <w:rPr>
          <w:rStyle w:val="AERbody"/>
        </w:rPr>
        <w:t xml:space="preserve">or sub-transmission </w:t>
      </w:r>
      <w:r w:rsidR="001E38C6" w:rsidRPr="00722C30">
        <w:rPr>
          <w:rStyle w:val="AERbody"/>
        </w:rPr>
        <w:t>tariff class</w:t>
      </w:r>
      <w:r w:rsidRPr="00722C30">
        <w:rPr>
          <w:rStyle w:val="AERbody"/>
        </w:rPr>
        <w:t>es</w:t>
      </w:r>
      <w:r w:rsidR="001E38C6" w:rsidRPr="00722C30">
        <w:rPr>
          <w:rStyle w:val="AERbody"/>
        </w:rPr>
        <w:t xml:space="preserve"> will continue to have </w:t>
      </w:r>
      <w:r w:rsidRPr="00722C30">
        <w:rPr>
          <w:rStyle w:val="AERbody"/>
        </w:rPr>
        <w:t xml:space="preserve">an </w:t>
      </w:r>
      <w:r w:rsidR="00A262F7" w:rsidRPr="00722C30">
        <w:rPr>
          <w:rStyle w:val="AERbody"/>
        </w:rPr>
        <w:t>interval (or better) meter</w:t>
      </w:r>
      <w:r w:rsidR="001E38C6" w:rsidRPr="00722C30">
        <w:rPr>
          <w:rStyle w:val="AERbody"/>
        </w:rPr>
        <w:t xml:space="preserve"> and so</w:t>
      </w:r>
      <w:r w:rsidR="00A262F7" w:rsidRPr="00722C30">
        <w:rPr>
          <w:rStyle w:val="AERbody"/>
        </w:rPr>
        <w:t xml:space="preserve"> will</w:t>
      </w:r>
      <w:r w:rsidR="001E38C6" w:rsidRPr="00722C30">
        <w:rPr>
          <w:rStyle w:val="AERbody"/>
        </w:rPr>
        <w:t xml:space="preserve"> be assigned to a </w:t>
      </w:r>
      <w:r w:rsidR="009E5FD9">
        <w:rPr>
          <w:rStyle w:val="AERbody"/>
        </w:rPr>
        <w:t xml:space="preserve">default </w:t>
      </w:r>
      <w:r w:rsidR="001E38C6" w:rsidRPr="00722C30">
        <w:rPr>
          <w:rStyle w:val="AERbody"/>
        </w:rPr>
        <w:t xml:space="preserve">TOU </w:t>
      </w:r>
      <w:r w:rsidR="00D0678A">
        <w:rPr>
          <w:rStyle w:val="AERbody"/>
        </w:rPr>
        <w:t>c</w:t>
      </w:r>
      <w:r w:rsidR="00D0678A" w:rsidRPr="00722C30">
        <w:rPr>
          <w:rStyle w:val="AERbody"/>
        </w:rPr>
        <w:t xml:space="preserve">apacity </w:t>
      </w:r>
      <w:r w:rsidR="001E38C6" w:rsidRPr="00722C30">
        <w:rPr>
          <w:rStyle w:val="AERbody"/>
        </w:rPr>
        <w:t>tariff</w:t>
      </w:r>
      <w:r w:rsidR="009E5FD9">
        <w:rPr>
          <w:rStyle w:val="AERbody"/>
        </w:rPr>
        <w:t xml:space="preserve"> in accordance with the process in </w:t>
      </w:r>
      <w:r w:rsidR="009E5FD9" w:rsidRPr="00F93A72">
        <w:rPr>
          <w:rStyle w:val="AERbody"/>
          <w:sz w:val="22"/>
        </w:rPr>
        <w:fldChar w:fldCharType="begin"/>
      </w:r>
      <w:r w:rsidR="009E5FD9" w:rsidRPr="00F93A72">
        <w:rPr>
          <w:rStyle w:val="AERbody"/>
          <w:sz w:val="22"/>
        </w:rPr>
        <w:instrText xml:space="preserve"> REF _Ref462919721 \h </w:instrText>
      </w:r>
      <w:r w:rsidR="009E5FD9">
        <w:rPr>
          <w:rStyle w:val="AERbody"/>
          <w:sz w:val="22"/>
        </w:rPr>
        <w:instrText xml:space="preserve"> \* MERGEFORMAT </w:instrText>
      </w:r>
      <w:r w:rsidR="009E5FD9" w:rsidRPr="00F93A72">
        <w:rPr>
          <w:rStyle w:val="AERbody"/>
          <w:sz w:val="22"/>
        </w:rPr>
      </w:r>
      <w:r w:rsidR="009E5FD9" w:rsidRPr="00F93A72">
        <w:rPr>
          <w:rStyle w:val="AERbody"/>
          <w:sz w:val="22"/>
        </w:rPr>
        <w:fldChar w:fldCharType="separate"/>
      </w:r>
      <w:r w:rsidR="00BE0834" w:rsidRPr="0071162E">
        <w:t xml:space="preserve">Figure </w:t>
      </w:r>
      <w:r w:rsidR="00BE0834">
        <w:t>4</w:t>
      </w:r>
      <w:r w:rsidR="009E5FD9" w:rsidRPr="00F93A72">
        <w:rPr>
          <w:rStyle w:val="AERbody"/>
          <w:sz w:val="22"/>
        </w:rPr>
        <w:fldChar w:fldCharType="end"/>
      </w:r>
      <w:r w:rsidR="009E5FD9">
        <w:rPr>
          <w:rStyle w:val="AERbody"/>
        </w:rPr>
        <w:t xml:space="preserve">. A default TOU capacity tariff comprises </w:t>
      </w:r>
      <w:r w:rsidRPr="00722C30">
        <w:rPr>
          <w:rStyle w:val="AERbody"/>
        </w:rPr>
        <w:t>a fixed charge, a TOU usage charge and a capacity charge, where the price for the capacity charge is</w:t>
      </w:r>
      <w:r w:rsidR="007318B2" w:rsidRPr="00722C30">
        <w:rPr>
          <w:rStyle w:val="AERbody"/>
        </w:rPr>
        <w:t xml:space="preserve"> applied to the highest maximum </w:t>
      </w:r>
      <w:r w:rsidRPr="00722C30">
        <w:rPr>
          <w:rStyle w:val="AERbody"/>
        </w:rPr>
        <w:t>demand in the peak period</w:t>
      </w:r>
      <w:r w:rsidR="007318B2" w:rsidRPr="00722C30">
        <w:rPr>
          <w:rStyle w:val="AERbody"/>
        </w:rPr>
        <w:t xml:space="preserve"> over the previous 12 months</w:t>
      </w:r>
      <w:r w:rsidRPr="00722C30">
        <w:rPr>
          <w:rStyle w:val="AERbody"/>
        </w:rPr>
        <w:t>. Further, these customers may opt-in to a more cost reflective Individually Calculated Tariff (ICT) or</w:t>
      </w:r>
      <w:r w:rsidR="00A262F7" w:rsidRPr="00722C30">
        <w:rPr>
          <w:rStyle w:val="AERbody"/>
        </w:rPr>
        <w:t>, in some circumstances,</w:t>
      </w:r>
      <w:r w:rsidRPr="00722C30">
        <w:rPr>
          <w:rStyle w:val="AERbody"/>
        </w:rPr>
        <w:t xml:space="preserve"> a sub-station connected tariff.</w:t>
      </w:r>
    </w:p>
    <w:p w:rsidR="0073634E" w:rsidRPr="00722C30" w:rsidRDefault="00420DD9" w:rsidP="007D0321">
      <w:pPr>
        <w:pStyle w:val="BodyText"/>
        <w:rPr>
          <w:rStyle w:val="AERbody"/>
        </w:rPr>
      </w:pPr>
      <w:r w:rsidRPr="00722C30">
        <w:rPr>
          <w:rStyle w:val="AERbody"/>
        </w:rPr>
        <w:t xml:space="preserve">Finally, if they are found to satisfy the eligibility criteria, </w:t>
      </w:r>
      <w:r w:rsidR="001C2443" w:rsidRPr="00722C30">
        <w:rPr>
          <w:rStyle w:val="AERbody"/>
        </w:rPr>
        <w:t xml:space="preserve">Ausgrid </w:t>
      </w:r>
      <w:r w:rsidRPr="00722C30">
        <w:rPr>
          <w:rStyle w:val="AERbody"/>
        </w:rPr>
        <w:t xml:space="preserve">will </w:t>
      </w:r>
      <w:r w:rsidR="001C2443" w:rsidRPr="00722C30">
        <w:rPr>
          <w:rStyle w:val="AERbody"/>
        </w:rPr>
        <w:t>re-assign customers connected to our electricity transmission network to</w:t>
      </w:r>
      <w:r w:rsidR="002834F9" w:rsidRPr="00722C30">
        <w:rPr>
          <w:rStyle w:val="AERbody"/>
        </w:rPr>
        <w:t xml:space="preserve"> </w:t>
      </w:r>
      <w:r w:rsidR="001C2443" w:rsidRPr="00722C30">
        <w:rPr>
          <w:rStyle w:val="AERbody"/>
        </w:rPr>
        <w:t xml:space="preserve">an individually calculated site-specific </w:t>
      </w:r>
      <w:r w:rsidR="002834F9" w:rsidRPr="00722C30">
        <w:rPr>
          <w:rStyle w:val="AERbody"/>
        </w:rPr>
        <w:t xml:space="preserve">network </w:t>
      </w:r>
      <w:r w:rsidR="001C2443" w:rsidRPr="00722C30">
        <w:rPr>
          <w:rStyle w:val="AERbody"/>
        </w:rPr>
        <w:t>tariff as part of Ausgrid’s annual pricing process</w:t>
      </w:r>
      <w:r w:rsidRPr="00722C30">
        <w:rPr>
          <w:rStyle w:val="AERbody"/>
        </w:rPr>
        <w:t>.</w:t>
      </w:r>
    </w:p>
    <w:p w:rsidR="0073634E" w:rsidRPr="00144FD3" w:rsidRDefault="0073634E" w:rsidP="00722C30">
      <w:pPr>
        <w:pStyle w:val="Heading3"/>
      </w:pPr>
      <w:bookmarkStart w:id="371" w:name="_Ref462146949"/>
      <w:r w:rsidRPr="00144FD3">
        <w:t>Re-assigning existing retail customer to another NUOS tariff as a result of a tariff change application</w:t>
      </w:r>
      <w:bookmarkEnd w:id="371"/>
    </w:p>
    <w:p w:rsidR="0073634E" w:rsidRPr="00722C30" w:rsidRDefault="0073634E" w:rsidP="00BD7A0B">
      <w:pPr>
        <w:pStyle w:val="BodyText"/>
        <w:rPr>
          <w:rStyle w:val="AERbody"/>
        </w:rPr>
      </w:pPr>
      <w:r w:rsidRPr="00722C30">
        <w:rPr>
          <w:rStyle w:val="AERbody"/>
        </w:rPr>
        <w:t xml:space="preserve">Ausgrid is required </w:t>
      </w:r>
      <w:r w:rsidRPr="00722C30">
        <w:rPr>
          <w:rStyle w:val="AERbody"/>
          <w:szCs w:val="24"/>
          <w:lang w:val="en-US" w:eastAsia="en-US"/>
        </w:rPr>
        <w:t>under</w:t>
      </w:r>
      <w:r w:rsidRPr="00722C30">
        <w:rPr>
          <w:rStyle w:val="AERbody"/>
        </w:rPr>
        <w:t xml:space="preserve"> Clause 6B.A3.2(a) of Chapter 6B of the NER to review the NUOS tariff that a retail customer is assigned to in response to a request from a retailer in the following circumstances</w:t>
      </w:r>
      <w:r w:rsidR="00B17C8B">
        <w:rPr>
          <w:rStyle w:val="AERbody"/>
        </w:rPr>
        <w:t>, ie</w:t>
      </w:r>
      <w:r w:rsidRPr="00722C30">
        <w:rPr>
          <w:rStyle w:val="AERbody"/>
        </w:rPr>
        <w:t>:</w:t>
      </w:r>
    </w:p>
    <w:p w:rsidR="0073634E" w:rsidRPr="00144FD3" w:rsidRDefault="00B17C8B" w:rsidP="00722C30">
      <w:pPr>
        <w:pStyle w:val="Bulletedtext"/>
      </w:pPr>
      <w:r>
        <w:t>i</w:t>
      </w:r>
      <w:r w:rsidRPr="00144FD3">
        <w:t xml:space="preserve">f </w:t>
      </w:r>
      <w:r w:rsidR="0073634E" w:rsidRPr="00144FD3">
        <w:t>a shared customer</w:t>
      </w:r>
      <w:r w:rsidR="00E87467">
        <w:rPr>
          <w:rStyle w:val="FootnoteReference"/>
        </w:rPr>
        <w:footnoteReference w:id="14"/>
      </w:r>
      <w:r w:rsidR="0073634E" w:rsidRPr="00144FD3">
        <w:t xml:space="preserve"> informs the retailer of a change in use of electricity consumption at the customer’s </w:t>
      </w:r>
      <w:r w:rsidR="0073634E" w:rsidRPr="00144FD3">
        <w:rPr>
          <w:rFonts w:eastAsia="Cambria"/>
          <w:szCs w:val="16"/>
          <w:lang w:eastAsia="en-AU"/>
        </w:rPr>
        <w:t>premises</w:t>
      </w:r>
      <w:r w:rsidR="0073634E" w:rsidRPr="00144FD3">
        <w:t xml:space="preserve"> as a result of which the retailer reasonably considers that the existing tariff applying to the customer should no longer apply</w:t>
      </w:r>
      <w:r w:rsidR="00D0678A">
        <w:t>; or</w:t>
      </w:r>
    </w:p>
    <w:p w:rsidR="0073634E" w:rsidRPr="00144FD3" w:rsidRDefault="00B17C8B" w:rsidP="00722C30">
      <w:pPr>
        <w:pStyle w:val="Bulletedtext"/>
      </w:pPr>
      <w:proofErr w:type="gramStart"/>
      <w:r>
        <w:t>f</w:t>
      </w:r>
      <w:r w:rsidRPr="00144FD3">
        <w:t>or</w:t>
      </w:r>
      <w:proofErr w:type="gramEnd"/>
      <w:r w:rsidRPr="00144FD3">
        <w:t xml:space="preserve"> </w:t>
      </w:r>
      <w:r w:rsidR="0073634E" w:rsidRPr="00144FD3">
        <w:t>any other reason, but not more than once in any 12 month period in respect to the same premise.</w:t>
      </w:r>
    </w:p>
    <w:p w:rsidR="0073634E" w:rsidRPr="00722C30" w:rsidRDefault="0073634E" w:rsidP="00BD7A0B">
      <w:pPr>
        <w:pStyle w:val="BodyText"/>
        <w:rPr>
          <w:rStyle w:val="AERbody"/>
        </w:rPr>
      </w:pPr>
      <w:r w:rsidRPr="00722C30">
        <w:rPr>
          <w:rStyle w:val="AERbody"/>
        </w:rPr>
        <w:t>Ausgrid proposes to satisfy this obligation in the following manner:</w:t>
      </w:r>
    </w:p>
    <w:p w:rsidR="0073634E" w:rsidRPr="00144FD3" w:rsidRDefault="003F4D57" w:rsidP="00722C30">
      <w:pPr>
        <w:pStyle w:val="Bulletedtext"/>
      </w:pPr>
      <w:r>
        <w:t>m</w:t>
      </w:r>
      <w:r w:rsidRPr="00144FD3">
        <w:t xml:space="preserve">aintain </w:t>
      </w:r>
      <w:r w:rsidR="0073634E" w:rsidRPr="00144FD3">
        <w:t>a document on our website that sets out the criteria applying to each published NUOS tariff</w:t>
      </w:r>
      <w:r>
        <w:t xml:space="preserve"> –</w:t>
      </w:r>
      <w:r w:rsidRPr="00144FD3">
        <w:t xml:space="preserve"> </w:t>
      </w:r>
      <w:r>
        <w:t>t</w:t>
      </w:r>
      <w:r w:rsidRPr="00144FD3">
        <w:t xml:space="preserve">his </w:t>
      </w:r>
      <w:r w:rsidR="0073634E" w:rsidRPr="00144FD3">
        <w:t>will ensure that a retailer is sufficiently informed to accurately assess whether the retail customers is eligible to apply to be re-assigned to another NUOS tariff</w:t>
      </w:r>
      <w:r>
        <w:t>; and</w:t>
      </w:r>
    </w:p>
    <w:p w:rsidR="0073634E" w:rsidRPr="00144FD3" w:rsidRDefault="003F4D57" w:rsidP="00722C30">
      <w:pPr>
        <w:pStyle w:val="Bulletedtext"/>
      </w:pPr>
      <w:proofErr w:type="gramStart"/>
      <w:r>
        <w:t>m</w:t>
      </w:r>
      <w:r w:rsidRPr="00144FD3">
        <w:t>aintain</w:t>
      </w:r>
      <w:proofErr w:type="gramEnd"/>
      <w:r w:rsidRPr="00144FD3">
        <w:t xml:space="preserve"> </w:t>
      </w:r>
      <w:r w:rsidR="0073634E" w:rsidRPr="00144FD3">
        <w:t xml:space="preserve">on our website a tariff change application form and explanation of the process that </w:t>
      </w:r>
      <w:proofErr w:type="spellStart"/>
      <w:r w:rsidR="0073634E" w:rsidRPr="00144FD3">
        <w:t>Ausgrid</w:t>
      </w:r>
      <w:proofErr w:type="spellEnd"/>
      <w:r w:rsidR="0073634E" w:rsidRPr="00144FD3">
        <w:t xml:space="preserve"> follows to assess these applications (including dispute resolution procedure).</w:t>
      </w:r>
    </w:p>
    <w:p w:rsidR="0073634E" w:rsidRDefault="0073634E" w:rsidP="00845495">
      <w:pPr>
        <w:spacing w:before="120" w:after="120"/>
      </w:pPr>
    </w:p>
    <w:p w:rsidR="0073634E" w:rsidRDefault="0073634E" w:rsidP="00845495">
      <w:pPr>
        <w:spacing w:before="120" w:after="120"/>
      </w:pPr>
    </w:p>
    <w:p w:rsidR="005A6607" w:rsidRDefault="005A6607" w:rsidP="00845495">
      <w:pPr>
        <w:spacing w:before="120" w:after="120"/>
      </w:pPr>
    </w:p>
    <w:p w:rsidR="0048646D" w:rsidRPr="00D36384" w:rsidRDefault="0048646D" w:rsidP="00722C30">
      <w:pPr>
        <w:pStyle w:val="Heading1"/>
      </w:pPr>
      <w:bookmarkStart w:id="372" w:name="_Toc475527422"/>
      <w:r w:rsidRPr="00D36384">
        <w:lastRenderedPageBreak/>
        <w:t>Long Run Marginal Cost</w:t>
      </w:r>
      <w:bookmarkEnd w:id="372"/>
    </w:p>
    <w:p w:rsidR="00244DD1" w:rsidRPr="00722C30" w:rsidRDefault="004908CA" w:rsidP="00BD7A0B">
      <w:pPr>
        <w:pStyle w:val="BodyText"/>
        <w:rPr>
          <w:rStyle w:val="AERbody"/>
        </w:rPr>
      </w:pPr>
      <w:r w:rsidRPr="00722C30">
        <w:rPr>
          <w:rStyle w:val="AERbody"/>
        </w:rPr>
        <w:t>The NER</w:t>
      </w:r>
      <w:r w:rsidR="0048646D" w:rsidRPr="00722C30">
        <w:rPr>
          <w:rStyle w:val="AERbody"/>
        </w:rPr>
        <w:t xml:space="preserve"> requires each tariff </w:t>
      </w:r>
      <w:r w:rsidRPr="00722C30">
        <w:rPr>
          <w:rStyle w:val="AERbody"/>
        </w:rPr>
        <w:t xml:space="preserve">to </w:t>
      </w:r>
      <w:r w:rsidR="0048646D" w:rsidRPr="00722C30">
        <w:rPr>
          <w:rStyle w:val="AERbody"/>
        </w:rPr>
        <w:t xml:space="preserve">be based on the long run marginal cost of providing the </w:t>
      </w:r>
      <w:r w:rsidR="00244DD1" w:rsidRPr="00722C30">
        <w:rPr>
          <w:rStyle w:val="AERbody"/>
        </w:rPr>
        <w:t xml:space="preserve">relevant </w:t>
      </w:r>
      <w:r w:rsidR="0048646D" w:rsidRPr="00722C30">
        <w:rPr>
          <w:rStyle w:val="AERbody"/>
        </w:rPr>
        <w:t xml:space="preserve">service </w:t>
      </w:r>
      <w:r w:rsidR="00244DD1" w:rsidRPr="00722C30">
        <w:rPr>
          <w:rStyle w:val="AERbody"/>
        </w:rPr>
        <w:t xml:space="preserve">to </w:t>
      </w:r>
      <w:r w:rsidR="0048646D" w:rsidRPr="00722C30">
        <w:rPr>
          <w:rStyle w:val="AERbody"/>
        </w:rPr>
        <w:t>the retail customers assigned to that tariff</w:t>
      </w:r>
      <w:r w:rsidR="00244DD1" w:rsidRPr="00722C30">
        <w:rPr>
          <w:rStyle w:val="AERbody"/>
        </w:rPr>
        <w:t>.</w:t>
      </w:r>
    </w:p>
    <w:p w:rsidR="00244DD1" w:rsidRPr="00722C30" w:rsidRDefault="00244DD1" w:rsidP="007D0321">
      <w:pPr>
        <w:pStyle w:val="BodyText"/>
        <w:rPr>
          <w:rStyle w:val="AERbody"/>
        </w:rPr>
      </w:pPr>
      <w:r w:rsidRPr="00722C30">
        <w:rPr>
          <w:rStyle w:val="AERbody"/>
        </w:rPr>
        <w:t xml:space="preserve">LRMC is a forward looking concept and amounts to a measure of the additional cost incurred as a result of </w:t>
      </w:r>
      <w:r w:rsidR="0031623F" w:rsidRPr="00722C30">
        <w:rPr>
          <w:rStyle w:val="AERbody"/>
        </w:rPr>
        <w:t xml:space="preserve">a </w:t>
      </w:r>
      <w:r w:rsidRPr="00722C30">
        <w:rPr>
          <w:rStyle w:val="AERbody"/>
        </w:rPr>
        <w:t>relatively small increase in output, assuming all factors of production are able to be varied. Setting network tariffs by reference to LRMC encourages customers to use our services where the benefit they derive exceeds the cost of providing the relevant services.</w:t>
      </w:r>
    </w:p>
    <w:p w:rsidR="00244DD1" w:rsidRPr="00722C30" w:rsidRDefault="00244DD1">
      <w:pPr>
        <w:pStyle w:val="BodyText"/>
        <w:rPr>
          <w:rStyle w:val="AERbody"/>
        </w:rPr>
      </w:pPr>
      <w:r w:rsidRPr="00722C30">
        <w:rPr>
          <w:rStyle w:val="AERbody"/>
        </w:rPr>
        <w:t>Since LRMC is a forward looking concept concerned with the cost of an incremental increase in output, it does not reflect historical costs associated with the existing network. Therefore, setting prices equal to LRMC, generally, does not permit the recovery of Ausgrid’s efficient costs. In other words, if each tariff was set equal to LRMC there would be a residual amount of efficient costs to be recovered</w:t>
      </w:r>
      <w:r w:rsidR="0031623F" w:rsidRPr="00722C30">
        <w:rPr>
          <w:rStyle w:val="AERbody"/>
        </w:rPr>
        <w:t>. W</w:t>
      </w:r>
      <w:r w:rsidRPr="00722C30">
        <w:rPr>
          <w:rStyle w:val="AERbody"/>
        </w:rPr>
        <w:t>e discuss our approach to recovering th</w:t>
      </w:r>
      <w:r w:rsidR="00D0678A">
        <w:rPr>
          <w:rStyle w:val="AERbody"/>
        </w:rPr>
        <w:t>ese residual costs</w:t>
      </w:r>
      <w:r w:rsidRPr="00722C30">
        <w:rPr>
          <w:rStyle w:val="AERbody"/>
        </w:rPr>
        <w:t xml:space="preserve"> in section</w:t>
      </w:r>
      <w:r w:rsidR="00347193" w:rsidRPr="00722C30">
        <w:rPr>
          <w:rStyle w:val="AERbody"/>
        </w:rPr>
        <w:t xml:space="preserve"> </w:t>
      </w:r>
      <w:r w:rsidR="00347193" w:rsidRPr="00722C30">
        <w:rPr>
          <w:rStyle w:val="AERbody"/>
        </w:rPr>
        <w:fldChar w:fldCharType="begin"/>
      </w:r>
      <w:r w:rsidR="00347193" w:rsidRPr="00722C30">
        <w:rPr>
          <w:rStyle w:val="AERbody"/>
        </w:rPr>
        <w:instrText xml:space="preserve"> REF _Ref462042542 \r \h </w:instrText>
      </w:r>
      <w:r w:rsidR="00347193" w:rsidRPr="00722C30">
        <w:rPr>
          <w:rStyle w:val="AERbody"/>
        </w:rPr>
      </w:r>
      <w:r w:rsidR="00347193" w:rsidRPr="00722C30">
        <w:rPr>
          <w:rStyle w:val="AERbody"/>
        </w:rPr>
        <w:fldChar w:fldCharType="separate"/>
      </w:r>
      <w:r w:rsidR="00BE0834">
        <w:rPr>
          <w:rStyle w:val="AERbody"/>
        </w:rPr>
        <w:t>7</w:t>
      </w:r>
      <w:r w:rsidR="00347193" w:rsidRPr="00722C30">
        <w:rPr>
          <w:rStyle w:val="AERbody"/>
        </w:rPr>
        <w:fldChar w:fldCharType="end"/>
      </w:r>
      <w:r w:rsidRPr="00722C30">
        <w:rPr>
          <w:rStyle w:val="AERbody"/>
        </w:rPr>
        <w:t>.</w:t>
      </w:r>
    </w:p>
    <w:p w:rsidR="003F4D57" w:rsidRPr="00722C30" w:rsidRDefault="003F4D57">
      <w:pPr>
        <w:pStyle w:val="BodyText"/>
        <w:rPr>
          <w:rStyle w:val="AERbody"/>
        </w:rPr>
      </w:pPr>
      <w:r w:rsidRPr="00722C30">
        <w:rPr>
          <w:rStyle w:val="AERbody"/>
        </w:rPr>
        <w:t>A detailed description of Ausgrid’s approach to estimating LRMC is presented in Appendix A.</w:t>
      </w:r>
    </w:p>
    <w:p w:rsidR="00744032" w:rsidRDefault="00744032" w:rsidP="00722C30">
      <w:pPr>
        <w:pStyle w:val="Heading2"/>
      </w:pPr>
      <w:bookmarkStart w:id="373" w:name="_Toc475527423"/>
      <w:r>
        <w:t>Our approach to estimating LRMC</w:t>
      </w:r>
      <w:bookmarkEnd w:id="373"/>
    </w:p>
    <w:p w:rsidR="00744032" w:rsidRPr="00722C30" w:rsidRDefault="00744032" w:rsidP="00BD7A0B">
      <w:pPr>
        <w:pStyle w:val="BodyText"/>
        <w:rPr>
          <w:rStyle w:val="AERbody"/>
        </w:rPr>
      </w:pPr>
      <w:r w:rsidRPr="00722C30">
        <w:rPr>
          <w:rStyle w:val="AERbody"/>
        </w:rPr>
        <w:t>Given the conceptual nature of LRMC, there are a number of alternative approaches to its estimation. Ausgrid</w:t>
      </w:r>
      <w:r w:rsidR="0031623F" w:rsidRPr="00722C30">
        <w:rPr>
          <w:rStyle w:val="AERbody"/>
        </w:rPr>
        <w:t>’s</w:t>
      </w:r>
      <w:r w:rsidRPr="00722C30">
        <w:rPr>
          <w:rStyle w:val="AERbody"/>
        </w:rPr>
        <w:t xml:space="preserve"> estimate</w:t>
      </w:r>
      <w:r w:rsidR="0031623F" w:rsidRPr="00722C30">
        <w:rPr>
          <w:rStyle w:val="AERbody"/>
        </w:rPr>
        <w:t>s</w:t>
      </w:r>
      <w:r w:rsidRPr="00722C30">
        <w:rPr>
          <w:rStyle w:val="AERbody"/>
        </w:rPr>
        <w:t xml:space="preserve"> </w:t>
      </w:r>
      <w:r w:rsidR="0031623F" w:rsidRPr="00722C30">
        <w:rPr>
          <w:rStyle w:val="AERbody"/>
        </w:rPr>
        <w:t xml:space="preserve">of </w:t>
      </w:r>
      <w:r w:rsidRPr="00722C30">
        <w:rPr>
          <w:rStyle w:val="AERbody"/>
        </w:rPr>
        <w:t xml:space="preserve">LRMC </w:t>
      </w:r>
      <w:r w:rsidR="0031623F" w:rsidRPr="00722C30">
        <w:rPr>
          <w:rStyle w:val="AERbody"/>
        </w:rPr>
        <w:t xml:space="preserve">are calculated </w:t>
      </w:r>
      <w:r w:rsidRPr="00722C30">
        <w:rPr>
          <w:rStyle w:val="AERbody"/>
        </w:rPr>
        <w:t xml:space="preserve">using the average incremental cost (AIC) approach. </w:t>
      </w:r>
    </w:p>
    <w:p w:rsidR="00744032" w:rsidRPr="00722C30" w:rsidRDefault="00744032" w:rsidP="007D0321">
      <w:pPr>
        <w:pStyle w:val="BodyText"/>
        <w:rPr>
          <w:rStyle w:val="AERbody"/>
        </w:rPr>
      </w:pPr>
      <w:r w:rsidRPr="00722C30">
        <w:rPr>
          <w:rStyle w:val="AERbody"/>
        </w:rPr>
        <w:t>The AIC approach estimates LRMC equal to the average change in forward looking operating and capital expenditure resulting from a change in demand.</w:t>
      </w:r>
      <w:r w:rsidR="002375DC" w:rsidRPr="00722C30">
        <w:rPr>
          <w:rStyle w:val="AERbody"/>
        </w:rPr>
        <w:t xml:space="preserve"> </w:t>
      </w:r>
      <w:r w:rsidRPr="00722C30">
        <w:rPr>
          <w:rStyle w:val="AERbody"/>
        </w:rPr>
        <w:t xml:space="preserve">The AIC approach is commonly used by electricity network businesses such as Ausgrid because it can be estimated using pre-existing expenditure and demand forecasts. </w:t>
      </w:r>
    </w:p>
    <w:p w:rsidR="000D5CA6" w:rsidRPr="00722C30" w:rsidRDefault="000D5CA6">
      <w:pPr>
        <w:pStyle w:val="BodyText"/>
        <w:rPr>
          <w:rStyle w:val="AERbody"/>
        </w:rPr>
      </w:pPr>
      <w:r w:rsidRPr="00722C30">
        <w:rPr>
          <w:rStyle w:val="AERbody"/>
        </w:rPr>
        <w:t>Specifically</w:t>
      </w:r>
      <w:r w:rsidR="00744032" w:rsidRPr="00722C30">
        <w:rPr>
          <w:rStyle w:val="AERbody"/>
        </w:rPr>
        <w:t xml:space="preserve">, Ausgrid </w:t>
      </w:r>
      <w:r w:rsidR="0031623F" w:rsidRPr="00722C30">
        <w:rPr>
          <w:rStyle w:val="AERbody"/>
        </w:rPr>
        <w:t>has applied</w:t>
      </w:r>
      <w:r w:rsidR="00744032" w:rsidRPr="00722C30">
        <w:rPr>
          <w:rStyle w:val="AERbody"/>
        </w:rPr>
        <w:t xml:space="preserve"> the AIC approach to estimate LRMC by tariff class </w:t>
      </w:r>
      <w:r w:rsidRPr="00722C30">
        <w:rPr>
          <w:rStyle w:val="AERbody"/>
        </w:rPr>
        <w:t xml:space="preserve">at a system-wide </w:t>
      </w:r>
      <w:r w:rsidR="00744032" w:rsidRPr="00722C30">
        <w:rPr>
          <w:rStyle w:val="AERbody"/>
        </w:rPr>
        <w:t xml:space="preserve">level, using an assessment period of </w:t>
      </w:r>
      <w:r w:rsidR="00D0678A">
        <w:rPr>
          <w:rStyle w:val="AERbody"/>
        </w:rPr>
        <w:t>fifteen</w:t>
      </w:r>
      <w:r w:rsidR="00D0678A" w:rsidRPr="00722C30">
        <w:rPr>
          <w:rStyle w:val="AERbody"/>
        </w:rPr>
        <w:t xml:space="preserve"> </w:t>
      </w:r>
      <w:r w:rsidR="00744032" w:rsidRPr="00722C30">
        <w:rPr>
          <w:rStyle w:val="AERbody"/>
        </w:rPr>
        <w:t>years.</w:t>
      </w:r>
    </w:p>
    <w:p w:rsidR="0048646D" w:rsidRDefault="0048646D" w:rsidP="00722C30">
      <w:pPr>
        <w:pStyle w:val="Heading3"/>
      </w:pPr>
      <w:bookmarkStart w:id="374" w:name="_Toc460940678"/>
      <w:bookmarkEnd w:id="374"/>
      <w:r>
        <w:t>LRMC by tariff class at a system-wide level</w:t>
      </w:r>
    </w:p>
    <w:p w:rsidR="00347193" w:rsidRPr="00722C30" w:rsidRDefault="000D5CA6" w:rsidP="00BD7A0B">
      <w:pPr>
        <w:pStyle w:val="BodyText"/>
        <w:rPr>
          <w:rStyle w:val="AERbody"/>
          <w:rFonts w:cs="Times New Roman"/>
          <w:szCs w:val="24"/>
        </w:rPr>
      </w:pPr>
      <w:r w:rsidRPr="00722C30">
        <w:rPr>
          <w:rStyle w:val="AERbody"/>
        </w:rPr>
        <w:t xml:space="preserve">Ausgrid’s estimates of LRMC by tariff class at a system-level, assessed over a </w:t>
      </w:r>
      <w:r w:rsidR="00D0678A">
        <w:rPr>
          <w:rStyle w:val="AERbody"/>
        </w:rPr>
        <w:t>fifteen</w:t>
      </w:r>
      <w:r w:rsidR="00D0678A" w:rsidRPr="00722C30">
        <w:rPr>
          <w:rStyle w:val="AERbody"/>
        </w:rPr>
        <w:t xml:space="preserve"> </w:t>
      </w:r>
      <w:r w:rsidRPr="00722C30">
        <w:rPr>
          <w:rStyle w:val="AERbody"/>
        </w:rPr>
        <w:t>year horizon, are presented in the table below.</w:t>
      </w:r>
    </w:p>
    <w:p w:rsidR="0048646D" w:rsidRPr="00B52E74" w:rsidRDefault="00347193" w:rsidP="00E00754">
      <w:pPr>
        <w:pStyle w:val="Caption"/>
      </w:pPr>
      <w:bookmarkStart w:id="375" w:name="_Ref462995563"/>
      <w:r>
        <w:t xml:space="preserve">Table </w:t>
      </w:r>
      <w:fldSimple w:instr=" SEQ Table \* ARABIC ">
        <w:r w:rsidR="00BE0834">
          <w:rPr>
            <w:noProof/>
          </w:rPr>
          <w:t>6</w:t>
        </w:r>
      </w:fldSimple>
      <w:bookmarkEnd w:id="375"/>
      <w:r>
        <w:t xml:space="preserve"> –</w:t>
      </w:r>
      <w:r w:rsidR="0048646D" w:rsidRPr="00B52E74">
        <w:t xml:space="preserve"> </w:t>
      </w:r>
      <w:proofErr w:type="spellStart"/>
      <w:r w:rsidR="0031623F" w:rsidRPr="00B52E74">
        <w:t>Ausgrid’s</w:t>
      </w:r>
      <w:proofErr w:type="spellEnd"/>
      <w:r w:rsidR="0031623F" w:rsidRPr="00B52E74">
        <w:t xml:space="preserve"> </w:t>
      </w:r>
      <w:r w:rsidR="0031623F">
        <w:t>LRMC</w:t>
      </w:r>
      <w:r w:rsidR="0031623F" w:rsidRPr="00B52E74">
        <w:t xml:space="preserve"> Estimates by </w:t>
      </w:r>
      <w:r w:rsidR="0031623F">
        <w:t>Tariff Class</w:t>
      </w:r>
    </w:p>
    <w:tbl>
      <w:tblPr>
        <w:tblW w:w="7397" w:type="dxa"/>
        <w:tblInd w:w="959" w:type="dxa"/>
        <w:tblBorders>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2977"/>
        <w:gridCol w:w="4420"/>
      </w:tblGrid>
      <w:tr w:rsidR="00111407" w:rsidRPr="002F65D2" w:rsidTr="00722C30">
        <w:trPr>
          <w:trHeight w:val="877"/>
        </w:trPr>
        <w:tc>
          <w:tcPr>
            <w:tcW w:w="2977" w:type="dxa"/>
            <w:shd w:val="clear" w:color="auto" w:fill="0065A6"/>
            <w:vAlign w:val="center"/>
          </w:tcPr>
          <w:p w:rsidR="00111407" w:rsidRPr="00B52E74" w:rsidRDefault="00111407" w:rsidP="000D6076">
            <w:pPr>
              <w:spacing w:before="120" w:after="120"/>
              <w:ind w:left="709"/>
              <w:rPr>
                <w:rFonts w:cs="Arial"/>
                <w:b/>
                <w:bCs/>
                <w:color w:val="FFFFFF"/>
                <w:szCs w:val="18"/>
              </w:rPr>
            </w:pPr>
            <w:r>
              <w:rPr>
                <w:rFonts w:cs="Arial"/>
                <w:b/>
                <w:bCs/>
                <w:color w:val="FFFFFF"/>
                <w:szCs w:val="18"/>
              </w:rPr>
              <w:t>Tariff Class</w:t>
            </w:r>
          </w:p>
        </w:tc>
        <w:tc>
          <w:tcPr>
            <w:tcW w:w="4420" w:type="dxa"/>
            <w:shd w:val="clear" w:color="auto" w:fill="0065A6"/>
          </w:tcPr>
          <w:p w:rsidR="00111407" w:rsidRDefault="00111407">
            <w:pPr>
              <w:spacing w:before="120" w:after="120"/>
              <w:ind w:left="34"/>
              <w:jc w:val="center"/>
              <w:rPr>
                <w:rFonts w:cs="Arial"/>
                <w:b/>
                <w:bCs/>
                <w:color w:val="FFFFFF"/>
                <w:szCs w:val="18"/>
              </w:rPr>
            </w:pPr>
            <w:r>
              <w:rPr>
                <w:rFonts w:cs="Arial"/>
                <w:b/>
                <w:bCs/>
                <w:color w:val="FFFFFF"/>
                <w:szCs w:val="18"/>
              </w:rPr>
              <w:t xml:space="preserve">LRMC estimate </w:t>
            </w:r>
            <w:r w:rsidR="000C43BC">
              <w:rPr>
                <w:rFonts w:cs="Arial"/>
                <w:b/>
                <w:bCs/>
                <w:color w:val="FFFFFF"/>
                <w:szCs w:val="18"/>
              </w:rPr>
              <w:br/>
            </w:r>
            <w:r>
              <w:rPr>
                <w:rFonts w:cs="Arial"/>
                <w:b/>
                <w:bCs/>
                <w:color w:val="FFFFFF"/>
                <w:szCs w:val="18"/>
              </w:rPr>
              <w:t>($/kW, FY2015/16 to FY 2029/30)</w:t>
            </w:r>
          </w:p>
        </w:tc>
      </w:tr>
      <w:tr w:rsidR="00111407" w:rsidRPr="002F65D2" w:rsidTr="00722C30">
        <w:trPr>
          <w:trHeight w:val="20"/>
        </w:trPr>
        <w:tc>
          <w:tcPr>
            <w:tcW w:w="2977" w:type="dxa"/>
            <w:shd w:val="clear" w:color="auto" w:fill="97C5EA"/>
          </w:tcPr>
          <w:p w:rsidR="00111407" w:rsidRPr="00B52E74" w:rsidRDefault="00111407" w:rsidP="0048646D">
            <w:pPr>
              <w:spacing w:before="120" w:after="120"/>
              <w:ind w:left="34"/>
              <w:rPr>
                <w:rFonts w:cs="Arial"/>
                <w:b/>
                <w:bCs/>
                <w:szCs w:val="18"/>
              </w:rPr>
            </w:pPr>
            <w:r>
              <w:rPr>
                <w:rFonts w:cs="Arial"/>
                <w:b/>
                <w:bCs/>
                <w:szCs w:val="18"/>
              </w:rPr>
              <w:t>Low Voltage</w:t>
            </w:r>
          </w:p>
        </w:tc>
        <w:tc>
          <w:tcPr>
            <w:tcW w:w="4420" w:type="dxa"/>
            <w:shd w:val="clear" w:color="auto" w:fill="DEEAF6"/>
          </w:tcPr>
          <w:p w:rsidR="00111407" w:rsidRDefault="00111407" w:rsidP="00E775A2">
            <w:pPr>
              <w:spacing w:before="120" w:after="120"/>
              <w:ind w:right="33"/>
              <w:jc w:val="center"/>
              <w:rPr>
                <w:rFonts w:cs="Arial"/>
                <w:szCs w:val="18"/>
              </w:rPr>
            </w:pPr>
            <w:r>
              <w:rPr>
                <w:rFonts w:cs="Arial"/>
                <w:szCs w:val="18"/>
              </w:rPr>
              <w:t>164</w:t>
            </w:r>
          </w:p>
        </w:tc>
      </w:tr>
      <w:tr w:rsidR="00111407" w:rsidRPr="002F65D2" w:rsidTr="00722C30">
        <w:trPr>
          <w:trHeight w:val="20"/>
        </w:trPr>
        <w:tc>
          <w:tcPr>
            <w:tcW w:w="2977" w:type="dxa"/>
            <w:shd w:val="clear" w:color="auto" w:fill="97C5EA"/>
          </w:tcPr>
          <w:p w:rsidR="00111407" w:rsidRDefault="00111407" w:rsidP="0048646D">
            <w:pPr>
              <w:spacing w:before="120" w:after="120"/>
              <w:ind w:left="34"/>
              <w:rPr>
                <w:rFonts w:cs="Arial"/>
                <w:b/>
                <w:bCs/>
                <w:szCs w:val="18"/>
              </w:rPr>
            </w:pPr>
            <w:r>
              <w:rPr>
                <w:rFonts w:cs="Arial"/>
                <w:b/>
                <w:bCs/>
                <w:szCs w:val="18"/>
              </w:rPr>
              <w:t>High Voltage</w:t>
            </w:r>
          </w:p>
        </w:tc>
        <w:tc>
          <w:tcPr>
            <w:tcW w:w="4420" w:type="dxa"/>
            <w:shd w:val="clear" w:color="auto" w:fill="DEEAF6"/>
          </w:tcPr>
          <w:p w:rsidR="00111407" w:rsidRDefault="00111407" w:rsidP="00E775A2">
            <w:pPr>
              <w:spacing w:before="120" w:after="120"/>
              <w:jc w:val="center"/>
              <w:rPr>
                <w:rFonts w:cs="Arial"/>
                <w:szCs w:val="18"/>
              </w:rPr>
            </w:pPr>
            <w:r>
              <w:rPr>
                <w:rFonts w:cs="Arial"/>
                <w:szCs w:val="18"/>
              </w:rPr>
              <w:t>53</w:t>
            </w:r>
          </w:p>
        </w:tc>
      </w:tr>
      <w:tr w:rsidR="00111407" w:rsidRPr="002F65D2" w:rsidTr="00722C30">
        <w:trPr>
          <w:trHeight w:val="20"/>
        </w:trPr>
        <w:tc>
          <w:tcPr>
            <w:tcW w:w="2977" w:type="dxa"/>
            <w:shd w:val="clear" w:color="auto" w:fill="97C5EA"/>
          </w:tcPr>
          <w:p w:rsidR="00111407" w:rsidRDefault="00111407" w:rsidP="0048646D">
            <w:pPr>
              <w:spacing w:before="120" w:after="120"/>
              <w:ind w:left="34"/>
              <w:rPr>
                <w:rFonts w:cs="Arial"/>
                <w:b/>
                <w:bCs/>
                <w:szCs w:val="18"/>
              </w:rPr>
            </w:pPr>
            <w:r>
              <w:rPr>
                <w:rFonts w:cs="Arial"/>
                <w:b/>
                <w:bCs/>
                <w:szCs w:val="18"/>
              </w:rPr>
              <w:t>Sub-transmission Voltage</w:t>
            </w:r>
          </w:p>
        </w:tc>
        <w:tc>
          <w:tcPr>
            <w:tcW w:w="4420" w:type="dxa"/>
            <w:shd w:val="clear" w:color="auto" w:fill="DEEAF6"/>
          </w:tcPr>
          <w:p w:rsidR="00111407" w:rsidRDefault="00111407" w:rsidP="00E775A2">
            <w:pPr>
              <w:spacing w:before="120" w:after="120"/>
              <w:jc w:val="center"/>
              <w:rPr>
                <w:rFonts w:cs="Arial"/>
                <w:szCs w:val="18"/>
              </w:rPr>
            </w:pPr>
            <w:r>
              <w:rPr>
                <w:rFonts w:cs="Arial"/>
                <w:szCs w:val="18"/>
              </w:rPr>
              <w:t>8</w:t>
            </w:r>
          </w:p>
        </w:tc>
      </w:tr>
      <w:tr w:rsidR="00111407" w:rsidRPr="009E0779" w:rsidTr="00722C30">
        <w:trPr>
          <w:trHeight w:val="20"/>
        </w:trPr>
        <w:tc>
          <w:tcPr>
            <w:tcW w:w="2977" w:type="dxa"/>
            <w:shd w:val="clear" w:color="auto" w:fill="97C5EA"/>
          </w:tcPr>
          <w:p w:rsidR="00111407" w:rsidRDefault="00111407" w:rsidP="0048646D">
            <w:pPr>
              <w:spacing w:before="120" w:after="120"/>
              <w:ind w:left="34"/>
              <w:rPr>
                <w:rFonts w:cs="Arial"/>
                <w:b/>
                <w:bCs/>
                <w:szCs w:val="18"/>
              </w:rPr>
            </w:pPr>
            <w:r>
              <w:rPr>
                <w:rFonts w:cs="Arial"/>
                <w:b/>
                <w:bCs/>
                <w:szCs w:val="18"/>
              </w:rPr>
              <w:t>Unmetered</w:t>
            </w:r>
          </w:p>
        </w:tc>
        <w:tc>
          <w:tcPr>
            <w:tcW w:w="4420" w:type="dxa"/>
            <w:shd w:val="clear" w:color="auto" w:fill="DEEAF6"/>
          </w:tcPr>
          <w:p w:rsidR="00111407" w:rsidRDefault="00111407" w:rsidP="0048646D">
            <w:pPr>
              <w:spacing w:before="120" w:after="120"/>
              <w:ind w:right="33"/>
              <w:jc w:val="center"/>
              <w:rPr>
                <w:rFonts w:cs="Arial"/>
                <w:szCs w:val="18"/>
              </w:rPr>
            </w:pPr>
            <w:r w:rsidRPr="00E53F2D">
              <w:rPr>
                <w:rFonts w:cs="Arial"/>
                <w:szCs w:val="18"/>
              </w:rPr>
              <w:t>1</w:t>
            </w:r>
            <w:r>
              <w:rPr>
                <w:rFonts w:cs="Arial"/>
                <w:szCs w:val="18"/>
              </w:rPr>
              <w:t>64</w:t>
            </w:r>
          </w:p>
        </w:tc>
      </w:tr>
    </w:tbl>
    <w:p w:rsidR="00490DAD" w:rsidRDefault="00490DAD" w:rsidP="00BD7A0B">
      <w:pPr>
        <w:pStyle w:val="BodyText"/>
        <w:rPr>
          <w:rStyle w:val="AERbody"/>
        </w:rPr>
      </w:pPr>
    </w:p>
    <w:p w:rsidR="003452B6" w:rsidRPr="00722C30" w:rsidRDefault="003452B6" w:rsidP="007D0321">
      <w:pPr>
        <w:pStyle w:val="BodyText"/>
        <w:rPr>
          <w:rStyle w:val="AERbody"/>
        </w:rPr>
      </w:pPr>
      <w:r w:rsidRPr="00722C30">
        <w:rPr>
          <w:rStyle w:val="AERbody"/>
        </w:rPr>
        <w:t xml:space="preserve">Ausgrid considers that its estimate of LRMC presented in </w:t>
      </w:r>
      <w:r w:rsidR="006A450F">
        <w:rPr>
          <w:rStyle w:val="AERbody"/>
        </w:rPr>
        <w:fldChar w:fldCharType="begin"/>
      </w:r>
      <w:r w:rsidR="006A450F">
        <w:rPr>
          <w:rStyle w:val="AERbody"/>
        </w:rPr>
        <w:instrText xml:space="preserve"> REF _Ref462995563 \h </w:instrText>
      </w:r>
      <w:r w:rsidR="006A450F">
        <w:rPr>
          <w:rStyle w:val="AERbody"/>
        </w:rPr>
      </w:r>
      <w:r w:rsidR="006A450F">
        <w:rPr>
          <w:rStyle w:val="AERbody"/>
        </w:rPr>
        <w:fldChar w:fldCharType="separate"/>
      </w:r>
      <w:r w:rsidR="00BE0834">
        <w:t>Table 6</w:t>
      </w:r>
      <w:r w:rsidR="006A450F">
        <w:rPr>
          <w:rStyle w:val="AERbody"/>
        </w:rPr>
        <w:fldChar w:fldCharType="end"/>
      </w:r>
      <w:r w:rsidR="006A450F">
        <w:rPr>
          <w:rStyle w:val="AERbody"/>
        </w:rPr>
        <w:t xml:space="preserve"> </w:t>
      </w:r>
      <w:r w:rsidRPr="00722C30">
        <w:rPr>
          <w:rStyle w:val="AERbody"/>
        </w:rPr>
        <w:t>above is sufficiently reliable for pricing purposes.</w:t>
      </w:r>
    </w:p>
    <w:p w:rsidR="008112CE" w:rsidRPr="00722C30" w:rsidRDefault="008112CE" w:rsidP="007D0321">
      <w:pPr>
        <w:pStyle w:val="BodyText"/>
        <w:rPr>
          <w:rStyle w:val="AERbody"/>
        </w:rPr>
      </w:pPr>
      <w:r w:rsidRPr="00722C30">
        <w:rPr>
          <w:rStyle w:val="AERbody"/>
        </w:rPr>
        <w:lastRenderedPageBreak/>
        <w:t>However, it is also relevant to note that the illustrative case studies developed by NERA for the AEMC</w:t>
      </w:r>
      <w:r w:rsidRPr="00025BDF">
        <w:rPr>
          <w:rStyle w:val="AERbody"/>
          <w:vertAlign w:val="superscript"/>
        </w:rPr>
        <w:footnoteReference w:id="15"/>
      </w:r>
      <w:r w:rsidRPr="00722C30">
        <w:rPr>
          <w:rStyle w:val="AERbody"/>
        </w:rPr>
        <w:t xml:space="preserve"> illustrate that LRMC varies considerably between locations within an electricity network, and is significantly influenced by the choice of methodology used to estimate LRMC. Therefore, it may be helpful to treat LRMC as a range of outcomes, rather than a point estimate. Since Ausgrid does not expect to face critical congestion at a localised area in the foreseeable future, it may be entirely possible that LRMC lies between the values presented in </w:t>
      </w:r>
      <w:r w:rsidR="006A450F">
        <w:rPr>
          <w:rStyle w:val="AERbody"/>
        </w:rPr>
        <w:fldChar w:fldCharType="begin"/>
      </w:r>
      <w:r w:rsidR="006A450F">
        <w:rPr>
          <w:rStyle w:val="AERbody"/>
        </w:rPr>
        <w:instrText xml:space="preserve"> REF _Ref462995563 \h </w:instrText>
      </w:r>
      <w:r w:rsidR="006A450F">
        <w:rPr>
          <w:rStyle w:val="AERbody"/>
        </w:rPr>
      </w:r>
      <w:r w:rsidR="006A450F">
        <w:rPr>
          <w:rStyle w:val="AERbody"/>
        </w:rPr>
        <w:fldChar w:fldCharType="separate"/>
      </w:r>
      <w:r w:rsidR="00BE0834">
        <w:t>Table 6</w:t>
      </w:r>
      <w:r w:rsidR="006A450F">
        <w:rPr>
          <w:rStyle w:val="AERbody"/>
        </w:rPr>
        <w:fldChar w:fldCharType="end"/>
      </w:r>
      <w:r w:rsidRPr="00722C30">
        <w:rPr>
          <w:rStyle w:val="AERbody"/>
        </w:rPr>
        <w:t xml:space="preserve"> above and zero.</w:t>
      </w:r>
    </w:p>
    <w:p w:rsidR="008112CE" w:rsidRPr="00722C30" w:rsidRDefault="008112CE">
      <w:pPr>
        <w:pStyle w:val="BodyText"/>
        <w:rPr>
          <w:rStyle w:val="AERbody"/>
          <w:rFonts w:cs="Times New Roman"/>
          <w:noProof w:val="0"/>
          <w:szCs w:val="24"/>
          <w:lang w:val="en-US" w:eastAsia="en-US"/>
        </w:rPr>
      </w:pPr>
      <w:r w:rsidRPr="00722C30">
        <w:rPr>
          <w:rStyle w:val="AERbody"/>
        </w:rPr>
        <w:t>Ausgrid wishes to inform stakeholders that the robust estimation of LRMC at specific locations facing critical congestion will be a key focus of its TSS for the next regulatory control period and the related stakeholder engagement process.</w:t>
      </w:r>
    </w:p>
    <w:p w:rsidR="0048646D" w:rsidRDefault="0031623F" w:rsidP="00722C30">
      <w:pPr>
        <w:pStyle w:val="Heading2"/>
      </w:pPr>
      <w:bookmarkStart w:id="376" w:name="_Toc461724380"/>
      <w:bookmarkStart w:id="377" w:name="_Toc461724386"/>
      <w:bookmarkStart w:id="378" w:name="_Toc461724388"/>
      <w:bookmarkStart w:id="379" w:name="_Toc461724391"/>
      <w:bookmarkStart w:id="380" w:name="_Toc461724394"/>
      <w:bookmarkStart w:id="381" w:name="_Toc461724397"/>
      <w:bookmarkStart w:id="382" w:name="_Toc461724398"/>
      <w:bookmarkStart w:id="383" w:name="_Toc461724406"/>
      <w:bookmarkStart w:id="384" w:name="_Toc461724422"/>
      <w:bookmarkStart w:id="385" w:name="_Toc461724434"/>
      <w:bookmarkStart w:id="386" w:name="_Toc461724438"/>
      <w:bookmarkStart w:id="387" w:name="_Toc461724442"/>
      <w:bookmarkStart w:id="388" w:name="_Toc475527424"/>
      <w:bookmarkEnd w:id="376"/>
      <w:bookmarkEnd w:id="377"/>
      <w:bookmarkEnd w:id="378"/>
      <w:bookmarkEnd w:id="379"/>
      <w:bookmarkEnd w:id="380"/>
      <w:bookmarkEnd w:id="381"/>
      <w:bookmarkEnd w:id="382"/>
      <w:bookmarkEnd w:id="383"/>
      <w:bookmarkEnd w:id="384"/>
      <w:bookmarkEnd w:id="385"/>
      <w:bookmarkEnd w:id="386"/>
      <w:bookmarkEnd w:id="387"/>
      <w:r>
        <w:t>A</w:t>
      </w:r>
      <w:r w:rsidR="0048646D">
        <w:t xml:space="preserve">pplication of </w:t>
      </w:r>
      <w:r w:rsidR="00FF02B2">
        <w:t>LRMC</w:t>
      </w:r>
      <w:r w:rsidR="0048646D">
        <w:t xml:space="preserve"> to tariffs</w:t>
      </w:r>
      <w:bookmarkEnd w:id="388"/>
    </w:p>
    <w:p w:rsidR="00700AEE" w:rsidRPr="00722C30" w:rsidRDefault="00FF02B2" w:rsidP="00BD7A0B">
      <w:pPr>
        <w:pStyle w:val="BodyText"/>
        <w:rPr>
          <w:rStyle w:val="AERbody"/>
        </w:rPr>
      </w:pPr>
      <w:r>
        <w:t xml:space="preserve">Ausgrid considers </w:t>
      </w:r>
      <w:r w:rsidR="00187762">
        <w:t xml:space="preserve">that </w:t>
      </w:r>
      <w:r w:rsidR="004449B4">
        <w:t xml:space="preserve">its estimate of </w:t>
      </w:r>
      <w:r w:rsidR="00187762">
        <w:t xml:space="preserve">LRMC </w:t>
      </w:r>
      <w:r w:rsidR="004449B4">
        <w:t xml:space="preserve">should be </w:t>
      </w:r>
      <w:r w:rsidR="00187762">
        <w:t xml:space="preserve">reflected only in the charging parameters that apply </w:t>
      </w:r>
      <w:r w:rsidR="00187762" w:rsidRPr="00722C30">
        <w:rPr>
          <w:rStyle w:val="AERbody"/>
        </w:rPr>
        <w:t>when demand is at peak, or near peak levels.</w:t>
      </w:r>
      <w:r w:rsidR="004449B4" w:rsidRPr="00722C30">
        <w:rPr>
          <w:rStyle w:val="AERbody"/>
        </w:rPr>
        <w:t xml:space="preserve"> </w:t>
      </w:r>
      <w:r w:rsidR="00700AEE" w:rsidRPr="00722C30">
        <w:rPr>
          <w:rStyle w:val="AERbody"/>
        </w:rPr>
        <w:t xml:space="preserve">A review of Ausgrid’s existing tariffs indicates that there are number of charging parameters that could be individually or jointly used to convey LRMC signals to customers with an interval meter, </w:t>
      </w:r>
      <w:r w:rsidR="004449B4" w:rsidRPr="00722C30">
        <w:rPr>
          <w:rStyle w:val="AERbody"/>
        </w:rPr>
        <w:t>ie</w:t>
      </w:r>
      <w:r w:rsidR="00700AEE" w:rsidRPr="00722C30">
        <w:rPr>
          <w:rStyle w:val="AERbody"/>
        </w:rPr>
        <w:t>:</w:t>
      </w:r>
    </w:p>
    <w:p w:rsidR="00700AEE" w:rsidRDefault="004449B4" w:rsidP="00722C30">
      <w:pPr>
        <w:pStyle w:val="Bulletedtext"/>
      </w:pPr>
      <w:r>
        <w:t>a p</w:t>
      </w:r>
      <w:r w:rsidR="00700AEE">
        <w:t>eak energy charge</w:t>
      </w:r>
      <w:r>
        <w:t xml:space="preserve"> – which</w:t>
      </w:r>
      <w:r w:rsidR="00700AEE">
        <w:t xml:space="preserve"> involves applying a price per kWh to energy consumption </w:t>
      </w:r>
      <w:r w:rsidR="00EE7ED2">
        <w:t>recorded during the peak period; and</w:t>
      </w:r>
    </w:p>
    <w:p w:rsidR="00700AEE" w:rsidRDefault="004449B4" w:rsidP="00722C30">
      <w:pPr>
        <w:pStyle w:val="Bulletedtext"/>
      </w:pPr>
      <w:proofErr w:type="gramStart"/>
      <w:r>
        <w:t>a</w:t>
      </w:r>
      <w:proofErr w:type="gramEnd"/>
      <w:r>
        <w:t xml:space="preserve"> p</w:t>
      </w:r>
      <w:r w:rsidR="00700AEE">
        <w:t>eak maximum demand charge</w:t>
      </w:r>
      <w:r>
        <w:t xml:space="preserve"> – which</w:t>
      </w:r>
      <w:r w:rsidR="00700AEE">
        <w:t xml:space="preserve"> involves applying a price per KW or kVA to the highest maximum half hourly demand recorded during the peak period.</w:t>
      </w:r>
    </w:p>
    <w:p w:rsidR="0031623F" w:rsidRPr="00722C30" w:rsidRDefault="0031623F" w:rsidP="00BD7A0B">
      <w:pPr>
        <w:pStyle w:val="BodyText"/>
        <w:rPr>
          <w:rStyle w:val="AERbody"/>
        </w:rPr>
      </w:pPr>
      <w:r>
        <w:t xml:space="preserve">Ausgrid has sought to signal LRMC to customers by means of a peak energy charge, and has then </w:t>
      </w:r>
      <w:r w:rsidRPr="00722C30">
        <w:rPr>
          <w:rStyle w:val="AERbody"/>
        </w:rPr>
        <w:t>focused on reforms to the definition of the corresponding peak period.</w:t>
      </w:r>
    </w:p>
    <w:p w:rsidR="0031623F" w:rsidRPr="00722C30" w:rsidRDefault="0031623F" w:rsidP="007D0321">
      <w:pPr>
        <w:pStyle w:val="BodyText"/>
        <w:rPr>
          <w:rStyle w:val="AERbody"/>
        </w:rPr>
      </w:pPr>
      <w:r w:rsidRPr="00722C30">
        <w:rPr>
          <w:rStyle w:val="AERbody"/>
        </w:rPr>
        <w:t>Against the backdrop of substantial reforms to the peak periods for Ausgrid’s TOU tariffs, Ausgrid plans to treat reforms to the capacity charge as an area of key reform in the future. These long-term reform options include the potential:</w:t>
      </w:r>
    </w:p>
    <w:p w:rsidR="0031623F" w:rsidRDefault="0031623F" w:rsidP="00722C30">
      <w:pPr>
        <w:pStyle w:val="Bulletedtext"/>
      </w:pPr>
      <w:r>
        <w:t>to broaden the peak period definition (</w:t>
      </w:r>
      <w:proofErr w:type="spellStart"/>
      <w:r>
        <w:t>ie</w:t>
      </w:r>
      <w:proofErr w:type="spellEnd"/>
      <w:r w:rsidR="00934A08">
        <w:t>,</w:t>
      </w:r>
      <w:r>
        <w:t xml:space="preserve"> adopt anytime maximum demand); and/or</w:t>
      </w:r>
    </w:p>
    <w:p w:rsidR="0031623F" w:rsidRDefault="0031623F" w:rsidP="00722C30">
      <w:pPr>
        <w:pStyle w:val="Bulletedtext"/>
      </w:pPr>
      <w:proofErr w:type="gramStart"/>
      <w:r>
        <w:t>to</w:t>
      </w:r>
      <w:proofErr w:type="gramEnd"/>
      <w:r>
        <w:t xml:space="preserve"> increase the historical period used to calculate the capacity charge from 12 months to 24 months.</w:t>
      </w:r>
    </w:p>
    <w:p w:rsidR="0031623F" w:rsidRPr="00722C30" w:rsidRDefault="0031623F" w:rsidP="0031623F">
      <w:pPr>
        <w:pStyle w:val="Standardpara"/>
        <w:tabs>
          <w:tab w:val="clear" w:pos="1418"/>
          <w:tab w:val="left" w:pos="1276"/>
        </w:tabs>
        <w:ind w:left="916"/>
        <w:rPr>
          <w:rStyle w:val="AERbody"/>
        </w:rPr>
      </w:pPr>
      <w:r w:rsidRPr="00722C30">
        <w:rPr>
          <w:rStyle w:val="AERbody"/>
        </w:rPr>
        <w:t xml:space="preserve">These matters are discussed in more detail in </w:t>
      </w:r>
      <w:r w:rsidR="003F4D57" w:rsidRPr="00722C30">
        <w:rPr>
          <w:rStyle w:val="AERbody"/>
        </w:rPr>
        <w:t>Appendix A</w:t>
      </w:r>
      <w:r w:rsidRPr="00722C30">
        <w:rPr>
          <w:rStyle w:val="AERbody"/>
        </w:rPr>
        <w:t>.</w:t>
      </w:r>
    </w:p>
    <w:p w:rsidR="00EE7ED2" w:rsidRDefault="007D1DC3" w:rsidP="00722C30">
      <w:pPr>
        <w:pStyle w:val="Heading2"/>
      </w:pPr>
      <w:bookmarkStart w:id="389" w:name="_Toc462126882"/>
      <w:bookmarkStart w:id="390" w:name="_Toc462129042"/>
      <w:bookmarkStart w:id="391" w:name="_Toc462126883"/>
      <w:bookmarkStart w:id="392" w:name="_Toc462129043"/>
      <w:bookmarkStart w:id="393" w:name="_Toc462126884"/>
      <w:bookmarkStart w:id="394" w:name="_Toc462129044"/>
      <w:bookmarkStart w:id="395" w:name="_Toc462126885"/>
      <w:bookmarkStart w:id="396" w:name="_Toc462129045"/>
      <w:bookmarkStart w:id="397" w:name="_Toc462126886"/>
      <w:bookmarkStart w:id="398" w:name="_Toc462129046"/>
      <w:bookmarkStart w:id="399" w:name="_Toc462126887"/>
      <w:bookmarkStart w:id="400" w:name="_Toc462129047"/>
      <w:bookmarkStart w:id="401" w:name="_Toc475527425"/>
      <w:bookmarkEnd w:id="389"/>
      <w:bookmarkEnd w:id="390"/>
      <w:bookmarkEnd w:id="391"/>
      <w:bookmarkEnd w:id="392"/>
      <w:bookmarkEnd w:id="393"/>
      <w:bookmarkEnd w:id="394"/>
      <w:bookmarkEnd w:id="395"/>
      <w:bookmarkEnd w:id="396"/>
      <w:bookmarkEnd w:id="397"/>
      <w:bookmarkEnd w:id="398"/>
      <w:bookmarkEnd w:id="399"/>
      <w:bookmarkEnd w:id="400"/>
      <w:r>
        <w:t>Converting LRMC to a peak energy charge</w:t>
      </w:r>
      <w:bookmarkEnd w:id="401"/>
    </w:p>
    <w:p w:rsidR="007D1DC3" w:rsidRPr="00722C30" w:rsidRDefault="007D1DC3" w:rsidP="00BD7A0B">
      <w:pPr>
        <w:pStyle w:val="BodyText"/>
        <w:rPr>
          <w:rStyle w:val="AERbody"/>
        </w:rPr>
      </w:pPr>
      <w:r w:rsidRPr="00722C30">
        <w:rPr>
          <w:rStyle w:val="AERbody"/>
        </w:rPr>
        <w:t xml:space="preserve">Ausgrid </w:t>
      </w:r>
      <w:r w:rsidR="0031623F" w:rsidRPr="00722C30">
        <w:rPr>
          <w:rStyle w:val="AERbody"/>
        </w:rPr>
        <w:t>converts</w:t>
      </w:r>
      <w:r w:rsidRPr="00722C30">
        <w:rPr>
          <w:rStyle w:val="AERbody"/>
        </w:rPr>
        <w:t xml:space="preserve"> estimates of LRMC by tariff class into a peak energy charge using the below formula, ie:</w:t>
      </w:r>
    </w:p>
    <w:p w:rsidR="007D1DC3" w:rsidRPr="00D22D83" w:rsidRDefault="007D1DC3" w:rsidP="007D1DC3">
      <w:pPr>
        <w:spacing w:before="120" w:after="120"/>
        <w:ind w:left="851"/>
        <w:jc w:val="both"/>
        <w:rPr>
          <w:rFonts w:cs="Arial"/>
          <w:szCs w:val="18"/>
        </w:rPr>
      </w:pPr>
      <w:r w:rsidRPr="007B0FED">
        <w:rPr>
          <w:rFonts w:cs="Arial"/>
          <w:position w:val="-40"/>
          <w:szCs w:val="18"/>
        </w:rPr>
        <w:object w:dxaOrig="3560" w:dyaOrig="960" w14:anchorId="05AC73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pt;height:36pt" o:ole="">
            <v:imagedata r:id="rId27" o:title=""/>
          </v:shape>
          <o:OLEObject Type="Embed" ProgID="Equation.3" ShapeID="_x0000_i1025" DrawAspect="Content" ObjectID="_1549719100" r:id="rId28"/>
        </w:object>
      </w:r>
    </w:p>
    <w:p w:rsidR="007D1DC3" w:rsidRPr="00D22D83" w:rsidRDefault="007D1DC3" w:rsidP="007D1DC3">
      <w:pPr>
        <w:spacing w:before="240" w:after="120"/>
        <w:ind w:left="851"/>
        <w:jc w:val="both"/>
        <w:rPr>
          <w:rFonts w:cs="Arial"/>
          <w:szCs w:val="18"/>
        </w:rPr>
      </w:pPr>
      <w:r w:rsidRPr="00D22D83">
        <w:rPr>
          <w:rFonts w:cs="Arial"/>
          <w:szCs w:val="18"/>
        </w:rPr>
        <w:t>Where:</w:t>
      </w:r>
    </w:p>
    <w:p w:rsidR="007D1DC3" w:rsidRPr="00D22D83" w:rsidRDefault="007D1DC3" w:rsidP="007D1DC3">
      <w:pPr>
        <w:spacing w:before="120" w:after="120"/>
        <w:ind w:left="851"/>
        <w:jc w:val="both"/>
        <w:rPr>
          <w:rFonts w:cs="Arial"/>
          <w:szCs w:val="18"/>
        </w:rPr>
      </w:pPr>
      <w:r w:rsidRPr="00D22D83">
        <w:rPr>
          <w:rFonts w:cs="Arial"/>
          <w:position w:val="-6"/>
          <w:szCs w:val="18"/>
        </w:rPr>
        <w:object w:dxaOrig="580" w:dyaOrig="240" w14:anchorId="43CD6B3C">
          <v:shape id="_x0000_i1026" type="#_x0000_t75" style="width:28.5pt;height:12pt" o:ole="">
            <v:imagedata r:id="rId29" o:title=""/>
          </v:shape>
          <o:OLEObject Type="Embed" ProgID="Equation.3" ShapeID="_x0000_i1026" DrawAspect="Content" ObjectID="_1549719101" r:id="rId30"/>
        </w:object>
      </w:r>
      <w:r>
        <w:rPr>
          <w:rFonts w:cs="Arial"/>
          <w:szCs w:val="18"/>
        </w:rPr>
        <w:tab/>
      </w:r>
      <w:r w:rsidRPr="00D22D83">
        <w:rPr>
          <w:rFonts w:cs="Arial"/>
          <w:position w:val="-6"/>
          <w:szCs w:val="18"/>
        </w:rPr>
        <w:tab/>
      </w:r>
      <w:proofErr w:type="gramStart"/>
      <w:r w:rsidRPr="00D22D83">
        <w:rPr>
          <w:rFonts w:cs="Arial"/>
          <w:szCs w:val="18"/>
        </w:rPr>
        <w:t>is</w:t>
      </w:r>
      <w:proofErr w:type="gramEnd"/>
      <w:r w:rsidRPr="00D22D83">
        <w:rPr>
          <w:rFonts w:cs="Arial"/>
          <w:szCs w:val="18"/>
        </w:rPr>
        <w:t xml:space="preserve"> the estimate of LRMC, expressed on </w:t>
      </w:r>
      <w:r>
        <w:rPr>
          <w:rFonts w:cs="Arial"/>
          <w:szCs w:val="18"/>
        </w:rPr>
        <w:t>$</w:t>
      </w:r>
      <w:r w:rsidRPr="00D22D83">
        <w:rPr>
          <w:rFonts w:cs="Arial"/>
          <w:szCs w:val="18"/>
        </w:rPr>
        <w:t>/kW basis</w:t>
      </w:r>
      <w:r>
        <w:rPr>
          <w:rFonts w:cs="Arial"/>
          <w:szCs w:val="18"/>
        </w:rPr>
        <w:t>;</w:t>
      </w:r>
    </w:p>
    <w:p w:rsidR="007D1DC3" w:rsidRPr="00D22D83" w:rsidRDefault="007D1DC3" w:rsidP="007D1DC3">
      <w:pPr>
        <w:tabs>
          <w:tab w:val="left" w:pos="2127"/>
        </w:tabs>
        <w:spacing w:before="120" w:after="120"/>
        <w:ind w:left="2127" w:hanging="1276"/>
        <w:jc w:val="both"/>
        <w:rPr>
          <w:rFonts w:cs="Arial"/>
          <w:szCs w:val="18"/>
        </w:rPr>
      </w:pPr>
      <w:r w:rsidRPr="007B0FED">
        <w:rPr>
          <w:rFonts w:cs="Arial"/>
          <w:position w:val="-12"/>
          <w:szCs w:val="18"/>
        </w:rPr>
        <w:object w:dxaOrig="279" w:dyaOrig="380" w14:anchorId="3A97BD9B">
          <v:shape id="_x0000_i1027" type="#_x0000_t75" style="width:12.75pt;height:17.25pt" o:ole="">
            <v:imagedata r:id="rId31" o:title=""/>
          </v:shape>
          <o:OLEObject Type="Embed" ProgID="Equation.3" ShapeID="_x0000_i1027" DrawAspect="Content" ObjectID="_1549719102" r:id="rId32"/>
        </w:object>
      </w:r>
      <w:r w:rsidRPr="00D22D83">
        <w:rPr>
          <w:rFonts w:cs="Arial"/>
          <w:szCs w:val="18"/>
        </w:rPr>
        <w:tab/>
      </w:r>
      <w:r w:rsidRPr="00D22D83">
        <w:rPr>
          <w:rFonts w:cs="Arial"/>
          <w:szCs w:val="18"/>
        </w:rPr>
        <w:tab/>
      </w:r>
      <w:proofErr w:type="gramStart"/>
      <w:r w:rsidRPr="00D22D83">
        <w:rPr>
          <w:rFonts w:cs="Arial"/>
          <w:szCs w:val="18"/>
        </w:rPr>
        <w:t>is</w:t>
      </w:r>
      <w:proofErr w:type="gramEnd"/>
      <w:r w:rsidRPr="00D22D83">
        <w:rPr>
          <w:rFonts w:cs="Arial"/>
          <w:szCs w:val="18"/>
        </w:rPr>
        <w:t xml:space="preserve"> the probability that the quantities in respect to charging parameter </w:t>
      </w:r>
      <w:r w:rsidRPr="00D22D83">
        <w:rPr>
          <w:rFonts w:cs="Arial"/>
          <w:position w:val="-6"/>
          <w:szCs w:val="18"/>
        </w:rPr>
        <w:object w:dxaOrig="139" w:dyaOrig="260" w14:anchorId="6A51B0DB">
          <v:shape id="_x0000_i1028" type="#_x0000_t75" style="width:7.5pt;height:12.75pt" o:ole="">
            <v:imagedata r:id="rId33" o:title=""/>
          </v:shape>
          <o:OLEObject Type="Embed" ProgID="Equation.3" ShapeID="_x0000_i1028" DrawAspect="Content" ObjectID="_1549719103" r:id="rId34"/>
        </w:object>
      </w:r>
      <w:r w:rsidRPr="00D22D83">
        <w:rPr>
          <w:rFonts w:cs="Arial"/>
          <w:szCs w:val="18"/>
        </w:rPr>
        <w:t>correlat</w:t>
      </w:r>
      <w:r>
        <w:rPr>
          <w:rFonts w:cs="Arial"/>
          <w:szCs w:val="18"/>
        </w:rPr>
        <w:t>ing</w:t>
      </w:r>
      <w:r w:rsidRPr="00D22D83">
        <w:rPr>
          <w:rFonts w:cs="Arial"/>
          <w:szCs w:val="18"/>
        </w:rPr>
        <w:t xml:space="preserve"> with network congestion</w:t>
      </w:r>
      <w:r>
        <w:rPr>
          <w:rFonts w:cs="Arial"/>
          <w:szCs w:val="18"/>
        </w:rPr>
        <w:t>; and</w:t>
      </w:r>
    </w:p>
    <w:p w:rsidR="007D1DC3" w:rsidRPr="00D22D83" w:rsidRDefault="007D1DC3" w:rsidP="007D1DC3">
      <w:pPr>
        <w:tabs>
          <w:tab w:val="left" w:pos="2127"/>
        </w:tabs>
        <w:spacing w:before="120" w:after="120"/>
        <w:ind w:left="851"/>
        <w:jc w:val="both"/>
        <w:rPr>
          <w:rFonts w:cs="Arial"/>
          <w:szCs w:val="18"/>
        </w:rPr>
      </w:pPr>
      <w:r w:rsidRPr="007B0FED">
        <w:rPr>
          <w:position w:val="-14"/>
          <w:szCs w:val="18"/>
        </w:rPr>
        <w:object w:dxaOrig="279" w:dyaOrig="420" w14:anchorId="5AFAC1AF">
          <v:shape id="_x0000_i1029" type="#_x0000_t75" style="width:12pt;height:16.5pt" o:ole="">
            <v:imagedata r:id="rId35" o:title=""/>
          </v:shape>
          <o:OLEObject Type="Embed" ProgID="Equation.3" ShapeID="_x0000_i1029" DrawAspect="Content" ObjectID="_1549719104" r:id="rId36"/>
        </w:object>
      </w:r>
      <w:r w:rsidRPr="00D22D83">
        <w:rPr>
          <w:szCs w:val="18"/>
        </w:rPr>
        <w:tab/>
      </w:r>
      <w:r w:rsidRPr="00D22D83">
        <w:rPr>
          <w:szCs w:val="18"/>
        </w:rPr>
        <w:tab/>
      </w:r>
      <w:proofErr w:type="gramStart"/>
      <w:r w:rsidRPr="00D22D83">
        <w:rPr>
          <w:rFonts w:cs="Arial"/>
          <w:szCs w:val="18"/>
        </w:rPr>
        <w:t>is</w:t>
      </w:r>
      <w:proofErr w:type="gramEnd"/>
      <w:r w:rsidRPr="00D22D83">
        <w:rPr>
          <w:rFonts w:cs="Arial"/>
          <w:szCs w:val="18"/>
        </w:rPr>
        <w:t xml:space="preserve"> the peak hours per annum in respect to charging parameter</w:t>
      </w:r>
      <w:r w:rsidRPr="00D22D83">
        <w:rPr>
          <w:rFonts w:cs="Arial"/>
          <w:position w:val="-6"/>
          <w:szCs w:val="18"/>
        </w:rPr>
        <w:object w:dxaOrig="139" w:dyaOrig="260" w14:anchorId="60E547A4">
          <v:shape id="_x0000_i1030" type="#_x0000_t75" style="width:7.5pt;height:12.75pt" o:ole="">
            <v:imagedata r:id="rId33" o:title=""/>
          </v:shape>
          <o:OLEObject Type="Embed" ProgID="Equation.3" ShapeID="_x0000_i1030" DrawAspect="Content" ObjectID="_1549719105" r:id="rId37"/>
        </w:object>
      </w:r>
      <w:r w:rsidRPr="00D22D83">
        <w:rPr>
          <w:rFonts w:cs="Arial"/>
          <w:szCs w:val="18"/>
        </w:rPr>
        <w:t>.</w:t>
      </w:r>
    </w:p>
    <w:p w:rsidR="00B55EF3" w:rsidRDefault="00B55EF3">
      <w:pPr>
        <w:spacing w:after="0"/>
        <w:rPr>
          <w:rFonts w:eastAsia="Cambria"/>
          <w:b/>
          <w:noProof/>
          <w:color w:val="0065A6"/>
          <w:sz w:val="22"/>
          <w:szCs w:val="26"/>
          <w:lang w:val="en-AU" w:eastAsia="en-AU"/>
        </w:rPr>
      </w:pPr>
      <w:r>
        <w:br w:type="page"/>
      </w:r>
    </w:p>
    <w:p w:rsidR="004449B4" w:rsidRDefault="007D1DC3" w:rsidP="00722C30">
      <w:pPr>
        <w:pStyle w:val="Heading3"/>
      </w:pPr>
      <w:r>
        <w:lastRenderedPageBreak/>
        <w:t>The theoretically efficient peak energy charge</w:t>
      </w:r>
    </w:p>
    <w:p w:rsidR="007D1DC3" w:rsidRPr="00722C30" w:rsidRDefault="00B1270A" w:rsidP="00BD7A0B">
      <w:pPr>
        <w:pStyle w:val="BodyText"/>
        <w:rPr>
          <w:rStyle w:val="AERbody"/>
        </w:rPr>
      </w:pPr>
      <w:r w:rsidRPr="00722C30">
        <w:rPr>
          <w:rStyle w:val="AERbody"/>
        </w:rPr>
        <w:t xml:space="preserve">The framework established by the NER requires Ausgrid to develop theoretically efficient tariffs, and then </w:t>
      </w:r>
      <w:r w:rsidR="003857D7" w:rsidRPr="00722C30">
        <w:rPr>
          <w:rStyle w:val="AERbody"/>
        </w:rPr>
        <w:t xml:space="preserve">to </w:t>
      </w:r>
      <w:r w:rsidRPr="00722C30">
        <w:rPr>
          <w:rStyle w:val="AERbody"/>
        </w:rPr>
        <w:t xml:space="preserve">assess </w:t>
      </w:r>
      <w:r w:rsidR="003857D7" w:rsidRPr="00722C30">
        <w:rPr>
          <w:rStyle w:val="AERbody"/>
        </w:rPr>
        <w:t>the need to transition to these theoretically efficient tariffs over one or more regulatory control periods so as to account for, among other things, unacceptable customer impacts</w:t>
      </w:r>
      <w:r w:rsidRPr="00722C30">
        <w:rPr>
          <w:rStyle w:val="AERbody"/>
        </w:rPr>
        <w:t xml:space="preserve">. </w:t>
      </w:r>
    </w:p>
    <w:p w:rsidR="00B1270A" w:rsidRPr="00722C30" w:rsidRDefault="00B1270A" w:rsidP="007D0321">
      <w:pPr>
        <w:pStyle w:val="BodyText"/>
        <w:rPr>
          <w:rStyle w:val="AERbody"/>
        </w:rPr>
      </w:pPr>
      <w:r w:rsidRPr="00722C30">
        <w:rPr>
          <w:rStyle w:val="AERbody"/>
        </w:rPr>
        <w:t xml:space="preserve">Ausgrid considers that </w:t>
      </w:r>
      <w:r w:rsidR="00783D42" w:rsidRPr="00722C30">
        <w:rPr>
          <w:rStyle w:val="AERbody"/>
        </w:rPr>
        <w:t>a fully cost-reflective tariff may involve a localised dynamic peak energy charge. The efficient properties of such a tariff draw from the resulting application of peak prices on only the few days when peak events occur and to only customers using elements of the network that are constrained.</w:t>
      </w:r>
      <w:r w:rsidR="003857D7" w:rsidRPr="00722C30">
        <w:rPr>
          <w:rStyle w:val="AERbody"/>
        </w:rPr>
        <w:t xml:space="preserve"> The theoretically efficient tariff is discussed in more detail in section</w:t>
      </w:r>
      <w:r w:rsidR="00347193" w:rsidRPr="00722C30">
        <w:rPr>
          <w:rStyle w:val="AERbody"/>
        </w:rPr>
        <w:t xml:space="preserve"> </w:t>
      </w:r>
      <w:r w:rsidR="00347193" w:rsidRPr="00722C30">
        <w:rPr>
          <w:rStyle w:val="AERbody"/>
        </w:rPr>
        <w:fldChar w:fldCharType="begin"/>
      </w:r>
      <w:r w:rsidR="00347193" w:rsidRPr="00722C30">
        <w:rPr>
          <w:rStyle w:val="AERbody"/>
        </w:rPr>
        <w:instrText xml:space="preserve"> REF _Ref462042568 \r \h </w:instrText>
      </w:r>
      <w:r w:rsidR="00347193" w:rsidRPr="00722C30">
        <w:rPr>
          <w:rStyle w:val="AERbody"/>
        </w:rPr>
      </w:r>
      <w:r w:rsidR="00347193" w:rsidRPr="00722C30">
        <w:rPr>
          <w:rStyle w:val="AERbody"/>
        </w:rPr>
        <w:fldChar w:fldCharType="separate"/>
      </w:r>
      <w:r w:rsidR="00BE0834">
        <w:rPr>
          <w:rStyle w:val="AERbody"/>
        </w:rPr>
        <w:t>8.1</w:t>
      </w:r>
      <w:r w:rsidR="00347193" w:rsidRPr="00722C30">
        <w:rPr>
          <w:rStyle w:val="AERbody"/>
        </w:rPr>
        <w:fldChar w:fldCharType="end"/>
      </w:r>
      <w:r w:rsidR="003857D7" w:rsidRPr="00722C30">
        <w:rPr>
          <w:rStyle w:val="AERbody"/>
        </w:rPr>
        <w:t xml:space="preserve">. </w:t>
      </w:r>
    </w:p>
    <w:p w:rsidR="00783D42" w:rsidRPr="00722C30" w:rsidRDefault="00783D42">
      <w:pPr>
        <w:pStyle w:val="BodyText"/>
        <w:rPr>
          <w:rStyle w:val="AERbody"/>
        </w:rPr>
      </w:pPr>
      <w:r w:rsidRPr="00722C30">
        <w:rPr>
          <w:rStyle w:val="AERbody"/>
        </w:rPr>
        <w:t xml:space="preserve">The illustrative LRMC-based peak energy charge that would arise from the implementation of a dynamic peak charging parameter is presented in </w:t>
      </w:r>
      <w:r w:rsidR="009C556D" w:rsidRPr="00F93A72">
        <w:rPr>
          <w:rStyle w:val="AERbody"/>
        </w:rPr>
        <w:fldChar w:fldCharType="begin"/>
      </w:r>
      <w:r w:rsidR="009C556D" w:rsidRPr="00F93A72">
        <w:rPr>
          <w:rStyle w:val="AERbody"/>
        </w:rPr>
        <w:instrText xml:space="preserve"> REF _Ref462996490 \h  \* MERGEFORMAT </w:instrText>
      </w:r>
      <w:r w:rsidR="009C556D" w:rsidRPr="00F93A72">
        <w:rPr>
          <w:rStyle w:val="AERbody"/>
        </w:rPr>
      </w:r>
      <w:r w:rsidR="009C556D" w:rsidRPr="00F93A72">
        <w:rPr>
          <w:rStyle w:val="AERbody"/>
        </w:rPr>
        <w:fldChar w:fldCharType="separate"/>
      </w:r>
      <w:r w:rsidR="00BE0834" w:rsidRPr="0071162E">
        <w:t xml:space="preserve">Table </w:t>
      </w:r>
      <w:r w:rsidR="00BE0834">
        <w:t>7</w:t>
      </w:r>
      <w:r w:rsidR="009C556D" w:rsidRPr="00F93A72">
        <w:rPr>
          <w:rStyle w:val="AERbody"/>
        </w:rPr>
        <w:fldChar w:fldCharType="end"/>
      </w:r>
      <w:r w:rsidR="00BD071E">
        <w:rPr>
          <w:rStyle w:val="AERbody"/>
        </w:rPr>
        <w:t xml:space="preserve"> </w:t>
      </w:r>
      <w:r w:rsidRPr="00722C30">
        <w:rPr>
          <w:rStyle w:val="AERbody"/>
        </w:rPr>
        <w:t>below.</w:t>
      </w:r>
      <w:r w:rsidRPr="00F93A72">
        <w:rPr>
          <w:rStyle w:val="AERbody"/>
          <w:vertAlign w:val="superscript"/>
        </w:rPr>
        <w:footnoteReference w:id="16"/>
      </w:r>
    </w:p>
    <w:p w:rsidR="007D1DC3" w:rsidRPr="00411821" w:rsidRDefault="00347193" w:rsidP="007921FE">
      <w:pPr>
        <w:pStyle w:val="Caption"/>
        <w:rPr>
          <w:rFonts w:cs="Arial"/>
          <w:b w:val="0"/>
        </w:rPr>
      </w:pPr>
      <w:bookmarkStart w:id="402" w:name="_Ref462996490"/>
      <w:r w:rsidRPr="0071162E">
        <w:t xml:space="preserve">Table </w:t>
      </w:r>
      <w:r w:rsidRPr="007921FE">
        <w:fldChar w:fldCharType="begin"/>
      </w:r>
      <w:r w:rsidRPr="0071162E">
        <w:instrText xml:space="preserve"> SEQ Table \* ARABIC </w:instrText>
      </w:r>
      <w:r w:rsidRPr="007921FE">
        <w:fldChar w:fldCharType="separate"/>
      </w:r>
      <w:r w:rsidR="00BE0834">
        <w:rPr>
          <w:noProof/>
        </w:rPr>
        <w:t>7</w:t>
      </w:r>
      <w:r w:rsidRPr="007921FE">
        <w:fldChar w:fldCharType="end"/>
      </w:r>
      <w:bookmarkEnd w:id="402"/>
      <w:r w:rsidRPr="0071162E">
        <w:t xml:space="preserve"> –</w:t>
      </w:r>
      <w:r w:rsidR="007D1DC3" w:rsidRPr="007921FE">
        <w:t xml:space="preserve"> LRMC estimates for dynamic peak charging parameter</w:t>
      </w:r>
    </w:p>
    <w:tbl>
      <w:tblPr>
        <w:tblW w:w="8505" w:type="dxa"/>
        <w:tblInd w:w="9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2102"/>
        <w:gridCol w:w="1315"/>
        <w:gridCol w:w="1397"/>
        <w:gridCol w:w="1706"/>
        <w:gridCol w:w="1985"/>
      </w:tblGrid>
      <w:tr w:rsidR="007D1DC3" w:rsidTr="00722C30">
        <w:tc>
          <w:tcPr>
            <w:tcW w:w="2102" w:type="dxa"/>
            <w:vMerge w:val="restart"/>
            <w:tcBorders>
              <w:top w:val="nil"/>
              <w:left w:val="nil"/>
              <w:bottom w:val="single" w:sz="4" w:space="0" w:color="FFFFFF" w:themeColor="background1"/>
              <w:right w:val="single" w:sz="4" w:space="0" w:color="FFFFFF" w:themeColor="background1"/>
            </w:tcBorders>
            <w:shd w:val="clear" w:color="auto" w:fill="0065A6"/>
            <w:vAlign w:val="center"/>
          </w:tcPr>
          <w:p w:rsidR="007D1DC3" w:rsidRDefault="007D1DC3" w:rsidP="00722C30">
            <w:pPr>
              <w:spacing w:before="120" w:after="120"/>
              <w:ind w:left="33"/>
              <w:rPr>
                <w:rFonts w:cs="Arial"/>
                <w:b/>
                <w:bCs/>
                <w:color w:val="FFFFFF"/>
                <w:szCs w:val="18"/>
              </w:rPr>
            </w:pPr>
            <w:r>
              <w:rPr>
                <w:rFonts w:cs="Arial"/>
                <w:b/>
                <w:bCs/>
                <w:color w:val="FFFFFF"/>
                <w:szCs w:val="18"/>
              </w:rPr>
              <w:t>Tariff</w:t>
            </w:r>
          </w:p>
        </w:tc>
        <w:tc>
          <w:tcPr>
            <w:tcW w:w="131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7D1DC3" w:rsidRPr="00952B94" w:rsidRDefault="007D1DC3" w:rsidP="00644FDA">
            <w:pPr>
              <w:spacing w:before="120" w:after="120"/>
              <w:jc w:val="center"/>
              <w:rPr>
                <w:rFonts w:cs="Arial"/>
                <w:b/>
                <w:bCs/>
                <w:color w:val="FFFFFF"/>
                <w:szCs w:val="18"/>
              </w:rPr>
            </w:pPr>
            <w:r>
              <w:rPr>
                <w:rFonts w:cs="Arial"/>
                <w:b/>
                <w:bCs/>
                <w:color w:val="FFFFFF"/>
                <w:szCs w:val="18"/>
              </w:rPr>
              <w:t>LRMC</w:t>
            </w:r>
          </w:p>
        </w:tc>
        <w:tc>
          <w:tcPr>
            <w:tcW w:w="3103"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7D1DC3" w:rsidRPr="00952B94" w:rsidRDefault="007D1DC3" w:rsidP="00644FDA">
            <w:pPr>
              <w:spacing w:before="120" w:after="120"/>
              <w:jc w:val="center"/>
              <w:rPr>
                <w:rFonts w:cs="Arial"/>
                <w:b/>
                <w:bCs/>
                <w:color w:val="FFFFFF"/>
                <w:szCs w:val="18"/>
              </w:rPr>
            </w:pPr>
            <w:r>
              <w:rPr>
                <w:rFonts w:cs="Arial"/>
                <w:b/>
                <w:bCs/>
                <w:color w:val="FFFFFF"/>
                <w:szCs w:val="18"/>
              </w:rPr>
              <w:t>Conversion Parameters</w:t>
            </w:r>
          </w:p>
        </w:tc>
        <w:tc>
          <w:tcPr>
            <w:tcW w:w="1985" w:type="dxa"/>
            <w:tcBorders>
              <w:top w:val="nil"/>
              <w:left w:val="single" w:sz="4" w:space="0" w:color="FFFFFF" w:themeColor="background1"/>
              <w:bottom w:val="single" w:sz="4" w:space="0" w:color="FFFFFF" w:themeColor="background1"/>
              <w:right w:val="nil"/>
            </w:tcBorders>
            <w:shd w:val="clear" w:color="auto" w:fill="0065A6"/>
            <w:vAlign w:val="center"/>
          </w:tcPr>
          <w:p w:rsidR="007D1DC3" w:rsidRPr="00952B94" w:rsidRDefault="007D1DC3" w:rsidP="00644FDA">
            <w:pPr>
              <w:spacing w:before="120" w:after="120"/>
              <w:jc w:val="center"/>
              <w:rPr>
                <w:rFonts w:cs="Arial"/>
                <w:b/>
                <w:bCs/>
                <w:color w:val="FFFFFF"/>
                <w:szCs w:val="18"/>
              </w:rPr>
            </w:pPr>
            <w:r>
              <w:rPr>
                <w:rFonts w:cs="Arial"/>
                <w:b/>
                <w:bCs/>
                <w:color w:val="FFFFFF"/>
                <w:szCs w:val="18"/>
              </w:rPr>
              <w:t>Illustrative LRMC DUOS Price</w:t>
            </w:r>
          </w:p>
        </w:tc>
      </w:tr>
      <w:tr w:rsidR="007D1DC3" w:rsidRPr="00B52E74" w:rsidTr="00722C30">
        <w:tc>
          <w:tcPr>
            <w:tcW w:w="2102"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0065A6"/>
            <w:vAlign w:val="center"/>
          </w:tcPr>
          <w:p w:rsidR="007D1DC3" w:rsidRDefault="007D1DC3" w:rsidP="00644FDA">
            <w:pPr>
              <w:spacing w:before="120" w:after="120"/>
              <w:ind w:left="33"/>
              <w:jc w:val="center"/>
              <w:rPr>
                <w:rFonts w:cs="Arial"/>
                <w:b/>
                <w:bCs/>
                <w:color w:val="FFFFFF"/>
                <w:szCs w:val="18"/>
              </w:rPr>
            </w:pPr>
          </w:p>
        </w:tc>
        <w:tc>
          <w:tcPr>
            <w:tcW w:w="1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tcPr>
          <w:p w:rsidR="007D1DC3" w:rsidRPr="00722C30" w:rsidRDefault="007D1DC3" w:rsidP="00722C30">
            <w:pPr>
              <w:pStyle w:val="Tabletextboxed"/>
              <w:jc w:val="center"/>
              <w:rPr>
                <w:b/>
              </w:rPr>
            </w:pPr>
            <w:r w:rsidRPr="00722C30">
              <w:rPr>
                <w:b/>
              </w:rPr>
              <w:t>$/kW</w:t>
            </w: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tcPr>
          <w:p w:rsidR="007D1DC3" w:rsidRPr="00722C30" w:rsidRDefault="007D1DC3" w:rsidP="00722C30">
            <w:pPr>
              <w:pStyle w:val="Tabletextboxed"/>
              <w:jc w:val="center"/>
              <w:rPr>
                <w:b/>
              </w:rPr>
            </w:pPr>
            <w:r w:rsidRPr="00722C30">
              <w:rPr>
                <w:b/>
              </w:rPr>
              <w:t>Alpha (</w:t>
            </w:r>
            <w:r w:rsidRPr="00722C30">
              <w:rPr>
                <w:b/>
              </w:rPr>
              <w:sym w:font="Symbol" w:char="F061"/>
            </w:r>
            <w:r w:rsidRPr="00722C30">
              <w:rPr>
                <w:b/>
              </w:rPr>
              <w:t>)</w:t>
            </w:r>
          </w:p>
        </w:tc>
        <w:tc>
          <w:tcPr>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tcPr>
          <w:p w:rsidR="007D1DC3" w:rsidRPr="00722C30" w:rsidRDefault="007D1DC3" w:rsidP="00722C30">
            <w:pPr>
              <w:pStyle w:val="Tabletextboxed"/>
              <w:jc w:val="center"/>
              <w:rPr>
                <w:b/>
              </w:rPr>
            </w:pPr>
            <w:r w:rsidRPr="00722C30">
              <w:rPr>
                <w:b/>
              </w:rPr>
              <w:t>No. of peak hours</w:t>
            </w:r>
          </w:p>
        </w:tc>
        <w:tc>
          <w:tcPr>
            <w:tcW w:w="1985" w:type="dxa"/>
            <w:tcBorders>
              <w:top w:val="single" w:sz="4" w:space="0" w:color="FFFFFF" w:themeColor="background1"/>
              <w:left w:val="single" w:sz="4" w:space="0" w:color="FFFFFF" w:themeColor="background1"/>
              <w:bottom w:val="single" w:sz="4" w:space="0" w:color="FFFFFF" w:themeColor="background1"/>
              <w:right w:val="nil"/>
            </w:tcBorders>
            <w:shd w:val="clear" w:color="auto" w:fill="97C5EA"/>
            <w:vAlign w:val="center"/>
          </w:tcPr>
          <w:p w:rsidR="007D1DC3" w:rsidRPr="00722C30" w:rsidRDefault="007D1DC3" w:rsidP="00722C30">
            <w:pPr>
              <w:pStyle w:val="Tabletextboxed"/>
              <w:jc w:val="center"/>
              <w:rPr>
                <w:b/>
              </w:rPr>
            </w:pPr>
            <w:r w:rsidRPr="00722C30">
              <w:rPr>
                <w:b/>
              </w:rPr>
              <w:t>c/kWh</w:t>
            </w:r>
          </w:p>
        </w:tc>
      </w:tr>
      <w:tr w:rsidR="007D1DC3" w:rsidRPr="00B52E74" w:rsidTr="00AD235E">
        <w:trPr>
          <w:trHeight w:val="387"/>
        </w:trPr>
        <w:tc>
          <w:tcPr>
            <w:tcW w:w="2102" w:type="dxa"/>
            <w:tcBorders>
              <w:top w:val="single" w:sz="4" w:space="0" w:color="FFFFFF" w:themeColor="background1"/>
              <w:left w:val="nil"/>
              <w:bottom w:val="single" w:sz="4" w:space="0" w:color="FFFFFF" w:themeColor="background1"/>
              <w:right w:val="single" w:sz="4" w:space="0" w:color="FFFFFF" w:themeColor="background1"/>
            </w:tcBorders>
            <w:shd w:val="clear" w:color="auto" w:fill="C6D9F1"/>
            <w:vAlign w:val="center"/>
          </w:tcPr>
          <w:p w:rsidR="007D1DC3" w:rsidRPr="00B52E74" w:rsidRDefault="007D1DC3" w:rsidP="00722C30">
            <w:pPr>
              <w:pStyle w:val="Tabletextboxed"/>
            </w:pPr>
            <w:r>
              <w:t>Low Voltage</w:t>
            </w:r>
          </w:p>
        </w:tc>
        <w:tc>
          <w:tcPr>
            <w:tcW w:w="1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D1DC3" w:rsidRPr="00636306" w:rsidRDefault="007D1DC3" w:rsidP="00AD235E">
            <w:pPr>
              <w:pStyle w:val="Tabletextboxed"/>
              <w:jc w:val="center"/>
              <w:rPr>
                <w:highlight w:val="magenta"/>
              </w:rPr>
            </w:pPr>
            <w:r>
              <w:t>164</w:t>
            </w: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D1DC3" w:rsidRPr="00134AC1" w:rsidRDefault="007D1DC3" w:rsidP="00722C30">
            <w:pPr>
              <w:pStyle w:val="Tabletextboxed"/>
              <w:jc w:val="center"/>
            </w:pPr>
            <w:r>
              <w:t>1</w:t>
            </w:r>
          </w:p>
        </w:tc>
        <w:tc>
          <w:tcPr>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D1DC3" w:rsidRPr="00D64E14" w:rsidRDefault="007D1DC3" w:rsidP="00722C30">
            <w:pPr>
              <w:pStyle w:val="Tabletextboxed"/>
              <w:jc w:val="center"/>
            </w:pPr>
            <w:r w:rsidRPr="00D64E14">
              <w:t>72</w:t>
            </w:r>
          </w:p>
        </w:tc>
        <w:tc>
          <w:tcPr>
            <w:tcW w:w="1985"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vAlign w:val="center"/>
          </w:tcPr>
          <w:p w:rsidR="007D1DC3" w:rsidRPr="00D64E14" w:rsidRDefault="007D1DC3" w:rsidP="00722C30">
            <w:pPr>
              <w:pStyle w:val="Tabletextboxed"/>
              <w:jc w:val="center"/>
            </w:pPr>
            <w:r w:rsidRPr="00D64E14">
              <w:t>227</w:t>
            </w:r>
          </w:p>
        </w:tc>
      </w:tr>
      <w:tr w:rsidR="007D1DC3" w:rsidRPr="00B52E74" w:rsidTr="00AD235E">
        <w:trPr>
          <w:trHeight w:val="295"/>
        </w:trPr>
        <w:tc>
          <w:tcPr>
            <w:tcW w:w="2102" w:type="dxa"/>
            <w:tcBorders>
              <w:top w:val="single" w:sz="4" w:space="0" w:color="FFFFFF" w:themeColor="background1"/>
              <w:left w:val="nil"/>
              <w:bottom w:val="single" w:sz="4" w:space="0" w:color="FFFFFF" w:themeColor="background1"/>
              <w:right w:val="single" w:sz="4" w:space="0" w:color="FFFFFF" w:themeColor="background1"/>
            </w:tcBorders>
            <w:shd w:val="clear" w:color="auto" w:fill="C6D9F1"/>
            <w:vAlign w:val="center"/>
          </w:tcPr>
          <w:p w:rsidR="007D1DC3" w:rsidRPr="00B52E74" w:rsidRDefault="007D1DC3" w:rsidP="00722C30">
            <w:pPr>
              <w:pStyle w:val="Tabletextboxed"/>
            </w:pPr>
            <w:r>
              <w:t>High Voltage</w:t>
            </w:r>
          </w:p>
        </w:tc>
        <w:tc>
          <w:tcPr>
            <w:tcW w:w="13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D1DC3" w:rsidRPr="00636306" w:rsidRDefault="007D1DC3" w:rsidP="00AD235E">
            <w:pPr>
              <w:pStyle w:val="Tabletextboxed"/>
              <w:jc w:val="center"/>
              <w:rPr>
                <w:highlight w:val="magenta"/>
              </w:rPr>
            </w:pPr>
            <w:r>
              <w:t>53</w:t>
            </w:r>
          </w:p>
        </w:tc>
        <w:tc>
          <w:tcPr>
            <w:tcW w:w="13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D1DC3" w:rsidRPr="00134AC1" w:rsidRDefault="007D1DC3" w:rsidP="00722C30">
            <w:pPr>
              <w:pStyle w:val="Tabletextboxed"/>
              <w:jc w:val="center"/>
            </w:pPr>
            <w:r>
              <w:t>1</w:t>
            </w:r>
          </w:p>
        </w:tc>
        <w:tc>
          <w:tcPr>
            <w:tcW w:w="17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D1DC3" w:rsidRPr="00D64E14" w:rsidRDefault="007D1DC3" w:rsidP="00722C30">
            <w:pPr>
              <w:pStyle w:val="Tabletextboxed"/>
              <w:jc w:val="center"/>
            </w:pPr>
            <w:r w:rsidRPr="00D64E14">
              <w:t>72</w:t>
            </w:r>
          </w:p>
        </w:tc>
        <w:tc>
          <w:tcPr>
            <w:tcW w:w="1985"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vAlign w:val="center"/>
          </w:tcPr>
          <w:p w:rsidR="007D1DC3" w:rsidRPr="00D64E14" w:rsidRDefault="007D1DC3" w:rsidP="00722C30">
            <w:pPr>
              <w:pStyle w:val="Tabletextboxed"/>
              <w:jc w:val="center"/>
            </w:pPr>
            <w:r w:rsidRPr="00D64E14">
              <w:t>73</w:t>
            </w:r>
          </w:p>
        </w:tc>
      </w:tr>
      <w:tr w:rsidR="007D1DC3" w:rsidRPr="00134AC1" w:rsidTr="00AD235E">
        <w:trPr>
          <w:trHeight w:val="556"/>
        </w:trPr>
        <w:tc>
          <w:tcPr>
            <w:tcW w:w="2102" w:type="dxa"/>
            <w:tcBorders>
              <w:top w:val="single" w:sz="4" w:space="0" w:color="FFFFFF" w:themeColor="background1"/>
              <w:left w:val="nil"/>
              <w:bottom w:val="nil"/>
              <w:right w:val="single" w:sz="4" w:space="0" w:color="FFFFFF" w:themeColor="background1"/>
            </w:tcBorders>
            <w:shd w:val="clear" w:color="auto" w:fill="C6D9F1"/>
            <w:vAlign w:val="center"/>
          </w:tcPr>
          <w:p w:rsidR="007D1DC3" w:rsidRPr="00B52E74" w:rsidRDefault="007D1DC3" w:rsidP="00722C30">
            <w:pPr>
              <w:pStyle w:val="Tabletextboxed"/>
            </w:pPr>
            <w:r>
              <w:t>Sub-transmission Voltage</w:t>
            </w:r>
          </w:p>
        </w:tc>
        <w:tc>
          <w:tcPr>
            <w:tcW w:w="131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vAlign w:val="center"/>
          </w:tcPr>
          <w:p w:rsidR="007D1DC3" w:rsidRPr="00636306" w:rsidRDefault="007D1DC3" w:rsidP="00AD235E">
            <w:pPr>
              <w:pStyle w:val="Tabletextboxed"/>
              <w:jc w:val="center"/>
              <w:rPr>
                <w:highlight w:val="magenta"/>
              </w:rPr>
            </w:pPr>
            <w:r>
              <w:t>8</w:t>
            </w:r>
          </w:p>
        </w:tc>
        <w:tc>
          <w:tcPr>
            <w:tcW w:w="1397"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vAlign w:val="center"/>
          </w:tcPr>
          <w:p w:rsidR="007D1DC3" w:rsidRPr="00134AC1" w:rsidRDefault="007D1DC3" w:rsidP="00722C30">
            <w:pPr>
              <w:pStyle w:val="Tabletextboxed"/>
              <w:jc w:val="center"/>
            </w:pPr>
            <w:r>
              <w:t>1</w:t>
            </w:r>
          </w:p>
        </w:tc>
        <w:tc>
          <w:tcPr>
            <w:tcW w:w="1706"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vAlign w:val="center"/>
          </w:tcPr>
          <w:p w:rsidR="007D1DC3" w:rsidRPr="00D64E14" w:rsidRDefault="007D1DC3" w:rsidP="00722C30">
            <w:pPr>
              <w:pStyle w:val="Tabletextboxed"/>
              <w:jc w:val="center"/>
            </w:pPr>
            <w:r w:rsidRPr="00D64E14">
              <w:t>72</w:t>
            </w:r>
          </w:p>
        </w:tc>
        <w:tc>
          <w:tcPr>
            <w:tcW w:w="1985" w:type="dxa"/>
            <w:tcBorders>
              <w:top w:val="single" w:sz="4" w:space="0" w:color="FFFFFF" w:themeColor="background1"/>
              <w:left w:val="single" w:sz="4" w:space="0" w:color="FFFFFF" w:themeColor="background1"/>
              <w:bottom w:val="nil"/>
              <w:right w:val="nil"/>
            </w:tcBorders>
            <w:shd w:val="clear" w:color="auto" w:fill="DEEAF6"/>
            <w:vAlign w:val="center"/>
          </w:tcPr>
          <w:p w:rsidR="007D1DC3" w:rsidRPr="00D64E14" w:rsidRDefault="007D1DC3" w:rsidP="00722C30">
            <w:pPr>
              <w:pStyle w:val="Tabletextboxed"/>
              <w:jc w:val="center"/>
            </w:pPr>
            <w:r w:rsidRPr="00D64E14">
              <w:t>11.6</w:t>
            </w:r>
          </w:p>
        </w:tc>
      </w:tr>
      <w:tr w:rsidR="007D1DC3" w:rsidRPr="00134AC1" w:rsidTr="00722C30">
        <w:trPr>
          <w:trHeight w:val="325"/>
        </w:trPr>
        <w:tc>
          <w:tcPr>
            <w:tcW w:w="8505" w:type="dxa"/>
            <w:gridSpan w:val="5"/>
            <w:tcBorders>
              <w:top w:val="nil"/>
              <w:left w:val="nil"/>
              <w:bottom w:val="nil"/>
              <w:right w:val="nil"/>
            </w:tcBorders>
            <w:shd w:val="clear" w:color="auto" w:fill="auto"/>
            <w:vAlign w:val="center"/>
          </w:tcPr>
          <w:p w:rsidR="007D1DC3" w:rsidRPr="00722C30" w:rsidRDefault="007D1DC3" w:rsidP="008D0334">
            <w:pPr>
              <w:spacing w:after="0"/>
              <w:ind w:right="34"/>
              <w:jc w:val="right"/>
              <w:rPr>
                <w:rFonts w:cs="Arial"/>
                <w:color w:val="000000"/>
                <w:sz w:val="16"/>
                <w:szCs w:val="18"/>
                <w:highlight w:val="yellow"/>
              </w:rPr>
            </w:pPr>
            <w:r w:rsidRPr="00722C30">
              <w:rPr>
                <w:rFonts w:cs="Arial"/>
                <w:color w:val="000000"/>
                <w:sz w:val="16"/>
                <w:szCs w:val="18"/>
              </w:rPr>
              <w:t xml:space="preserve">Source: </w:t>
            </w:r>
            <w:proofErr w:type="spellStart"/>
            <w:r w:rsidRPr="00722C30">
              <w:rPr>
                <w:rFonts w:cs="Arial"/>
                <w:color w:val="000000"/>
                <w:sz w:val="16"/>
                <w:szCs w:val="18"/>
              </w:rPr>
              <w:t>Ausgrid</w:t>
            </w:r>
            <w:proofErr w:type="spellEnd"/>
            <w:r w:rsidRPr="00722C30">
              <w:rPr>
                <w:rFonts w:cs="Arial"/>
                <w:color w:val="000000"/>
                <w:sz w:val="16"/>
                <w:szCs w:val="18"/>
              </w:rPr>
              <w:t xml:space="preserve"> 2015</w:t>
            </w:r>
          </w:p>
        </w:tc>
      </w:tr>
    </w:tbl>
    <w:p w:rsidR="00783D42" w:rsidRPr="00722C30" w:rsidRDefault="00783D42" w:rsidP="00783D42">
      <w:pPr>
        <w:spacing w:before="120" w:after="240" w:line="240" w:lineRule="exact"/>
        <w:ind w:left="851"/>
        <w:rPr>
          <w:rStyle w:val="AERbody"/>
        </w:rPr>
      </w:pPr>
      <w:r w:rsidRPr="00722C30">
        <w:rPr>
          <w:rStyle w:val="AERbody"/>
        </w:rPr>
        <w:t xml:space="preserve">However, </w:t>
      </w:r>
      <w:proofErr w:type="spellStart"/>
      <w:r w:rsidRPr="00722C30">
        <w:rPr>
          <w:rStyle w:val="AERbody"/>
        </w:rPr>
        <w:t>Ausgrid</w:t>
      </w:r>
      <w:proofErr w:type="spellEnd"/>
      <w:r w:rsidRPr="00722C30">
        <w:rPr>
          <w:rStyle w:val="AERbody"/>
        </w:rPr>
        <w:t xml:space="preserve"> </w:t>
      </w:r>
      <w:r w:rsidR="0031623F" w:rsidRPr="00722C30">
        <w:rPr>
          <w:rStyle w:val="AERbody"/>
        </w:rPr>
        <w:t xml:space="preserve">has </w:t>
      </w:r>
      <w:r w:rsidRPr="00722C30">
        <w:rPr>
          <w:rStyle w:val="AERbody"/>
        </w:rPr>
        <w:t xml:space="preserve">not </w:t>
      </w:r>
      <w:r w:rsidR="0031623F" w:rsidRPr="00722C30">
        <w:rPr>
          <w:rStyle w:val="AERbody"/>
        </w:rPr>
        <w:t xml:space="preserve">introduced </w:t>
      </w:r>
      <w:proofErr w:type="spellStart"/>
      <w:r w:rsidR="00B17C8B">
        <w:rPr>
          <w:rStyle w:val="AERbody"/>
        </w:rPr>
        <w:t>localised</w:t>
      </w:r>
      <w:proofErr w:type="spellEnd"/>
      <w:r w:rsidR="00B17C8B">
        <w:rPr>
          <w:rStyle w:val="AERbody"/>
        </w:rPr>
        <w:t xml:space="preserve"> </w:t>
      </w:r>
      <w:r w:rsidRPr="00722C30">
        <w:rPr>
          <w:rStyle w:val="AERbody"/>
        </w:rPr>
        <w:t>dynamic peak pricing in the next regulatory control period because the costs are likely to outweigh the associated economic benefits.</w:t>
      </w:r>
      <w:r w:rsidRPr="00F93A72">
        <w:rPr>
          <w:rStyle w:val="AERbody"/>
          <w:vertAlign w:val="superscript"/>
        </w:rPr>
        <w:footnoteReference w:id="17"/>
      </w:r>
      <w:r w:rsidRPr="00722C30">
        <w:rPr>
          <w:rStyle w:val="AERbody"/>
        </w:rPr>
        <w:t xml:space="preserve"> Further, the implementation of such a tariff would impose unacceptable bill impacts on our customers, as discussed later in section </w:t>
      </w:r>
      <w:r w:rsidR="006A450F">
        <w:rPr>
          <w:rStyle w:val="AERbody"/>
        </w:rPr>
        <w:fldChar w:fldCharType="begin"/>
      </w:r>
      <w:r w:rsidR="006A450F">
        <w:rPr>
          <w:rStyle w:val="AERbody"/>
        </w:rPr>
        <w:instrText xml:space="preserve"> REF _Ref462995663 \r \h </w:instrText>
      </w:r>
      <w:r w:rsidR="006A450F">
        <w:rPr>
          <w:rStyle w:val="AERbody"/>
        </w:rPr>
      </w:r>
      <w:r w:rsidR="006A450F">
        <w:rPr>
          <w:rStyle w:val="AERbody"/>
        </w:rPr>
        <w:fldChar w:fldCharType="separate"/>
      </w:r>
      <w:r w:rsidR="00BE0834">
        <w:rPr>
          <w:rStyle w:val="AERbody"/>
        </w:rPr>
        <w:t>8</w:t>
      </w:r>
      <w:r w:rsidR="006A450F">
        <w:rPr>
          <w:rStyle w:val="AERbody"/>
        </w:rPr>
        <w:fldChar w:fldCharType="end"/>
      </w:r>
      <w:r w:rsidR="006A450F">
        <w:rPr>
          <w:rStyle w:val="AERbody"/>
        </w:rPr>
        <w:t xml:space="preserve"> and </w:t>
      </w:r>
      <w:r w:rsidR="00D0678A">
        <w:rPr>
          <w:rStyle w:val="AERbody"/>
        </w:rPr>
        <w:t xml:space="preserve">in </w:t>
      </w:r>
      <w:r w:rsidR="006A450F">
        <w:rPr>
          <w:rStyle w:val="AERbody"/>
        </w:rPr>
        <w:t>Appendix A</w:t>
      </w:r>
      <w:r w:rsidRPr="00722C30">
        <w:rPr>
          <w:rStyle w:val="AERbody"/>
        </w:rPr>
        <w:t>.</w:t>
      </w:r>
    </w:p>
    <w:p w:rsidR="007D1DC3" w:rsidRDefault="00783D42" w:rsidP="00722C30">
      <w:pPr>
        <w:pStyle w:val="Heading3"/>
      </w:pPr>
      <w:r>
        <w:t xml:space="preserve">The seasonal peak energy charge </w:t>
      </w:r>
    </w:p>
    <w:p w:rsidR="00B02813" w:rsidRPr="00722C30" w:rsidRDefault="00783D42" w:rsidP="007D1DC3">
      <w:pPr>
        <w:spacing w:before="120" w:after="240" w:line="240" w:lineRule="exact"/>
        <w:ind w:left="851"/>
        <w:rPr>
          <w:rStyle w:val="AERbody"/>
        </w:rPr>
      </w:pPr>
      <w:proofErr w:type="spellStart"/>
      <w:r w:rsidRPr="00722C30">
        <w:rPr>
          <w:rStyle w:val="AERbody"/>
        </w:rPr>
        <w:t>Ausgrid</w:t>
      </w:r>
      <w:proofErr w:type="spellEnd"/>
      <w:r w:rsidR="0031623F" w:rsidRPr="00722C30">
        <w:rPr>
          <w:rStyle w:val="AERbody"/>
        </w:rPr>
        <w:t xml:space="preserve"> is applying </w:t>
      </w:r>
      <w:r w:rsidRPr="00722C30">
        <w:rPr>
          <w:rStyle w:val="AERbody"/>
        </w:rPr>
        <w:t xml:space="preserve">seasonal peak energy charges </w:t>
      </w:r>
      <w:r w:rsidR="00B02813" w:rsidRPr="00722C30">
        <w:rPr>
          <w:rStyle w:val="AERbody"/>
        </w:rPr>
        <w:t xml:space="preserve">and </w:t>
      </w:r>
      <w:r w:rsidR="0031623F" w:rsidRPr="00722C30">
        <w:rPr>
          <w:rStyle w:val="AERbody"/>
        </w:rPr>
        <w:t xml:space="preserve">is </w:t>
      </w:r>
      <w:r w:rsidR="00B02813" w:rsidRPr="00722C30">
        <w:rPr>
          <w:rStyle w:val="AERbody"/>
        </w:rPr>
        <w:t>reform</w:t>
      </w:r>
      <w:r w:rsidR="0031623F" w:rsidRPr="00722C30">
        <w:rPr>
          <w:rStyle w:val="AERbody"/>
        </w:rPr>
        <w:t xml:space="preserve">ing </w:t>
      </w:r>
      <w:r w:rsidR="00B02813" w:rsidRPr="00722C30">
        <w:rPr>
          <w:rStyle w:val="AERbody"/>
        </w:rPr>
        <w:t>the residential winter peak period from 1 July 2018</w:t>
      </w:r>
      <w:r w:rsidR="00D0678A">
        <w:rPr>
          <w:rStyle w:val="AERbody"/>
        </w:rPr>
        <w:t>,</w:t>
      </w:r>
      <w:r w:rsidR="00B02813" w:rsidRPr="00722C30">
        <w:rPr>
          <w:rStyle w:val="AERbody"/>
        </w:rPr>
        <w:t xml:space="preserve"> </w:t>
      </w:r>
      <w:r w:rsidR="00D0678A">
        <w:rPr>
          <w:rStyle w:val="AERbody"/>
        </w:rPr>
        <w:t>a</w:t>
      </w:r>
      <w:r w:rsidR="00D0678A" w:rsidRPr="00722C30">
        <w:rPr>
          <w:rStyle w:val="AERbody"/>
        </w:rPr>
        <w:t xml:space="preserve">s </w:t>
      </w:r>
      <w:r w:rsidRPr="00722C30">
        <w:rPr>
          <w:rStyle w:val="AERbody"/>
        </w:rPr>
        <w:t>discussed in detail in section</w:t>
      </w:r>
      <w:r w:rsidR="00865B9D" w:rsidRPr="00722C30">
        <w:rPr>
          <w:rStyle w:val="AERbody"/>
        </w:rPr>
        <w:t xml:space="preserve"> </w:t>
      </w:r>
      <w:r w:rsidR="00865B9D" w:rsidRPr="00722C30">
        <w:rPr>
          <w:rStyle w:val="AERbody"/>
        </w:rPr>
        <w:fldChar w:fldCharType="begin"/>
      </w:r>
      <w:r w:rsidR="00865B9D" w:rsidRPr="00722C30">
        <w:rPr>
          <w:rStyle w:val="AERbody"/>
        </w:rPr>
        <w:instrText xml:space="preserve"> REF _Ref461802674 \r \h </w:instrText>
      </w:r>
      <w:r w:rsidR="00865B9D" w:rsidRPr="00722C30">
        <w:rPr>
          <w:rStyle w:val="AERbody"/>
        </w:rPr>
      </w:r>
      <w:r w:rsidR="00865B9D" w:rsidRPr="00722C30">
        <w:rPr>
          <w:rStyle w:val="AERbody"/>
        </w:rPr>
        <w:fldChar w:fldCharType="separate"/>
      </w:r>
      <w:r w:rsidR="00BE0834">
        <w:rPr>
          <w:rStyle w:val="AERbody"/>
        </w:rPr>
        <w:t>6</w:t>
      </w:r>
      <w:r w:rsidR="00865B9D" w:rsidRPr="00722C30">
        <w:rPr>
          <w:rStyle w:val="AERbody"/>
        </w:rPr>
        <w:fldChar w:fldCharType="end"/>
      </w:r>
      <w:r w:rsidR="0085296B">
        <w:rPr>
          <w:rStyle w:val="AERbody"/>
        </w:rPr>
        <w:t xml:space="preserve">. The resulting definition of the peak periods </w:t>
      </w:r>
      <w:r w:rsidR="00BC1372" w:rsidRPr="00722C30">
        <w:rPr>
          <w:rStyle w:val="AERbody"/>
        </w:rPr>
        <w:t xml:space="preserve">is </w:t>
      </w:r>
      <w:proofErr w:type="spellStart"/>
      <w:r w:rsidR="00B02813" w:rsidRPr="00722C30">
        <w:rPr>
          <w:rStyle w:val="AERbody"/>
        </w:rPr>
        <w:t>summarised</w:t>
      </w:r>
      <w:proofErr w:type="spellEnd"/>
      <w:r w:rsidR="00B02813" w:rsidRPr="00722C30">
        <w:rPr>
          <w:rStyle w:val="AERbody"/>
        </w:rPr>
        <w:t xml:space="preserve"> in </w:t>
      </w:r>
      <w:r w:rsidR="00347193" w:rsidRPr="00722C30">
        <w:rPr>
          <w:rStyle w:val="AERbody"/>
        </w:rPr>
        <w:fldChar w:fldCharType="begin"/>
      </w:r>
      <w:r w:rsidR="00347193" w:rsidRPr="00722C30">
        <w:rPr>
          <w:rStyle w:val="AERbody"/>
        </w:rPr>
        <w:instrText xml:space="preserve"> REF _Ref462042587 \h  \* MERGEFORMAT </w:instrText>
      </w:r>
      <w:r w:rsidR="00347193" w:rsidRPr="00722C30">
        <w:rPr>
          <w:rStyle w:val="AERbody"/>
        </w:rPr>
      </w:r>
      <w:r w:rsidR="00347193" w:rsidRPr="00722C30">
        <w:rPr>
          <w:rStyle w:val="AERbody"/>
        </w:rPr>
        <w:fldChar w:fldCharType="separate"/>
      </w:r>
      <w:r w:rsidR="00BE0834" w:rsidRPr="00BE0834">
        <w:rPr>
          <w:rStyle w:val="AERbody"/>
        </w:rPr>
        <w:t>Table 8</w:t>
      </w:r>
      <w:r w:rsidR="00347193" w:rsidRPr="00722C30">
        <w:rPr>
          <w:rStyle w:val="AERbody"/>
        </w:rPr>
        <w:fldChar w:fldCharType="end"/>
      </w:r>
      <w:r w:rsidR="00347193" w:rsidRPr="00722C30">
        <w:rPr>
          <w:rStyle w:val="AERbody"/>
        </w:rPr>
        <w:t xml:space="preserve"> </w:t>
      </w:r>
      <w:r w:rsidR="00B02813" w:rsidRPr="00722C30">
        <w:rPr>
          <w:rStyle w:val="AERbody"/>
        </w:rPr>
        <w:t xml:space="preserve">below. </w:t>
      </w:r>
    </w:p>
    <w:p w:rsidR="007649C5" w:rsidRPr="00411821" w:rsidRDefault="00347193" w:rsidP="007921FE">
      <w:pPr>
        <w:pStyle w:val="Caption"/>
        <w:rPr>
          <w:rFonts w:cs="Arial"/>
          <w:b w:val="0"/>
        </w:rPr>
      </w:pPr>
      <w:bookmarkStart w:id="403" w:name="_Ref462042587"/>
      <w:r w:rsidRPr="00073643">
        <w:t xml:space="preserve">Table </w:t>
      </w:r>
      <w:r w:rsidRPr="007921FE">
        <w:fldChar w:fldCharType="begin"/>
      </w:r>
      <w:r w:rsidRPr="00073643">
        <w:instrText xml:space="preserve"> SEQ Table \* ARABIC </w:instrText>
      </w:r>
      <w:r w:rsidRPr="007921FE">
        <w:fldChar w:fldCharType="separate"/>
      </w:r>
      <w:r w:rsidR="00BE0834">
        <w:rPr>
          <w:noProof/>
        </w:rPr>
        <w:t>8</w:t>
      </w:r>
      <w:r w:rsidRPr="007921FE">
        <w:fldChar w:fldCharType="end"/>
      </w:r>
      <w:bookmarkEnd w:id="403"/>
      <w:r w:rsidRPr="00073643">
        <w:t xml:space="preserve"> –</w:t>
      </w:r>
      <w:r w:rsidR="007649C5" w:rsidRPr="007921FE">
        <w:t xml:space="preserve"> </w:t>
      </w:r>
      <w:r w:rsidR="0031623F" w:rsidRPr="007921FE">
        <w:t>T</w:t>
      </w:r>
      <w:r w:rsidR="007649C5" w:rsidRPr="007921FE">
        <w:t>ime periods for seasonal peak charging parameter</w:t>
      </w:r>
      <w:r w:rsidR="007649C5">
        <w:rPr>
          <w:rFonts w:cs="Arial"/>
        </w:rPr>
        <w:t xml:space="preserve"> </w:t>
      </w:r>
    </w:p>
    <w:tbl>
      <w:tblPr>
        <w:tblW w:w="8505" w:type="dxa"/>
        <w:tblInd w:w="9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1E0" w:firstRow="1" w:lastRow="1" w:firstColumn="1" w:lastColumn="1" w:noHBand="0" w:noVBand="0"/>
      </w:tblPr>
      <w:tblGrid>
        <w:gridCol w:w="2268"/>
        <w:gridCol w:w="6237"/>
      </w:tblGrid>
      <w:tr w:rsidR="006178BD" w:rsidTr="00722C30">
        <w:tc>
          <w:tcPr>
            <w:tcW w:w="2268" w:type="dxa"/>
            <w:shd w:val="clear" w:color="auto" w:fill="0065A6"/>
            <w:vAlign w:val="center"/>
          </w:tcPr>
          <w:p w:rsidR="006178BD" w:rsidRDefault="006178BD" w:rsidP="00722C30">
            <w:pPr>
              <w:spacing w:before="120" w:after="120"/>
              <w:ind w:left="33"/>
              <w:rPr>
                <w:rFonts w:cs="Arial"/>
                <w:b/>
                <w:bCs/>
                <w:color w:val="FFFFFF"/>
                <w:szCs w:val="18"/>
              </w:rPr>
            </w:pPr>
            <w:r>
              <w:rPr>
                <w:rFonts w:cs="Arial"/>
                <w:b/>
                <w:bCs/>
                <w:color w:val="FFFFFF"/>
                <w:szCs w:val="18"/>
              </w:rPr>
              <w:t>Season</w:t>
            </w:r>
          </w:p>
        </w:tc>
        <w:tc>
          <w:tcPr>
            <w:tcW w:w="6237" w:type="dxa"/>
            <w:shd w:val="clear" w:color="auto" w:fill="0065A6"/>
            <w:vAlign w:val="center"/>
          </w:tcPr>
          <w:p w:rsidR="006178BD" w:rsidRPr="00952B94" w:rsidRDefault="006178BD" w:rsidP="006040C3">
            <w:pPr>
              <w:spacing w:before="120" w:after="120"/>
              <w:jc w:val="center"/>
              <w:rPr>
                <w:rFonts w:cs="Arial"/>
                <w:b/>
                <w:bCs/>
                <w:color w:val="FFFFFF"/>
                <w:szCs w:val="18"/>
              </w:rPr>
            </w:pPr>
            <w:r>
              <w:rPr>
                <w:rFonts w:cs="Arial"/>
                <w:b/>
                <w:bCs/>
                <w:color w:val="FFFFFF"/>
                <w:szCs w:val="18"/>
              </w:rPr>
              <w:t>Proposed Time Period Definition</w:t>
            </w:r>
          </w:p>
        </w:tc>
      </w:tr>
      <w:tr w:rsidR="006178BD" w:rsidTr="00722C30">
        <w:trPr>
          <w:trHeight w:val="593"/>
        </w:trPr>
        <w:tc>
          <w:tcPr>
            <w:tcW w:w="2268" w:type="dxa"/>
            <w:shd w:val="clear" w:color="auto" w:fill="C6D9F1"/>
            <w:vAlign w:val="center"/>
            <w:hideMark/>
          </w:tcPr>
          <w:p w:rsidR="006178BD" w:rsidRPr="00722C30" w:rsidRDefault="006178BD" w:rsidP="00722C30">
            <w:pPr>
              <w:pStyle w:val="Tabletextboxed"/>
              <w:rPr>
                <w:b/>
              </w:rPr>
            </w:pPr>
            <w:r w:rsidRPr="00722C30">
              <w:rPr>
                <w:b/>
              </w:rPr>
              <w:t>Summer peak period</w:t>
            </w:r>
          </w:p>
        </w:tc>
        <w:tc>
          <w:tcPr>
            <w:tcW w:w="6237" w:type="dxa"/>
            <w:shd w:val="clear" w:color="auto" w:fill="DEEAF6"/>
            <w:hideMark/>
          </w:tcPr>
          <w:p w:rsidR="006178BD" w:rsidRDefault="006178BD" w:rsidP="00722C30">
            <w:pPr>
              <w:pStyle w:val="Tabletextboxed"/>
            </w:pPr>
            <w:r>
              <w:rPr>
                <w:spacing w:val="-1"/>
              </w:rPr>
              <w:t>F</w:t>
            </w:r>
            <w:r>
              <w:rPr>
                <w:spacing w:val="2"/>
              </w:rPr>
              <w:t>r</w:t>
            </w:r>
            <w:r>
              <w:rPr>
                <w:spacing w:val="-5"/>
              </w:rPr>
              <w:t>o</w:t>
            </w:r>
            <w:r>
              <w:t>m</w:t>
            </w:r>
            <w:r>
              <w:rPr>
                <w:spacing w:val="8"/>
              </w:rPr>
              <w:t xml:space="preserve"> </w:t>
            </w:r>
            <w:r>
              <w:t>2</w:t>
            </w:r>
            <w:r>
              <w:rPr>
                <w:spacing w:val="-5"/>
              </w:rPr>
              <w:t>p</w:t>
            </w:r>
            <w:r>
              <w:t>m</w:t>
            </w:r>
            <w:r>
              <w:rPr>
                <w:spacing w:val="8"/>
              </w:rPr>
              <w:t xml:space="preserve"> </w:t>
            </w:r>
            <w:r>
              <w:t>to</w:t>
            </w:r>
            <w:r>
              <w:rPr>
                <w:spacing w:val="-2"/>
              </w:rPr>
              <w:t xml:space="preserve"> </w:t>
            </w:r>
            <w:r>
              <w:t>8</w:t>
            </w:r>
            <w:r>
              <w:rPr>
                <w:spacing w:val="-2"/>
              </w:rPr>
              <w:t xml:space="preserve"> </w:t>
            </w:r>
            <w:r>
              <w:rPr>
                <w:spacing w:val="-5"/>
              </w:rPr>
              <w:t>p</w:t>
            </w:r>
            <w:r>
              <w:t>m</w:t>
            </w:r>
            <w:r>
              <w:rPr>
                <w:spacing w:val="6"/>
              </w:rPr>
              <w:t xml:space="preserve"> </w:t>
            </w:r>
            <w:r>
              <w:rPr>
                <w:spacing w:val="-5"/>
              </w:rPr>
              <w:t>o</w:t>
            </w:r>
            <w:r>
              <w:t>n</w:t>
            </w:r>
            <w:r>
              <w:rPr>
                <w:spacing w:val="4"/>
              </w:rPr>
              <w:t xml:space="preserve"> </w:t>
            </w:r>
            <w:r>
              <w:rPr>
                <w:spacing w:val="-2"/>
              </w:rPr>
              <w:t>w</w:t>
            </w:r>
            <w:r>
              <w:rPr>
                <w:spacing w:val="-5"/>
              </w:rPr>
              <w:t>o</w:t>
            </w:r>
            <w:r>
              <w:rPr>
                <w:spacing w:val="2"/>
              </w:rPr>
              <w:t>r</w:t>
            </w:r>
            <w:r>
              <w:rPr>
                <w:spacing w:val="-5"/>
              </w:rPr>
              <w:t>k</w:t>
            </w:r>
            <w:r>
              <w:rPr>
                <w:spacing w:val="3"/>
              </w:rPr>
              <w:t>i</w:t>
            </w:r>
            <w:r>
              <w:rPr>
                <w:spacing w:val="-1"/>
              </w:rPr>
              <w:t>n</w:t>
            </w:r>
            <w:r>
              <w:t>g</w:t>
            </w:r>
            <w:r>
              <w:rPr>
                <w:spacing w:val="3"/>
              </w:rPr>
              <w:t xml:space="preserve"> </w:t>
            </w:r>
            <w:r>
              <w:rPr>
                <w:spacing w:val="-2"/>
                <w:w w:val="101"/>
              </w:rPr>
              <w:t>w</w:t>
            </w:r>
            <w:r>
              <w:rPr>
                <w:spacing w:val="-5"/>
                <w:w w:val="101"/>
              </w:rPr>
              <w:t>ee</w:t>
            </w:r>
            <w:r>
              <w:rPr>
                <w:w w:val="101"/>
              </w:rPr>
              <w:t>k</w:t>
            </w:r>
            <w:r>
              <w:rPr>
                <w:spacing w:val="-1"/>
                <w:w w:val="101"/>
              </w:rPr>
              <w:t>da</w:t>
            </w:r>
            <w:r>
              <w:rPr>
                <w:w w:val="101"/>
              </w:rPr>
              <w:t>ys during 1 November and 31 March (inclusive)</w:t>
            </w:r>
          </w:p>
        </w:tc>
      </w:tr>
      <w:tr w:rsidR="006178BD" w:rsidTr="00722C30">
        <w:trPr>
          <w:trHeight w:val="365"/>
        </w:trPr>
        <w:tc>
          <w:tcPr>
            <w:tcW w:w="2268" w:type="dxa"/>
            <w:shd w:val="clear" w:color="auto" w:fill="C6D9F1"/>
            <w:vAlign w:val="center"/>
            <w:hideMark/>
          </w:tcPr>
          <w:p w:rsidR="006178BD" w:rsidRPr="00722C30" w:rsidRDefault="006178BD" w:rsidP="00722C30">
            <w:pPr>
              <w:pStyle w:val="Tabletextboxed"/>
              <w:rPr>
                <w:b/>
              </w:rPr>
            </w:pPr>
            <w:r w:rsidRPr="00722C30">
              <w:rPr>
                <w:b/>
              </w:rPr>
              <w:t>Winter peak period (residential)</w:t>
            </w:r>
          </w:p>
        </w:tc>
        <w:tc>
          <w:tcPr>
            <w:tcW w:w="6237" w:type="dxa"/>
            <w:shd w:val="clear" w:color="auto" w:fill="DEEAF6"/>
            <w:hideMark/>
          </w:tcPr>
          <w:p w:rsidR="006178BD" w:rsidRDefault="006178BD" w:rsidP="00722C30">
            <w:pPr>
              <w:pStyle w:val="Tabletextboxed"/>
            </w:pPr>
            <w:r>
              <w:rPr>
                <w:spacing w:val="-1"/>
              </w:rPr>
              <w:t>F</w:t>
            </w:r>
            <w:r>
              <w:rPr>
                <w:spacing w:val="2"/>
              </w:rPr>
              <w:t>r</w:t>
            </w:r>
            <w:r>
              <w:rPr>
                <w:spacing w:val="-5"/>
              </w:rPr>
              <w:t>o</w:t>
            </w:r>
            <w:r>
              <w:t>m</w:t>
            </w:r>
            <w:r>
              <w:rPr>
                <w:spacing w:val="8"/>
              </w:rPr>
              <w:t xml:space="preserve"> </w:t>
            </w:r>
            <w:r>
              <w:t>5</w:t>
            </w:r>
            <w:r>
              <w:rPr>
                <w:spacing w:val="-5"/>
              </w:rPr>
              <w:t>p</w:t>
            </w:r>
            <w:r>
              <w:t>m</w:t>
            </w:r>
            <w:r>
              <w:rPr>
                <w:spacing w:val="8"/>
              </w:rPr>
              <w:t xml:space="preserve"> </w:t>
            </w:r>
            <w:r>
              <w:t>to</w:t>
            </w:r>
            <w:r>
              <w:rPr>
                <w:spacing w:val="-2"/>
              </w:rPr>
              <w:t xml:space="preserve"> </w:t>
            </w:r>
            <w:r>
              <w:t>9pm</w:t>
            </w:r>
            <w:r>
              <w:rPr>
                <w:spacing w:val="6"/>
              </w:rPr>
              <w:t xml:space="preserve"> </w:t>
            </w:r>
            <w:r>
              <w:rPr>
                <w:spacing w:val="-5"/>
              </w:rPr>
              <w:t>o</w:t>
            </w:r>
            <w:r>
              <w:t>n</w:t>
            </w:r>
            <w:r>
              <w:rPr>
                <w:spacing w:val="4"/>
              </w:rPr>
              <w:t xml:space="preserve"> </w:t>
            </w:r>
            <w:r>
              <w:rPr>
                <w:spacing w:val="-2"/>
              </w:rPr>
              <w:t>w</w:t>
            </w:r>
            <w:r>
              <w:rPr>
                <w:spacing w:val="-5"/>
              </w:rPr>
              <w:t>o</w:t>
            </w:r>
            <w:r>
              <w:rPr>
                <w:spacing w:val="2"/>
              </w:rPr>
              <w:t>r</w:t>
            </w:r>
            <w:r>
              <w:rPr>
                <w:spacing w:val="-5"/>
              </w:rPr>
              <w:t>k</w:t>
            </w:r>
            <w:r>
              <w:rPr>
                <w:spacing w:val="3"/>
              </w:rPr>
              <w:t>i</w:t>
            </w:r>
            <w:r>
              <w:rPr>
                <w:spacing w:val="-1"/>
              </w:rPr>
              <w:t>n</w:t>
            </w:r>
            <w:r>
              <w:t>g</w:t>
            </w:r>
            <w:r>
              <w:rPr>
                <w:spacing w:val="3"/>
              </w:rPr>
              <w:t xml:space="preserve"> </w:t>
            </w:r>
            <w:r>
              <w:rPr>
                <w:spacing w:val="-2"/>
                <w:w w:val="101"/>
              </w:rPr>
              <w:t>w</w:t>
            </w:r>
            <w:r>
              <w:rPr>
                <w:spacing w:val="-5"/>
                <w:w w:val="101"/>
              </w:rPr>
              <w:t>ee</w:t>
            </w:r>
            <w:r>
              <w:rPr>
                <w:w w:val="101"/>
              </w:rPr>
              <w:t>k</w:t>
            </w:r>
            <w:r>
              <w:rPr>
                <w:spacing w:val="-1"/>
                <w:w w:val="101"/>
              </w:rPr>
              <w:t>da</w:t>
            </w:r>
            <w:r>
              <w:rPr>
                <w:w w:val="101"/>
              </w:rPr>
              <w:t>ys during 1 June to 31 August (inclusive)</w:t>
            </w:r>
          </w:p>
        </w:tc>
      </w:tr>
      <w:tr w:rsidR="006178BD" w:rsidTr="00722C30">
        <w:trPr>
          <w:trHeight w:val="365"/>
        </w:trPr>
        <w:tc>
          <w:tcPr>
            <w:tcW w:w="2268" w:type="dxa"/>
            <w:shd w:val="clear" w:color="auto" w:fill="C6D9F1"/>
            <w:vAlign w:val="center"/>
          </w:tcPr>
          <w:p w:rsidR="006178BD" w:rsidRPr="00722C30" w:rsidRDefault="006178BD" w:rsidP="00722C30">
            <w:pPr>
              <w:pStyle w:val="Tabletextboxed"/>
              <w:rPr>
                <w:b/>
              </w:rPr>
            </w:pPr>
            <w:r w:rsidRPr="00722C30">
              <w:rPr>
                <w:b/>
              </w:rPr>
              <w:t>Winter peak period (business)</w:t>
            </w:r>
          </w:p>
        </w:tc>
        <w:tc>
          <w:tcPr>
            <w:tcW w:w="6237" w:type="dxa"/>
            <w:shd w:val="clear" w:color="auto" w:fill="DEEAF6"/>
          </w:tcPr>
          <w:p w:rsidR="006178BD" w:rsidRDefault="006178BD" w:rsidP="00722C30">
            <w:pPr>
              <w:pStyle w:val="Tabletextboxed"/>
              <w:rPr>
                <w:spacing w:val="-1"/>
              </w:rPr>
            </w:pPr>
            <w:r>
              <w:rPr>
                <w:spacing w:val="-1"/>
              </w:rPr>
              <w:t>F</w:t>
            </w:r>
            <w:r>
              <w:rPr>
                <w:spacing w:val="2"/>
              </w:rPr>
              <w:t>r</w:t>
            </w:r>
            <w:r>
              <w:rPr>
                <w:spacing w:val="-5"/>
              </w:rPr>
              <w:t>o</w:t>
            </w:r>
            <w:r>
              <w:t>m</w:t>
            </w:r>
            <w:r>
              <w:rPr>
                <w:spacing w:val="8"/>
              </w:rPr>
              <w:t xml:space="preserve"> </w:t>
            </w:r>
            <w:r>
              <w:t>2</w:t>
            </w:r>
            <w:r>
              <w:rPr>
                <w:spacing w:val="-5"/>
              </w:rPr>
              <w:t>p</w:t>
            </w:r>
            <w:r>
              <w:t>m</w:t>
            </w:r>
            <w:r>
              <w:rPr>
                <w:spacing w:val="8"/>
              </w:rPr>
              <w:t xml:space="preserve"> </w:t>
            </w:r>
            <w:r>
              <w:t>to</w:t>
            </w:r>
            <w:r>
              <w:rPr>
                <w:spacing w:val="-2"/>
              </w:rPr>
              <w:t xml:space="preserve"> </w:t>
            </w:r>
            <w:r>
              <w:t>8pm</w:t>
            </w:r>
            <w:r>
              <w:rPr>
                <w:spacing w:val="6"/>
              </w:rPr>
              <w:t xml:space="preserve"> </w:t>
            </w:r>
            <w:r>
              <w:rPr>
                <w:spacing w:val="-5"/>
              </w:rPr>
              <w:t>o</w:t>
            </w:r>
            <w:r>
              <w:t>n</w:t>
            </w:r>
            <w:r>
              <w:rPr>
                <w:spacing w:val="4"/>
              </w:rPr>
              <w:t xml:space="preserve"> </w:t>
            </w:r>
            <w:r>
              <w:rPr>
                <w:spacing w:val="-2"/>
              </w:rPr>
              <w:t>w</w:t>
            </w:r>
            <w:r>
              <w:rPr>
                <w:spacing w:val="-5"/>
              </w:rPr>
              <w:t>o</w:t>
            </w:r>
            <w:r>
              <w:rPr>
                <w:spacing w:val="2"/>
              </w:rPr>
              <w:t>r</w:t>
            </w:r>
            <w:r>
              <w:rPr>
                <w:spacing w:val="-5"/>
              </w:rPr>
              <w:t>k</w:t>
            </w:r>
            <w:r>
              <w:rPr>
                <w:spacing w:val="3"/>
              </w:rPr>
              <w:t>i</w:t>
            </w:r>
            <w:r>
              <w:rPr>
                <w:spacing w:val="-1"/>
              </w:rPr>
              <w:t>n</w:t>
            </w:r>
            <w:r>
              <w:t>g</w:t>
            </w:r>
            <w:r>
              <w:rPr>
                <w:spacing w:val="3"/>
              </w:rPr>
              <w:t xml:space="preserve"> </w:t>
            </w:r>
            <w:r>
              <w:rPr>
                <w:spacing w:val="-2"/>
                <w:w w:val="101"/>
              </w:rPr>
              <w:t>w</w:t>
            </w:r>
            <w:r>
              <w:rPr>
                <w:spacing w:val="-5"/>
                <w:w w:val="101"/>
              </w:rPr>
              <w:t>ee</w:t>
            </w:r>
            <w:r>
              <w:rPr>
                <w:w w:val="101"/>
              </w:rPr>
              <w:t>k</w:t>
            </w:r>
            <w:r>
              <w:rPr>
                <w:spacing w:val="-1"/>
                <w:w w:val="101"/>
              </w:rPr>
              <w:t>da</w:t>
            </w:r>
            <w:r>
              <w:rPr>
                <w:w w:val="101"/>
              </w:rPr>
              <w:t>ys during 1 June to 31 August (inclusive)</w:t>
            </w:r>
          </w:p>
        </w:tc>
      </w:tr>
    </w:tbl>
    <w:p w:rsidR="00490DAD" w:rsidRDefault="00490DAD" w:rsidP="00BD7A0B">
      <w:pPr>
        <w:pStyle w:val="BodyText"/>
        <w:rPr>
          <w:rStyle w:val="AERbody"/>
        </w:rPr>
      </w:pPr>
    </w:p>
    <w:p w:rsidR="00783D42" w:rsidRPr="00722C30" w:rsidRDefault="007649C5" w:rsidP="00BD7A0B">
      <w:pPr>
        <w:pStyle w:val="BodyText"/>
        <w:rPr>
          <w:rStyle w:val="AERbody"/>
        </w:rPr>
      </w:pPr>
      <w:r w:rsidRPr="00722C30">
        <w:rPr>
          <w:rStyle w:val="AERbody"/>
        </w:rPr>
        <w:t xml:space="preserve">For the purpose of guiding its decisions on the peak energy charge for Ausgrid’s TOU tariffs, Ausgrid calculated the illustrative LRMC-based peak energy charge for each tariff class under </w:t>
      </w:r>
      <w:r w:rsidR="00D0678A">
        <w:rPr>
          <w:rStyle w:val="AERbody"/>
        </w:rPr>
        <w:lastRenderedPageBreak/>
        <w:t>the</w:t>
      </w:r>
      <w:r w:rsidR="00D0678A" w:rsidRPr="00722C30">
        <w:rPr>
          <w:rStyle w:val="AERbody"/>
        </w:rPr>
        <w:t xml:space="preserve"> </w:t>
      </w:r>
      <w:r w:rsidR="00D0678A">
        <w:rPr>
          <w:rStyle w:val="AERbody"/>
        </w:rPr>
        <w:t xml:space="preserve">seasonal </w:t>
      </w:r>
      <w:r w:rsidRPr="00722C30">
        <w:rPr>
          <w:rStyle w:val="AERbody"/>
        </w:rPr>
        <w:t>peak period definition</w:t>
      </w:r>
      <w:r w:rsidR="00D0678A">
        <w:rPr>
          <w:rStyle w:val="AERbody"/>
        </w:rPr>
        <w:t>s</w:t>
      </w:r>
      <w:r w:rsidRPr="00722C30">
        <w:rPr>
          <w:rStyle w:val="AERbody"/>
        </w:rPr>
        <w:t xml:space="preserve">. These illustrative estimates are presented in </w:t>
      </w:r>
      <w:r w:rsidR="00347193" w:rsidRPr="00722C30">
        <w:rPr>
          <w:rStyle w:val="AERbody"/>
        </w:rPr>
        <w:fldChar w:fldCharType="begin"/>
      </w:r>
      <w:r w:rsidR="00347193" w:rsidRPr="00722C30">
        <w:rPr>
          <w:rStyle w:val="AERbody"/>
        </w:rPr>
        <w:instrText xml:space="preserve"> REF _Ref462042605 \h  \* MERGEFORMAT </w:instrText>
      </w:r>
      <w:r w:rsidR="00347193" w:rsidRPr="00722C30">
        <w:rPr>
          <w:rStyle w:val="AERbody"/>
        </w:rPr>
      </w:r>
      <w:r w:rsidR="00347193" w:rsidRPr="00722C30">
        <w:rPr>
          <w:rStyle w:val="AERbody"/>
        </w:rPr>
        <w:fldChar w:fldCharType="separate"/>
      </w:r>
      <w:r w:rsidR="00BE0834" w:rsidRPr="00BE0834">
        <w:rPr>
          <w:rStyle w:val="AERbody"/>
        </w:rPr>
        <w:t>Table 9</w:t>
      </w:r>
      <w:r w:rsidR="00347193" w:rsidRPr="00722C30">
        <w:rPr>
          <w:rStyle w:val="AERbody"/>
        </w:rPr>
        <w:fldChar w:fldCharType="end"/>
      </w:r>
      <w:r w:rsidR="00347193" w:rsidRPr="00722C30">
        <w:rPr>
          <w:rStyle w:val="AERbody"/>
        </w:rPr>
        <w:t xml:space="preserve"> </w:t>
      </w:r>
      <w:r w:rsidRPr="00722C30">
        <w:rPr>
          <w:rStyle w:val="AERbody"/>
        </w:rPr>
        <w:t>below</w:t>
      </w:r>
      <w:r w:rsidR="00D36384">
        <w:rPr>
          <w:rStyle w:val="AERbody"/>
        </w:rPr>
        <w:t>.</w:t>
      </w:r>
    </w:p>
    <w:p w:rsidR="007649C5" w:rsidRPr="00411821" w:rsidRDefault="00347193" w:rsidP="007921FE">
      <w:pPr>
        <w:pStyle w:val="Caption"/>
        <w:rPr>
          <w:rFonts w:cs="Arial"/>
          <w:b w:val="0"/>
        </w:rPr>
      </w:pPr>
      <w:bookmarkStart w:id="404" w:name="_Ref462042605"/>
      <w:r w:rsidRPr="00073643">
        <w:t xml:space="preserve">Table </w:t>
      </w:r>
      <w:r w:rsidRPr="007921FE">
        <w:fldChar w:fldCharType="begin"/>
      </w:r>
      <w:r w:rsidRPr="00073643">
        <w:instrText xml:space="preserve"> SEQ Table \* ARABIC </w:instrText>
      </w:r>
      <w:r w:rsidRPr="007921FE">
        <w:fldChar w:fldCharType="separate"/>
      </w:r>
      <w:r w:rsidR="00BE0834">
        <w:rPr>
          <w:noProof/>
        </w:rPr>
        <w:t>9</w:t>
      </w:r>
      <w:r w:rsidRPr="007921FE">
        <w:fldChar w:fldCharType="end"/>
      </w:r>
      <w:bookmarkEnd w:id="404"/>
      <w:r w:rsidRPr="00073643">
        <w:t xml:space="preserve"> –</w:t>
      </w:r>
      <w:r w:rsidRPr="007921FE">
        <w:t xml:space="preserve"> L</w:t>
      </w:r>
      <w:r w:rsidR="007649C5" w:rsidRPr="007921FE">
        <w:t>RMC estimates for seasonal peak charging parameter</w:t>
      </w:r>
    </w:p>
    <w:tbl>
      <w:tblPr>
        <w:tblW w:w="8505" w:type="dxa"/>
        <w:tblInd w:w="9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1843"/>
        <w:gridCol w:w="1275"/>
        <w:gridCol w:w="1418"/>
        <w:gridCol w:w="2126"/>
        <w:gridCol w:w="1843"/>
      </w:tblGrid>
      <w:tr w:rsidR="007649C5" w:rsidTr="00722C30">
        <w:trPr>
          <w:cantSplit/>
          <w:trHeight w:val="804"/>
        </w:trPr>
        <w:tc>
          <w:tcPr>
            <w:tcW w:w="1843" w:type="dxa"/>
            <w:vMerge w:val="restart"/>
            <w:tcBorders>
              <w:top w:val="nil"/>
              <w:left w:val="nil"/>
              <w:bottom w:val="single" w:sz="4" w:space="0" w:color="FFFFFF" w:themeColor="background1"/>
              <w:right w:val="single" w:sz="4" w:space="0" w:color="FFFFFF" w:themeColor="background1"/>
            </w:tcBorders>
            <w:shd w:val="clear" w:color="auto" w:fill="0065A6"/>
            <w:vAlign w:val="center"/>
          </w:tcPr>
          <w:p w:rsidR="007649C5" w:rsidRDefault="007649C5" w:rsidP="00722C30">
            <w:pPr>
              <w:keepLines/>
              <w:spacing w:before="120" w:after="120"/>
              <w:ind w:left="33"/>
              <w:rPr>
                <w:rFonts w:cs="Arial"/>
                <w:b/>
                <w:bCs/>
                <w:color w:val="FFFFFF"/>
                <w:szCs w:val="18"/>
              </w:rPr>
            </w:pPr>
            <w:r>
              <w:rPr>
                <w:rFonts w:cs="Arial"/>
                <w:b/>
                <w:bCs/>
                <w:color w:val="FFFFFF"/>
                <w:szCs w:val="18"/>
              </w:rPr>
              <w:t>Tariff</w:t>
            </w:r>
          </w:p>
        </w:tc>
        <w:tc>
          <w:tcPr>
            <w:tcW w:w="1275" w:type="dxa"/>
            <w:tcBorders>
              <w:top w:val="nil"/>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7649C5" w:rsidRPr="00952B94" w:rsidRDefault="007649C5">
            <w:pPr>
              <w:keepLines/>
              <w:spacing w:before="120" w:after="120"/>
              <w:jc w:val="center"/>
              <w:rPr>
                <w:rFonts w:cs="Arial"/>
                <w:b/>
                <w:bCs/>
                <w:color w:val="FFFFFF"/>
                <w:szCs w:val="18"/>
              </w:rPr>
            </w:pPr>
            <w:r>
              <w:rPr>
                <w:rFonts w:cs="Arial"/>
                <w:b/>
                <w:bCs/>
                <w:color w:val="FFFFFF"/>
                <w:szCs w:val="18"/>
              </w:rPr>
              <w:t>LRMC</w:t>
            </w:r>
          </w:p>
        </w:tc>
        <w:tc>
          <w:tcPr>
            <w:tcW w:w="3544" w:type="dxa"/>
            <w:gridSpan w:val="2"/>
            <w:tcBorders>
              <w:top w:val="nil"/>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7649C5" w:rsidRPr="00952B94" w:rsidRDefault="007649C5">
            <w:pPr>
              <w:keepLines/>
              <w:spacing w:before="120" w:after="120"/>
              <w:jc w:val="center"/>
              <w:rPr>
                <w:rFonts w:cs="Arial"/>
                <w:b/>
                <w:bCs/>
                <w:color w:val="FFFFFF"/>
                <w:szCs w:val="18"/>
              </w:rPr>
            </w:pPr>
            <w:r>
              <w:rPr>
                <w:rFonts w:cs="Arial"/>
                <w:b/>
                <w:bCs/>
                <w:color w:val="FFFFFF"/>
                <w:szCs w:val="18"/>
              </w:rPr>
              <w:t>Conversion Parameters</w:t>
            </w:r>
          </w:p>
        </w:tc>
        <w:tc>
          <w:tcPr>
            <w:tcW w:w="1843" w:type="dxa"/>
            <w:tcBorders>
              <w:top w:val="nil"/>
              <w:left w:val="single" w:sz="4" w:space="0" w:color="FFFFFF" w:themeColor="background1"/>
              <w:bottom w:val="single" w:sz="4" w:space="0" w:color="FFFFFF" w:themeColor="background1"/>
              <w:right w:val="nil"/>
            </w:tcBorders>
            <w:shd w:val="clear" w:color="auto" w:fill="0065A6"/>
            <w:vAlign w:val="center"/>
          </w:tcPr>
          <w:p w:rsidR="007649C5" w:rsidRPr="00952B94" w:rsidRDefault="007649C5">
            <w:pPr>
              <w:keepLines/>
              <w:spacing w:before="120" w:after="120"/>
              <w:jc w:val="center"/>
              <w:rPr>
                <w:rFonts w:cs="Arial"/>
                <w:b/>
                <w:bCs/>
                <w:color w:val="FFFFFF"/>
                <w:szCs w:val="18"/>
              </w:rPr>
            </w:pPr>
            <w:r>
              <w:rPr>
                <w:rFonts w:cs="Arial"/>
                <w:b/>
                <w:bCs/>
                <w:color w:val="FFFFFF"/>
                <w:szCs w:val="18"/>
              </w:rPr>
              <w:t>Illustrative LRMC DUOS Price</w:t>
            </w:r>
          </w:p>
        </w:tc>
      </w:tr>
      <w:tr w:rsidR="007649C5" w:rsidRPr="00B52E74" w:rsidTr="00722C30">
        <w:trPr>
          <w:trHeight w:val="700"/>
        </w:trPr>
        <w:tc>
          <w:tcPr>
            <w:tcW w:w="1843" w:type="dxa"/>
            <w:vMerge/>
            <w:tcBorders>
              <w:top w:val="single" w:sz="4" w:space="0" w:color="FFFFFF" w:themeColor="background1"/>
              <w:left w:val="nil"/>
              <w:bottom w:val="single" w:sz="4" w:space="0" w:color="FFFFFF" w:themeColor="background1"/>
              <w:right w:val="single" w:sz="4" w:space="0" w:color="FFFFFF" w:themeColor="background1"/>
            </w:tcBorders>
            <w:shd w:val="clear" w:color="auto" w:fill="0065A6"/>
            <w:vAlign w:val="center"/>
          </w:tcPr>
          <w:p w:rsidR="007649C5" w:rsidRDefault="007649C5" w:rsidP="00722C30">
            <w:pPr>
              <w:keepLines/>
              <w:spacing w:before="120" w:after="120"/>
              <w:ind w:left="33"/>
              <w:rPr>
                <w:rFonts w:cs="Arial"/>
                <w:b/>
                <w:bCs/>
                <w:color w:val="FFFFFF"/>
                <w:szCs w:val="18"/>
              </w:rPr>
            </w:pP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tcPr>
          <w:p w:rsidR="007649C5" w:rsidRPr="00722C30" w:rsidRDefault="007649C5">
            <w:pPr>
              <w:keepLines/>
              <w:spacing w:before="120" w:after="120"/>
              <w:jc w:val="center"/>
              <w:rPr>
                <w:rFonts w:cs="Arial"/>
                <w:b/>
                <w:bCs/>
                <w:color w:val="000000" w:themeColor="text1"/>
                <w:szCs w:val="18"/>
              </w:rPr>
            </w:pPr>
            <w:r w:rsidRPr="00722C30">
              <w:rPr>
                <w:rFonts w:cs="Arial"/>
                <w:b/>
                <w:bCs/>
                <w:color w:val="000000" w:themeColor="text1"/>
                <w:szCs w:val="18"/>
              </w:rPr>
              <w:t>$/kW</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tcPr>
          <w:p w:rsidR="007649C5" w:rsidRPr="00722C30" w:rsidRDefault="007649C5">
            <w:pPr>
              <w:keepLines/>
              <w:spacing w:before="120" w:after="120"/>
              <w:jc w:val="center"/>
              <w:rPr>
                <w:rFonts w:cs="Arial"/>
                <w:b/>
                <w:bCs/>
                <w:color w:val="000000" w:themeColor="text1"/>
                <w:szCs w:val="18"/>
              </w:rPr>
            </w:pPr>
            <w:r w:rsidRPr="00722C30">
              <w:rPr>
                <w:rFonts w:cs="Arial"/>
                <w:b/>
                <w:bCs/>
                <w:color w:val="000000" w:themeColor="text1"/>
                <w:szCs w:val="18"/>
              </w:rPr>
              <w:t>Alpha (</w:t>
            </w:r>
            <w:r w:rsidRPr="00722C30">
              <w:rPr>
                <w:rFonts w:cs="Arial"/>
                <w:b/>
                <w:bCs/>
                <w:color w:val="000000" w:themeColor="text1"/>
                <w:szCs w:val="18"/>
              </w:rPr>
              <w:sym w:font="Symbol" w:char="F061"/>
            </w:r>
            <w:r w:rsidRPr="00722C30">
              <w:rPr>
                <w:rFonts w:cs="Arial"/>
                <w:b/>
                <w:bCs/>
                <w:color w:val="000000" w:themeColor="text1"/>
                <w:szCs w:val="18"/>
              </w:rPr>
              <w:t>)</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tcPr>
          <w:p w:rsidR="007649C5" w:rsidRPr="00722C30" w:rsidRDefault="007649C5">
            <w:pPr>
              <w:keepLines/>
              <w:spacing w:before="120" w:after="120"/>
              <w:jc w:val="center"/>
              <w:rPr>
                <w:rFonts w:cs="Arial"/>
                <w:b/>
                <w:bCs/>
                <w:color w:val="000000" w:themeColor="text1"/>
                <w:szCs w:val="18"/>
              </w:rPr>
            </w:pPr>
            <w:r w:rsidRPr="00722C30">
              <w:rPr>
                <w:rFonts w:cs="Arial"/>
                <w:b/>
                <w:bCs/>
                <w:color w:val="000000" w:themeColor="text1"/>
                <w:szCs w:val="18"/>
              </w:rPr>
              <w:t>No. of peak hours</w:t>
            </w:r>
          </w:p>
        </w:tc>
        <w:tc>
          <w:tcPr>
            <w:tcW w:w="1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97C5EA"/>
            <w:vAlign w:val="center"/>
          </w:tcPr>
          <w:p w:rsidR="007649C5" w:rsidRPr="00722C30" w:rsidRDefault="007649C5">
            <w:pPr>
              <w:keepLines/>
              <w:spacing w:before="120" w:after="120"/>
              <w:jc w:val="center"/>
              <w:rPr>
                <w:rFonts w:cs="Arial"/>
                <w:b/>
                <w:bCs/>
                <w:color w:val="000000" w:themeColor="text1"/>
                <w:szCs w:val="18"/>
              </w:rPr>
            </w:pPr>
            <w:r w:rsidRPr="00722C30">
              <w:rPr>
                <w:rFonts w:cs="Arial"/>
                <w:b/>
                <w:bCs/>
                <w:color w:val="000000" w:themeColor="text1"/>
                <w:szCs w:val="18"/>
              </w:rPr>
              <w:t xml:space="preserve">c/kWh </w:t>
            </w:r>
          </w:p>
        </w:tc>
      </w:tr>
      <w:tr w:rsidR="007649C5" w:rsidRPr="00B52E74" w:rsidTr="00AD235E">
        <w:trPr>
          <w:trHeight w:val="387"/>
        </w:trPr>
        <w:tc>
          <w:tcPr>
            <w:tcW w:w="1843" w:type="dxa"/>
            <w:tcBorders>
              <w:top w:val="single" w:sz="4" w:space="0" w:color="FFFFFF" w:themeColor="background1"/>
              <w:left w:val="nil"/>
              <w:bottom w:val="single" w:sz="4" w:space="0" w:color="FFFFFF" w:themeColor="background1"/>
              <w:right w:val="single" w:sz="4" w:space="0" w:color="FFFFFF" w:themeColor="background1"/>
            </w:tcBorders>
            <w:shd w:val="clear" w:color="auto" w:fill="C6D9F1"/>
            <w:vAlign w:val="center"/>
          </w:tcPr>
          <w:p w:rsidR="007649C5" w:rsidRPr="00B52E74" w:rsidRDefault="007649C5" w:rsidP="00722C30">
            <w:pPr>
              <w:keepLines/>
              <w:spacing w:before="120" w:after="120"/>
              <w:ind w:left="34"/>
              <w:rPr>
                <w:rFonts w:cs="Arial"/>
                <w:b/>
                <w:bCs/>
                <w:szCs w:val="18"/>
              </w:rPr>
            </w:pPr>
            <w:r>
              <w:rPr>
                <w:rFonts w:cs="Arial"/>
                <w:b/>
                <w:bCs/>
                <w:szCs w:val="18"/>
              </w:rPr>
              <w:t>Low Voltage (residential)</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649C5" w:rsidRPr="00636306" w:rsidRDefault="007649C5" w:rsidP="00AD235E">
            <w:pPr>
              <w:keepLines/>
              <w:spacing w:before="120" w:after="120"/>
              <w:jc w:val="center"/>
              <w:rPr>
                <w:rFonts w:cs="Arial"/>
                <w:szCs w:val="18"/>
                <w:highlight w:val="magenta"/>
              </w:rPr>
            </w:pPr>
            <w:r>
              <w:rPr>
                <w:rFonts w:cs="Arial"/>
                <w:szCs w:val="18"/>
              </w:rPr>
              <w:t>164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649C5" w:rsidRPr="00134AC1" w:rsidRDefault="007649C5">
            <w:pPr>
              <w:keepLines/>
              <w:spacing w:before="120" w:after="120"/>
              <w:jc w:val="center"/>
              <w:rPr>
                <w:rFonts w:cs="Arial"/>
                <w:szCs w:val="18"/>
              </w:rPr>
            </w:pPr>
            <w:r>
              <w:rPr>
                <w:rFonts w:cs="Arial"/>
                <w:szCs w:val="18"/>
              </w:rPr>
              <w:t>1</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649C5" w:rsidRPr="00D64E14" w:rsidRDefault="007649C5">
            <w:pPr>
              <w:keepLines/>
              <w:spacing w:before="120" w:after="120"/>
              <w:jc w:val="center"/>
              <w:rPr>
                <w:rFonts w:cs="Arial"/>
                <w:szCs w:val="18"/>
              </w:rPr>
            </w:pPr>
            <w:r>
              <w:rPr>
                <w:rFonts w:cs="Arial"/>
                <w:szCs w:val="18"/>
              </w:rPr>
              <w:t>879</w:t>
            </w:r>
          </w:p>
        </w:tc>
        <w:tc>
          <w:tcPr>
            <w:tcW w:w="1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vAlign w:val="center"/>
          </w:tcPr>
          <w:p w:rsidR="007649C5" w:rsidRPr="00237276" w:rsidRDefault="007649C5">
            <w:pPr>
              <w:keepLines/>
              <w:spacing w:before="120" w:after="120"/>
              <w:jc w:val="center"/>
              <w:rPr>
                <w:rFonts w:cs="Arial"/>
                <w:szCs w:val="18"/>
              </w:rPr>
            </w:pPr>
            <w:r w:rsidRPr="00237276">
              <w:rPr>
                <w:rFonts w:cs="Arial"/>
                <w:szCs w:val="18"/>
              </w:rPr>
              <w:t>18.7</w:t>
            </w:r>
          </w:p>
        </w:tc>
      </w:tr>
      <w:tr w:rsidR="007649C5" w:rsidRPr="00B52E74" w:rsidTr="00AD235E">
        <w:trPr>
          <w:trHeight w:val="387"/>
        </w:trPr>
        <w:tc>
          <w:tcPr>
            <w:tcW w:w="1843" w:type="dxa"/>
            <w:tcBorders>
              <w:top w:val="single" w:sz="4" w:space="0" w:color="FFFFFF" w:themeColor="background1"/>
              <w:left w:val="nil"/>
              <w:bottom w:val="single" w:sz="4" w:space="0" w:color="FFFFFF" w:themeColor="background1"/>
              <w:right w:val="single" w:sz="4" w:space="0" w:color="FFFFFF" w:themeColor="background1"/>
            </w:tcBorders>
            <w:shd w:val="clear" w:color="auto" w:fill="C6D9F1"/>
            <w:vAlign w:val="center"/>
          </w:tcPr>
          <w:p w:rsidR="007649C5" w:rsidRDefault="007649C5" w:rsidP="00722C30">
            <w:pPr>
              <w:keepLines/>
              <w:spacing w:before="120" w:after="120"/>
              <w:ind w:left="34"/>
              <w:rPr>
                <w:rFonts w:cs="Arial"/>
                <w:b/>
                <w:bCs/>
                <w:szCs w:val="18"/>
              </w:rPr>
            </w:pPr>
            <w:r>
              <w:rPr>
                <w:rFonts w:cs="Arial"/>
                <w:b/>
                <w:bCs/>
                <w:szCs w:val="18"/>
              </w:rPr>
              <w:t>Low Voltage (business)</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649C5" w:rsidRDefault="007649C5" w:rsidP="00AD235E">
            <w:pPr>
              <w:keepLines/>
              <w:spacing w:before="120" w:after="120"/>
              <w:jc w:val="center"/>
              <w:rPr>
                <w:rFonts w:cs="Arial"/>
                <w:szCs w:val="18"/>
              </w:rPr>
            </w:pPr>
            <w:r>
              <w:rPr>
                <w:rFonts w:cs="Arial"/>
                <w:szCs w:val="18"/>
              </w:rPr>
              <w:t>164</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649C5" w:rsidRDefault="007649C5">
            <w:pPr>
              <w:keepLines/>
              <w:spacing w:before="120" w:after="120"/>
              <w:jc w:val="center"/>
              <w:rPr>
                <w:rFonts w:cs="Arial"/>
                <w:szCs w:val="18"/>
              </w:rPr>
            </w:pPr>
            <w:r>
              <w:rPr>
                <w:rFonts w:cs="Arial"/>
                <w:szCs w:val="18"/>
              </w:rPr>
              <w:t>1</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649C5" w:rsidRPr="00D64E14" w:rsidRDefault="007649C5">
            <w:pPr>
              <w:keepLines/>
              <w:spacing w:before="120" w:after="120"/>
              <w:jc w:val="center"/>
              <w:rPr>
                <w:rFonts w:cs="Arial"/>
                <w:szCs w:val="18"/>
              </w:rPr>
            </w:pPr>
            <w:r w:rsidRPr="00D64E14">
              <w:rPr>
                <w:rFonts w:cs="Arial"/>
                <w:szCs w:val="18"/>
              </w:rPr>
              <w:t>1</w:t>
            </w:r>
            <w:r>
              <w:rPr>
                <w:rFonts w:cs="Arial"/>
                <w:szCs w:val="18"/>
              </w:rPr>
              <w:t>,</w:t>
            </w:r>
            <w:r w:rsidRPr="00D64E14">
              <w:rPr>
                <w:rFonts w:cs="Arial"/>
                <w:szCs w:val="18"/>
              </w:rPr>
              <w:t>005</w:t>
            </w:r>
          </w:p>
        </w:tc>
        <w:tc>
          <w:tcPr>
            <w:tcW w:w="1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vAlign w:val="center"/>
          </w:tcPr>
          <w:p w:rsidR="007649C5" w:rsidRPr="00237276" w:rsidRDefault="007649C5">
            <w:pPr>
              <w:keepLines/>
              <w:spacing w:before="120" w:after="120"/>
              <w:jc w:val="center"/>
              <w:rPr>
                <w:rFonts w:cs="Arial"/>
                <w:szCs w:val="18"/>
              </w:rPr>
            </w:pPr>
            <w:r w:rsidRPr="00237276">
              <w:rPr>
                <w:rFonts w:cs="Arial"/>
                <w:szCs w:val="18"/>
              </w:rPr>
              <w:t>16.3</w:t>
            </w:r>
          </w:p>
        </w:tc>
      </w:tr>
      <w:tr w:rsidR="007649C5" w:rsidRPr="00B52E74" w:rsidTr="00AD235E">
        <w:trPr>
          <w:trHeight w:val="436"/>
        </w:trPr>
        <w:tc>
          <w:tcPr>
            <w:tcW w:w="1843" w:type="dxa"/>
            <w:tcBorders>
              <w:top w:val="single" w:sz="4" w:space="0" w:color="FFFFFF" w:themeColor="background1"/>
              <w:left w:val="nil"/>
              <w:bottom w:val="single" w:sz="4" w:space="0" w:color="FFFFFF" w:themeColor="background1"/>
              <w:right w:val="single" w:sz="4" w:space="0" w:color="FFFFFF" w:themeColor="background1"/>
            </w:tcBorders>
            <w:shd w:val="clear" w:color="auto" w:fill="C6D9F1"/>
            <w:vAlign w:val="center"/>
          </w:tcPr>
          <w:p w:rsidR="007649C5" w:rsidRPr="00B52E74" w:rsidRDefault="007649C5" w:rsidP="00722C30">
            <w:pPr>
              <w:keepLines/>
              <w:spacing w:before="120" w:after="120"/>
              <w:ind w:left="34"/>
              <w:rPr>
                <w:rFonts w:cs="Arial"/>
                <w:b/>
                <w:bCs/>
                <w:szCs w:val="18"/>
              </w:rPr>
            </w:pPr>
            <w:r>
              <w:rPr>
                <w:rFonts w:cs="Arial"/>
                <w:b/>
                <w:bCs/>
                <w:szCs w:val="18"/>
              </w:rPr>
              <w:t>High Voltage</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649C5" w:rsidRPr="00636306" w:rsidRDefault="007649C5" w:rsidP="00AD235E">
            <w:pPr>
              <w:keepLines/>
              <w:spacing w:before="120" w:after="120"/>
              <w:jc w:val="center"/>
              <w:rPr>
                <w:rFonts w:cs="Arial"/>
                <w:szCs w:val="18"/>
                <w:highlight w:val="magenta"/>
              </w:rPr>
            </w:pPr>
            <w:r>
              <w:rPr>
                <w:rFonts w:cs="Arial"/>
                <w:szCs w:val="18"/>
              </w:rPr>
              <w:t>53</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649C5" w:rsidRPr="00134AC1" w:rsidRDefault="007649C5">
            <w:pPr>
              <w:keepLines/>
              <w:spacing w:before="120" w:after="120"/>
              <w:jc w:val="center"/>
              <w:rPr>
                <w:rFonts w:cs="Arial"/>
                <w:szCs w:val="18"/>
              </w:rPr>
            </w:pPr>
            <w:r>
              <w:rPr>
                <w:rFonts w:cs="Arial"/>
                <w:szCs w:val="18"/>
              </w:rPr>
              <w:t>1</w:t>
            </w:r>
          </w:p>
        </w:tc>
        <w:tc>
          <w:tcPr>
            <w:tcW w:w="2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7649C5" w:rsidRPr="00D64E14" w:rsidRDefault="007649C5">
            <w:pPr>
              <w:keepLines/>
              <w:spacing w:before="120" w:after="120"/>
              <w:jc w:val="center"/>
              <w:rPr>
                <w:rFonts w:cs="Arial"/>
                <w:szCs w:val="18"/>
              </w:rPr>
            </w:pPr>
            <w:r w:rsidRPr="00D64E14">
              <w:rPr>
                <w:rFonts w:cs="Arial"/>
                <w:szCs w:val="18"/>
              </w:rPr>
              <w:t>1</w:t>
            </w:r>
            <w:r>
              <w:rPr>
                <w:rFonts w:cs="Arial"/>
                <w:szCs w:val="18"/>
              </w:rPr>
              <w:t>,</w:t>
            </w:r>
            <w:r w:rsidRPr="00D64E14">
              <w:rPr>
                <w:rFonts w:cs="Arial"/>
                <w:szCs w:val="18"/>
              </w:rPr>
              <w:t>005</w:t>
            </w:r>
          </w:p>
        </w:tc>
        <w:tc>
          <w:tcPr>
            <w:tcW w:w="1843"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vAlign w:val="center"/>
          </w:tcPr>
          <w:p w:rsidR="007649C5" w:rsidRPr="00237276" w:rsidRDefault="007649C5">
            <w:pPr>
              <w:keepLines/>
              <w:spacing w:before="120" w:after="120"/>
              <w:jc w:val="center"/>
              <w:rPr>
                <w:rFonts w:cs="Arial"/>
                <w:szCs w:val="18"/>
              </w:rPr>
            </w:pPr>
            <w:r w:rsidRPr="00237276">
              <w:rPr>
                <w:rFonts w:cs="Arial"/>
                <w:szCs w:val="18"/>
              </w:rPr>
              <w:t>5.3</w:t>
            </w:r>
          </w:p>
        </w:tc>
      </w:tr>
      <w:tr w:rsidR="007649C5" w:rsidRPr="00134AC1" w:rsidTr="00AD235E">
        <w:trPr>
          <w:trHeight w:val="387"/>
        </w:trPr>
        <w:tc>
          <w:tcPr>
            <w:tcW w:w="1843" w:type="dxa"/>
            <w:tcBorders>
              <w:top w:val="single" w:sz="4" w:space="0" w:color="FFFFFF" w:themeColor="background1"/>
              <w:left w:val="nil"/>
              <w:bottom w:val="nil"/>
              <w:right w:val="single" w:sz="4" w:space="0" w:color="FFFFFF" w:themeColor="background1"/>
            </w:tcBorders>
            <w:shd w:val="clear" w:color="auto" w:fill="C6D9F1"/>
            <w:vAlign w:val="center"/>
          </w:tcPr>
          <w:p w:rsidR="007649C5" w:rsidRPr="00B52E74" w:rsidRDefault="007649C5" w:rsidP="00722C30">
            <w:pPr>
              <w:keepLines/>
              <w:spacing w:before="120" w:after="120"/>
              <w:ind w:left="34"/>
              <w:rPr>
                <w:rFonts w:cs="Arial"/>
                <w:b/>
                <w:bCs/>
                <w:szCs w:val="18"/>
              </w:rPr>
            </w:pPr>
            <w:r>
              <w:rPr>
                <w:rFonts w:cs="Arial"/>
                <w:b/>
                <w:bCs/>
                <w:szCs w:val="18"/>
              </w:rPr>
              <w:t>Sub-transmission Voltage</w:t>
            </w:r>
          </w:p>
        </w:tc>
        <w:tc>
          <w:tcPr>
            <w:tcW w:w="127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vAlign w:val="center"/>
          </w:tcPr>
          <w:p w:rsidR="007649C5" w:rsidRPr="00636306" w:rsidRDefault="007649C5" w:rsidP="00AD235E">
            <w:pPr>
              <w:keepLines/>
              <w:spacing w:before="120" w:after="120"/>
              <w:jc w:val="center"/>
              <w:rPr>
                <w:rFonts w:cs="Arial"/>
                <w:szCs w:val="18"/>
                <w:highlight w:val="magenta"/>
              </w:rPr>
            </w:pPr>
            <w:r>
              <w:rPr>
                <w:rFonts w:cs="Arial"/>
                <w:szCs w:val="18"/>
              </w:rPr>
              <w:t>8</w:t>
            </w:r>
          </w:p>
        </w:tc>
        <w:tc>
          <w:tcPr>
            <w:tcW w:w="1418"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vAlign w:val="center"/>
          </w:tcPr>
          <w:p w:rsidR="007649C5" w:rsidRPr="00134AC1" w:rsidRDefault="007649C5">
            <w:pPr>
              <w:keepLines/>
              <w:spacing w:before="120" w:after="120"/>
              <w:jc w:val="center"/>
              <w:rPr>
                <w:rFonts w:cs="Arial"/>
                <w:szCs w:val="18"/>
              </w:rPr>
            </w:pPr>
            <w:r>
              <w:rPr>
                <w:rFonts w:cs="Arial"/>
                <w:szCs w:val="18"/>
              </w:rPr>
              <w:t>1</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vAlign w:val="center"/>
          </w:tcPr>
          <w:p w:rsidR="007649C5" w:rsidRPr="00D64E14" w:rsidRDefault="007649C5">
            <w:pPr>
              <w:keepLines/>
              <w:spacing w:before="120" w:after="120"/>
              <w:jc w:val="center"/>
              <w:rPr>
                <w:rFonts w:cs="Arial"/>
                <w:szCs w:val="18"/>
              </w:rPr>
            </w:pPr>
            <w:r w:rsidRPr="00D64E14">
              <w:rPr>
                <w:rFonts w:cs="Arial"/>
                <w:szCs w:val="18"/>
              </w:rPr>
              <w:t>1</w:t>
            </w:r>
            <w:r>
              <w:rPr>
                <w:rFonts w:cs="Arial"/>
                <w:szCs w:val="18"/>
              </w:rPr>
              <w:t>,</w:t>
            </w:r>
            <w:r w:rsidRPr="00D64E14">
              <w:rPr>
                <w:rFonts w:cs="Arial"/>
                <w:szCs w:val="18"/>
              </w:rPr>
              <w:t>005</w:t>
            </w:r>
          </w:p>
        </w:tc>
        <w:tc>
          <w:tcPr>
            <w:tcW w:w="1843" w:type="dxa"/>
            <w:tcBorders>
              <w:top w:val="single" w:sz="4" w:space="0" w:color="FFFFFF" w:themeColor="background1"/>
              <w:left w:val="single" w:sz="4" w:space="0" w:color="FFFFFF" w:themeColor="background1"/>
              <w:bottom w:val="nil"/>
              <w:right w:val="nil"/>
            </w:tcBorders>
            <w:shd w:val="clear" w:color="auto" w:fill="DEEAF6"/>
            <w:vAlign w:val="center"/>
          </w:tcPr>
          <w:p w:rsidR="007649C5" w:rsidRPr="00237276" w:rsidRDefault="007649C5">
            <w:pPr>
              <w:keepLines/>
              <w:spacing w:before="120" w:after="120"/>
              <w:jc w:val="center"/>
              <w:rPr>
                <w:rFonts w:cs="Arial"/>
                <w:szCs w:val="18"/>
              </w:rPr>
            </w:pPr>
            <w:r w:rsidRPr="00237276">
              <w:rPr>
                <w:rFonts w:cs="Arial"/>
                <w:szCs w:val="18"/>
              </w:rPr>
              <w:t>0.8</w:t>
            </w:r>
          </w:p>
        </w:tc>
      </w:tr>
      <w:tr w:rsidR="007649C5" w:rsidRPr="00722C30" w:rsidTr="00722C30">
        <w:trPr>
          <w:trHeight w:val="387"/>
        </w:trPr>
        <w:tc>
          <w:tcPr>
            <w:tcW w:w="8505" w:type="dxa"/>
            <w:gridSpan w:val="5"/>
            <w:tcBorders>
              <w:top w:val="nil"/>
              <w:left w:val="nil"/>
              <w:bottom w:val="nil"/>
              <w:right w:val="nil"/>
            </w:tcBorders>
            <w:shd w:val="clear" w:color="auto" w:fill="auto"/>
            <w:vAlign w:val="center"/>
          </w:tcPr>
          <w:p w:rsidR="007649C5" w:rsidRPr="00722C30" w:rsidRDefault="007649C5" w:rsidP="00722C30">
            <w:pPr>
              <w:spacing w:before="20" w:after="20"/>
              <w:jc w:val="right"/>
              <w:rPr>
                <w:rFonts w:cs="Arial"/>
                <w:sz w:val="16"/>
                <w:szCs w:val="18"/>
                <w:highlight w:val="yellow"/>
              </w:rPr>
            </w:pPr>
            <w:r w:rsidRPr="00722C30">
              <w:rPr>
                <w:rFonts w:cs="Arial"/>
                <w:sz w:val="16"/>
                <w:szCs w:val="18"/>
              </w:rPr>
              <w:t xml:space="preserve">Source: </w:t>
            </w:r>
            <w:proofErr w:type="spellStart"/>
            <w:r w:rsidRPr="00722C30">
              <w:rPr>
                <w:rFonts w:cs="Arial"/>
                <w:sz w:val="16"/>
                <w:szCs w:val="18"/>
              </w:rPr>
              <w:t>Ausgrid</w:t>
            </w:r>
            <w:proofErr w:type="spellEnd"/>
            <w:r w:rsidRPr="00722C30">
              <w:rPr>
                <w:rFonts w:cs="Arial"/>
                <w:sz w:val="16"/>
                <w:szCs w:val="18"/>
              </w:rPr>
              <w:t xml:space="preserve"> 2015</w:t>
            </w:r>
          </w:p>
        </w:tc>
      </w:tr>
    </w:tbl>
    <w:p w:rsidR="0048646D" w:rsidRPr="00722C30" w:rsidRDefault="002375DC" w:rsidP="00BD7A0B">
      <w:pPr>
        <w:pStyle w:val="BodyText"/>
        <w:rPr>
          <w:rStyle w:val="AERbody"/>
        </w:rPr>
      </w:pPr>
      <w:r w:rsidRPr="00722C30">
        <w:rPr>
          <w:rStyle w:val="AERbody"/>
        </w:rPr>
        <w:t>I</w:t>
      </w:r>
      <w:r w:rsidR="001500B3" w:rsidRPr="00722C30">
        <w:rPr>
          <w:rStyle w:val="AERbody"/>
        </w:rPr>
        <w:t>llustrative LRMC-based anytime price</w:t>
      </w:r>
      <w:r w:rsidRPr="00722C30">
        <w:rPr>
          <w:rStyle w:val="AERbody"/>
        </w:rPr>
        <w:t>s</w:t>
      </w:r>
      <w:r w:rsidR="001500B3" w:rsidRPr="00722C30">
        <w:rPr>
          <w:rStyle w:val="AERbody"/>
        </w:rPr>
        <w:t xml:space="preserve"> for Ausgrid’s low-voltage non-TOU tariffs </w:t>
      </w:r>
      <w:r w:rsidRPr="00722C30">
        <w:rPr>
          <w:rStyle w:val="AERbody"/>
        </w:rPr>
        <w:t xml:space="preserve">are </w:t>
      </w:r>
      <w:r w:rsidR="001500B3" w:rsidRPr="00722C30">
        <w:rPr>
          <w:rStyle w:val="AERbody"/>
        </w:rPr>
        <w:t xml:space="preserve">presented in </w:t>
      </w:r>
      <w:r w:rsidR="003F4D57" w:rsidRPr="00722C30">
        <w:rPr>
          <w:rStyle w:val="AERbody"/>
        </w:rPr>
        <w:t>Appendix A</w:t>
      </w:r>
      <w:r w:rsidR="001500B3" w:rsidRPr="00722C30">
        <w:rPr>
          <w:rStyle w:val="AERbody"/>
        </w:rPr>
        <w:t>.</w:t>
      </w:r>
    </w:p>
    <w:p w:rsidR="004050C3" w:rsidRPr="00E037EA" w:rsidRDefault="004050C3" w:rsidP="00722C30">
      <w:pPr>
        <w:pStyle w:val="Heading1"/>
      </w:pPr>
      <w:bookmarkStart w:id="405" w:name="_Toc461724477"/>
      <w:bookmarkStart w:id="406" w:name="_Toc461724481"/>
      <w:bookmarkStart w:id="407" w:name="_Toc461724482"/>
      <w:bookmarkStart w:id="408" w:name="_Toc461724483"/>
      <w:bookmarkStart w:id="409" w:name="_Toc461724484"/>
      <w:bookmarkStart w:id="410" w:name="_Toc461724485"/>
      <w:bookmarkStart w:id="411" w:name="_Toc461724486"/>
      <w:bookmarkStart w:id="412" w:name="_Toc461724487"/>
      <w:bookmarkStart w:id="413" w:name="_Toc461724488"/>
      <w:bookmarkStart w:id="414" w:name="_Toc461724489"/>
      <w:bookmarkStart w:id="415" w:name="_Toc461724490"/>
      <w:bookmarkStart w:id="416" w:name="_Toc461724491"/>
      <w:bookmarkStart w:id="417" w:name="_Toc461724493"/>
      <w:bookmarkStart w:id="418" w:name="_Toc461724495"/>
      <w:bookmarkStart w:id="419" w:name="_Toc461724497"/>
      <w:bookmarkStart w:id="420" w:name="_Toc461724499"/>
      <w:bookmarkStart w:id="421" w:name="_Toc461724500"/>
      <w:bookmarkStart w:id="422" w:name="_Toc461724503"/>
      <w:bookmarkStart w:id="423" w:name="_Toc461724509"/>
      <w:bookmarkStart w:id="424" w:name="_Toc461724510"/>
      <w:bookmarkStart w:id="425" w:name="_Toc461724511"/>
      <w:bookmarkStart w:id="426" w:name="_Toc461724512"/>
      <w:bookmarkStart w:id="427" w:name="_Toc461724513"/>
      <w:bookmarkStart w:id="428" w:name="_Toc461724514"/>
      <w:bookmarkStart w:id="429" w:name="_Toc461724515"/>
      <w:bookmarkStart w:id="430" w:name="_Toc461724516"/>
      <w:bookmarkStart w:id="431" w:name="_Toc461724517"/>
      <w:bookmarkStart w:id="432" w:name="_Toc461724518"/>
      <w:bookmarkStart w:id="433" w:name="_Toc461724519"/>
      <w:bookmarkStart w:id="434" w:name="_Toc461724520"/>
      <w:bookmarkStart w:id="435" w:name="_Toc461724521"/>
      <w:bookmarkStart w:id="436" w:name="_Toc461724523"/>
      <w:bookmarkStart w:id="437" w:name="_Toc461724524"/>
      <w:bookmarkStart w:id="438" w:name="_Toc461724529"/>
      <w:bookmarkStart w:id="439" w:name="_Toc461724531"/>
      <w:bookmarkStart w:id="440" w:name="_Toc461724532"/>
      <w:bookmarkStart w:id="441" w:name="_Toc461724537"/>
      <w:bookmarkStart w:id="442" w:name="_Toc461724539"/>
      <w:bookmarkStart w:id="443" w:name="_Toc461724545"/>
      <w:bookmarkStart w:id="444" w:name="_Toc461724571"/>
      <w:bookmarkStart w:id="445" w:name="_Ref461802674"/>
      <w:bookmarkStart w:id="446" w:name="_Toc475527426"/>
      <w:bookmarkStart w:id="447" w:name="_Toc429068808"/>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r w:rsidRPr="00E037EA">
        <w:lastRenderedPageBreak/>
        <w:t>Peak periods for time of use tariffs</w:t>
      </w:r>
      <w:bookmarkEnd w:id="445"/>
      <w:bookmarkEnd w:id="446"/>
    </w:p>
    <w:p w:rsidR="0031623F" w:rsidRPr="00722C30" w:rsidRDefault="0031623F" w:rsidP="00BD7A0B">
      <w:pPr>
        <w:pStyle w:val="BodyText"/>
        <w:rPr>
          <w:rStyle w:val="AERbody"/>
        </w:rPr>
      </w:pPr>
      <w:r w:rsidRPr="00722C30">
        <w:rPr>
          <w:rStyle w:val="AERbody"/>
        </w:rPr>
        <w:t xml:space="preserve">Ausgrid </w:t>
      </w:r>
      <w:r w:rsidR="00E87467" w:rsidRPr="00722C30">
        <w:rPr>
          <w:rStyle w:val="AERbody"/>
        </w:rPr>
        <w:t xml:space="preserve">will </w:t>
      </w:r>
      <w:r w:rsidRPr="00722C30">
        <w:rPr>
          <w:rStyle w:val="AERbody"/>
        </w:rPr>
        <w:t>implement</w:t>
      </w:r>
      <w:r w:rsidR="00E87467" w:rsidRPr="00722C30">
        <w:rPr>
          <w:rStyle w:val="AERbody"/>
        </w:rPr>
        <w:t xml:space="preserve"> </w:t>
      </w:r>
      <w:r w:rsidRPr="00722C30">
        <w:rPr>
          <w:rStyle w:val="AERbody"/>
        </w:rPr>
        <w:t xml:space="preserve">a number of meaningful reforms to its TOU tariffs in the final year of the current regulatory control period, the effect of which will be a marked improvement in the cost reflectivity of our TOU tariffs. Specifically, Ausgrid wil be: </w:t>
      </w:r>
    </w:p>
    <w:p w:rsidR="0031623F" w:rsidRDefault="0031623F" w:rsidP="00722C30">
      <w:pPr>
        <w:pStyle w:val="Bulletedtext"/>
      </w:pPr>
      <w:r>
        <w:t xml:space="preserve">introducing seasonal pricing such that the peak </w:t>
      </w:r>
      <w:r w:rsidR="00DC1D33">
        <w:t xml:space="preserve">period </w:t>
      </w:r>
      <w:r>
        <w:t xml:space="preserve">applies only </w:t>
      </w:r>
      <w:r w:rsidR="00994050">
        <w:t xml:space="preserve">during </w:t>
      </w:r>
      <w:r>
        <w:t>the summer and winter months; and</w:t>
      </w:r>
    </w:p>
    <w:p w:rsidR="0031623F" w:rsidRDefault="00994050" w:rsidP="00722C30">
      <w:pPr>
        <w:pStyle w:val="Bulletedtext"/>
      </w:pPr>
      <w:proofErr w:type="gramStart"/>
      <w:r>
        <w:t>refining</w:t>
      </w:r>
      <w:proofErr w:type="gramEnd"/>
      <w:r>
        <w:t xml:space="preserve"> </w:t>
      </w:r>
      <w:r w:rsidR="0031623F">
        <w:t>the period over which peak price</w:t>
      </w:r>
      <w:r w:rsidR="00DC1D33">
        <w:t>s</w:t>
      </w:r>
      <w:r w:rsidR="0031623F">
        <w:t xml:space="preserve"> </w:t>
      </w:r>
      <w:r w:rsidR="00DC1D33">
        <w:t xml:space="preserve">apply, </w:t>
      </w:r>
      <w:proofErr w:type="spellStart"/>
      <w:r w:rsidR="00DC1D33">
        <w:t>ie</w:t>
      </w:r>
      <w:proofErr w:type="spellEnd"/>
      <w:r w:rsidR="00DC1D33">
        <w:t xml:space="preserve">, the peak period </w:t>
      </w:r>
      <w:r w:rsidR="0031623F">
        <w:t>in the winter months for residential customers.</w:t>
      </w:r>
    </w:p>
    <w:p w:rsidR="00080AED" w:rsidRPr="00722C30" w:rsidRDefault="00FC393E" w:rsidP="00BD7A0B">
      <w:pPr>
        <w:pStyle w:val="BodyText"/>
        <w:rPr>
          <w:rStyle w:val="AERbody"/>
        </w:rPr>
      </w:pPr>
      <w:r w:rsidRPr="00722C30">
        <w:rPr>
          <w:rStyle w:val="AERbody"/>
        </w:rPr>
        <w:t>Ausgrid has carefully designed both of these reforms so as to mitigate any potential adverse customer impacts, while preserving the efficiency benefits of better aligning peak price signals</w:t>
      </w:r>
      <w:r w:rsidR="00080AED" w:rsidRPr="00722C30">
        <w:rPr>
          <w:rStyle w:val="AERbody"/>
        </w:rPr>
        <w:t xml:space="preserve"> with the timing of peak demand.</w:t>
      </w:r>
    </w:p>
    <w:p w:rsidR="00BC1969" w:rsidRPr="00722C30" w:rsidRDefault="00BC1969" w:rsidP="007D0321">
      <w:pPr>
        <w:pStyle w:val="BodyText"/>
        <w:rPr>
          <w:rStyle w:val="AERbody"/>
        </w:rPr>
      </w:pPr>
      <w:r w:rsidRPr="00722C30">
        <w:rPr>
          <w:rStyle w:val="AERbody"/>
        </w:rPr>
        <w:t xml:space="preserve">By way of context, it is relevant to note that Ausgrid has more than 440,000, or 26 per cent of its customer base, assigned to a TOU </w:t>
      </w:r>
      <w:r w:rsidR="00DC1D33" w:rsidRPr="00722C30">
        <w:rPr>
          <w:rStyle w:val="AERbody"/>
        </w:rPr>
        <w:t xml:space="preserve">or TOU capacity </w:t>
      </w:r>
      <w:r w:rsidRPr="00722C30">
        <w:rPr>
          <w:rStyle w:val="AERbody"/>
        </w:rPr>
        <w:t>tariff. Further, 330,000 of those customers are residential customers, and there are a further 70</w:t>
      </w:r>
      <w:r w:rsidR="0085296B">
        <w:rPr>
          <w:rStyle w:val="AERbody"/>
        </w:rPr>
        <w:t>,000</w:t>
      </w:r>
      <w:r w:rsidRPr="00722C30">
        <w:rPr>
          <w:rStyle w:val="AERbody"/>
        </w:rPr>
        <w:t xml:space="preserve">-80,000 residential customers with a </w:t>
      </w:r>
      <w:r w:rsidR="0085296B">
        <w:rPr>
          <w:rStyle w:val="AERbody"/>
        </w:rPr>
        <w:t>TOU-</w:t>
      </w:r>
      <w:r w:rsidRPr="00722C30">
        <w:rPr>
          <w:rStyle w:val="AERbody"/>
        </w:rPr>
        <w:t>capable meter.</w:t>
      </w:r>
    </w:p>
    <w:p w:rsidR="00BC1969" w:rsidRPr="00722C30" w:rsidRDefault="00BC1969">
      <w:pPr>
        <w:pStyle w:val="BodyText"/>
        <w:rPr>
          <w:rStyle w:val="AERbody"/>
        </w:rPr>
      </w:pPr>
      <w:r w:rsidRPr="00722C30">
        <w:rPr>
          <w:rStyle w:val="AERbody"/>
        </w:rPr>
        <w:t xml:space="preserve">Similarly, in FY16 Ausgrid derived approximately 30 per cent of its NUOS revenue ($649 million) from time of use energy charges alone. Moreover, the level of revenue derived from TOU tariffs is expected to increase markedly in the future as new and existing customers are assigned to TOU tariffs. </w:t>
      </w:r>
    </w:p>
    <w:p w:rsidR="00352B09" w:rsidRPr="00722C30" w:rsidRDefault="00352B09">
      <w:pPr>
        <w:pStyle w:val="BodyText"/>
        <w:rPr>
          <w:rStyle w:val="AERbody"/>
        </w:rPr>
      </w:pPr>
      <w:r w:rsidRPr="00722C30">
        <w:rPr>
          <w:rStyle w:val="AERbody"/>
        </w:rPr>
        <w:t xml:space="preserve">It follows that any reforms to Ausgrid’s TOU tariffs must be approached with caution since there exists a clear potential for a substantial proportion of our customers to be affected. </w:t>
      </w:r>
    </w:p>
    <w:p w:rsidR="004050C3" w:rsidRDefault="00B93509">
      <w:pPr>
        <w:pStyle w:val="Heading2"/>
      </w:pPr>
      <w:bookmarkStart w:id="448" w:name="_Ref461110590"/>
      <w:bookmarkStart w:id="449" w:name="_Toc475527427"/>
      <w:r>
        <w:t xml:space="preserve">The introduction of </w:t>
      </w:r>
      <w:r w:rsidR="004050C3">
        <w:t>s</w:t>
      </w:r>
      <w:r>
        <w:t>easonal peak periods</w:t>
      </w:r>
      <w:bookmarkEnd w:id="448"/>
      <w:bookmarkEnd w:id="449"/>
    </w:p>
    <w:p w:rsidR="00B93509" w:rsidRPr="00722C30" w:rsidRDefault="00B93509" w:rsidP="00BD7A0B">
      <w:pPr>
        <w:pStyle w:val="BodyText"/>
        <w:rPr>
          <w:rStyle w:val="AERbody"/>
        </w:rPr>
      </w:pPr>
      <w:r w:rsidRPr="00722C30">
        <w:rPr>
          <w:rStyle w:val="AERbody"/>
        </w:rPr>
        <w:t>The underlying driver of peak demand, and so congestion, on A</w:t>
      </w:r>
      <w:r w:rsidR="006040C3" w:rsidRPr="00722C30">
        <w:rPr>
          <w:rStyle w:val="AERbody"/>
        </w:rPr>
        <w:t>usgrid’s network is temperature, ie:</w:t>
      </w:r>
    </w:p>
    <w:p w:rsidR="00B93509" w:rsidRDefault="00B93509" w:rsidP="00722C30">
      <w:pPr>
        <w:pStyle w:val="Bulletedtext"/>
      </w:pPr>
      <w:r>
        <w:t xml:space="preserve">in summer, the highest demand </w:t>
      </w:r>
      <w:r w:rsidR="00D73155">
        <w:t xml:space="preserve">generally </w:t>
      </w:r>
      <w:r>
        <w:t xml:space="preserve">occurs on working days when </w:t>
      </w:r>
      <w:r w:rsidRPr="00030C1A">
        <w:t xml:space="preserve">the daily </w:t>
      </w:r>
      <w:r w:rsidR="005B1F50">
        <w:t>average</w:t>
      </w:r>
      <w:r w:rsidRPr="00030C1A">
        <w:t xml:space="preserve"> temperature exceeds </w:t>
      </w:r>
      <w:r>
        <w:t>approximately</w:t>
      </w:r>
      <w:r w:rsidRPr="00030C1A">
        <w:t xml:space="preserve"> 33 degrees Celsius</w:t>
      </w:r>
      <w:r>
        <w:t>; and</w:t>
      </w:r>
    </w:p>
    <w:p w:rsidR="00B93509" w:rsidRDefault="00B93509" w:rsidP="00722C30">
      <w:pPr>
        <w:pStyle w:val="Bulletedtext"/>
      </w:pPr>
      <w:r>
        <w:t xml:space="preserve">in winter, the </w:t>
      </w:r>
      <w:r w:rsidRPr="00030C1A">
        <w:t xml:space="preserve">highest demand </w:t>
      </w:r>
      <w:r w:rsidR="00D73155">
        <w:t xml:space="preserve">generally </w:t>
      </w:r>
      <w:r>
        <w:t>occurs</w:t>
      </w:r>
      <w:r w:rsidRPr="00030C1A">
        <w:t xml:space="preserve"> on working days when the daily </w:t>
      </w:r>
      <w:r w:rsidR="005B1F50">
        <w:t>average</w:t>
      </w:r>
      <w:r w:rsidRPr="00030C1A">
        <w:t xml:space="preserve"> temperature falls below around 10 Degrees Celsius</w:t>
      </w:r>
    </w:p>
    <w:p w:rsidR="00B93509" w:rsidRPr="00722C30" w:rsidRDefault="00D73155" w:rsidP="00BD7A0B">
      <w:pPr>
        <w:pStyle w:val="BodyText"/>
        <w:rPr>
          <w:rStyle w:val="AERbody"/>
        </w:rPr>
      </w:pPr>
      <w:r w:rsidRPr="00722C30">
        <w:rPr>
          <w:rStyle w:val="AERbody"/>
        </w:rPr>
        <w:t xml:space="preserve">This </w:t>
      </w:r>
      <w:r w:rsidR="005B1F50" w:rsidRPr="00722C30">
        <w:rPr>
          <w:rStyle w:val="AERbody"/>
        </w:rPr>
        <w:t xml:space="preserve">relationship </w:t>
      </w:r>
      <w:r w:rsidRPr="00722C30">
        <w:rPr>
          <w:rStyle w:val="AERbody"/>
        </w:rPr>
        <w:t xml:space="preserve">is illustrated in </w:t>
      </w:r>
      <w:r w:rsidR="006A450F">
        <w:rPr>
          <w:rStyle w:val="AERbody"/>
        </w:rPr>
        <w:fldChar w:fldCharType="begin"/>
      </w:r>
      <w:r w:rsidR="006A450F">
        <w:rPr>
          <w:rStyle w:val="AERbody"/>
        </w:rPr>
        <w:instrText xml:space="preserve"> REF _Ref462995698 \h </w:instrText>
      </w:r>
      <w:r w:rsidR="006A450F">
        <w:rPr>
          <w:rStyle w:val="AERbody"/>
        </w:rPr>
      </w:r>
      <w:r w:rsidR="006A450F">
        <w:rPr>
          <w:rStyle w:val="AERbody"/>
        </w:rPr>
        <w:fldChar w:fldCharType="separate"/>
      </w:r>
      <w:r w:rsidR="00BE0834" w:rsidRPr="00722C30">
        <w:t xml:space="preserve">Figure </w:t>
      </w:r>
      <w:r w:rsidR="00BE0834">
        <w:t>5</w:t>
      </w:r>
      <w:r w:rsidR="006A450F">
        <w:rPr>
          <w:rStyle w:val="AERbody"/>
        </w:rPr>
        <w:fldChar w:fldCharType="end"/>
      </w:r>
      <w:r w:rsidR="00B93509" w:rsidRPr="00722C30">
        <w:rPr>
          <w:rStyle w:val="AERbody"/>
        </w:rPr>
        <w:t>.</w:t>
      </w:r>
    </w:p>
    <w:p w:rsidR="00B55EF3" w:rsidRDefault="00B55EF3">
      <w:pPr>
        <w:spacing w:after="0"/>
        <w:rPr>
          <w:rFonts w:ascii="Arial Bold" w:hAnsi="Arial Bold"/>
          <w:b/>
          <w:szCs w:val="18"/>
          <w:lang w:val="en-AU" w:eastAsia="en-AU"/>
        </w:rPr>
      </w:pPr>
      <w:r>
        <w:br w:type="page"/>
      </w:r>
    </w:p>
    <w:p w:rsidR="00B93509" w:rsidRPr="00E037EA" w:rsidRDefault="00347193">
      <w:pPr>
        <w:pStyle w:val="Caption"/>
      </w:pPr>
      <w:bookmarkStart w:id="450" w:name="_Ref462995698"/>
      <w:r w:rsidRPr="00722C30">
        <w:lastRenderedPageBreak/>
        <w:t xml:space="preserve">Figure </w:t>
      </w:r>
      <w:fldSimple w:instr=" SEQ Figure \* ARABIC ">
        <w:r w:rsidR="00BE0834">
          <w:rPr>
            <w:noProof/>
          </w:rPr>
          <w:t>5</w:t>
        </w:r>
      </w:fldSimple>
      <w:bookmarkEnd w:id="450"/>
      <w:r w:rsidRPr="00722C30">
        <w:t xml:space="preserve"> </w:t>
      </w:r>
      <w:r w:rsidRPr="00722C30">
        <w:rPr>
          <w:rFonts w:hint="eastAsia"/>
        </w:rPr>
        <w:t>–</w:t>
      </w:r>
      <w:r w:rsidR="00B93509" w:rsidRPr="00722C30">
        <w:t xml:space="preserve"> Historical Relationship </w:t>
      </w:r>
      <w:r w:rsidR="00B93509" w:rsidRPr="00722C30">
        <w:rPr>
          <w:rFonts w:hint="eastAsia"/>
        </w:rPr>
        <w:t>–</w:t>
      </w:r>
      <w:r w:rsidR="00B93509" w:rsidRPr="00722C30">
        <w:t xml:space="preserve"> Temperature Vs Half Hourly Interval Peak Demand</w:t>
      </w:r>
    </w:p>
    <w:p w:rsidR="00B93509" w:rsidRPr="00030C1A" w:rsidRDefault="00B93509" w:rsidP="00722C30">
      <w:pPr>
        <w:pStyle w:val="Caption"/>
      </w:pPr>
      <w:r w:rsidRPr="00030C1A">
        <w:rPr>
          <w:noProof/>
        </w:rPr>
        <w:drawing>
          <wp:inline distT="0" distB="0" distL="0" distR="0" wp14:anchorId="07935FB8" wp14:editId="1838A468">
            <wp:extent cx="5168900" cy="2432050"/>
            <wp:effectExtent l="0" t="0" r="1270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96168" w:rsidRPr="00722C30" w:rsidRDefault="00196168" w:rsidP="00BD7A0B">
      <w:pPr>
        <w:pStyle w:val="BodyText"/>
        <w:rPr>
          <w:rStyle w:val="AERbody"/>
        </w:rPr>
      </w:pPr>
      <w:r w:rsidRPr="00722C30">
        <w:rPr>
          <w:rStyle w:val="AERbody"/>
        </w:rPr>
        <w:t xml:space="preserve">Similarly, an </w:t>
      </w:r>
      <w:r w:rsidR="00D73155" w:rsidRPr="00722C30">
        <w:rPr>
          <w:rStyle w:val="AERbody"/>
        </w:rPr>
        <w:t xml:space="preserve">analysis of the timing of the top 48 half hourly peak consumption intervals over recent years </w:t>
      </w:r>
      <w:r w:rsidRPr="00722C30">
        <w:rPr>
          <w:rStyle w:val="AERbody"/>
        </w:rPr>
        <w:t>supports this seasonal pattern of demand.</w:t>
      </w:r>
    </w:p>
    <w:p w:rsidR="00B935DB" w:rsidRPr="000D6076" w:rsidRDefault="00347193" w:rsidP="00722C30">
      <w:pPr>
        <w:pStyle w:val="Caption"/>
      </w:pPr>
      <w:r w:rsidRPr="0071162E">
        <w:t xml:space="preserve">Figure </w:t>
      </w:r>
      <w:fldSimple w:instr=" SEQ Figure \* ARABIC ">
        <w:r w:rsidR="00BE0834">
          <w:rPr>
            <w:noProof/>
          </w:rPr>
          <w:t>6</w:t>
        </w:r>
      </w:fldSimple>
      <w:r w:rsidRPr="0071162E">
        <w:t xml:space="preserve"> </w:t>
      </w:r>
      <w:r w:rsidRPr="00347193">
        <w:t>– H</w:t>
      </w:r>
      <w:r w:rsidR="005B1F50" w:rsidRPr="00347193">
        <w:t>istorical</w:t>
      </w:r>
      <w:r w:rsidR="005B1F50" w:rsidRPr="000D6076">
        <w:t xml:space="preserve"> Pattern of Peak Demand – highest 48 half hourly peak demands</w:t>
      </w:r>
    </w:p>
    <w:p w:rsidR="00B935DB" w:rsidRPr="00B935DB" w:rsidRDefault="00501D98" w:rsidP="00722C30">
      <w:pPr>
        <w:pStyle w:val="Caption"/>
        <w:rPr>
          <w:rFonts w:eastAsia="Cambria"/>
        </w:rPr>
      </w:pPr>
      <w:r w:rsidRPr="00501D98">
        <w:rPr>
          <w:rFonts w:eastAsia="Cambria"/>
        </w:rPr>
        <w:t xml:space="preserve"> </w:t>
      </w:r>
      <w:r w:rsidR="00BD0383" w:rsidRPr="00BD0383">
        <w:rPr>
          <w:rFonts w:eastAsia="Cambria"/>
          <w:noProof/>
        </w:rPr>
        <w:drawing>
          <wp:inline distT="0" distB="0" distL="0" distR="0" wp14:anchorId="36699881" wp14:editId="3A35C098">
            <wp:extent cx="3895725" cy="2533845"/>
            <wp:effectExtent l="19050" t="19050" r="9525" b="19050"/>
            <wp:docPr id="4640" name="Picture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98222" cy="2535469"/>
                    </a:xfrm>
                    <a:prstGeom prst="rect">
                      <a:avLst/>
                    </a:prstGeom>
                    <a:noFill/>
                    <a:ln>
                      <a:solidFill>
                        <a:schemeClr val="tx1"/>
                      </a:solidFill>
                    </a:ln>
                  </pic:spPr>
                </pic:pic>
              </a:graphicData>
            </a:graphic>
          </wp:inline>
        </w:drawing>
      </w:r>
      <w:r w:rsidR="00B935DB" w:rsidRPr="00B935DB">
        <w:rPr>
          <w:rFonts w:eastAsia="Cambria"/>
        </w:rPr>
        <w:t xml:space="preserve"> </w:t>
      </w:r>
    </w:p>
    <w:p w:rsidR="00D73155" w:rsidRPr="00722C30" w:rsidRDefault="00D73155" w:rsidP="00BD7A0B">
      <w:pPr>
        <w:pStyle w:val="BodyText"/>
        <w:rPr>
          <w:rStyle w:val="AERbody"/>
        </w:rPr>
      </w:pPr>
      <w:r w:rsidRPr="00722C30">
        <w:rPr>
          <w:rStyle w:val="AERbody"/>
        </w:rPr>
        <w:t xml:space="preserve">From a purely economic perspective, it would be most efficient for </w:t>
      </w:r>
      <w:r w:rsidR="005B1F50" w:rsidRPr="00722C30">
        <w:rPr>
          <w:rStyle w:val="AERbody"/>
        </w:rPr>
        <w:t xml:space="preserve">LRMC-based peak prices to apply only on the few days a year when peak events occur. It is for this reason that the theoretically efficient tariff discussed in section </w:t>
      </w:r>
      <w:r w:rsidR="0085296B">
        <w:rPr>
          <w:rStyle w:val="AERbody"/>
        </w:rPr>
        <w:fldChar w:fldCharType="begin"/>
      </w:r>
      <w:r w:rsidR="0085296B">
        <w:rPr>
          <w:rStyle w:val="AERbody"/>
        </w:rPr>
        <w:instrText xml:space="preserve"> REF _Ref462042568 \r \h </w:instrText>
      </w:r>
      <w:r w:rsidR="0085296B">
        <w:rPr>
          <w:rStyle w:val="AERbody"/>
        </w:rPr>
      </w:r>
      <w:r w:rsidR="0085296B">
        <w:rPr>
          <w:rStyle w:val="AERbody"/>
        </w:rPr>
        <w:fldChar w:fldCharType="separate"/>
      </w:r>
      <w:r w:rsidR="00BE0834">
        <w:rPr>
          <w:rStyle w:val="AERbody"/>
        </w:rPr>
        <w:t>8.1</w:t>
      </w:r>
      <w:r w:rsidR="0085296B">
        <w:rPr>
          <w:rStyle w:val="AERbody"/>
        </w:rPr>
        <w:fldChar w:fldCharType="end"/>
      </w:r>
      <w:r w:rsidR="0085296B">
        <w:rPr>
          <w:rStyle w:val="AERbody"/>
        </w:rPr>
        <w:t xml:space="preserve"> </w:t>
      </w:r>
      <w:r w:rsidR="005B1F50" w:rsidRPr="00722C30">
        <w:rPr>
          <w:rStyle w:val="AERbody"/>
        </w:rPr>
        <w:t>is dynamic in nature, ie, it applies a critical peak price only when a peak event occurs.</w:t>
      </w:r>
      <w:r w:rsidRPr="00722C30">
        <w:rPr>
          <w:rStyle w:val="AERbody"/>
        </w:rPr>
        <w:t xml:space="preserve"> </w:t>
      </w:r>
      <w:r w:rsidR="005B7261" w:rsidRPr="00722C30">
        <w:rPr>
          <w:rStyle w:val="AERbody"/>
        </w:rPr>
        <w:t xml:space="preserve">However, Ausgrid did not propose to introduce dynamic peak pricing in this regulatory control period because the </w:t>
      </w:r>
      <w:r w:rsidR="00A4003D" w:rsidRPr="00722C30">
        <w:rPr>
          <w:rStyle w:val="AERbody"/>
        </w:rPr>
        <w:t>associated</w:t>
      </w:r>
      <w:r w:rsidR="00E87467" w:rsidRPr="00722C30">
        <w:rPr>
          <w:rStyle w:val="AERbody"/>
        </w:rPr>
        <w:t xml:space="preserve"> </w:t>
      </w:r>
      <w:r w:rsidR="005B7261" w:rsidRPr="00722C30">
        <w:rPr>
          <w:rStyle w:val="AERbody"/>
        </w:rPr>
        <w:t>costs</w:t>
      </w:r>
      <w:r w:rsidR="00E87467" w:rsidRPr="00722C30">
        <w:rPr>
          <w:rStyle w:val="AERbody"/>
        </w:rPr>
        <w:t xml:space="preserve"> </w:t>
      </w:r>
      <w:r w:rsidR="005B7261" w:rsidRPr="00722C30">
        <w:rPr>
          <w:rStyle w:val="AERbody"/>
        </w:rPr>
        <w:t>were likely to outweigh the economic benefits.</w:t>
      </w:r>
      <w:r w:rsidR="005B7261" w:rsidRPr="00F93A72">
        <w:rPr>
          <w:rStyle w:val="AERbody"/>
          <w:vertAlign w:val="superscript"/>
        </w:rPr>
        <w:footnoteReference w:id="18"/>
      </w:r>
      <w:r w:rsidR="005B7261" w:rsidRPr="00F93A72">
        <w:rPr>
          <w:rStyle w:val="AERbody"/>
          <w:vertAlign w:val="superscript"/>
        </w:rPr>
        <w:t xml:space="preserve"> </w:t>
      </w:r>
    </w:p>
    <w:p w:rsidR="00366CEF" w:rsidRPr="00722C30" w:rsidRDefault="00B93509" w:rsidP="007D0321">
      <w:pPr>
        <w:pStyle w:val="BodyText"/>
        <w:rPr>
          <w:rStyle w:val="AERbody"/>
        </w:rPr>
      </w:pPr>
      <w:r w:rsidRPr="00722C30">
        <w:rPr>
          <w:rStyle w:val="AERbody"/>
        </w:rPr>
        <w:t xml:space="preserve">Nevertheless, </w:t>
      </w:r>
      <w:r w:rsidR="006040C3" w:rsidRPr="00722C30">
        <w:rPr>
          <w:rStyle w:val="AERbody"/>
        </w:rPr>
        <w:t>a</w:t>
      </w:r>
      <w:r w:rsidRPr="00722C30">
        <w:rPr>
          <w:rStyle w:val="AERbody"/>
        </w:rPr>
        <w:t xml:space="preserve"> historical analysis of peak demand clearly suggests that </w:t>
      </w:r>
      <w:r w:rsidR="00366CEF" w:rsidRPr="00722C30">
        <w:rPr>
          <w:rStyle w:val="AERbody"/>
        </w:rPr>
        <w:t xml:space="preserve">there are efficiency benefits in restricting the application of the peak </w:t>
      </w:r>
      <w:r w:rsidR="00231589" w:rsidRPr="00722C30">
        <w:rPr>
          <w:rStyle w:val="AERbody"/>
        </w:rPr>
        <w:t xml:space="preserve">price </w:t>
      </w:r>
      <w:r w:rsidR="00366CEF" w:rsidRPr="00722C30">
        <w:rPr>
          <w:rStyle w:val="AERbody"/>
        </w:rPr>
        <w:t xml:space="preserve">to only the summer and winter months of the year. Therefore, </w:t>
      </w:r>
      <w:r w:rsidR="00B17C8B">
        <w:rPr>
          <w:rStyle w:val="AERbody"/>
        </w:rPr>
        <w:t xml:space="preserve">from 1 July 2018 </w:t>
      </w:r>
      <w:r w:rsidR="00366CEF" w:rsidRPr="00722C30">
        <w:rPr>
          <w:rStyle w:val="AERbody"/>
        </w:rPr>
        <w:t xml:space="preserve">Ausgrid </w:t>
      </w:r>
      <w:r w:rsidR="005B7261" w:rsidRPr="00722C30">
        <w:rPr>
          <w:rStyle w:val="AERbody"/>
        </w:rPr>
        <w:t>will</w:t>
      </w:r>
      <w:r w:rsidR="00366CEF" w:rsidRPr="00722C30">
        <w:rPr>
          <w:rStyle w:val="AERbody"/>
        </w:rPr>
        <w:t xml:space="preserve"> introduce seasonality in its time of use tariffs such </w:t>
      </w:r>
      <w:r w:rsidR="00231589" w:rsidRPr="00722C30">
        <w:rPr>
          <w:rStyle w:val="AERbody"/>
        </w:rPr>
        <w:t xml:space="preserve">that the </w:t>
      </w:r>
      <w:r w:rsidR="00366CEF" w:rsidRPr="00722C30">
        <w:rPr>
          <w:rStyle w:val="AERbody"/>
        </w:rPr>
        <w:t xml:space="preserve">peak </w:t>
      </w:r>
      <w:r w:rsidR="006040C3" w:rsidRPr="00722C30">
        <w:rPr>
          <w:rStyle w:val="AERbody"/>
        </w:rPr>
        <w:t>price</w:t>
      </w:r>
      <w:r w:rsidR="00231589" w:rsidRPr="00722C30">
        <w:rPr>
          <w:rStyle w:val="AERbody"/>
        </w:rPr>
        <w:t xml:space="preserve"> applies</w:t>
      </w:r>
      <w:r w:rsidR="006040C3" w:rsidRPr="00722C30">
        <w:rPr>
          <w:rStyle w:val="AERbody"/>
        </w:rPr>
        <w:t xml:space="preserve"> </w:t>
      </w:r>
      <w:r w:rsidR="00366CEF" w:rsidRPr="00722C30">
        <w:rPr>
          <w:rStyle w:val="AERbody"/>
        </w:rPr>
        <w:t>only on working weekdays:</w:t>
      </w:r>
    </w:p>
    <w:p w:rsidR="00366CEF" w:rsidRPr="000D6076" w:rsidRDefault="00F06D3F" w:rsidP="00722C30">
      <w:pPr>
        <w:pStyle w:val="Bulletedtext"/>
      </w:pPr>
      <w:r>
        <w:t>in summer,</w:t>
      </w:r>
      <w:r w:rsidR="00366CEF">
        <w:t xml:space="preserve"> from </w:t>
      </w:r>
      <w:r w:rsidR="00366CEF">
        <w:rPr>
          <w:w w:val="101"/>
        </w:rPr>
        <w:t>1 November and 31 March (inclusive); and</w:t>
      </w:r>
    </w:p>
    <w:p w:rsidR="0048560F" w:rsidRPr="00144FD3" w:rsidRDefault="00F06D3F" w:rsidP="00722C30">
      <w:pPr>
        <w:pStyle w:val="Bulletedtext"/>
      </w:pPr>
      <w:proofErr w:type="gramStart"/>
      <w:r>
        <w:rPr>
          <w:w w:val="101"/>
        </w:rPr>
        <w:t>in</w:t>
      </w:r>
      <w:proofErr w:type="gramEnd"/>
      <w:r>
        <w:rPr>
          <w:w w:val="101"/>
        </w:rPr>
        <w:t xml:space="preserve"> winter,</w:t>
      </w:r>
      <w:r w:rsidR="00366CEF">
        <w:rPr>
          <w:w w:val="101"/>
        </w:rPr>
        <w:t xml:space="preserve"> from 1 June to 31 August (inclusive).</w:t>
      </w:r>
    </w:p>
    <w:p w:rsidR="002B4373" w:rsidRPr="00722C30" w:rsidRDefault="002B4373" w:rsidP="00BD7A0B">
      <w:pPr>
        <w:pStyle w:val="BodyText"/>
        <w:rPr>
          <w:rStyle w:val="AERbody"/>
        </w:rPr>
      </w:pPr>
      <w:r w:rsidRPr="00722C30">
        <w:rPr>
          <w:rStyle w:val="AERbody"/>
        </w:rPr>
        <w:lastRenderedPageBreak/>
        <w:t>Further, from 1 July 2018 Ausgrid will extend the shoulder period in the non-summer and non-winter months</w:t>
      </w:r>
      <w:r w:rsidRPr="00F93A72">
        <w:rPr>
          <w:rStyle w:val="AERbody"/>
          <w:vertAlign w:val="superscript"/>
        </w:rPr>
        <w:footnoteReference w:id="19"/>
      </w:r>
      <w:r w:rsidRPr="00722C30">
        <w:rPr>
          <w:rStyle w:val="AERbody"/>
        </w:rPr>
        <w:t xml:space="preserve"> to cover the former-peak period in these months, ie, 2pm to 8pm. Ausgrid’s peak, shoulder and off-peak periods are presented in section </w:t>
      </w:r>
      <w:r w:rsidRPr="00722C30">
        <w:rPr>
          <w:rStyle w:val="AERbody"/>
        </w:rPr>
        <w:fldChar w:fldCharType="begin"/>
      </w:r>
      <w:r w:rsidRPr="00722C30">
        <w:rPr>
          <w:rStyle w:val="AERbody"/>
        </w:rPr>
        <w:instrText xml:space="preserve"> REF _Ref462151394 \r \h </w:instrText>
      </w:r>
      <w:r w:rsidRPr="00722C30">
        <w:rPr>
          <w:rStyle w:val="AERbody"/>
        </w:rPr>
      </w:r>
      <w:r w:rsidRPr="00722C30">
        <w:rPr>
          <w:rStyle w:val="AERbody"/>
        </w:rPr>
        <w:fldChar w:fldCharType="separate"/>
      </w:r>
      <w:r w:rsidR="00BE0834">
        <w:rPr>
          <w:rStyle w:val="AERbody"/>
        </w:rPr>
        <w:t>6.4</w:t>
      </w:r>
      <w:r w:rsidRPr="00722C30">
        <w:rPr>
          <w:rStyle w:val="AERbody"/>
        </w:rPr>
        <w:fldChar w:fldCharType="end"/>
      </w:r>
      <w:r w:rsidRPr="00722C30">
        <w:rPr>
          <w:rStyle w:val="AERbody"/>
        </w:rPr>
        <w:t>.</w:t>
      </w:r>
    </w:p>
    <w:p w:rsidR="00366CEF" w:rsidRDefault="00366CEF" w:rsidP="00722C30">
      <w:pPr>
        <w:pStyle w:val="Heading3"/>
      </w:pPr>
      <w:r>
        <w:t xml:space="preserve">Implications for </w:t>
      </w:r>
      <w:r w:rsidR="0048560F">
        <w:t xml:space="preserve">our </w:t>
      </w:r>
      <w:r>
        <w:t>customers</w:t>
      </w:r>
    </w:p>
    <w:p w:rsidR="00366CEF" w:rsidRPr="00722C30" w:rsidRDefault="0048560F" w:rsidP="00BD7A0B">
      <w:pPr>
        <w:pStyle w:val="BodyText"/>
        <w:rPr>
          <w:rStyle w:val="AERbody"/>
          <w:lang w:val="en-US" w:eastAsia="en-US"/>
        </w:rPr>
      </w:pPr>
      <w:r w:rsidRPr="00722C30">
        <w:rPr>
          <w:rStyle w:val="AERbody"/>
        </w:rPr>
        <w:t xml:space="preserve">This is a substantial reform that represents a considerable step on the path to </w:t>
      </w:r>
      <w:r w:rsidR="005B1F50" w:rsidRPr="00722C30">
        <w:rPr>
          <w:rStyle w:val="AERbody"/>
        </w:rPr>
        <w:t>efficient tariffs</w:t>
      </w:r>
      <w:r w:rsidRPr="00722C30">
        <w:rPr>
          <w:rStyle w:val="AERbody"/>
        </w:rPr>
        <w:t>. However, i</w:t>
      </w:r>
      <w:r w:rsidR="00366CEF" w:rsidRPr="00722C30">
        <w:rPr>
          <w:rStyle w:val="AERbody"/>
          <w:lang w:val="en-US" w:eastAsia="en-US"/>
        </w:rPr>
        <w:t xml:space="preserve">t is important to bear in mind that that this reform is not without </w:t>
      </w:r>
      <w:r w:rsidR="005B7261" w:rsidRPr="00722C30">
        <w:rPr>
          <w:rStyle w:val="AERbody"/>
          <w:lang w:val="en-US" w:eastAsia="en-US"/>
        </w:rPr>
        <w:t>customer impacts</w:t>
      </w:r>
      <w:r w:rsidR="00366CEF" w:rsidRPr="00722C30">
        <w:rPr>
          <w:rStyle w:val="AERbody"/>
          <w:lang w:val="en-US" w:eastAsia="en-US"/>
        </w:rPr>
        <w:t xml:space="preserve">. Specifically, the introduction of seasonality will remove 4 months of the peak period </w:t>
      </w:r>
      <w:r w:rsidR="006040C3" w:rsidRPr="00722C30">
        <w:rPr>
          <w:rStyle w:val="AERbody"/>
          <w:lang w:val="en-US" w:eastAsia="en-US"/>
        </w:rPr>
        <w:t>in each year</w:t>
      </w:r>
      <w:r w:rsidR="00366CEF" w:rsidRPr="00722C30">
        <w:rPr>
          <w:rStyle w:val="AERbody"/>
          <w:lang w:val="en-US" w:eastAsia="en-US"/>
        </w:rPr>
        <w:t>, which</w:t>
      </w:r>
      <w:r w:rsidR="00231589" w:rsidRPr="00722C30">
        <w:rPr>
          <w:rStyle w:val="AERbody"/>
          <w:lang w:val="en-US" w:eastAsia="en-US"/>
        </w:rPr>
        <w:t xml:space="preserve"> acts to</w:t>
      </w:r>
      <w:r w:rsidR="00366CEF" w:rsidRPr="00722C30">
        <w:rPr>
          <w:rStyle w:val="AERbody"/>
          <w:lang w:val="en-US" w:eastAsia="en-US"/>
        </w:rPr>
        <w:t>:</w:t>
      </w:r>
    </w:p>
    <w:p w:rsidR="00366CEF" w:rsidRDefault="00366CEF" w:rsidP="00722C30">
      <w:pPr>
        <w:pStyle w:val="Bulletedtext"/>
        <w:rPr>
          <w:lang w:eastAsia="en-AU"/>
        </w:rPr>
      </w:pPr>
      <w:r>
        <w:rPr>
          <w:lang w:eastAsia="en-AU"/>
        </w:rPr>
        <w:t>increase the LRMC-based peak price by approximately 55 per cent;</w:t>
      </w:r>
      <w:r>
        <w:rPr>
          <w:rStyle w:val="FootnoteReference"/>
          <w:lang w:eastAsia="en-AU"/>
        </w:rPr>
        <w:footnoteReference w:id="20"/>
      </w:r>
      <w:r>
        <w:rPr>
          <w:lang w:eastAsia="en-AU"/>
        </w:rPr>
        <w:t xml:space="preserve"> and</w:t>
      </w:r>
    </w:p>
    <w:p w:rsidR="00366CEF" w:rsidRPr="000C4EBA" w:rsidRDefault="00366CEF" w:rsidP="00722C30">
      <w:pPr>
        <w:pStyle w:val="Bulletedtext"/>
        <w:rPr>
          <w:lang w:eastAsia="en-AU"/>
        </w:rPr>
      </w:pPr>
      <w:proofErr w:type="gramStart"/>
      <w:r>
        <w:rPr>
          <w:lang w:eastAsia="en-AU"/>
        </w:rPr>
        <w:t>increase</w:t>
      </w:r>
      <w:proofErr w:type="gramEnd"/>
      <w:r>
        <w:rPr>
          <w:lang w:eastAsia="en-AU"/>
        </w:rPr>
        <w:t xml:space="preserve"> the level of residual costs to be recovered from fixed, off-peak and shoulder charges</w:t>
      </w:r>
      <w:r w:rsidR="00231589">
        <w:rPr>
          <w:lang w:eastAsia="en-AU"/>
        </w:rPr>
        <w:t xml:space="preserve">, </w:t>
      </w:r>
      <w:proofErr w:type="spellStart"/>
      <w:r w:rsidR="00231589">
        <w:rPr>
          <w:lang w:eastAsia="en-AU"/>
        </w:rPr>
        <w:t>ie</w:t>
      </w:r>
      <w:proofErr w:type="spellEnd"/>
      <w:r>
        <w:rPr>
          <w:lang w:eastAsia="en-AU"/>
        </w:rPr>
        <w:t xml:space="preserve"> since peak energy volumes will decrease by </w:t>
      </w:r>
      <w:r w:rsidR="0048560F">
        <w:rPr>
          <w:lang w:eastAsia="en-AU"/>
        </w:rPr>
        <w:t xml:space="preserve">approximately </w:t>
      </w:r>
      <w:r>
        <w:rPr>
          <w:lang w:eastAsia="en-AU"/>
        </w:rPr>
        <w:t>25 per cent to 33 per cent.</w:t>
      </w:r>
    </w:p>
    <w:p w:rsidR="009C1B23" w:rsidRPr="00722C30" w:rsidRDefault="009C1B23" w:rsidP="00BD7A0B">
      <w:pPr>
        <w:pStyle w:val="BodyText"/>
        <w:rPr>
          <w:rStyle w:val="AERbody"/>
          <w:lang w:val="en-US" w:eastAsia="en-US"/>
        </w:rPr>
      </w:pPr>
      <w:r w:rsidRPr="00722C30">
        <w:rPr>
          <w:rStyle w:val="AERbody"/>
          <w:lang w:val="en-US" w:eastAsia="en-US"/>
        </w:rPr>
        <w:t xml:space="preserve">By way of example, the revenue recovered from the peak charging parameter </w:t>
      </w:r>
      <w:r w:rsidR="005B7261" w:rsidRPr="00722C30">
        <w:rPr>
          <w:rStyle w:val="AERbody"/>
          <w:lang w:val="en-US" w:eastAsia="en-US"/>
        </w:rPr>
        <w:t xml:space="preserve">for the residential TOU tariff </w:t>
      </w:r>
      <w:r w:rsidRPr="00722C30">
        <w:rPr>
          <w:rStyle w:val="AERbody"/>
          <w:lang w:val="en-US" w:eastAsia="en-US"/>
        </w:rPr>
        <w:t xml:space="preserve">in </w:t>
      </w:r>
      <w:r w:rsidR="00461C73" w:rsidRPr="00722C30">
        <w:rPr>
          <w:rStyle w:val="AERbody"/>
          <w:lang w:val="en-US" w:eastAsia="en-US"/>
        </w:rPr>
        <w:t>FY2019 is approximately $32 million less than that in FY2018, ie, prior to the implementation of seasonality.</w:t>
      </w:r>
      <w:r w:rsidR="005B7261" w:rsidRPr="00722C30">
        <w:rPr>
          <w:rStyle w:val="AERbody"/>
          <w:lang w:val="en-US" w:eastAsia="en-US"/>
        </w:rPr>
        <w:t xml:space="preserve"> As explained later </w:t>
      </w:r>
      <w:r w:rsidR="00AC47ED">
        <w:rPr>
          <w:rStyle w:val="AERbody"/>
          <w:lang w:val="en-US" w:eastAsia="en-US"/>
        </w:rPr>
        <w:t xml:space="preserve">in </w:t>
      </w:r>
      <w:r w:rsidR="005B7261" w:rsidRPr="00722C30">
        <w:rPr>
          <w:rStyle w:val="AERbody"/>
          <w:lang w:val="en-US" w:eastAsia="en-US"/>
        </w:rPr>
        <w:t xml:space="preserve">section </w:t>
      </w:r>
      <w:r w:rsidR="005B7261" w:rsidRPr="00722C30">
        <w:rPr>
          <w:rStyle w:val="AERbody"/>
          <w:lang w:val="en-US" w:eastAsia="en-US"/>
        </w:rPr>
        <w:fldChar w:fldCharType="begin"/>
      </w:r>
      <w:r w:rsidR="005B7261" w:rsidRPr="00722C30">
        <w:rPr>
          <w:rStyle w:val="AERbody"/>
          <w:lang w:val="en-US" w:eastAsia="en-US"/>
        </w:rPr>
        <w:instrText xml:space="preserve"> REF _Ref462042500 \r \h </w:instrText>
      </w:r>
      <w:r w:rsidR="005B7261" w:rsidRPr="00722C30">
        <w:rPr>
          <w:rStyle w:val="AERbody"/>
          <w:lang w:val="en-US" w:eastAsia="en-US"/>
        </w:rPr>
      </w:r>
      <w:r w:rsidR="005B7261" w:rsidRPr="00722C30">
        <w:rPr>
          <w:rStyle w:val="AERbody"/>
          <w:lang w:val="en-US" w:eastAsia="en-US"/>
        </w:rPr>
        <w:fldChar w:fldCharType="separate"/>
      </w:r>
      <w:r w:rsidR="00BE0834">
        <w:rPr>
          <w:rStyle w:val="AERbody"/>
          <w:lang w:val="en-US" w:eastAsia="en-US"/>
        </w:rPr>
        <w:t>8.3.4</w:t>
      </w:r>
      <w:r w:rsidR="005B7261" w:rsidRPr="00722C30">
        <w:rPr>
          <w:rStyle w:val="AERbody"/>
          <w:lang w:val="en-US" w:eastAsia="en-US"/>
        </w:rPr>
        <w:fldChar w:fldCharType="end"/>
      </w:r>
      <w:r w:rsidR="005B7261" w:rsidRPr="00722C30">
        <w:rPr>
          <w:rStyle w:val="AERbody"/>
          <w:lang w:val="en-US" w:eastAsia="en-US"/>
        </w:rPr>
        <w:t xml:space="preserve">, Ausgrid has carefully allocated residual costs across the TOU charging parameters so as to mitigate the customer impacts associated with this reform. </w:t>
      </w:r>
    </w:p>
    <w:p w:rsidR="00366CEF" w:rsidRPr="00722C30" w:rsidRDefault="005B7261" w:rsidP="007D0321">
      <w:pPr>
        <w:pStyle w:val="BodyText"/>
        <w:rPr>
          <w:rStyle w:val="AERbody"/>
          <w:lang w:val="en-US" w:eastAsia="en-US"/>
        </w:rPr>
      </w:pPr>
      <w:r w:rsidRPr="00722C30">
        <w:rPr>
          <w:rStyle w:val="AERbody"/>
          <w:lang w:val="en-US" w:eastAsia="en-US"/>
        </w:rPr>
        <w:t xml:space="preserve">By means of this careful allocation, Ausgrid is able to </w:t>
      </w:r>
      <w:r w:rsidR="00366CEF" w:rsidRPr="00722C30">
        <w:rPr>
          <w:rStyle w:val="AERbody"/>
          <w:lang w:val="en-US" w:eastAsia="en-US"/>
        </w:rPr>
        <w:t xml:space="preserve">manage the corresponding customer impacts in the current regulatory control period. However, it is important to note that some other potential reforms – </w:t>
      </w:r>
      <w:r w:rsidR="0048560F" w:rsidRPr="00722C30">
        <w:rPr>
          <w:rStyle w:val="AERbody"/>
          <w:lang w:val="en-US" w:eastAsia="en-US"/>
        </w:rPr>
        <w:t>especially those that reduce the number of peak hours in a year</w:t>
      </w:r>
      <w:r w:rsidR="00366CEF" w:rsidRPr="00722C30">
        <w:rPr>
          <w:rStyle w:val="AERbody"/>
          <w:lang w:val="en-US" w:eastAsia="en-US"/>
        </w:rPr>
        <w:t xml:space="preserve"> – have the same implications and so would act to exacerbate customer impacts in the current regulatory period to levels deemed unacceptable by Ausgrid.  </w:t>
      </w:r>
    </w:p>
    <w:p w:rsidR="0048560F" w:rsidRPr="00722C30" w:rsidRDefault="00366CEF">
      <w:pPr>
        <w:pStyle w:val="BodyText"/>
        <w:rPr>
          <w:rStyle w:val="AERbody"/>
          <w:lang w:val="en-US" w:eastAsia="en-US"/>
        </w:rPr>
      </w:pPr>
      <w:r w:rsidRPr="00722C30">
        <w:rPr>
          <w:rStyle w:val="AERbody"/>
          <w:lang w:val="en-US" w:eastAsia="en-US"/>
        </w:rPr>
        <w:t xml:space="preserve">In some circumstances, this has contributed to Ausgrid </w:t>
      </w:r>
      <w:r w:rsidR="005B1F50" w:rsidRPr="00722C30">
        <w:rPr>
          <w:rStyle w:val="AERbody"/>
          <w:lang w:val="en-US" w:eastAsia="en-US"/>
        </w:rPr>
        <w:t>exercising its discretion and best judgement by deci</w:t>
      </w:r>
      <w:r w:rsidR="00A420BA" w:rsidRPr="00722C30">
        <w:rPr>
          <w:rStyle w:val="AERbody"/>
          <w:lang w:val="en-US" w:eastAsia="en-US"/>
        </w:rPr>
        <w:t>d</w:t>
      </w:r>
      <w:r w:rsidR="005B1F50" w:rsidRPr="00722C30">
        <w:rPr>
          <w:rStyle w:val="AERbody"/>
          <w:lang w:val="en-US" w:eastAsia="en-US"/>
        </w:rPr>
        <w:t>ing</w:t>
      </w:r>
      <w:r w:rsidRPr="00722C30">
        <w:rPr>
          <w:rStyle w:val="AERbody"/>
          <w:lang w:val="en-US" w:eastAsia="en-US"/>
        </w:rPr>
        <w:t xml:space="preserve"> that it is in the best interests of customers to </w:t>
      </w:r>
      <w:r w:rsidR="0048560F" w:rsidRPr="00722C30">
        <w:rPr>
          <w:rStyle w:val="AERbody"/>
          <w:lang w:val="en-US" w:eastAsia="en-US"/>
        </w:rPr>
        <w:t>delay the implementation</w:t>
      </w:r>
      <w:r w:rsidRPr="00722C30">
        <w:rPr>
          <w:rStyle w:val="AERbody"/>
          <w:lang w:val="en-US" w:eastAsia="en-US"/>
        </w:rPr>
        <w:t xml:space="preserve"> </w:t>
      </w:r>
      <w:r w:rsidR="0048560F" w:rsidRPr="00722C30">
        <w:rPr>
          <w:rStyle w:val="AERbody"/>
          <w:lang w:val="en-US" w:eastAsia="en-US"/>
        </w:rPr>
        <w:t xml:space="preserve">of </w:t>
      </w:r>
      <w:r w:rsidRPr="00722C30">
        <w:rPr>
          <w:rStyle w:val="AERbody"/>
          <w:lang w:val="en-US" w:eastAsia="en-US"/>
        </w:rPr>
        <w:t xml:space="preserve">some potentially meritorious reforms </w:t>
      </w:r>
      <w:r w:rsidR="0048560F" w:rsidRPr="00722C30">
        <w:rPr>
          <w:rStyle w:val="AERbody"/>
          <w:lang w:val="en-US" w:eastAsia="en-US"/>
        </w:rPr>
        <w:t xml:space="preserve">until the </w:t>
      </w:r>
      <w:r w:rsidRPr="00722C30">
        <w:rPr>
          <w:rStyle w:val="AERbody"/>
          <w:lang w:val="en-US" w:eastAsia="en-US"/>
        </w:rPr>
        <w:t xml:space="preserve">next </w:t>
      </w:r>
      <w:r w:rsidR="0048560F" w:rsidRPr="00722C30">
        <w:rPr>
          <w:rStyle w:val="AERbody"/>
          <w:lang w:val="en-US" w:eastAsia="en-US"/>
        </w:rPr>
        <w:t>regulatory control period</w:t>
      </w:r>
      <w:r w:rsidRPr="00722C30">
        <w:rPr>
          <w:rStyle w:val="AERbody"/>
          <w:lang w:val="en-US" w:eastAsia="en-US"/>
        </w:rPr>
        <w:t>,</w:t>
      </w:r>
      <w:r w:rsidR="0048560F" w:rsidRPr="00722C30">
        <w:rPr>
          <w:rStyle w:val="AERbody"/>
          <w:lang w:val="en-US" w:eastAsia="en-US"/>
        </w:rPr>
        <w:t xml:space="preserve"> ie, so as to mitigate the risk of unacceptable customer impacts.</w:t>
      </w:r>
    </w:p>
    <w:p w:rsidR="00366CEF" w:rsidRDefault="0048560F">
      <w:pPr>
        <w:pStyle w:val="Heading2"/>
      </w:pPr>
      <w:bookmarkStart w:id="451" w:name="_Ref461970089"/>
      <w:bookmarkStart w:id="452" w:name="_Toc475527428"/>
      <w:r>
        <w:t>The summer peak period</w:t>
      </w:r>
      <w:bookmarkEnd w:id="451"/>
      <w:bookmarkEnd w:id="452"/>
    </w:p>
    <w:p w:rsidR="00336ED2" w:rsidRPr="00722C30" w:rsidRDefault="00336ED2" w:rsidP="00BD7A0B">
      <w:pPr>
        <w:pStyle w:val="BodyText"/>
        <w:rPr>
          <w:rStyle w:val="AERbody"/>
        </w:rPr>
      </w:pPr>
      <w:r w:rsidRPr="00722C30">
        <w:rPr>
          <w:rStyle w:val="AERbody"/>
        </w:rPr>
        <w:t>The analysis underpinning Ausgrid’s definition of the peak periods is directed at identifying a period  that best aligns with the timing of peak demand that drives the forward looking cost of providing the services our customers demand, while avoiding a definition that is so broad as to blunten the peak price signal.</w:t>
      </w:r>
    </w:p>
    <w:p w:rsidR="00F43CE7" w:rsidRPr="00722C30" w:rsidRDefault="00F43CE7" w:rsidP="007D0321">
      <w:pPr>
        <w:pStyle w:val="BodyText"/>
        <w:rPr>
          <w:rStyle w:val="AERbody"/>
          <w:lang w:val="en-US" w:eastAsia="en-US"/>
        </w:rPr>
      </w:pPr>
      <w:r w:rsidRPr="00722C30">
        <w:rPr>
          <w:rStyle w:val="AERbody"/>
        </w:rPr>
        <w:t xml:space="preserve">The forward looking costs imposed on a network by </w:t>
      </w:r>
      <w:r w:rsidR="006040C3" w:rsidRPr="00722C30">
        <w:rPr>
          <w:rStyle w:val="AERbody"/>
        </w:rPr>
        <w:t xml:space="preserve">further </w:t>
      </w:r>
      <w:r w:rsidRPr="00722C30">
        <w:rPr>
          <w:rStyle w:val="AERbody"/>
        </w:rPr>
        <w:t>use generally relate to a particular element of the network</w:t>
      </w:r>
      <w:r w:rsidR="006040C3" w:rsidRPr="00722C30">
        <w:rPr>
          <w:rStyle w:val="AERbody"/>
        </w:rPr>
        <w:t xml:space="preserve"> – eg, a particular asset that needs to be upgraded –</w:t>
      </w:r>
      <w:r w:rsidRPr="00722C30">
        <w:rPr>
          <w:rStyle w:val="AERbody"/>
        </w:rPr>
        <w:t xml:space="preserve"> and so it is location-specific demand that drives network costs. </w:t>
      </w:r>
      <w:r w:rsidR="000165E1" w:rsidRPr="00722C30">
        <w:rPr>
          <w:rStyle w:val="AERbody"/>
          <w:lang w:val="en-US" w:eastAsia="en-US"/>
        </w:rPr>
        <w:t>Ausgrid is not proposing to implement locational pricing and so, for each tariff, the same prices apply across our network.</w:t>
      </w:r>
      <w:r w:rsidR="00894497">
        <w:rPr>
          <w:rStyle w:val="FootnoteReference"/>
          <w:lang w:val="en-US" w:eastAsia="en-US"/>
        </w:rPr>
        <w:footnoteReference w:id="21"/>
      </w:r>
      <w:r w:rsidR="00894497">
        <w:rPr>
          <w:rStyle w:val="AERbody"/>
          <w:lang w:val="en-US" w:eastAsia="en-US"/>
        </w:rPr>
        <w:t xml:space="preserve"> </w:t>
      </w:r>
    </w:p>
    <w:p w:rsidR="00A420BA" w:rsidRPr="00722C30" w:rsidRDefault="00F43CE7">
      <w:pPr>
        <w:pStyle w:val="BodyText"/>
        <w:rPr>
          <w:rStyle w:val="AERbody"/>
          <w:lang w:val="en-US" w:eastAsia="en-US"/>
        </w:rPr>
      </w:pPr>
      <w:r w:rsidRPr="00722C30">
        <w:rPr>
          <w:rStyle w:val="AERbody"/>
          <w:lang w:val="en-US" w:eastAsia="en-US"/>
        </w:rPr>
        <w:t xml:space="preserve">It is therefore critically important </w:t>
      </w:r>
      <w:r w:rsidR="00A420BA" w:rsidRPr="00722C30">
        <w:rPr>
          <w:rStyle w:val="AERbody"/>
          <w:lang w:val="en-US" w:eastAsia="en-US"/>
        </w:rPr>
        <w:t>that the</w:t>
      </w:r>
      <w:r w:rsidR="0044291F" w:rsidRPr="00722C30">
        <w:rPr>
          <w:rStyle w:val="AERbody"/>
          <w:lang w:val="en-US" w:eastAsia="en-US"/>
        </w:rPr>
        <w:t xml:space="preserve"> definition of the peak period</w:t>
      </w:r>
      <w:r w:rsidR="00A420BA" w:rsidRPr="00722C30">
        <w:rPr>
          <w:rStyle w:val="AERbody"/>
          <w:lang w:val="en-US" w:eastAsia="en-US"/>
        </w:rPr>
        <w:t xml:space="preserve"> is informed by an</w:t>
      </w:r>
      <w:r w:rsidR="006040C3" w:rsidRPr="00722C30">
        <w:rPr>
          <w:rStyle w:val="AERbody"/>
          <w:lang w:val="en-US" w:eastAsia="en-US"/>
        </w:rPr>
        <w:t xml:space="preserve"> analysis and deep</w:t>
      </w:r>
      <w:r w:rsidR="00A420BA" w:rsidRPr="00722C30">
        <w:rPr>
          <w:rStyle w:val="AERbody"/>
          <w:lang w:val="en-US" w:eastAsia="en-US"/>
        </w:rPr>
        <w:t xml:space="preserve"> understanding of</w:t>
      </w:r>
      <w:r w:rsidR="0044291F" w:rsidRPr="00722C30">
        <w:rPr>
          <w:rStyle w:val="AERbody"/>
          <w:lang w:val="en-US" w:eastAsia="en-US"/>
        </w:rPr>
        <w:t xml:space="preserve"> both</w:t>
      </w:r>
      <w:r w:rsidR="00A420BA" w:rsidRPr="00722C30">
        <w:rPr>
          <w:rStyle w:val="AERbody"/>
          <w:lang w:val="en-US" w:eastAsia="en-US"/>
        </w:rPr>
        <w:t>:</w:t>
      </w:r>
      <w:r w:rsidRPr="00722C30">
        <w:rPr>
          <w:rStyle w:val="AERbody"/>
          <w:lang w:val="en-US" w:eastAsia="en-US"/>
        </w:rPr>
        <w:t xml:space="preserve"> </w:t>
      </w:r>
    </w:p>
    <w:p w:rsidR="00A420BA" w:rsidRDefault="006040C3" w:rsidP="00722C30">
      <w:pPr>
        <w:pStyle w:val="Bulletedtext"/>
        <w:rPr>
          <w:lang w:eastAsia="en-AU"/>
        </w:rPr>
      </w:pPr>
      <w:r>
        <w:rPr>
          <w:lang w:eastAsia="en-AU"/>
        </w:rPr>
        <w:t xml:space="preserve">location-specific </w:t>
      </w:r>
      <w:r w:rsidR="00A420BA" w:rsidRPr="0048560F">
        <w:rPr>
          <w:lang w:eastAsia="en-AU"/>
        </w:rPr>
        <w:t>demand</w:t>
      </w:r>
      <w:r w:rsidR="00A420BA">
        <w:rPr>
          <w:lang w:eastAsia="en-AU"/>
        </w:rPr>
        <w:t xml:space="preserve"> – because this is what drives future cost; and</w:t>
      </w:r>
    </w:p>
    <w:p w:rsidR="00A420BA" w:rsidRPr="00A420BA" w:rsidRDefault="00A420BA" w:rsidP="00722C30">
      <w:pPr>
        <w:pStyle w:val="Bulletedtext"/>
        <w:rPr>
          <w:lang w:eastAsia="en-AU"/>
        </w:rPr>
      </w:pPr>
      <w:proofErr w:type="gramStart"/>
      <w:r w:rsidRPr="00A420BA">
        <w:rPr>
          <w:lang w:eastAsia="en-AU"/>
        </w:rPr>
        <w:t>s</w:t>
      </w:r>
      <w:r w:rsidR="006040C3">
        <w:rPr>
          <w:lang w:eastAsia="en-AU"/>
        </w:rPr>
        <w:t>ystem-wide</w:t>
      </w:r>
      <w:proofErr w:type="gramEnd"/>
      <w:r w:rsidR="006040C3">
        <w:rPr>
          <w:lang w:eastAsia="en-AU"/>
        </w:rPr>
        <w:t xml:space="preserve"> </w:t>
      </w:r>
      <w:r w:rsidR="00F43CE7" w:rsidRPr="00A420BA">
        <w:rPr>
          <w:lang w:eastAsia="en-AU"/>
        </w:rPr>
        <w:t>demand</w:t>
      </w:r>
      <w:r>
        <w:rPr>
          <w:lang w:eastAsia="en-AU"/>
        </w:rPr>
        <w:t xml:space="preserve"> – because prices apply on a system-wide basis.</w:t>
      </w:r>
      <w:r w:rsidR="00F43CE7" w:rsidRPr="00A420BA">
        <w:rPr>
          <w:lang w:eastAsia="en-AU"/>
        </w:rPr>
        <w:t xml:space="preserve"> </w:t>
      </w:r>
    </w:p>
    <w:p w:rsidR="006040C3" w:rsidRPr="00722C30" w:rsidRDefault="00336ED2" w:rsidP="00BD7A0B">
      <w:pPr>
        <w:pStyle w:val="BodyText"/>
        <w:rPr>
          <w:rStyle w:val="AERbody"/>
          <w:lang w:val="en-US" w:eastAsia="en-US"/>
        </w:rPr>
      </w:pPr>
      <w:r w:rsidRPr="00722C30">
        <w:rPr>
          <w:rStyle w:val="AERbody"/>
        </w:rPr>
        <w:t xml:space="preserve">At the system level, peak demand for our network generally occurs in the summer months between 3.30pm and 6.30pm, where Ausgrid defines the summer months to be the period 1 November and 31 March (inclusive). However, </w:t>
      </w:r>
      <w:r w:rsidR="00A420BA" w:rsidRPr="00722C30">
        <w:rPr>
          <w:rStyle w:val="AERbody"/>
          <w:lang w:val="en-US" w:eastAsia="en-US"/>
        </w:rPr>
        <w:t>Ausgrid’s</w:t>
      </w:r>
      <w:r w:rsidR="000165E1" w:rsidRPr="00722C30">
        <w:rPr>
          <w:rStyle w:val="AERbody"/>
          <w:lang w:val="en-US" w:eastAsia="en-US"/>
        </w:rPr>
        <w:t xml:space="preserve"> network comprises </w:t>
      </w:r>
      <w:r w:rsidRPr="00722C30">
        <w:rPr>
          <w:rStyle w:val="AERbody"/>
          <w:lang w:val="en-US" w:eastAsia="en-US"/>
        </w:rPr>
        <w:t xml:space="preserve">over </w:t>
      </w:r>
      <w:r w:rsidR="000165E1" w:rsidRPr="00722C30">
        <w:rPr>
          <w:rStyle w:val="AERbody"/>
          <w:lang w:val="en-US" w:eastAsia="en-US"/>
        </w:rPr>
        <w:t xml:space="preserve">180 zone </w:t>
      </w:r>
      <w:r w:rsidR="000165E1" w:rsidRPr="00722C30">
        <w:rPr>
          <w:rStyle w:val="AERbody"/>
          <w:lang w:val="en-US" w:eastAsia="en-US"/>
        </w:rPr>
        <w:lastRenderedPageBreak/>
        <w:t xml:space="preserve">substations, </w:t>
      </w:r>
      <w:r w:rsidR="006040C3" w:rsidRPr="00722C30">
        <w:rPr>
          <w:rStyle w:val="AERbody"/>
          <w:lang w:val="en-US" w:eastAsia="en-US"/>
        </w:rPr>
        <w:t xml:space="preserve">where the aggregated demand across these substations at any one time </w:t>
      </w:r>
      <w:r w:rsidR="00862F28" w:rsidRPr="00722C30">
        <w:rPr>
          <w:rStyle w:val="AERbody"/>
          <w:lang w:val="en-US" w:eastAsia="en-US"/>
        </w:rPr>
        <w:t xml:space="preserve">is </w:t>
      </w:r>
      <w:r w:rsidR="00F779BB" w:rsidRPr="00722C30">
        <w:rPr>
          <w:rStyle w:val="AERbody"/>
          <w:lang w:val="en-US" w:eastAsia="en-US"/>
        </w:rPr>
        <w:t>the</w:t>
      </w:r>
      <w:r w:rsidR="006040C3" w:rsidRPr="00722C30">
        <w:rPr>
          <w:rStyle w:val="AERbody"/>
          <w:lang w:val="en-US" w:eastAsia="en-US"/>
        </w:rPr>
        <w:t xml:space="preserve"> system-wide demand.</w:t>
      </w:r>
    </w:p>
    <w:p w:rsidR="00A420BA" w:rsidRPr="00722C30" w:rsidRDefault="00347193" w:rsidP="00BD7A0B">
      <w:pPr>
        <w:pStyle w:val="BodyText"/>
        <w:rPr>
          <w:rStyle w:val="AERbody"/>
          <w:lang w:val="en-US" w:eastAsia="en-US"/>
        </w:rPr>
      </w:pPr>
      <w:r w:rsidRPr="00722C30">
        <w:rPr>
          <w:rStyle w:val="AERbody"/>
          <w:lang w:val="en-US" w:eastAsia="en-US"/>
        </w:rPr>
        <w:fldChar w:fldCharType="begin"/>
      </w:r>
      <w:r w:rsidRPr="00722C30">
        <w:rPr>
          <w:rStyle w:val="AERbody"/>
          <w:lang w:val="en-US" w:eastAsia="en-US"/>
        </w:rPr>
        <w:instrText xml:space="preserve"> REF _Ref462042636 \h  \* MERGEFORMAT </w:instrText>
      </w:r>
      <w:r w:rsidRPr="00722C30">
        <w:rPr>
          <w:rStyle w:val="AERbody"/>
          <w:lang w:val="en-US" w:eastAsia="en-US"/>
        </w:rPr>
      </w:r>
      <w:r w:rsidRPr="00722C30">
        <w:rPr>
          <w:rStyle w:val="AERbody"/>
          <w:lang w:val="en-US" w:eastAsia="en-US"/>
        </w:rPr>
        <w:fldChar w:fldCharType="separate"/>
      </w:r>
      <w:r w:rsidR="00BE0834" w:rsidRPr="00BE0834">
        <w:rPr>
          <w:rStyle w:val="AERbody"/>
        </w:rPr>
        <w:t>Figure 7</w:t>
      </w:r>
      <w:r w:rsidRPr="00722C30">
        <w:rPr>
          <w:rStyle w:val="AERbody"/>
          <w:lang w:val="en-US" w:eastAsia="en-US"/>
        </w:rPr>
        <w:fldChar w:fldCharType="end"/>
      </w:r>
      <w:r w:rsidR="000165E1" w:rsidRPr="00722C30">
        <w:rPr>
          <w:rStyle w:val="AERbody"/>
          <w:lang w:val="en-US" w:eastAsia="en-US"/>
        </w:rPr>
        <w:t xml:space="preserve"> </w:t>
      </w:r>
      <w:r w:rsidR="00103859">
        <w:rPr>
          <w:rStyle w:val="AERbody"/>
          <w:lang w:val="en-US" w:eastAsia="en-US"/>
        </w:rPr>
        <w:t>on the next page</w:t>
      </w:r>
      <w:r w:rsidR="00103859" w:rsidRPr="00722C30">
        <w:rPr>
          <w:rStyle w:val="AERbody"/>
          <w:lang w:val="en-US" w:eastAsia="en-US"/>
        </w:rPr>
        <w:t xml:space="preserve"> </w:t>
      </w:r>
      <w:r w:rsidR="000165E1" w:rsidRPr="00722C30">
        <w:rPr>
          <w:rStyle w:val="AERbody"/>
          <w:lang w:val="en-US" w:eastAsia="en-US"/>
        </w:rPr>
        <w:t xml:space="preserve">illustrates the </w:t>
      </w:r>
      <w:r w:rsidR="00A420BA" w:rsidRPr="00722C30">
        <w:rPr>
          <w:rStyle w:val="AERbody"/>
          <w:lang w:val="en-US" w:eastAsia="en-US"/>
        </w:rPr>
        <w:t>time of day over which</w:t>
      </w:r>
      <w:r w:rsidR="00F06D3F" w:rsidRPr="00722C30">
        <w:rPr>
          <w:rStyle w:val="AERbody"/>
          <w:lang w:val="en-US" w:eastAsia="en-US"/>
        </w:rPr>
        <w:t xml:space="preserve"> demand at each </w:t>
      </w:r>
      <w:r w:rsidR="005F3895" w:rsidRPr="00722C30">
        <w:rPr>
          <w:rStyle w:val="AERbody"/>
          <w:lang w:val="en-US" w:eastAsia="en-US"/>
        </w:rPr>
        <w:t xml:space="preserve">summer-peaking </w:t>
      </w:r>
      <w:r w:rsidR="00F06D3F" w:rsidRPr="00722C30">
        <w:rPr>
          <w:rStyle w:val="AERbody"/>
          <w:lang w:val="en-US" w:eastAsia="en-US"/>
        </w:rPr>
        <w:t xml:space="preserve">substation </w:t>
      </w:r>
      <w:r w:rsidR="00A420BA" w:rsidRPr="00722C30">
        <w:rPr>
          <w:rStyle w:val="AERbody"/>
          <w:lang w:val="en-US" w:eastAsia="en-US"/>
        </w:rPr>
        <w:t>was within 5 per cent (shaded in red) and 10 per cent (shaded orange) of its peak demand on its respective peak day in summer 2016. By way of further explanation</w:t>
      </w:r>
      <w:r w:rsidR="00862F28" w:rsidRPr="00722C30">
        <w:rPr>
          <w:rStyle w:val="AERbody"/>
          <w:lang w:val="en-US" w:eastAsia="en-US"/>
        </w:rPr>
        <w:t xml:space="preserve"> of </w:t>
      </w:r>
      <w:r w:rsidRPr="00722C30">
        <w:rPr>
          <w:rStyle w:val="AERbody"/>
          <w:lang w:val="en-US" w:eastAsia="en-US"/>
        </w:rPr>
        <w:fldChar w:fldCharType="begin"/>
      </w:r>
      <w:r w:rsidRPr="00722C30">
        <w:rPr>
          <w:rStyle w:val="AERbody"/>
          <w:lang w:val="en-US" w:eastAsia="en-US"/>
        </w:rPr>
        <w:instrText xml:space="preserve"> REF _Ref462042636 \h  \* MERGEFORMAT </w:instrText>
      </w:r>
      <w:r w:rsidRPr="00722C30">
        <w:rPr>
          <w:rStyle w:val="AERbody"/>
          <w:lang w:val="en-US" w:eastAsia="en-US"/>
        </w:rPr>
      </w:r>
      <w:r w:rsidRPr="00722C30">
        <w:rPr>
          <w:rStyle w:val="AERbody"/>
          <w:lang w:val="en-US" w:eastAsia="en-US"/>
        </w:rPr>
        <w:fldChar w:fldCharType="separate"/>
      </w:r>
      <w:r w:rsidR="00BE0834" w:rsidRPr="00BE0834">
        <w:rPr>
          <w:rStyle w:val="AERbody"/>
        </w:rPr>
        <w:t>Figure 7</w:t>
      </w:r>
      <w:r w:rsidRPr="00722C30">
        <w:rPr>
          <w:rStyle w:val="AERbody"/>
          <w:lang w:val="en-US" w:eastAsia="en-US"/>
        </w:rPr>
        <w:fldChar w:fldCharType="end"/>
      </w:r>
      <w:r w:rsidR="00A420BA" w:rsidRPr="00722C30">
        <w:rPr>
          <w:rStyle w:val="AERbody"/>
          <w:lang w:val="en-US" w:eastAsia="en-US"/>
        </w:rPr>
        <w:t>:</w:t>
      </w:r>
    </w:p>
    <w:p w:rsidR="00A420BA" w:rsidRDefault="00A420BA" w:rsidP="00722C30">
      <w:pPr>
        <w:pStyle w:val="Bulletedtext"/>
        <w:rPr>
          <w:lang w:eastAsia="en-AU"/>
        </w:rPr>
      </w:pPr>
      <w:r>
        <w:rPr>
          <w:lang w:eastAsia="en-AU"/>
        </w:rPr>
        <w:t>t</w:t>
      </w:r>
      <w:r w:rsidR="00F06D3F">
        <w:rPr>
          <w:lang w:eastAsia="en-AU"/>
        </w:rPr>
        <w:t xml:space="preserve">he x-axis </w:t>
      </w:r>
      <w:r>
        <w:rPr>
          <w:lang w:eastAsia="en-AU"/>
        </w:rPr>
        <w:t>reflects the</w:t>
      </w:r>
      <w:r w:rsidR="00F06D3F">
        <w:rPr>
          <w:lang w:eastAsia="en-AU"/>
        </w:rPr>
        <w:t xml:space="preserve"> time-of-day</w:t>
      </w:r>
      <w:r w:rsidR="00862F28">
        <w:rPr>
          <w:lang w:eastAsia="en-AU"/>
        </w:rPr>
        <w:t xml:space="preserve"> (</w:t>
      </w:r>
      <w:r w:rsidR="00F06D3F">
        <w:rPr>
          <w:lang w:eastAsia="en-AU"/>
        </w:rPr>
        <w:t>7am to 10pm)</w:t>
      </w:r>
      <w:r>
        <w:rPr>
          <w:lang w:eastAsia="en-AU"/>
        </w:rPr>
        <w:t>;</w:t>
      </w:r>
      <w:r w:rsidR="00F06D3F">
        <w:rPr>
          <w:lang w:eastAsia="en-AU"/>
        </w:rPr>
        <w:t xml:space="preserve"> </w:t>
      </w:r>
    </w:p>
    <w:p w:rsidR="00A420BA" w:rsidRDefault="00A420BA" w:rsidP="00722C30">
      <w:pPr>
        <w:pStyle w:val="Bulletedtext"/>
        <w:rPr>
          <w:lang w:eastAsia="en-AU"/>
        </w:rPr>
      </w:pPr>
      <w:r>
        <w:rPr>
          <w:lang w:eastAsia="en-AU"/>
        </w:rPr>
        <w:t xml:space="preserve">the y-axis is a list of all summer-peaking </w:t>
      </w:r>
      <w:r w:rsidR="00F06D3F">
        <w:rPr>
          <w:lang w:eastAsia="en-AU"/>
        </w:rPr>
        <w:t xml:space="preserve">substations, sorted by reference to the proportion of residential </w:t>
      </w:r>
      <w:r w:rsidR="00DC1D33">
        <w:rPr>
          <w:lang w:eastAsia="en-AU"/>
        </w:rPr>
        <w:t>consumption</w:t>
      </w:r>
      <w:r w:rsidR="00F06D3F">
        <w:rPr>
          <w:lang w:eastAsia="en-AU"/>
        </w:rPr>
        <w:t xml:space="preserve">, </w:t>
      </w:r>
      <w:proofErr w:type="spellStart"/>
      <w:r w:rsidR="00F06D3F">
        <w:rPr>
          <w:lang w:eastAsia="en-AU"/>
        </w:rPr>
        <w:t>ie</w:t>
      </w:r>
      <w:proofErr w:type="spellEnd"/>
      <w:r w:rsidR="00F06D3F">
        <w:rPr>
          <w:lang w:eastAsia="en-AU"/>
        </w:rPr>
        <w:t xml:space="preserve">, substations located higher on the y-axis have a relatively higher </w:t>
      </w:r>
      <w:r>
        <w:rPr>
          <w:lang w:eastAsia="en-AU"/>
        </w:rPr>
        <w:t>proportion</w:t>
      </w:r>
      <w:r w:rsidR="00F06D3F">
        <w:rPr>
          <w:lang w:eastAsia="en-AU"/>
        </w:rPr>
        <w:t xml:space="preserve"> of residential </w:t>
      </w:r>
      <w:r w:rsidR="00F33D45">
        <w:rPr>
          <w:lang w:eastAsia="en-AU"/>
        </w:rPr>
        <w:t>load</w:t>
      </w:r>
      <w:r>
        <w:rPr>
          <w:lang w:eastAsia="en-AU"/>
        </w:rPr>
        <w:t>;</w:t>
      </w:r>
      <w:r w:rsidR="00F06D3F">
        <w:rPr>
          <w:lang w:eastAsia="en-AU"/>
        </w:rPr>
        <w:t xml:space="preserve"> </w:t>
      </w:r>
    </w:p>
    <w:p w:rsidR="006D5668" w:rsidRDefault="00F06D3F" w:rsidP="00722C30">
      <w:pPr>
        <w:pStyle w:val="Bulletedtext"/>
        <w:rPr>
          <w:lang w:eastAsia="en-AU"/>
        </w:rPr>
      </w:pPr>
      <w:r>
        <w:rPr>
          <w:lang w:eastAsia="en-AU"/>
        </w:rPr>
        <w:t xml:space="preserve">the thick red and yellow bar at the </w:t>
      </w:r>
      <w:r w:rsidR="009F534B">
        <w:rPr>
          <w:lang w:eastAsia="en-AU"/>
        </w:rPr>
        <w:t xml:space="preserve">top </w:t>
      </w:r>
      <w:r>
        <w:rPr>
          <w:lang w:eastAsia="en-AU"/>
        </w:rPr>
        <w:t xml:space="preserve">reflects the timing of </w:t>
      </w:r>
      <w:r w:rsidR="00F33D45">
        <w:rPr>
          <w:lang w:eastAsia="en-AU"/>
        </w:rPr>
        <w:t>system-wide peak demand</w:t>
      </w:r>
      <w:r w:rsidR="006D5668">
        <w:rPr>
          <w:lang w:eastAsia="en-AU"/>
        </w:rPr>
        <w:t>;</w:t>
      </w:r>
      <w:r w:rsidR="00F33D45" w:rsidRPr="00F33D45">
        <w:rPr>
          <w:lang w:eastAsia="en-AU"/>
        </w:rPr>
        <w:t xml:space="preserve"> </w:t>
      </w:r>
      <w:r w:rsidR="00F33D45">
        <w:rPr>
          <w:lang w:eastAsia="en-AU"/>
        </w:rPr>
        <w:t>and</w:t>
      </w:r>
    </w:p>
    <w:p w:rsidR="00F06D3F" w:rsidRDefault="006D5668" w:rsidP="00722C30">
      <w:pPr>
        <w:pStyle w:val="Bulletedtext"/>
        <w:rPr>
          <w:lang w:eastAsia="en-AU"/>
        </w:rPr>
      </w:pPr>
      <w:proofErr w:type="gramStart"/>
      <w:r>
        <w:rPr>
          <w:lang w:eastAsia="en-AU"/>
        </w:rPr>
        <w:t>substations</w:t>
      </w:r>
      <w:proofErr w:type="gramEnd"/>
      <w:r>
        <w:rPr>
          <w:lang w:eastAsia="en-AU"/>
        </w:rPr>
        <w:t xml:space="preserve"> above the horizontal line approximately a third of the way up the y-axis </w:t>
      </w:r>
      <w:r w:rsidR="00F33D45">
        <w:rPr>
          <w:lang w:eastAsia="en-AU"/>
        </w:rPr>
        <w:t>have at least 33% residential load</w:t>
      </w:r>
      <w:r w:rsidR="00F06D3F">
        <w:rPr>
          <w:lang w:eastAsia="en-AU"/>
        </w:rPr>
        <w:t xml:space="preserve">. </w:t>
      </w:r>
    </w:p>
    <w:p w:rsidR="00F06D3F" w:rsidRPr="00722C30" w:rsidRDefault="00F06D3F" w:rsidP="00BD7A0B">
      <w:pPr>
        <w:pStyle w:val="BodyText"/>
        <w:rPr>
          <w:rStyle w:val="AERbody"/>
          <w:lang w:val="en-US" w:eastAsia="en-US"/>
        </w:rPr>
      </w:pPr>
      <w:r w:rsidRPr="00722C30">
        <w:rPr>
          <w:rStyle w:val="AERbody"/>
          <w:lang w:val="en-US" w:eastAsia="en-US"/>
        </w:rPr>
        <w:t xml:space="preserve">The key insights to be drawn from </w:t>
      </w:r>
      <w:r w:rsidR="009E5AFB" w:rsidRPr="00722C30">
        <w:rPr>
          <w:rStyle w:val="AERbody"/>
          <w:lang w:val="en-US" w:eastAsia="en-US"/>
        </w:rPr>
        <w:fldChar w:fldCharType="begin"/>
      </w:r>
      <w:r w:rsidR="009E5AFB" w:rsidRPr="00722C30">
        <w:rPr>
          <w:rStyle w:val="AERbody"/>
          <w:lang w:val="en-US" w:eastAsia="en-US"/>
        </w:rPr>
        <w:instrText xml:space="preserve"> REF _Ref462042636 \h  \* MERGEFORMAT </w:instrText>
      </w:r>
      <w:r w:rsidR="009E5AFB" w:rsidRPr="00722C30">
        <w:rPr>
          <w:rStyle w:val="AERbody"/>
          <w:lang w:val="en-US" w:eastAsia="en-US"/>
        </w:rPr>
      </w:r>
      <w:r w:rsidR="009E5AFB" w:rsidRPr="00722C30">
        <w:rPr>
          <w:rStyle w:val="AERbody"/>
          <w:lang w:val="en-US" w:eastAsia="en-US"/>
        </w:rPr>
        <w:fldChar w:fldCharType="separate"/>
      </w:r>
      <w:r w:rsidR="00BE0834" w:rsidRPr="00BE0834">
        <w:rPr>
          <w:rStyle w:val="AERbody"/>
        </w:rPr>
        <w:t>Figure 7</w:t>
      </w:r>
      <w:r w:rsidR="009E5AFB" w:rsidRPr="00722C30">
        <w:rPr>
          <w:rStyle w:val="AERbody"/>
          <w:lang w:val="en-US" w:eastAsia="en-US"/>
        </w:rPr>
        <w:fldChar w:fldCharType="end"/>
      </w:r>
      <w:r w:rsidR="009E5AFB" w:rsidRPr="00722C30">
        <w:rPr>
          <w:rStyle w:val="AERbody"/>
          <w:lang w:val="en-US" w:eastAsia="en-US"/>
        </w:rPr>
        <w:t xml:space="preserve"> </w:t>
      </w:r>
      <w:r w:rsidRPr="00722C30">
        <w:rPr>
          <w:rStyle w:val="AERbody"/>
          <w:lang w:val="en-US" w:eastAsia="en-US"/>
        </w:rPr>
        <w:t>are that:</w:t>
      </w:r>
      <w:r w:rsidR="00862F28" w:rsidRPr="00722C30">
        <w:rPr>
          <w:rStyle w:val="AERbody"/>
          <w:lang w:val="en-US" w:eastAsia="en-US"/>
        </w:rPr>
        <w:t xml:space="preserve"> </w:t>
      </w:r>
    </w:p>
    <w:p w:rsidR="00F33D45" w:rsidRPr="00F33D45" w:rsidRDefault="00F33D45" w:rsidP="00722C30">
      <w:pPr>
        <w:pStyle w:val="Bulletedtext"/>
        <w:rPr>
          <w:lang w:eastAsia="en-AU"/>
        </w:rPr>
      </w:pPr>
      <w:r w:rsidRPr="00F33D45">
        <w:rPr>
          <w:lang w:eastAsia="en-AU"/>
        </w:rPr>
        <w:t>there are a diverse range of demand characteristics across our network – note the horizontal dispersi</w:t>
      </w:r>
      <w:r w:rsidR="00862F28">
        <w:rPr>
          <w:lang w:eastAsia="en-AU"/>
        </w:rPr>
        <w:t>on of the timing of peak demand</w:t>
      </w:r>
      <w:r w:rsidRPr="00F33D45">
        <w:rPr>
          <w:lang w:eastAsia="en-AU"/>
        </w:rPr>
        <w:t xml:space="preserve">, </w:t>
      </w:r>
      <w:proofErr w:type="spellStart"/>
      <w:r w:rsidRPr="00F33D45">
        <w:rPr>
          <w:lang w:eastAsia="en-AU"/>
        </w:rPr>
        <w:t>ie</w:t>
      </w:r>
      <w:proofErr w:type="spellEnd"/>
      <w:r w:rsidRPr="00F33D45">
        <w:rPr>
          <w:lang w:eastAsia="en-AU"/>
        </w:rPr>
        <w:t xml:space="preserve">, substations with relatively more residential load </w:t>
      </w:r>
      <w:r w:rsidR="0044291F" w:rsidRPr="005F3895">
        <w:rPr>
          <w:lang w:eastAsia="en-AU"/>
        </w:rPr>
        <w:t>(those higher on the y-axis)</w:t>
      </w:r>
      <w:r w:rsidR="0044291F">
        <w:rPr>
          <w:lang w:eastAsia="en-AU"/>
        </w:rPr>
        <w:t xml:space="preserve"> </w:t>
      </w:r>
      <w:r w:rsidR="0044291F" w:rsidRPr="00237276">
        <w:rPr>
          <w:lang w:eastAsia="en-AU"/>
        </w:rPr>
        <w:t xml:space="preserve">peak </w:t>
      </w:r>
      <w:r w:rsidRPr="00F33D45">
        <w:rPr>
          <w:lang w:eastAsia="en-AU"/>
        </w:rPr>
        <w:t>relatively later in the day;</w:t>
      </w:r>
    </w:p>
    <w:p w:rsidR="00F33D45" w:rsidRDefault="00F33D45" w:rsidP="00722C30">
      <w:pPr>
        <w:pStyle w:val="Bulletedtext"/>
        <w:rPr>
          <w:lang w:eastAsia="en-AU"/>
        </w:rPr>
      </w:pPr>
      <w:r>
        <w:rPr>
          <w:lang w:eastAsia="en-AU"/>
        </w:rPr>
        <w:t xml:space="preserve">the </w:t>
      </w:r>
      <w:r w:rsidR="00862F28">
        <w:rPr>
          <w:lang w:eastAsia="en-AU"/>
        </w:rPr>
        <w:t xml:space="preserve">approximate </w:t>
      </w:r>
      <w:r>
        <w:rPr>
          <w:lang w:eastAsia="en-AU"/>
        </w:rPr>
        <w:t xml:space="preserve">timing of </w:t>
      </w:r>
      <w:r w:rsidR="00F779BB">
        <w:rPr>
          <w:lang w:eastAsia="en-AU"/>
        </w:rPr>
        <w:t>system-</w:t>
      </w:r>
      <w:r>
        <w:rPr>
          <w:lang w:eastAsia="en-AU"/>
        </w:rPr>
        <w:t xml:space="preserve">wide peak demand does not capture well the diversity in timing of peak demand across </w:t>
      </w:r>
      <w:proofErr w:type="spellStart"/>
      <w:r>
        <w:rPr>
          <w:lang w:eastAsia="en-AU"/>
        </w:rPr>
        <w:t>Ausgrid’s</w:t>
      </w:r>
      <w:proofErr w:type="spellEnd"/>
      <w:r>
        <w:rPr>
          <w:lang w:eastAsia="en-AU"/>
        </w:rPr>
        <w:t xml:space="preserve"> network</w:t>
      </w:r>
      <w:r w:rsidR="00B17C8B">
        <w:rPr>
          <w:lang w:eastAsia="en-AU"/>
        </w:rPr>
        <w:t xml:space="preserve">; and  </w:t>
      </w:r>
    </w:p>
    <w:p w:rsidR="00F33D45" w:rsidRDefault="00F33D45" w:rsidP="00722C30">
      <w:pPr>
        <w:pStyle w:val="Bulletedtext"/>
        <w:rPr>
          <w:lang w:eastAsia="en-AU"/>
        </w:rPr>
      </w:pPr>
      <w:r>
        <w:rPr>
          <w:lang w:eastAsia="en-AU"/>
        </w:rPr>
        <w:t xml:space="preserve">the 2pm to 8pm period encompasses: </w:t>
      </w:r>
    </w:p>
    <w:p w:rsidR="00F33D45" w:rsidRPr="00722C30" w:rsidRDefault="00F33D45" w:rsidP="00E037EA">
      <w:pPr>
        <w:numPr>
          <w:ilvl w:val="1"/>
          <w:numId w:val="14"/>
        </w:numPr>
        <w:spacing w:before="120" w:after="120" w:line="240" w:lineRule="exact"/>
        <w:ind w:left="1701" w:hanging="425"/>
        <w:rPr>
          <w:sz w:val="20"/>
          <w:szCs w:val="20"/>
          <w:lang w:val="en-AU" w:eastAsia="en-AU"/>
        </w:rPr>
      </w:pPr>
      <w:r w:rsidRPr="00722C30">
        <w:rPr>
          <w:sz w:val="20"/>
          <w:szCs w:val="20"/>
          <w:lang w:val="en-AU" w:eastAsia="en-AU"/>
        </w:rPr>
        <w:t xml:space="preserve">75 per cent of the time at which demand at each substation is within 5 per cent of its respective peak demand; and </w:t>
      </w:r>
    </w:p>
    <w:p w:rsidR="000165E1" w:rsidRPr="00722C30" w:rsidRDefault="00F33D45" w:rsidP="00E037EA">
      <w:pPr>
        <w:numPr>
          <w:ilvl w:val="1"/>
          <w:numId w:val="14"/>
        </w:numPr>
        <w:spacing w:before="120" w:after="120" w:line="240" w:lineRule="exact"/>
        <w:ind w:left="1701" w:hanging="425"/>
        <w:rPr>
          <w:sz w:val="20"/>
          <w:szCs w:val="20"/>
          <w:lang w:val="en-AU" w:eastAsia="en-AU"/>
        </w:rPr>
      </w:pPr>
      <w:proofErr w:type="gramStart"/>
      <w:r w:rsidRPr="00722C30">
        <w:rPr>
          <w:sz w:val="20"/>
          <w:szCs w:val="20"/>
          <w:lang w:val="en-AU" w:eastAsia="en-AU"/>
        </w:rPr>
        <w:t>the</w:t>
      </w:r>
      <w:proofErr w:type="gramEnd"/>
      <w:r w:rsidRPr="00722C30">
        <w:rPr>
          <w:sz w:val="20"/>
          <w:szCs w:val="20"/>
          <w:lang w:val="en-AU" w:eastAsia="en-AU"/>
        </w:rPr>
        <w:t xml:space="preserve"> timing of peak demand at a system level, </w:t>
      </w:r>
      <w:proofErr w:type="spellStart"/>
      <w:r w:rsidRPr="00722C30">
        <w:rPr>
          <w:sz w:val="20"/>
          <w:szCs w:val="20"/>
          <w:lang w:val="en-AU" w:eastAsia="en-AU"/>
        </w:rPr>
        <w:t>ie</w:t>
      </w:r>
      <w:proofErr w:type="spellEnd"/>
      <w:r w:rsidRPr="00722C30">
        <w:rPr>
          <w:sz w:val="20"/>
          <w:szCs w:val="20"/>
          <w:lang w:val="en-AU" w:eastAsia="en-AU"/>
        </w:rPr>
        <w:t xml:space="preserve">, </w:t>
      </w:r>
      <w:r w:rsidR="006D5668" w:rsidRPr="00722C30">
        <w:rPr>
          <w:sz w:val="20"/>
          <w:szCs w:val="20"/>
          <w:lang w:val="en-AU" w:eastAsia="en-AU"/>
        </w:rPr>
        <w:t xml:space="preserve">system-wide demand was at near-peak levels form approximately 3.30pm to 6.30pm </w:t>
      </w:r>
      <w:r w:rsidRPr="00722C30">
        <w:rPr>
          <w:sz w:val="20"/>
          <w:szCs w:val="20"/>
          <w:lang w:val="en-AU" w:eastAsia="en-AU"/>
        </w:rPr>
        <w:t xml:space="preserve">and system </w:t>
      </w:r>
      <w:r w:rsidR="006D5668" w:rsidRPr="00722C30">
        <w:rPr>
          <w:sz w:val="20"/>
          <w:szCs w:val="20"/>
          <w:lang w:val="en-AU" w:eastAsia="en-AU"/>
        </w:rPr>
        <w:t>peak demand was at approximately 5.30pm</w:t>
      </w:r>
      <w:r w:rsidRPr="00722C30">
        <w:rPr>
          <w:sz w:val="20"/>
          <w:szCs w:val="20"/>
          <w:lang w:val="en-AU" w:eastAsia="en-AU"/>
        </w:rPr>
        <w:t>.</w:t>
      </w:r>
    </w:p>
    <w:p w:rsidR="00A4003D" w:rsidRPr="00722C30" w:rsidRDefault="00A4003D" w:rsidP="00BD7A0B">
      <w:pPr>
        <w:pStyle w:val="BodyText"/>
        <w:rPr>
          <w:rStyle w:val="AERbody"/>
          <w:lang w:val="en-US" w:eastAsia="en-US"/>
        </w:rPr>
      </w:pPr>
      <w:r w:rsidRPr="00722C30">
        <w:rPr>
          <w:rStyle w:val="AERbody"/>
          <w:lang w:val="en-US" w:eastAsia="en-US"/>
        </w:rPr>
        <w:t xml:space="preserve">For the avoidance of doubt, Ausgrid has undertaken further analysis to confirm that the data presented in </w:t>
      </w:r>
      <w:r w:rsidRPr="00722C30">
        <w:rPr>
          <w:rStyle w:val="AERbody"/>
          <w:lang w:val="en-US" w:eastAsia="en-US"/>
        </w:rPr>
        <w:fldChar w:fldCharType="begin"/>
      </w:r>
      <w:r w:rsidRPr="00722C30">
        <w:rPr>
          <w:rStyle w:val="AERbody"/>
          <w:lang w:val="en-US" w:eastAsia="en-US"/>
        </w:rPr>
        <w:instrText xml:space="preserve"> REF _Ref462042636 \h  \* MERGEFORMAT </w:instrText>
      </w:r>
      <w:r w:rsidRPr="00722C30">
        <w:rPr>
          <w:rStyle w:val="AERbody"/>
          <w:lang w:val="en-US" w:eastAsia="en-US"/>
        </w:rPr>
      </w:r>
      <w:r w:rsidRPr="00722C30">
        <w:rPr>
          <w:rStyle w:val="AERbody"/>
          <w:lang w:val="en-US" w:eastAsia="en-US"/>
        </w:rPr>
        <w:fldChar w:fldCharType="separate"/>
      </w:r>
      <w:r w:rsidR="00BE0834" w:rsidRPr="00BE0834">
        <w:rPr>
          <w:rStyle w:val="AERbody"/>
        </w:rPr>
        <w:t>Figure 7</w:t>
      </w:r>
      <w:r w:rsidRPr="00722C30">
        <w:rPr>
          <w:rStyle w:val="AERbody"/>
          <w:lang w:val="en-US" w:eastAsia="en-US"/>
        </w:rPr>
        <w:fldChar w:fldCharType="end"/>
      </w:r>
      <w:r w:rsidRPr="00722C30">
        <w:rPr>
          <w:rStyle w:val="AERbody"/>
          <w:lang w:val="en-US" w:eastAsia="en-US"/>
        </w:rPr>
        <w:t xml:space="preserve"> </w:t>
      </w:r>
      <w:r w:rsidR="00103859">
        <w:rPr>
          <w:rStyle w:val="AERbody"/>
          <w:lang w:val="en-US" w:eastAsia="en-US"/>
        </w:rPr>
        <w:t xml:space="preserve">on the next page </w:t>
      </w:r>
      <w:r w:rsidRPr="00722C30">
        <w:rPr>
          <w:rStyle w:val="AERbody"/>
          <w:lang w:val="en-US" w:eastAsia="en-US"/>
        </w:rPr>
        <w:t>is illustrative of a typical year.</w:t>
      </w:r>
    </w:p>
    <w:p w:rsidR="000165E1" w:rsidRPr="000D6076" w:rsidRDefault="00347193" w:rsidP="00144FD3">
      <w:pPr>
        <w:keepNext/>
        <w:spacing w:before="120" w:after="120" w:line="240" w:lineRule="exact"/>
        <w:ind w:firstLine="851"/>
        <w:rPr>
          <w:b/>
          <w:i/>
          <w:lang w:val="en-AU" w:eastAsia="en-AU"/>
        </w:rPr>
      </w:pPr>
      <w:bookmarkStart w:id="453" w:name="_Ref462042636"/>
      <w:r w:rsidRPr="00073643">
        <w:rPr>
          <w:b/>
        </w:rPr>
        <w:lastRenderedPageBreak/>
        <w:t xml:space="preserve">Figure </w:t>
      </w:r>
      <w:r w:rsidRPr="00073643">
        <w:rPr>
          <w:b/>
        </w:rPr>
        <w:fldChar w:fldCharType="begin"/>
      </w:r>
      <w:r w:rsidRPr="00073643">
        <w:rPr>
          <w:b/>
        </w:rPr>
        <w:instrText xml:space="preserve"> SEQ Figure \* ARABIC </w:instrText>
      </w:r>
      <w:r w:rsidRPr="00073643">
        <w:rPr>
          <w:b/>
        </w:rPr>
        <w:fldChar w:fldCharType="separate"/>
      </w:r>
      <w:r w:rsidR="00BE0834">
        <w:rPr>
          <w:b/>
          <w:noProof/>
        </w:rPr>
        <w:t>7</w:t>
      </w:r>
      <w:r w:rsidRPr="00073643">
        <w:rPr>
          <w:b/>
        </w:rPr>
        <w:fldChar w:fldCharType="end"/>
      </w:r>
      <w:bookmarkEnd w:id="453"/>
      <w:r w:rsidRPr="00073643">
        <w:rPr>
          <w:b/>
        </w:rPr>
        <w:t xml:space="preserve"> – </w:t>
      </w:r>
      <w:r w:rsidR="00A1422A">
        <w:rPr>
          <w:b/>
          <w:i/>
          <w:lang w:val="en-AU" w:eastAsia="en-AU"/>
        </w:rPr>
        <w:t>Timing of peak demand for summer-peaking zone-substations</w:t>
      </w:r>
      <w:r w:rsidR="00994050">
        <w:rPr>
          <w:rStyle w:val="FootnoteReference"/>
          <w:b/>
          <w:i/>
          <w:lang w:val="en-AU" w:eastAsia="en-AU"/>
        </w:rPr>
        <w:footnoteReference w:id="22"/>
      </w:r>
      <w:r w:rsidR="00A1422A" w:rsidRPr="006D5668">
        <w:rPr>
          <w:b/>
          <w:i/>
          <w:highlight w:val="yellow"/>
          <w:lang w:val="en-AU" w:eastAsia="en-AU"/>
        </w:rPr>
        <w:t xml:space="preserve"> </w:t>
      </w:r>
    </w:p>
    <w:p w:rsidR="000165E1" w:rsidRDefault="00614DE7" w:rsidP="00614DE7">
      <w:pPr>
        <w:ind w:left="851"/>
        <w:rPr>
          <w:lang w:val="en-AU" w:eastAsia="en-AU"/>
        </w:rPr>
      </w:pPr>
      <w:r w:rsidRPr="00614DE7">
        <w:rPr>
          <w:noProof/>
          <w:lang w:val="en-AU" w:eastAsia="en-AU"/>
        </w:rPr>
        <w:drawing>
          <wp:inline distT="0" distB="0" distL="0" distR="0" wp14:anchorId="11D93E29" wp14:editId="39E01E1C">
            <wp:extent cx="5334000" cy="3769686"/>
            <wp:effectExtent l="19050" t="19050" r="19050" b="215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7011" cy="3771814"/>
                    </a:xfrm>
                    <a:prstGeom prst="rect">
                      <a:avLst/>
                    </a:prstGeom>
                    <a:noFill/>
                    <a:ln>
                      <a:solidFill>
                        <a:schemeClr val="tx1"/>
                      </a:solidFill>
                    </a:ln>
                  </pic:spPr>
                </pic:pic>
              </a:graphicData>
            </a:graphic>
          </wp:inline>
        </w:drawing>
      </w:r>
    </w:p>
    <w:p w:rsidR="009F534B" w:rsidRPr="00722C30" w:rsidRDefault="00F044B8" w:rsidP="00BD7A0B">
      <w:pPr>
        <w:pStyle w:val="BodyText"/>
        <w:rPr>
          <w:rStyle w:val="AERbody"/>
        </w:rPr>
      </w:pPr>
      <w:r w:rsidRPr="00722C30">
        <w:rPr>
          <w:rStyle w:val="AERbody"/>
        </w:rPr>
        <w:t xml:space="preserve">It is clear that there is significant diversity in the timing of peak demand across Ausgrid’s network, with corresponding implications for the definition of the peak period. Specifically, the diversity of load profiles </w:t>
      </w:r>
      <w:r w:rsidR="009F534B" w:rsidRPr="00722C30">
        <w:rPr>
          <w:rStyle w:val="AERbody"/>
        </w:rPr>
        <w:t xml:space="preserve">across </w:t>
      </w:r>
      <w:r w:rsidRPr="00722C30">
        <w:rPr>
          <w:rStyle w:val="AERbody"/>
        </w:rPr>
        <w:t xml:space="preserve">Ausgrid’s network means that </w:t>
      </w:r>
      <w:r w:rsidR="009F534B" w:rsidRPr="00722C30">
        <w:rPr>
          <w:rStyle w:val="AERbody"/>
        </w:rPr>
        <w:t xml:space="preserve">there is a tension between defining a peak period that </w:t>
      </w:r>
    </w:p>
    <w:p w:rsidR="009F534B" w:rsidRDefault="009F534B" w:rsidP="00722C30">
      <w:pPr>
        <w:pStyle w:val="Bulletedtext"/>
      </w:pPr>
      <w:r>
        <w:t>is sufficiently broad so as to capture the diversity in the timing of peak demand; but</w:t>
      </w:r>
    </w:p>
    <w:p w:rsidR="009F534B" w:rsidRDefault="009F534B" w:rsidP="00722C30">
      <w:pPr>
        <w:pStyle w:val="Bulletedtext"/>
      </w:pPr>
      <w:r>
        <w:t>is not being so broad as to weaken the peak price signal;</w:t>
      </w:r>
    </w:p>
    <w:p w:rsidR="00720EA6" w:rsidRPr="00722C30" w:rsidRDefault="00720EA6" w:rsidP="00BD7A0B">
      <w:pPr>
        <w:pStyle w:val="BodyText"/>
        <w:rPr>
          <w:rStyle w:val="AERbody"/>
        </w:rPr>
      </w:pPr>
      <w:r w:rsidRPr="00722C30">
        <w:rPr>
          <w:rStyle w:val="AERbody"/>
        </w:rPr>
        <w:t>Alternatively, this trade-off could be characterised as a balance between:</w:t>
      </w:r>
    </w:p>
    <w:p w:rsidR="00720EA6" w:rsidRDefault="00720EA6" w:rsidP="00722C30">
      <w:pPr>
        <w:pStyle w:val="Bulletedtext"/>
      </w:pPr>
      <w:r>
        <w:t>sending an efficient price signal to a cohort of customers at a particular location; and</w:t>
      </w:r>
    </w:p>
    <w:p w:rsidR="00720EA6" w:rsidRDefault="00720EA6" w:rsidP="00722C30">
      <w:pPr>
        <w:pStyle w:val="Bulletedtext"/>
      </w:pPr>
      <w:proofErr w:type="gramStart"/>
      <w:r>
        <w:t>sending</w:t>
      </w:r>
      <w:proofErr w:type="gramEnd"/>
      <w:r>
        <w:t xml:space="preserve"> an inefficient price signal to other customers.</w:t>
      </w:r>
    </w:p>
    <w:p w:rsidR="009F534B" w:rsidRPr="00722C30" w:rsidRDefault="009F534B" w:rsidP="00BD7A0B">
      <w:pPr>
        <w:pStyle w:val="BodyText"/>
        <w:rPr>
          <w:rStyle w:val="AERbody"/>
        </w:rPr>
      </w:pPr>
      <w:r w:rsidRPr="00722C30">
        <w:rPr>
          <w:rStyle w:val="AERbody"/>
        </w:rPr>
        <w:t xml:space="preserve">Ausgrid considers that the 2pm to 8pm period strikes an </w:t>
      </w:r>
      <w:r w:rsidR="00720EA6" w:rsidRPr="00722C30">
        <w:rPr>
          <w:rStyle w:val="AERbody"/>
        </w:rPr>
        <w:t>appropriate</w:t>
      </w:r>
      <w:r w:rsidRPr="00722C30">
        <w:rPr>
          <w:rStyle w:val="AERbody"/>
        </w:rPr>
        <w:t xml:space="preserve"> balance between these </w:t>
      </w:r>
      <w:r w:rsidR="00720EA6" w:rsidRPr="00722C30">
        <w:rPr>
          <w:rStyle w:val="AERbody"/>
        </w:rPr>
        <w:t xml:space="preserve">factors, ie, it </w:t>
      </w:r>
      <w:r w:rsidRPr="00722C30">
        <w:rPr>
          <w:rStyle w:val="AERbody"/>
        </w:rPr>
        <w:t>encapsulates 75 per cent</w:t>
      </w:r>
      <w:r w:rsidR="00720EA6" w:rsidRPr="00722C30">
        <w:rPr>
          <w:rStyle w:val="AERbody"/>
        </w:rPr>
        <w:t xml:space="preserve"> of the period over which demand at each substation is within 5 per cent of its respective peak demand, as well as the timing of system-wide peak demand.</w:t>
      </w:r>
    </w:p>
    <w:p w:rsidR="00E00754" w:rsidRDefault="00720EA6">
      <w:pPr>
        <w:pStyle w:val="BodyText"/>
        <w:rPr>
          <w:rStyle w:val="AERbody"/>
        </w:rPr>
      </w:pPr>
      <w:r w:rsidRPr="00722C30">
        <w:rPr>
          <w:rStyle w:val="AERbody"/>
        </w:rPr>
        <w:t xml:space="preserve">Ausgrid is aware that </w:t>
      </w:r>
      <w:r w:rsidR="00F044B8" w:rsidRPr="00722C30">
        <w:rPr>
          <w:rStyle w:val="AERbody"/>
        </w:rPr>
        <w:t>a</w:t>
      </w:r>
      <w:r w:rsidR="00B26583" w:rsidRPr="00722C30">
        <w:rPr>
          <w:rStyle w:val="AERbody"/>
        </w:rPr>
        <w:t xml:space="preserve"> narrower</w:t>
      </w:r>
      <w:r w:rsidR="00F044B8" w:rsidRPr="00722C30">
        <w:rPr>
          <w:rStyle w:val="AERbody"/>
        </w:rPr>
        <w:t xml:space="preserve"> peak period </w:t>
      </w:r>
      <w:r w:rsidR="00B26583" w:rsidRPr="00722C30">
        <w:rPr>
          <w:rStyle w:val="AERbody"/>
        </w:rPr>
        <w:t xml:space="preserve">may better target peak demand </w:t>
      </w:r>
      <w:r w:rsidRPr="00722C30">
        <w:rPr>
          <w:rStyle w:val="AERbody"/>
        </w:rPr>
        <w:t xml:space="preserve">for </w:t>
      </w:r>
      <w:r w:rsidR="00B26583" w:rsidRPr="00722C30">
        <w:rPr>
          <w:rStyle w:val="AERbody"/>
        </w:rPr>
        <w:t xml:space="preserve">some elements of </w:t>
      </w:r>
      <w:r w:rsidRPr="00722C30">
        <w:rPr>
          <w:rStyle w:val="AERbody"/>
        </w:rPr>
        <w:t xml:space="preserve">our </w:t>
      </w:r>
      <w:r w:rsidR="00B26583" w:rsidRPr="00722C30">
        <w:rPr>
          <w:rStyle w:val="AERbody"/>
        </w:rPr>
        <w:t>network</w:t>
      </w:r>
      <w:r w:rsidRPr="00722C30">
        <w:rPr>
          <w:rStyle w:val="AERbody"/>
        </w:rPr>
        <w:t xml:space="preserve">. However, this </w:t>
      </w:r>
      <w:r w:rsidR="00B26583" w:rsidRPr="00722C30">
        <w:rPr>
          <w:rStyle w:val="AERbody"/>
        </w:rPr>
        <w:t>may risk exacerbating peak demand in other elements of the network</w:t>
      </w:r>
      <w:r w:rsidR="00F044B8" w:rsidRPr="00722C30">
        <w:rPr>
          <w:rStyle w:val="AERbody"/>
        </w:rPr>
        <w:t>, as illustrated in the case study</w:t>
      </w:r>
      <w:r w:rsidR="00025BDF">
        <w:rPr>
          <w:rStyle w:val="AERbody"/>
        </w:rPr>
        <w:t xml:space="preserve"> on the next page</w:t>
      </w:r>
      <w:r w:rsidR="00F044B8" w:rsidRPr="00722C30">
        <w:rPr>
          <w:rStyle w:val="AERbody"/>
        </w:rPr>
        <w:t>.</w:t>
      </w:r>
      <w:r w:rsidR="00E00754">
        <w:rPr>
          <w:rStyle w:val="AERbody"/>
        </w:rPr>
        <w:br w:type="page"/>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blLook w:val="04A0" w:firstRow="1" w:lastRow="0" w:firstColumn="1" w:lastColumn="0" w:noHBand="0" w:noVBand="1"/>
      </w:tblPr>
      <w:tblGrid>
        <w:gridCol w:w="9356"/>
      </w:tblGrid>
      <w:tr w:rsidR="00F044B8" w:rsidTr="00722C30">
        <w:trPr>
          <w:trHeight w:val="1266"/>
        </w:trPr>
        <w:tc>
          <w:tcPr>
            <w:tcW w:w="9356" w:type="dxa"/>
            <w:shd w:val="clear" w:color="auto" w:fill="C6D9F1"/>
          </w:tcPr>
          <w:p w:rsidR="00F044B8" w:rsidRPr="00722C30" w:rsidRDefault="00F044B8" w:rsidP="00644FDA">
            <w:pPr>
              <w:spacing w:before="120" w:after="120" w:line="240" w:lineRule="exact"/>
              <w:rPr>
                <w:b/>
                <w:color w:val="0065A6"/>
                <w:sz w:val="22"/>
                <w:szCs w:val="22"/>
              </w:rPr>
            </w:pPr>
            <w:r w:rsidRPr="00722C30">
              <w:rPr>
                <w:b/>
                <w:color w:val="0065A6"/>
                <w:sz w:val="22"/>
                <w:szCs w:val="22"/>
              </w:rPr>
              <w:lastRenderedPageBreak/>
              <w:t>Case Study – The risks of narrowing the summer peak period</w:t>
            </w:r>
          </w:p>
          <w:p w:rsidR="00F044B8" w:rsidRPr="00F93A72" w:rsidRDefault="00F044B8" w:rsidP="00BD7A0B">
            <w:pPr>
              <w:pStyle w:val="BodyText"/>
              <w:rPr>
                <w:rStyle w:val="AERbody"/>
                <w:color w:val="002060"/>
              </w:rPr>
            </w:pPr>
            <w:r w:rsidRPr="00F93A72">
              <w:rPr>
                <w:color w:val="002060"/>
              </w:rPr>
              <w:t>T</w:t>
            </w:r>
            <w:r w:rsidRPr="00F93A72">
              <w:rPr>
                <w:rStyle w:val="AERbody"/>
                <w:color w:val="002060"/>
              </w:rPr>
              <w:t xml:space="preserve">his case study highlights the </w:t>
            </w:r>
            <w:r w:rsidR="00B26583" w:rsidRPr="00F93A72">
              <w:rPr>
                <w:rStyle w:val="AERbody"/>
                <w:color w:val="002060"/>
              </w:rPr>
              <w:t>risk arising from too narrow</w:t>
            </w:r>
            <w:r w:rsidRPr="00F93A72">
              <w:rPr>
                <w:rStyle w:val="AERbody"/>
                <w:color w:val="002060"/>
              </w:rPr>
              <w:t xml:space="preserve"> </w:t>
            </w:r>
            <w:r w:rsidR="00B26583" w:rsidRPr="00F93A72">
              <w:rPr>
                <w:rStyle w:val="AERbody"/>
                <w:color w:val="002060"/>
              </w:rPr>
              <w:t xml:space="preserve">a </w:t>
            </w:r>
            <w:r w:rsidR="00720EA6" w:rsidRPr="00F93A72">
              <w:rPr>
                <w:rStyle w:val="AERbody"/>
                <w:color w:val="002060"/>
              </w:rPr>
              <w:t xml:space="preserve">definition of the </w:t>
            </w:r>
            <w:r w:rsidRPr="00F93A72">
              <w:rPr>
                <w:rStyle w:val="AERbody"/>
                <w:color w:val="002060"/>
              </w:rPr>
              <w:t xml:space="preserve">peak period in circumstances where there is considerable diversity in load profiles. </w:t>
            </w:r>
          </w:p>
          <w:p w:rsidR="00F044B8" w:rsidRPr="00F93A72" w:rsidRDefault="00DC1D33" w:rsidP="007D0321">
            <w:pPr>
              <w:pStyle w:val="BodyText"/>
              <w:rPr>
                <w:rStyle w:val="AERbody"/>
                <w:color w:val="002060"/>
              </w:rPr>
            </w:pPr>
            <w:r w:rsidRPr="00F93A72">
              <w:rPr>
                <w:rStyle w:val="AERbody"/>
                <w:color w:val="002060"/>
              </w:rPr>
              <w:t>T</w:t>
            </w:r>
            <w:r w:rsidR="00F044B8" w:rsidRPr="00F93A72">
              <w:rPr>
                <w:rStyle w:val="AERbody"/>
                <w:color w:val="002060"/>
              </w:rPr>
              <w:t xml:space="preserve">he Chatswood and Jannali substations used in this case study are, respectively, representative of substations serving a mix of residential/business customers and primarily residential customers. </w:t>
            </w:r>
            <w:r w:rsidRPr="00F93A72">
              <w:rPr>
                <w:rStyle w:val="AERbody"/>
                <w:color w:val="002060"/>
              </w:rPr>
              <w:t>A</w:t>
            </w:r>
            <w:r w:rsidR="00F044B8" w:rsidRPr="00F93A72">
              <w:rPr>
                <w:rStyle w:val="AERbody"/>
                <w:color w:val="002060"/>
              </w:rPr>
              <w:t xml:space="preserve">pproximately 45 per cent of Ausgrid’s substations </w:t>
            </w:r>
            <w:r w:rsidR="00720EA6" w:rsidRPr="00F93A72">
              <w:rPr>
                <w:rStyle w:val="AERbody"/>
                <w:color w:val="002060"/>
              </w:rPr>
              <w:t xml:space="preserve">comprise </w:t>
            </w:r>
            <w:r w:rsidRPr="00F93A72">
              <w:rPr>
                <w:rStyle w:val="AERbody"/>
                <w:color w:val="002060"/>
              </w:rPr>
              <w:t xml:space="preserve">a </w:t>
            </w:r>
            <w:r w:rsidR="00F044B8" w:rsidRPr="00F93A72">
              <w:rPr>
                <w:rStyle w:val="AERbody"/>
                <w:color w:val="002060"/>
              </w:rPr>
              <w:t xml:space="preserve">mixture of residential and business </w:t>
            </w:r>
            <w:r w:rsidR="00720EA6" w:rsidRPr="00F93A72">
              <w:rPr>
                <w:rStyle w:val="AERbody"/>
                <w:color w:val="002060"/>
              </w:rPr>
              <w:t xml:space="preserve">load </w:t>
            </w:r>
            <w:r w:rsidR="00F044B8" w:rsidRPr="00F93A72">
              <w:rPr>
                <w:rStyle w:val="AERbody"/>
                <w:color w:val="002060"/>
              </w:rPr>
              <w:t xml:space="preserve">and approximately 23 per cent </w:t>
            </w:r>
            <w:r w:rsidR="00720EA6" w:rsidRPr="00F93A72">
              <w:rPr>
                <w:rStyle w:val="AERbody"/>
                <w:color w:val="002060"/>
              </w:rPr>
              <w:t xml:space="preserve">serve </w:t>
            </w:r>
            <w:r w:rsidR="00F044B8" w:rsidRPr="00F93A72">
              <w:rPr>
                <w:rStyle w:val="AERbody"/>
                <w:color w:val="002060"/>
              </w:rPr>
              <w:t xml:space="preserve">primarily residential </w:t>
            </w:r>
            <w:r w:rsidR="00720EA6" w:rsidRPr="00F93A72">
              <w:rPr>
                <w:rStyle w:val="AERbody"/>
                <w:color w:val="002060"/>
              </w:rPr>
              <w:t>load</w:t>
            </w:r>
            <w:r w:rsidR="00F044B8" w:rsidRPr="00F93A72">
              <w:rPr>
                <w:rStyle w:val="AERbody"/>
                <w:color w:val="002060"/>
              </w:rPr>
              <w:t>.</w:t>
            </w:r>
            <w:r w:rsidR="00F044B8" w:rsidRPr="00025BDF">
              <w:rPr>
                <w:rStyle w:val="AERbody"/>
                <w:color w:val="002060"/>
                <w:vertAlign w:val="superscript"/>
              </w:rPr>
              <w:footnoteReference w:id="23"/>
            </w:r>
            <w:r w:rsidR="00F044B8" w:rsidRPr="00025BDF">
              <w:rPr>
                <w:rStyle w:val="AERbody"/>
                <w:color w:val="002060"/>
                <w:vertAlign w:val="superscript"/>
              </w:rPr>
              <w:t xml:space="preserve"> </w:t>
            </w:r>
            <w:r w:rsidR="00F044B8" w:rsidRPr="00F93A72">
              <w:rPr>
                <w:rStyle w:val="AERbody"/>
                <w:color w:val="002060"/>
              </w:rPr>
              <w:t>It follows that the inferences drawn from this case study are material in the context of Ausgrid’s network.</w:t>
            </w:r>
          </w:p>
          <w:p w:rsidR="00F044B8" w:rsidRPr="00F93A72" w:rsidRDefault="00F044B8">
            <w:pPr>
              <w:pStyle w:val="BodyText"/>
              <w:rPr>
                <w:rStyle w:val="AERbody"/>
                <w:rFonts w:cs="Times New Roman"/>
                <w:noProof w:val="0"/>
                <w:color w:val="002060"/>
                <w:szCs w:val="24"/>
                <w:lang w:val="en-US" w:eastAsia="en-US"/>
              </w:rPr>
            </w:pPr>
            <w:r w:rsidRPr="00F93A72">
              <w:rPr>
                <w:rStyle w:val="AERbody"/>
                <w:color w:val="002060"/>
              </w:rPr>
              <w:t>The load profile of the Chatswood and Jannali substations on the peak summer day in 2015/16 is presented below.</w:t>
            </w:r>
          </w:p>
          <w:p w:rsidR="00F044B8" w:rsidRPr="00030C1A" w:rsidRDefault="00F044B8" w:rsidP="00722C30">
            <w:pPr>
              <w:pStyle w:val="Caption"/>
            </w:pPr>
            <w:r w:rsidRPr="004E3295">
              <w:rPr>
                <w:noProof/>
              </w:rPr>
              <w:drawing>
                <wp:inline distT="0" distB="0" distL="0" distR="0" wp14:anchorId="788E30F9" wp14:editId="03E2E49F">
                  <wp:extent cx="5095875" cy="332398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03705" cy="3329091"/>
                          </a:xfrm>
                          <a:prstGeom prst="rect">
                            <a:avLst/>
                          </a:prstGeom>
                          <a:noFill/>
                          <a:ln>
                            <a:noFill/>
                          </a:ln>
                        </pic:spPr>
                      </pic:pic>
                    </a:graphicData>
                  </a:graphic>
                </wp:inline>
              </w:drawing>
            </w:r>
          </w:p>
          <w:p w:rsidR="00F044B8" w:rsidRPr="00F93A72" w:rsidRDefault="00F044B8" w:rsidP="00BD7A0B">
            <w:pPr>
              <w:pStyle w:val="BodyText"/>
              <w:rPr>
                <w:rStyle w:val="AERbody"/>
                <w:color w:val="002060"/>
              </w:rPr>
            </w:pPr>
            <w:r w:rsidRPr="00F93A72">
              <w:rPr>
                <w:rStyle w:val="AERbody"/>
                <w:color w:val="002060"/>
              </w:rPr>
              <w:t xml:space="preserve">The Chatswood substation serves a mix of residential and business customers and, on its peak summer day in 2015/16, its load profile was above the 95 per cent level from 1.30pm to 5.30pm – which could be said to support a peak period covering the same period. </w:t>
            </w:r>
          </w:p>
          <w:p w:rsidR="00B26583" w:rsidRPr="00F93A72" w:rsidRDefault="00F044B8" w:rsidP="007D0321">
            <w:pPr>
              <w:pStyle w:val="BodyText"/>
              <w:rPr>
                <w:rStyle w:val="AERbody"/>
                <w:color w:val="002060"/>
              </w:rPr>
            </w:pPr>
            <w:r w:rsidRPr="00F93A72">
              <w:rPr>
                <w:rStyle w:val="AERbody"/>
                <w:color w:val="002060"/>
              </w:rPr>
              <w:t xml:space="preserve">However, a peak period finishing at 5.30pm may exacerbate peak demand </w:t>
            </w:r>
            <w:r w:rsidR="00B26583" w:rsidRPr="00F93A72">
              <w:rPr>
                <w:rStyle w:val="AERbody"/>
                <w:color w:val="002060"/>
              </w:rPr>
              <w:t>in other elements of the network, namely at zone-</w:t>
            </w:r>
            <w:r w:rsidRPr="00F93A72">
              <w:rPr>
                <w:rStyle w:val="AERbody"/>
                <w:color w:val="002060"/>
              </w:rPr>
              <w:t xml:space="preserve">substations serving primarily residential customers. </w:t>
            </w:r>
            <w:r w:rsidR="00720EA6" w:rsidRPr="00F93A72">
              <w:rPr>
                <w:rStyle w:val="AERbody"/>
                <w:color w:val="002060"/>
              </w:rPr>
              <w:t>T</w:t>
            </w:r>
            <w:r w:rsidRPr="00F93A72">
              <w:rPr>
                <w:rStyle w:val="AERbody"/>
                <w:color w:val="002060"/>
              </w:rPr>
              <w:t>he Jannali substation serves primarily re</w:t>
            </w:r>
            <w:r w:rsidR="00B26583" w:rsidRPr="00F93A72">
              <w:rPr>
                <w:rStyle w:val="AERbody"/>
                <w:color w:val="002060"/>
              </w:rPr>
              <w:t>sidential customers (87 per cent of load is from residential customers</w:t>
            </w:r>
            <w:r w:rsidRPr="00F93A72">
              <w:rPr>
                <w:rStyle w:val="AERbody"/>
                <w:color w:val="002060"/>
              </w:rPr>
              <w:t xml:space="preserve">) and, on its peak day in 2015/16, </w:t>
            </w:r>
            <w:r w:rsidR="00B26583" w:rsidRPr="00F93A72">
              <w:rPr>
                <w:rStyle w:val="AERbody"/>
                <w:color w:val="002060"/>
              </w:rPr>
              <w:t>the</w:t>
            </w:r>
            <w:r w:rsidRPr="00F93A72">
              <w:rPr>
                <w:rStyle w:val="AERbody"/>
                <w:color w:val="002060"/>
              </w:rPr>
              <w:t xml:space="preserve"> load profile </w:t>
            </w:r>
            <w:r w:rsidR="00B26583" w:rsidRPr="00F93A72">
              <w:rPr>
                <w:rStyle w:val="AERbody"/>
                <w:color w:val="002060"/>
              </w:rPr>
              <w:t xml:space="preserve">for Jannali </w:t>
            </w:r>
            <w:r w:rsidRPr="00F93A72">
              <w:rPr>
                <w:rStyle w:val="AERbody"/>
                <w:color w:val="002060"/>
              </w:rPr>
              <w:t xml:space="preserve">was above </w:t>
            </w:r>
            <w:r w:rsidR="00B26583" w:rsidRPr="00F93A72">
              <w:rPr>
                <w:rStyle w:val="AERbody"/>
                <w:color w:val="002060"/>
              </w:rPr>
              <w:t>the 95 per cent level from 5.45</w:t>
            </w:r>
            <w:r w:rsidRPr="00F93A72">
              <w:rPr>
                <w:rStyle w:val="AERbody"/>
                <w:color w:val="002060"/>
              </w:rPr>
              <w:t xml:space="preserve">pm to 8.15pm. </w:t>
            </w:r>
          </w:p>
          <w:p w:rsidR="00F044B8" w:rsidRPr="00F93A72" w:rsidRDefault="00F044B8">
            <w:pPr>
              <w:pStyle w:val="BodyText"/>
              <w:rPr>
                <w:rStyle w:val="AERbody"/>
                <w:color w:val="002060"/>
              </w:rPr>
            </w:pPr>
            <w:r w:rsidRPr="00F93A72">
              <w:rPr>
                <w:rStyle w:val="AERbody"/>
                <w:color w:val="002060"/>
              </w:rPr>
              <w:t xml:space="preserve">Therefore, a peak period </w:t>
            </w:r>
            <w:r w:rsidR="00B26583" w:rsidRPr="00F93A72">
              <w:rPr>
                <w:rStyle w:val="AERbody"/>
                <w:color w:val="002060"/>
              </w:rPr>
              <w:t>finishing</w:t>
            </w:r>
            <w:r w:rsidRPr="00F93A72">
              <w:rPr>
                <w:rStyle w:val="AERbody"/>
                <w:color w:val="002060"/>
              </w:rPr>
              <w:t xml:space="preserve"> around 5pm </w:t>
            </w:r>
            <w:r w:rsidR="00B26583" w:rsidRPr="00F93A72">
              <w:rPr>
                <w:rStyle w:val="AERbody"/>
                <w:color w:val="002060"/>
              </w:rPr>
              <w:t xml:space="preserve">– while potentially appropriate for some elements of the network – </w:t>
            </w:r>
            <w:r w:rsidRPr="00F93A72">
              <w:rPr>
                <w:rStyle w:val="AERbody"/>
                <w:color w:val="002060"/>
              </w:rPr>
              <w:t>would exacerbate peak demand at substations serving primarily residential customers, ie, as these residential customers shift demand into the period after 5pm – which is the period of their actual peak demand.</w:t>
            </w:r>
          </w:p>
          <w:p w:rsidR="008725DF" w:rsidRDefault="008725DF">
            <w:pPr>
              <w:pStyle w:val="BodyText"/>
              <w:rPr>
                <w:rStyle w:val="AERbody"/>
              </w:rPr>
            </w:pPr>
          </w:p>
          <w:p w:rsidR="008725DF" w:rsidRDefault="008725DF">
            <w:pPr>
              <w:pStyle w:val="BodyText"/>
              <w:rPr>
                <w:rStyle w:val="AERbody"/>
              </w:rPr>
            </w:pPr>
          </w:p>
          <w:p w:rsidR="00490DAD" w:rsidRPr="00F93A72" w:rsidRDefault="00490DAD">
            <w:pPr>
              <w:pStyle w:val="BodyText"/>
              <w:rPr>
                <w:rStyle w:val="AERbody"/>
                <w:color w:val="002060"/>
              </w:rPr>
            </w:pPr>
          </w:p>
          <w:p w:rsidR="00F044B8" w:rsidRPr="00F93A72" w:rsidRDefault="00F044B8">
            <w:pPr>
              <w:pStyle w:val="BodyText"/>
              <w:rPr>
                <w:rStyle w:val="AERbody"/>
                <w:color w:val="002060"/>
              </w:rPr>
            </w:pPr>
            <w:r w:rsidRPr="00F93A72">
              <w:rPr>
                <w:rStyle w:val="AERbody"/>
                <w:color w:val="002060"/>
              </w:rPr>
              <w:t xml:space="preserve">It is clear that, in these circumstances, the peak period must be defined so as to encapsulate the </w:t>
            </w:r>
            <w:r w:rsidR="00720EA6" w:rsidRPr="00F93A72">
              <w:rPr>
                <w:rStyle w:val="AERbody"/>
                <w:color w:val="002060"/>
              </w:rPr>
              <w:t xml:space="preserve">diversity in </w:t>
            </w:r>
            <w:r w:rsidRPr="00F93A72">
              <w:rPr>
                <w:rStyle w:val="AERbody"/>
                <w:color w:val="002060"/>
              </w:rPr>
              <w:t>peak demand across the network. Of course, this is a second best solution that</w:t>
            </w:r>
            <w:r w:rsidR="00720EA6" w:rsidRPr="00F93A72">
              <w:rPr>
                <w:rStyle w:val="AERbody"/>
                <w:color w:val="002060"/>
              </w:rPr>
              <w:t xml:space="preserve"> somewhat </w:t>
            </w:r>
            <w:r w:rsidR="00B26583" w:rsidRPr="00F93A72">
              <w:rPr>
                <w:rStyle w:val="AERbody"/>
                <w:color w:val="002060"/>
              </w:rPr>
              <w:t>weakens</w:t>
            </w:r>
            <w:r w:rsidRPr="00F93A72">
              <w:rPr>
                <w:rStyle w:val="AERbody"/>
                <w:color w:val="002060"/>
              </w:rPr>
              <w:t xml:space="preserve"> the peak price signal, however, the consequences of the alternative are severe, ie, exacerbating peak demand </w:t>
            </w:r>
            <w:r w:rsidR="009E12D0" w:rsidRPr="00F93A72">
              <w:rPr>
                <w:rStyle w:val="AERbody"/>
                <w:color w:val="002060"/>
              </w:rPr>
              <w:t>for</w:t>
            </w:r>
            <w:r w:rsidR="00B26583" w:rsidRPr="00F93A72">
              <w:rPr>
                <w:rStyle w:val="AERbody"/>
                <w:color w:val="002060"/>
              </w:rPr>
              <w:t xml:space="preserve"> some elements of the network</w:t>
            </w:r>
            <w:r w:rsidRPr="00F93A72">
              <w:rPr>
                <w:rStyle w:val="AERbody"/>
                <w:color w:val="002060"/>
              </w:rPr>
              <w:t xml:space="preserve">. </w:t>
            </w:r>
          </w:p>
          <w:p w:rsidR="00F044B8" w:rsidRPr="00F93A72" w:rsidRDefault="00F044B8">
            <w:pPr>
              <w:pStyle w:val="BodyText"/>
              <w:rPr>
                <w:rStyle w:val="AERbody"/>
                <w:color w:val="002060"/>
              </w:rPr>
            </w:pPr>
            <w:r w:rsidRPr="00F93A72">
              <w:rPr>
                <w:rStyle w:val="AERbody"/>
                <w:color w:val="002060"/>
              </w:rPr>
              <w:t>It foll</w:t>
            </w:r>
            <w:r w:rsidRPr="00F93A72">
              <w:rPr>
                <w:color w:val="002060"/>
              </w:rPr>
              <w:t>ows that, in these circumstances a DNSP must exercise its discretion and best judg</w:t>
            </w:r>
            <w:r w:rsidR="002375DC" w:rsidRPr="00F93A72">
              <w:rPr>
                <w:color w:val="002060"/>
              </w:rPr>
              <w:t>e</w:t>
            </w:r>
            <w:r w:rsidRPr="00F93A72">
              <w:rPr>
                <w:color w:val="002060"/>
              </w:rPr>
              <w:t xml:space="preserve">ment </w:t>
            </w:r>
            <w:r w:rsidR="00720EA6" w:rsidRPr="00F93A72">
              <w:rPr>
                <w:color w:val="002060"/>
              </w:rPr>
              <w:t xml:space="preserve">so as </w:t>
            </w:r>
            <w:r w:rsidRPr="00F93A72">
              <w:rPr>
                <w:color w:val="002060"/>
              </w:rPr>
              <w:t>to strike</w:t>
            </w:r>
            <w:r w:rsidRPr="00F93A72">
              <w:rPr>
                <w:rStyle w:val="AERbody"/>
                <w:color w:val="002060"/>
              </w:rPr>
              <w:t xml:space="preserve"> a balance between:</w:t>
            </w:r>
          </w:p>
          <w:p w:rsidR="00F044B8" w:rsidRPr="00D368EF" w:rsidRDefault="00F044B8" w:rsidP="00722C30">
            <w:pPr>
              <w:pStyle w:val="Bulletedtext"/>
              <w:rPr>
                <w:color w:val="002060"/>
                <w:sz w:val="22"/>
              </w:rPr>
            </w:pPr>
            <w:r w:rsidRPr="00D368EF">
              <w:rPr>
                <w:color w:val="002060"/>
                <w:sz w:val="20"/>
              </w:rPr>
              <w:t xml:space="preserve">broadening the peak period to account for diversity </w:t>
            </w:r>
            <w:r w:rsidR="00720EA6" w:rsidRPr="00D368EF">
              <w:rPr>
                <w:color w:val="002060"/>
                <w:sz w:val="20"/>
              </w:rPr>
              <w:t xml:space="preserve">in load </w:t>
            </w:r>
            <w:r w:rsidRPr="00D368EF">
              <w:rPr>
                <w:color w:val="002060"/>
                <w:sz w:val="20"/>
              </w:rPr>
              <w:t>across its network; and</w:t>
            </w:r>
          </w:p>
          <w:p w:rsidR="00F044B8" w:rsidRPr="00D368EF" w:rsidRDefault="00F044B8" w:rsidP="00722C30">
            <w:pPr>
              <w:pStyle w:val="Bulletedtext"/>
              <w:rPr>
                <w:color w:val="002060"/>
                <w:sz w:val="22"/>
              </w:rPr>
            </w:pPr>
            <w:proofErr w:type="gramStart"/>
            <w:r w:rsidRPr="00D368EF">
              <w:rPr>
                <w:color w:val="002060"/>
                <w:sz w:val="20"/>
              </w:rPr>
              <w:t>the</w:t>
            </w:r>
            <w:proofErr w:type="gramEnd"/>
            <w:r w:rsidRPr="00D368EF">
              <w:rPr>
                <w:color w:val="002060"/>
                <w:sz w:val="20"/>
              </w:rPr>
              <w:t xml:space="preserve"> cost and efficiency implications of a narrow</w:t>
            </w:r>
            <w:r w:rsidR="00720EA6" w:rsidRPr="00D368EF">
              <w:rPr>
                <w:color w:val="002060"/>
                <w:sz w:val="20"/>
              </w:rPr>
              <w:t>ly defined</w:t>
            </w:r>
            <w:r w:rsidRPr="00D368EF">
              <w:rPr>
                <w:color w:val="002060"/>
                <w:sz w:val="20"/>
              </w:rPr>
              <w:t xml:space="preserve"> peak period exacerbating peak demand </w:t>
            </w:r>
            <w:r w:rsidR="00720EA6" w:rsidRPr="00D368EF">
              <w:rPr>
                <w:color w:val="002060"/>
                <w:sz w:val="20"/>
              </w:rPr>
              <w:t xml:space="preserve">for </w:t>
            </w:r>
            <w:r w:rsidRPr="00D368EF">
              <w:rPr>
                <w:color w:val="002060"/>
                <w:sz w:val="20"/>
              </w:rPr>
              <w:t>some elements of its network.</w:t>
            </w:r>
          </w:p>
          <w:p w:rsidR="00F044B8" w:rsidRPr="00F93A72" w:rsidRDefault="00720EA6" w:rsidP="00BD7A0B">
            <w:pPr>
              <w:pStyle w:val="BodyText"/>
              <w:rPr>
                <w:rStyle w:val="AERbody"/>
                <w:color w:val="002060"/>
              </w:rPr>
            </w:pPr>
            <w:r w:rsidRPr="00F93A72">
              <w:rPr>
                <w:rStyle w:val="AERbody"/>
                <w:color w:val="002060"/>
              </w:rPr>
              <w:t>To summarise</w:t>
            </w:r>
            <w:r w:rsidR="00F044B8" w:rsidRPr="00F93A72">
              <w:rPr>
                <w:rStyle w:val="AERbody"/>
                <w:color w:val="002060"/>
              </w:rPr>
              <w:t xml:space="preserve">, this case study highlights the importance of a peak period of sufficient length to encapsulate the peaks in demand across the network. Importantly, it also </w:t>
            </w:r>
            <w:r w:rsidR="008A5CCB" w:rsidRPr="00F93A72">
              <w:rPr>
                <w:rStyle w:val="AERbody"/>
                <w:color w:val="002060"/>
              </w:rPr>
              <w:t xml:space="preserve">lends </w:t>
            </w:r>
            <w:r w:rsidR="00F044B8" w:rsidRPr="00F93A72">
              <w:rPr>
                <w:rStyle w:val="AERbody"/>
                <w:color w:val="002060"/>
              </w:rPr>
              <w:t xml:space="preserve">support </w:t>
            </w:r>
            <w:r w:rsidR="008A5CCB" w:rsidRPr="00F93A72">
              <w:rPr>
                <w:rStyle w:val="AERbody"/>
                <w:color w:val="002060"/>
              </w:rPr>
              <w:t xml:space="preserve">to </w:t>
            </w:r>
            <w:r w:rsidR="00DC1D33" w:rsidRPr="00F93A72">
              <w:rPr>
                <w:rStyle w:val="AERbody"/>
                <w:color w:val="002060"/>
              </w:rPr>
              <w:t xml:space="preserve">the current </w:t>
            </w:r>
            <w:r w:rsidR="008A5CCB" w:rsidRPr="00F93A72">
              <w:rPr>
                <w:rStyle w:val="AERbody"/>
                <w:color w:val="002060"/>
              </w:rPr>
              <w:t xml:space="preserve">2pm to 8pm definition of the </w:t>
            </w:r>
            <w:r w:rsidR="00F044B8" w:rsidRPr="00F93A72">
              <w:rPr>
                <w:rStyle w:val="AERbody"/>
                <w:color w:val="002060"/>
              </w:rPr>
              <w:t>peak period in summer, which covers the peak demand at substations serving primarily residential customers and those serving a mix of residential and business customers</w:t>
            </w:r>
            <w:r w:rsidR="008A5CCB" w:rsidRPr="00F93A72">
              <w:rPr>
                <w:rStyle w:val="AERbody"/>
                <w:color w:val="002060"/>
              </w:rPr>
              <w:t xml:space="preserve"> (starting at approximately 2pm at the Chatswood substation and ending at approximately 8pm at the Jannali substation)</w:t>
            </w:r>
            <w:r w:rsidR="00F044B8" w:rsidRPr="00F93A72">
              <w:rPr>
                <w:rStyle w:val="AERbody"/>
                <w:color w:val="002060"/>
              </w:rPr>
              <w:t>.</w:t>
            </w:r>
          </w:p>
          <w:p w:rsidR="00E00754" w:rsidRDefault="00F044B8" w:rsidP="00081DCC">
            <w:pPr>
              <w:pStyle w:val="BodyText"/>
              <w:rPr>
                <w:rStyle w:val="AERbody"/>
              </w:rPr>
            </w:pPr>
            <w:r w:rsidRPr="00F93A72">
              <w:rPr>
                <w:rStyle w:val="AERbody"/>
                <w:color w:val="002060"/>
              </w:rPr>
              <w:t>The relevant load profile and key statistics for the Jannali and Chatswood substations on the peak summer day in 2015/16 are illustrated below.</w:t>
            </w:r>
          </w:p>
          <w:tbl>
            <w:tblPr>
              <w:tblW w:w="7846" w:type="dxa"/>
              <w:tblInd w:w="885" w:type="dxa"/>
              <w:tblBorders>
                <w:insideH w:val="single" w:sz="4" w:space="0" w:color="FFFFFF" w:themeColor="background1"/>
                <w:insideV w:val="single" w:sz="4" w:space="0" w:color="FFFFFF" w:themeColor="background1"/>
              </w:tblBorders>
              <w:tblCellMar>
                <w:top w:w="85" w:type="dxa"/>
                <w:bottom w:w="57" w:type="dxa"/>
              </w:tblCellMar>
              <w:tblLook w:val="04A0" w:firstRow="1" w:lastRow="0" w:firstColumn="1" w:lastColumn="0" w:noHBand="0" w:noVBand="1"/>
            </w:tblPr>
            <w:tblGrid>
              <w:gridCol w:w="3260"/>
              <w:gridCol w:w="2120"/>
              <w:gridCol w:w="2466"/>
            </w:tblGrid>
            <w:tr w:rsidR="00E00754" w:rsidRPr="00030C1A" w:rsidTr="00722C30">
              <w:trPr>
                <w:trHeight w:val="205"/>
              </w:trPr>
              <w:tc>
                <w:tcPr>
                  <w:tcW w:w="3260" w:type="dxa"/>
                  <w:shd w:val="clear" w:color="auto" w:fill="0065A6"/>
                </w:tcPr>
                <w:p w:rsidR="00E00754" w:rsidRPr="00722C30" w:rsidRDefault="00E00754" w:rsidP="008468BC">
                  <w:pPr>
                    <w:spacing w:after="40"/>
                    <w:rPr>
                      <w:b/>
                      <w:color w:val="FFFFFF" w:themeColor="background1"/>
                      <w:szCs w:val="18"/>
                    </w:rPr>
                  </w:pPr>
                  <w:r w:rsidRPr="00722C30">
                    <w:rPr>
                      <w:b/>
                      <w:color w:val="FFFFFF" w:themeColor="background1"/>
                      <w:szCs w:val="18"/>
                    </w:rPr>
                    <w:t>Zone Substation</w:t>
                  </w:r>
                </w:p>
              </w:tc>
              <w:tc>
                <w:tcPr>
                  <w:tcW w:w="2120" w:type="dxa"/>
                  <w:shd w:val="clear" w:color="auto" w:fill="0065A6"/>
                </w:tcPr>
                <w:p w:rsidR="00E00754" w:rsidRPr="00722C30" w:rsidRDefault="00E00754" w:rsidP="008468BC">
                  <w:pPr>
                    <w:spacing w:after="40"/>
                    <w:jc w:val="center"/>
                    <w:rPr>
                      <w:b/>
                      <w:color w:val="FFFFFF" w:themeColor="background1"/>
                      <w:szCs w:val="18"/>
                    </w:rPr>
                  </w:pPr>
                  <w:proofErr w:type="spellStart"/>
                  <w:r w:rsidRPr="00722C30">
                    <w:rPr>
                      <w:b/>
                      <w:color w:val="FFFFFF" w:themeColor="background1"/>
                      <w:szCs w:val="18"/>
                    </w:rPr>
                    <w:t>Chatswood</w:t>
                  </w:r>
                  <w:proofErr w:type="spellEnd"/>
                </w:p>
              </w:tc>
              <w:tc>
                <w:tcPr>
                  <w:tcW w:w="2466" w:type="dxa"/>
                  <w:shd w:val="clear" w:color="auto" w:fill="0065A6"/>
                </w:tcPr>
                <w:p w:rsidR="00E00754" w:rsidRPr="00722C30" w:rsidRDefault="00E00754" w:rsidP="008468BC">
                  <w:pPr>
                    <w:spacing w:after="40"/>
                    <w:jc w:val="center"/>
                    <w:rPr>
                      <w:b/>
                      <w:color w:val="FFFFFF" w:themeColor="background1"/>
                      <w:szCs w:val="18"/>
                    </w:rPr>
                  </w:pPr>
                  <w:proofErr w:type="spellStart"/>
                  <w:r w:rsidRPr="00722C30">
                    <w:rPr>
                      <w:b/>
                      <w:color w:val="FFFFFF" w:themeColor="background1"/>
                      <w:szCs w:val="18"/>
                    </w:rPr>
                    <w:t>Jannali</w:t>
                  </w:r>
                  <w:proofErr w:type="spellEnd"/>
                </w:p>
              </w:tc>
            </w:tr>
            <w:tr w:rsidR="00E00754" w:rsidRPr="00030C1A" w:rsidTr="00722C30">
              <w:trPr>
                <w:trHeight w:val="197"/>
              </w:trPr>
              <w:tc>
                <w:tcPr>
                  <w:tcW w:w="3260" w:type="dxa"/>
                  <w:shd w:val="clear" w:color="auto" w:fill="DEEAF6"/>
                </w:tcPr>
                <w:p w:rsidR="00E00754" w:rsidRPr="00722C30" w:rsidRDefault="00E00754" w:rsidP="008468BC">
                  <w:pPr>
                    <w:spacing w:before="40" w:after="40"/>
                    <w:rPr>
                      <w:szCs w:val="18"/>
                    </w:rPr>
                  </w:pPr>
                  <w:r w:rsidRPr="00722C30">
                    <w:rPr>
                      <w:szCs w:val="18"/>
                    </w:rPr>
                    <w:t>Residential - % of annual load</w:t>
                  </w:r>
                </w:p>
              </w:tc>
              <w:tc>
                <w:tcPr>
                  <w:tcW w:w="2120" w:type="dxa"/>
                  <w:shd w:val="clear" w:color="auto" w:fill="DEEAF6"/>
                </w:tcPr>
                <w:p w:rsidR="00E00754" w:rsidRPr="00722C30" w:rsidRDefault="00E00754" w:rsidP="008468BC">
                  <w:pPr>
                    <w:spacing w:before="40" w:after="40"/>
                    <w:jc w:val="center"/>
                    <w:rPr>
                      <w:szCs w:val="18"/>
                    </w:rPr>
                  </w:pPr>
                  <w:r w:rsidRPr="00722C30">
                    <w:rPr>
                      <w:szCs w:val="18"/>
                    </w:rPr>
                    <w:t>45%</w:t>
                  </w:r>
                </w:p>
              </w:tc>
              <w:tc>
                <w:tcPr>
                  <w:tcW w:w="2466" w:type="dxa"/>
                  <w:shd w:val="clear" w:color="auto" w:fill="DEEAF6"/>
                </w:tcPr>
                <w:p w:rsidR="00E00754" w:rsidRPr="00722C30" w:rsidRDefault="00E00754" w:rsidP="008468BC">
                  <w:pPr>
                    <w:spacing w:before="40" w:after="40"/>
                    <w:jc w:val="center"/>
                    <w:rPr>
                      <w:szCs w:val="18"/>
                    </w:rPr>
                  </w:pPr>
                  <w:r w:rsidRPr="00722C30">
                    <w:rPr>
                      <w:szCs w:val="18"/>
                    </w:rPr>
                    <w:t>87%</w:t>
                  </w:r>
                </w:p>
              </w:tc>
            </w:tr>
            <w:tr w:rsidR="00E00754" w:rsidRPr="00030C1A" w:rsidTr="00722C30">
              <w:trPr>
                <w:trHeight w:val="369"/>
              </w:trPr>
              <w:tc>
                <w:tcPr>
                  <w:tcW w:w="3260" w:type="dxa"/>
                  <w:shd w:val="clear" w:color="auto" w:fill="DEEAF6"/>
                </w:tcPr>
                <w:p w:rsidR="00E00754" w:rsidRPr="00722C30" w:rsidRDefault="00E00754" w:rsidP="008468BC">
                  <w:pPr>
                    <w:spacing w:before="40" w:after="40"/>
                    <w:rPr>
                      <w:szCs w:val="18"/>
                    </w:rPr>
                  </w:pPr>
                  <w:r w:rsidRPr="00722C30">
                    <w:rPr>
                      <w:szCs w:val="18"/>
                    </w:rPr>
                    <w:t>Business - % of annual load</w:t>
                  </w:r>
                </w:p>
              </w:tc>
              <w:tc>
                <w:tcPr>
                  <w:tcW w:w="2120" w:type="dxa"/>
                  <w:shd w:val="clear" w:color="auto" w:fill="DEEAF6"/>
                </w:tcPr>
                <w:p w:rsidR="00E00754" w:rsidRPr="00722C30" w:rsidRDefault="00E00754" w:rsidP="008468BC">
                  <w:pPr>
                    <w:spacing w:before="40" w:after="40"/>
                    <w:jc w:val="center"/>
                    <w:rPr>
                      <w:szCs w:val="18"/>
                    </w:rPr>
                  </w:pPr>
                  <w:r w:rsidRPr="00722C30">
                    <w:rPr>
                      <w:szCs w:val="18"/>
                    </w:rPr>
                    <w:t>55%</w:t>
                  </w:r>
                </w:p>
              </w:tc>
              <w:tc>
                <w:tcPr>
                  <w:tcW w:w="2466" w:type="dxa"/>
                  <w:shd w:val="clear" w:color="auto" w:fill="DEEAF6"/>
                </w:tcPr>
                <w:p w:rsidR="00E00754" w:rsidRPr="00722C30" w:rsidRDefault="00E00754" w:rsidP="008468BC">
                  <w:pPr>
                    <w:spacing w:before="40" w:after="40"/>
                    <w:jc w:val="center"/>
                    <w:rPr>
                      <w:szCs w:val="18"/>
                    </w:rPr>
                  </w:pPr>
                  <w:r w:rsidRPr="00722C30">
                    <w:rPr>
                      <w:szCs w:val="18"/>
                    </w:rPr>
                    <w:t>13%</w:t>
                  </w:r>
                </w:p>
              </w:tc>
            </w:tr>
            <w:tr w:rsidR="00E00754" w:rsidRPr="00030C1A" w:rsidTr="00722C30">
              <w:trPr>
                <w:trHeight w:val="205"/>
              </w:trPr>
              <w:tc>
                <w:tcPr>
                  <w:tcW w:w="3260" w:type="dxa"/>
                  <w:shd w:val="clear" w:color="auto" w:fill="DEEAF6"/>
                </w:tcPr>
                <w:p w:rsidR="00E00754" w:rsidRPr="00722C30" w:rsidRDefault="00E00754" w:rsidP="008468BC">
                  <w:pPr>
                    <w:spacing w:before="40" w:after="40"/>
                    <w:rPr>
                      <w:szCs w:val="18"/>
                    </w:rPr>
                  </w:pPr>
                  <w:r w:rsidRPr="00722C30">
                    <w:rPr>
                      <w:szCs w:val="18"/>
                    </w:rPr>
                    <w:t>Day of summer peak demand</w:t>
                  </w:r>
                </w:p>
              </w:tc>
              <w:tc>
                <w:tcPr>
                  <w:tcW w:w="2120" w:type="dxa"/>
                  <w:shd w:val="clear" w:color="auto" w:fill="DEEAF6"/>
                </w:tcPr>
                <w:p w:rsidR="00E00754" w:rsidRPr="00722C30" w:rsidRDefault="00E00754" w:rsidP="008468BC">
                  <w:pPr>
                    <w:spacing w:before="40" w:after="40"/>
                    <w:jc w:val="center"/>
                    <w:rPr>
                      <w:szCs w:val="18"/>
                    </w:rPr>
                  </w:pPr>
                  <w:r w:rsidRPr="00722C30">
                    <w:rPr>
                      <w:szCs w:val="18"/>
                    </w:rPr>
                    <w:t>21 Jan 2016</w:t>
                  </w:r>
                </w:p>
              </w:tc>
              <w:tc>
                <w:tcPr>
                  <w:tcW w:w="2466" w:type="dxa"/>
                  <w:shd w:val="clear" w:color="auto" w:fill="DEEAF6"/>
                </w:tcPr>
                <w:p w:rsidR="00E00754" w:rsidRPr="00722C30" w:rsidRDefault="00E00754" w:rsidP="008468BC">
                  <w:pPr>
                    <w:spacing w:before="40" w:after="40"/>
                    <w:jc w:val="center"/>
                    <w:rPr>
                      <w:szCs w:val="18"/>
                    </w:rPr>
                  </w:pPr>
                  <w:r w:rsidRPr="00722C30">
                    <w:rPr>
                      <w:szCs w:val="18"/>
                    </w:rPr>
                    <w:t>25 Feb 2016</w:t>
                  </w:r>
                </w:p>
              </w:tc>
            </w:tr>
            <w:tr w:rsidR="00E00754" w:rsidRPr="00030C1A" w:rsidTr="00722C30">
              <w:trPr>
                <w:trHeight w:val="197"/>
              </w:trPr>
              <w:tc>
                <w:tcPr>
                  <w:tcW w:w="3260" w:type="dxa"/>
                  <w:shd w:val="clear" w:color="auto" w:fill="DEEAF6"/>
                </w:tcPr>
                <w:p w:rsidR="00E00754" w:rsidRPr="00722C30" w:rsidRDefault="00E00754" w:rsidP="008468BC">
                  <w:pPr>
                    <w:spacing w:before="40" w:after="40"/>
                    <w:rPr>
                      <w:szCs w:val="18"/>
                    </w:rPr>
                  </w:pPr>
                  <w:r w:rsidRPr="00722C30">
                    <w:rPr>
                      <w:szCs w:val="18"/>
                    </w:rPr>
                    <w:t>Peak demand (MVA)</w:t>
                  </w:r>
                </w:p>
              </w:tc>
              <w:tc>
                <w:tcPr>
                  <w:tcW w:w="2120" w:type="dxa"/>
                  <w:shd w:val="clear" w:color="auto" w:fill="DEEAF6"/>
                </w:tcPr>
                <w:p w:rsidR="00E00754" w:rsidRPr="00722C30" w:rsidRDefault="00E00754" w:rsidP="008468BC">
                  <w:pPr>
                    <w:spacing w:before="40" w:after="40"/>
                    <w:jc w:val="center"/>
                    <w:rPr>
                      <w:szCs w:val="18"/>
                    </w:rPr>
                  </w:pPr>
                  <w:r w:rsidRPr="00722C30">
                    <w:rPr>
                      <w:szCs w:val="18"/>
                    </w:rPr>
                    <w:t>42.0</w:t>
                  </w:r>
                </w:p>
              </w:tc>
              <w:tc>
                <w:tcPr>
                  <w:tcW w:w="2466" w:type="dxa"/>
                  <w:shd w:val="clear" w:color="auto" w:fill="DEEAF6"/>
                </w:tcPr>
                <w:p w:rsidR="00E00754" w:rsidRPr="00722C30" w:rsidRDefault="00E00754" w:rsidP="008468BC">
                  <w:pPr>
                    <w:spacing w:before="40" w:after="40"/>
                    <w:jc w:val="center"/>
                    <w:rPr>
                      <w:szCs w:val="18"/>
                    </w:rPr>
                  </w:pPr>
                  <w:r w:rsidRPr="00722C30">
                    <w:rPr>
                      <w:szCs w:val="18"/>
                    </w:rPr>
                    <w:t>32.7</w:t>
                  </w:r>
                </w:p>
              </w:tc>
            </w:tr>
            <w:tr w:rsidR="00E00754" w:rsidRPr="00030C1A" w:rsidTr="00722C30">
              <w:trPr>
                <w:trHeight w:val="292"/>
              </w:trPr>
              <w:tc>
                <w:tcPr>
                  <w:tcW w:w="3260" w:type="dxa"/>
                  <w:shd w:val="clear" w:color="auto" w:fill="97C5EA"/>
                </w:tcPr>
                <w:p w:rsidR="00E00754" w:rsidRPr="00722C30" w:rsidRDefault="00E00754" w:rsidP="008468BC">
                  <w:pPr>
                    <w:spacing w:before="40" w:after="40"/>
                    <w:rPr>
                      <w:b/>
                      <w:szCs w:val="18"/>
                    </w:rPr>
                  </w:pPr>
                  <w:r w:rsidRPr="00722C30">
                    <w:rPr>
                      <w:b/>
                      <w:szCs w:val="18"/>
                    </w:rPr>
                    <w:t>95% of peak load – timing (AEDST)</w:t>
                  </w:r>
                </w:p>
              </w:tc>
              <w:tc>
                <w:tcPr>
                  <w:tcW w:w="2120" w:type="dxa"/>
                  <w:shd w:val="clear" w:color="auto" w:fill="97C5EA"/>
                </w:tcPr>
                <w:p w:rsidR="00E00754" w:rsidRPr="00722C30" w:rsidRDefault="00E00754" w:rsidP="008468BC">
                  <w:pPr>
                    <w:spacing w:before="40" w:after="40"/>
                    <w:jc w:val="center"/>
                    <w:rPr>
                      <w:b/>
                      <w:szCs w:val="18"/>
                    </w:rPr>
                  </w:pPr>
                  <w:r w:rsidRPr="00722C30">
                    <w:rPr>
                      <w:b/>
                      <w:szCs w:val="18"/>
                    </w:rPr>
                    <w:t>1:30pm to 5:30pm</w:t>
                  </w:r>
                </w:p>
              </w:tc>
              <w:tc>
                <w:tcPr>
                  <w:tcW w:w="2466" w:type="dxa"/>
                  <w:shd w:val="clear" w:color="auto" w:fill="97C5EA"/>
                </w:tcPr>
                <w:p w:rsidR="00E00754" w:rsidRPr="00722C30" w:rsidRDefault="00E00754" w:rsidP="008468BC">
                  <w:pPr>
                    <w:spacing w:before="40" w:after="40"/>
                    <w:jc w:val="center"/>
                    <w:rPr>
                      <w:b/>
                      <w:szCs w:val="18"/>
                    </w:rPr>
                  </w:pPr>
                  <w:r w:rsidRPr="00722C30">
                    <w:rPr>
                      <w:b/>
                      <w:szCs w:val="18"/>
                    </w:rPr>
                    <w:t>5:45pm to 8:15pm</w:t>
                  </w:r>
                </w:p>
              </w:tc>
            </w:tr>
          </w:tbl>
          <w:p w:rsidR="00F044B8" w:rsidRDefault="00F044B8" w:rsidP="00644FDA">
            <w:pPr>
              <w:pStyle w:val="ListParagraph"/>
              <w:spacing w:before="120" w:after="120" w:line="240" w:lineRule="exact"/>
              <w:ind w:left="0"/>
            </w:pPr>
          </w:p>
        </w:tc>
      </w:tr>
    </w:tbl>
    <w:p w:rsidR="00E00754" w:rsidRDefault="00E00754" w:rsidP="00BD7A0B">
      <w:pPr>
        <w:pStyle w:val="BodyText"/>
      </w:pPr>
    </w:p>
    <w:p w:rsidR="00F43CE7" w:rsidRDefault="008A5CCB" w:rsidP="007D0321">
      <w:pPr>
        <w:pStyle w:val="BodyText"/>
      </w:pPr>
      <w:r>
        <w:t>F</w:t>
      </w:r>
      <w:r w:rsidR="00F044B8">
        <w:t xml:space="preserve">or </w:t>
      </w:r>
      <w:r>
        <w:t xml:space="preserve">the </w:t>
      </w:r>
      <w:r w:rsidR="00F044B8">
        <w:t>reasons</w:t>
      </w:r>
      <w:r>
        <w:t xml:space="preserve"> set out above</w:t>
      </w:r>
      <w:r w:rsidR="00F044B8">
        <w:t xml:space="preserve">, Ausgrid proposes a 2pm to 8pm </w:t>
      </w:r>
      <w:r>
        <w:t xml:space="preserve">definition of the </w:t>
      </w:r>
      <w:r w:rsidR="00F044B8">
        <w:t>peak period in the summer months</w:t>
      </w:r>
      <w:r w:rsidR="00262862">
        <w:t xml:space="preserve"> for both residential and business customers</w:t>
      </w:r>
      <w:r w:rsidR="00F044B8">
        <w:t>, consistent with the timing of the current peak period.</w:t>
      </w:r>
    </w:p>
    <w:p w:rsidR="00352B09" w:rsidRPr="00F93A72" w:rsidRDefault="00352B09">
      <w:pPr>
        <w:spacing w:before="120" w:after="120" w:line="240" w:lineRule="exact"/>
        <w:ind w:left="851"/>
        <w:rPr>
          <w:sz w:val="20"/>
          <w:lang w:val="en-AU" w:eastAsia="en-AU"/>
        </w:rPr>
      </w:pPr>
      <w:proofErr w:type="spellStart"/>
      <w:r w:rsidRPr="00F93A72">
        <w:rPr>
          <w:sz w:val="20"/>
          <w:lang w:val="en-AU" w:eastAsia="en-AU"/>
        </w:rPr>
        <w:t>Ausgrid</w:t>
      </w:r>
      <w:proofErr w:type="spellEnd"/>
      <w:r w:rsidRPr="00F93A72">
        <w:rPr>
          <w:sz w:val="20"/>
          <w:lang w:val="en-AU" w:eastAsia="en-AU"/>
        </w:rPr>
        <w:t xml:space="preserve"> proposes to further consider potential reforms to the summer peak period as part of the next TSS.</w:t>
      </w:r>
    </w:p>
    <w:p w:rsidR="00F43CE7" w:rsidRDefault="00B73FCE" w:rsidP="00722C30">
      <w:pPr>
        <w:pStyle w:val="Heading3"/>
      </w:pPr>
      <w:r>
        <w:t>Customer impacts of a narrower peak period</w:t>
      </w:r>
    </w:p>
    <w:p w:rsidR="0048560F" w:rsidRDefault="0048560F" w:rsidP="00BD7A0B">
      <w:pPr>
        <w:pStyle w:val="BodyText"/>
      </w:pPr>
      <w:r>
        <w:t xml:space="preserve">In addition to the robust economic support for a 2pm to 8pm peak period in </w:t>
      </w:r>
      <w:r w:rsidR="00B73FCE">
        <w:t xml:space="preserve">the </w:t>
      </w:r>
      <w:r>
        <w:t>summer</w:t>
      </w:r>
      <w:r w:rsidR="00B73FCE">
        <w:t xml:space="preserve"> months</w:t>
      </w:r>
      <w:r>
        <w:t xml:space="preserve">, as discussed above, there are customer bill impacts associated with narrowing the summer peak period. </w:t>
      </w:r>
    </w:p>
    <w:p w:rsidR="00614DE7" w:rsidRDefault="00614DE7" w:rsidP="007D0321">
      <w:pPr>
        <w:pStyle w:val="BodyText"/>
      </w:pPr>
      <w:r>
        <w:t xml:space="preserve">Perhaps most importantly, a narrower definition of the summer peak period would not capture </w:t>
      </w:r>
      <w:r w:rsidR="00B17C8B">
        <w:t xml:space="preserve">well </w:t>
      </w:r>
      <w:r>
        <w:t>the diversity of peak demand across our network, which would lead to inefficient price signals and the potential to exacerbate peak demand in some elements of our network.</w:t>
      </w:r>
    </w:p>
    <w:p w:rsidR="00490DAD" w:rsidRDefault="00490DAD">
      <w:pPr>
        <w:spacing w:after="0"/>
        <w:rPr>
          <w:rFonts w:eastAsia="Cambria" w:cs="Arial"/>
          <w:noProof/>
          <w:szCs w:val="18"/>
          <w:lang w:val="en-AU" w:eastAsia="en-AU"/>
        </w:rPr>
      </w:pPr>
      <w:r>
        <w:br w:type="page"/>
      </w:r>
    </w:p>
    <w:p w:rsidR="0048560F" w:rsidRDefault="00614DE7" w:rsidP="00BD7A0B">
      <w:pPr>
        <w:pStyle w:val="BodyText"/>
      </w:pPr>
      <w:r>
        <w:lastRenderedPageBreak/>
        <w:t>Further</w:t>
      </w:r>
      <w:r w:rsidR="0048560F">
        <w:t>, narrowing the summer peak period:</w:t>
      </w:r>
    </w:p>
    <w:p w:rsidR="0048560F" w:rsidRPr="00025BDF" w:rsidRDefault="0048560F" w:rsidP="00025BDF">
      <w:pPr>
        <w:pStyle w:val="ListParagraph"/>
        <w:numPr>
          <w:ilvl w:val="0"/>
          <w:numId w:val="119"/>
        </w:numPr>
        <w:spacing w:before="120" w:after="120" w:line="240" w:lineRule="exact"/>
        <w:contextualSpacing w:val="0"/>
        <w:rPr>
          <w:sz w:val="20"/>
        </w:rPr>
      </w:pPr>
      <w:r w:rsidRPr="00025BDF">
        <w:rPr>
          <w:sz w:val="20"/>
        </w:rPr>
        <w:t>increases the peak charge, since LRMC is spread over fewer peak hours; and</w:t>
      </w:r>
    </w:p>
    <w:p w:rsidR="0048560F" w:rsidRPr="00025BDF" w:rsidRDefault="0048560F" w:rsidP="00025BDF">
      <w:pPr>
        <w:pStyle w:val="ListParagraph"/>
        <w:numPr>
          <w:ilvl w:val="0"/>
          <w:numId w:val="119"/>
        </w:numPr>
        <w:spacing w:before="120" w:after="120" w:line="240" w:lineRule="exact"/>
        <w:ind w:left="1208" w:hanging="357"/>
        <w:contextualSpacing w:val="0"/>
        <w:rPr>
          <w:sz w:val="20"/>
        </w:rPr>
      </w:pPr>
      <w:proofErr w:type="gramStart"/>
      <w:r w:rsidRPr="00025BDF">
        <w:rPr>
          <w:sz w:val="20"/>
        </w:rPr>
        <w:t>necessitates</w:t>
      </w:r>
      <w:proofErr w:type="gramEnd"/>
      <w:r w:rsidRPr="00025BDF">
        <w:rPr>
          <w:sz w:val="20"/>
        </w:rPr>
        <w:t xml:space="preserve"> an increase in fixed, off-peak and/or shoulder charges since less revenue is recovered from peak charges, </w:t>
      </w:r>
      <w:proofErr w:type="spellStart"/>
      <w:r w:rsidRPr="00025BDF">
        <w:rPr>
          <w:sz w:val="20"/>
        </w:rPr>
        <w:t>ie</w:t>
      </w:r>
      <w:proofErr w:type="spellEnd"/>
      <w:r w:rsidRPr="00025BDF">
        <w:rPr>
          <w:sz w:val="20"/>
        </w:rPr>
        <w:t>, residual costs increase.</w:t>
      </w:r>
    </w:p>
    <w:p w:rsidR="008468BC" w:rsidRDefault="0048560F" w:rsidP="00BD7A0B">
      <w:pPr>
        <w:pStyle w:val="BodyText"/>
      </w:pPr>
      <w:r>
        <w:t xml:space="preserve">Importantly, the proposed move to seasonal pricing already has the same implications, ie, an increase in peak prices and residual costs – as discussed </w:t>
      </w:r>
      <w:r w:rsidR="009E12D0">
        <w:t xml:space="preserve">in section </w:t>
      </w:r>
      <w:r w:rsidR="009E12D0">
        <w:fldChar w:fldCharType="begin"/>
      </w:r>
      <w:r w:rsidR="009E12D0">
        <w:instrText xml:space="preserve"> REF _Ref461110590 \r \h </w:instrText>
      </w:r>
      <w:r w:rsidR="009E12D0">
        <w:fldChar w:fldCharType="separate"/>
      </w:r>
      <w:r w:rsidR="00BE0834">
        <w:t>6.1</w:t>
      </w:r>
      <w:r w:rsidR="009E12D0">
        <w:fldChar w:fldCharType="end"/>
      </w:r>
      <w:r>
        <w:t xml:space="preserve">. </w:t>
      </w:r>
      <w:r w:rsidR="00E97C10">
        <w:t>N</w:t>
      </w:r>
      <w:r>
        <w:t>arrowing the summer peak period, implemented in conjunction with a move to seasonality, would give rise to unacceptable bill implications for</w:t>
      </w:r>
      <w:r w:rsidR="0085296B" w:rsidRPr="0085296B">
        <w:rPr>
          <w:rStyle w:val="AERbody"/>
        </w:rPr>
        <w:t xml:space="preserve"> </w:t>
      </w:r>
      <w:r w:rsidR="0085296B" w:rsidRPr="00722C30">
        <w:rPr>
          <w:rStyle w:val="AERbody"/>
        </w:rPr>
        <w:t>customers</w:t>
      </w:r>
    </w:p>
    <w:p w:rsidR="008468BC" w:rsidRDefault="008468BC" w:rsidP="007D0321">
      <w:pPr>
        <w:pStyle w:val="BodyText"/>
        <w:rPr>
          <w:rStyle w:val="AERbody"/>
        </w:rPr>
      </w:pPr>
      <w:r w:rsidRPr="00722C30">
        <w:rPr>
          <w:rStyle w:val="AERbody"/>
        </w:rPr>
        <w:t>For the reasons set out above, Ausgrid proposes a 2pm to 8pm definition of the peak period in the summer months for both residential and business customers, consistent with the timing of the current peak period.</w:t>
      </w:r>
    </w:p>
    <w:p w:rsidR="00490DAD" w:rsidRPr="00722C30" w:rsidRDefault="0085296B" w:rsidP="00025BDF">
      <w:pPr>
        <w:pStyle w:val="BodyText"/>
      </w:pPr>
      <w:r w:rsidRPr="00722C30">
        <w:rPr>
          <w:rStyle w:val="AERbody"/>
        </w:rPr>
        <w:t xml:space="preserve">Ausgrid acknowledges that a number of stakeholders indicated a preference for a, narrower peak period, at least for residential customers. Ausgrid considers it prudent to assess the scope for reform to the summer peak period as part of consultation for the next TSS, ie, after we have managed the </w:t>
      </w:r>
      <w:r w:rsidR="004A35D8">
        <w:rPr>
          <w:rStyle w:val="AERbody"/>
        </w:rPr>
        <w:t xml:space="preserve">potential </w:t>
      </w:r>
      <w:r w:rsidRPr="00722C30">
        <w:rPr>
          <w:rStyle w:val="AERbody"/>
        </w:rPr>
        <w:t>customer impacts arising from the implementation of seasonality.</w:t>
      </w:r>
    </w:p>
    <w:p w:rsidR="004050C3" w:rsidRPr="000165E1" w:rsidRDefault="00B73FCE">
      <w:pPr>
        <w:pStyle w:val="Heading2"/>
      </w:pPr>
      <w:bookmarkStart w:id="454" w:name="_Toc475527429"/>
      <w:r>
        <w:t>The winter peak period</w:t>
      </w:r>
      <w:bookmarkEnd w:id="454"/>
      <w:r w:rsidR="00792EE4">
        <w:t xml:space="preserve"> </w:t>
      </w:r>
    </w:p>
    <w:p w:rsidR="00721FE4" w:rsidRPr="00722C30" w:rsidRDefault="00721FE4" w:rsidP="00BD7A0B">
      <w:pPr>
        <w:pStyle w:val="BodyText"/>
        <w:rPr>
          <w:rStyle w:val="AERbody"/>
        </w:rPr>
      </w:pPr>
      <w:r w:rsidRPr="00722C30">
        <w:rPr>
          <w:rStyle w:val="AERbody"/>
        </w:rPr>
        <w:t>In the winter months, peak demand generally occurs later in the day, as compared with the timing of peak demand in the summer months.</w:t>
      </w:r>
    </w:p>
    <w:p w:rsidR="005830C7" w:rsidRPr="00722C30" w:rsidRDefault="009E5AFB" w:rsidP="007D0321">
      <w:pPr>
        <w:pStyle w:val="BodyText"/>
        <w:rPr>
          <w:rStyle w:val="AERbody"/>
        </w:rPr>
      </w:pPr>
      <w:r w:rsidRPr="00722C30">
        <w:rPr>
          <w:rStyle w:val="AERbody"/>
        </w:rPr>
        <w:fldChar w:fldCharType="begin"/>
      </w:r>
      <w:r w:rsidRPr="00722C30">
        <w:rPr>
          <w:rStyle w:val="AERbody"/>
        </w:rPr>
        <w:instrText xml:space="preserve"> REF _Ref462042694 \h  \* MERGEFORMAT </w:instrText>
      </w:r>
      <w:r w:rsidRPr="00722C30">
        <w:rPr>
          <w:rStyle w:val="AERbody"/>
        </w:rPr>
      </w:r>
      <w:r w:rsidRPr="00722C30">
        <w:rPr>
          <w:rStyle w:val="AERbody"/>
        </w:rPr>
        <w:fldChar w:fldCharType="separate"/>
      </w:r>
      <w:r w:rsidR="00BE0834" w:rsidRPr="00BE0834">
        <w:rPr>
          <w:rStyle w:val="AERbody"/>
        </w:rPr>
        <w:t>Figure 8</w:t>
      </w:r>
      <w:r w:rsidRPr="00722C30">
        <w:rPr>
          <w:rStyle w:val="AERbody"/>
        </w:rPr>
        <w:fldChar w:fldCharType="end"/>
      </w:r>
      <w:r w:rsidRPr="00722C30">
        <w:rPr>
          <w:rStyle w:val="AERbody"/>
        </w:rPr>
        <w:t xml:space="preserve"> </w:t>
      </w:r>
      <w:r w:rsidR="00721FE4" w:rsidRPr="00722C30">
        <w:rPr>
          <w:rStyle w:val="AERbody"/>
        </w:rPr>
        <w:t xml:space="preserve">below illustrates the </w:t>
      </w:r>
      <w:r w:rsidR="008A5CCB" w:rsidRPr="00722C30">
        <w:rPr>
          <w:rStyle w:val="AERbody"/>
        </w:rPr>
        <w:t>period over</w:t>
      </w:r>
      <w:r w:rsidR="00721FE4" w:rsidRPr="00722C30">
        <w:rPr>
          <w:rStyle w:val="AERbody"/>
        </w:rPr>
        <w:t xml:space="preserve"> which demand at each winter-peaking substation was within 5 per cent (shaded in red) and 10 per cent (shaded orange) of its peak demand on its respective peak day in winter </w:t>
      </w:r>
      <w:r w:rsidR="00DC1D33" w:rsidRPr="00722C30">
        <w:rPr>
          <w:rStyle w:val="AERbody"/>
        </w:rPr>
        <w:t>2015</w:t>
      </w:r>
      <w:r w:rsidR="00721FE4" w:rsidRPr="00722C30">
        <w:rPr>
          <w:rStyle w:val="AERbody"/>
        </w:rPr>
        <w:t>.</w:t>
      </w:r>
      <w:r w:rsidR="00792EE4" w:rsidRPr="00722C30">
        <w:rPr>
          <w:rStyle w:val="AERbody"/>
        </w:rPr>
        <w:t xml:space="preserve"> An explanation on how to interpret this style of analysis is included above </w:t>
      </w:r>
      <w:r w:rsidRPr="00722C30">
        <w:rPr>
          <w:rStyle w:val="AERbody"/>
        </w:rPr>
        <w:fldChar w:fldCharType="begin"/>
      </w:r>
      <w:r w:rsidRPr="00722C30">
        <w:rPr>
          <w:rStyle w:val="AERbody"/>
        </w:rPr>
        <w:instrText xml:space="preserve"> REF _Ref462042636 \h  \* MERGEFORMAT </w:instrText>
      </w:r>
      <w:r w:rsidRPr="00722C30">
        <w:rPr>
          <w:rStyle w:val="AERbody"/>
        </w:rPr>
      </w:r>
      <w:r w:rsidRPr="00722C30">
        <w:rPr>
          <w:rStyle w:val="AERbody"/>
        </w:rPr>
        <w:fldChar w:fldCharType="separate"/>
      </w:r>
      <w:r w:rsidR="00BE0834" w:rsidRPr="00BE0834">
        <w:rPr>
          <w:rStyle w:val="AERbody"/>
        </w:rPr>
        <w:t>Figure 7</w:t>
      </w:r>
      <w:r w:rsidRPr="00722C30">
        <w:rPr>
          <w:rStyle w:val="AERbody"/>
        </w:rPr>
        <w:fldChar w:fldCharType="end"/>
      </w:r>
      <w:r w:rsidRPr="00722C30">
        <w:rPr>
          <w:rStyle w:val="AERbody"/>
        </w:rPr>
        <w:t xml:space="preserve"> </w:t>
      </w:r>
      <w:r w:rsidR="00792EE4" w:rsidRPr="00722C30">
        <w:rPr>
          <w:rStyle w:val="AERbody"/>
        </w:rPr>
        <w:t>in section</w:t>
      </w:r>
      <w:r w:rsidR="008A5CCB" w:rsidRPr="00722C30">
        <w:rPr>
          <w:rStyle w:val="AERbody"/>
        </w:rPr>
        <w:t xml:space="preserve"> </w:t>
      </w:r>
      <w:r w:rsidR="008A5CCB" w:rsidRPr="00722C30">
        <w:rPr>
          <w:rStyle w:val="AERbody"/>
        </w:rPr>
        <w:fldChar w:fldCharType="begin"/>
      </w:r>
      <w:r w:rsidR="008A5CCB" w:rsidRPr="00722C30">
        <w:rPr>
          <w:rStyle w:val="AERbody"/>
        </w:rPr>
        <w:instrText xml:space="preserve"> REF _Ref461970089 \r \h </w:instrText>
      </w:r>
      <w:r w:rsidR="00BC1372" w:rsidRPr="00722C30">
        <w:rPr>
          <w:rStyle w:val="AERbody"/>
        </w:rPr>
        <w:instrText xml:space="preserve"> \* MERGEFORMAT </w:instrText>
      </w:r>
      <w:r w:rsidR="008A5CCB" w:rsidRPr="00722C30">
        <w:rPr>
          <w:rStyle w:val="AERbody"/>
        </w:rPr>
      </w:r>
      <w:r w:rsidR="008A5CCB" w:rsidRPr="00722C30">
        <w:rPr>
          <w:rStyle w:val="AERbody"/>
        </w:rPr>
        <w:fldChar w:fldCharType="separate"/>
      </w:r>
      <w:r w:rsidR="00BE0834">
        <w:rPr>
          <w:rStyle w:val="AERbody"/>
        </w:rPr>
        <w:t>6.2</w:t>
      </w:r>
      <w:r w:rsidR="008A5CCB" w:rsidRPr="00722C30">
        <w:rPr>
          <w:rStyle w:val="AERbody"/>
        </w:rPr>
        <w:fldChar w:fldCharType="end"/>
      </w:r>
      <w:r w:rsidR="00792EE4" w:rsidRPr="00722C30">
        <w:rPr>
          <w:rStyle w:val="AERbody"/>
        </w:rPr>
        <w:t>.</w:t>
      </w:r>
      <w:r w:rsidR="005830C7" w:rsidRPr="00722C30">
        <w:rPr>
          <w:rStyle w:val="AERbody"/>
        </w:rPr>
        <w:t xml:space="preserve"> </w:t>
      </w:r>
      <w:r w:rsidR="00E97C10" w:rsidRPr="00722C30">
        <w:rPr>
          <w:rStyle w:val="AERbody"/>
        </w:rPr>
        <w:t xml:space="preserve">Ausgrid notes that the timing of peak demand at summer-peaking zone-substations on the day of their highest demand in winter, while not shown in the below figure, is consistent with that of the substations presented in </w:t>
      </w:r>
      <w:r w:rsidR="00BC1372" w:rsidRPr="00722C30">
        <w:rPr>
          <w:rStyle w:val="AERbody"/>
        </w:rPr>
        <w:fldChar w:fldCharType="begin"/>
      </w:r>
      <w:r w:rsidR="00BC1372" w:rsidRPr="00722C30">
        <w:rPr>
          <w:rStyle w:val="AERbody"/>
        </w:rPr>
        <w:instrText xml:space="preserve"> REF _Ref462042694 \h  \* MERGEFORMAT </w:instrText>
      </w:r>
      <w:r w:rsidR="00BC1372" w:rsidRPr="00722C30">
        <w:rPr>
          <w:rStyle w:val="AERbody"/>
        </w:rPr>
      </w:r>
      <w:r w:rsidR="00BC1372" w:rsidRPr="00722C30">
        <w:rPr>
          <w:rStyle w:val="AERbody"/>
        </w:rPr>
        <w:fldChar w:fldCharType="separate"/>
      </w:r>
      <w:r w:rsidR="00BE0834" w:rsidRPr="00BE0834">
        <w:rPr>
          <w:rStyle w:val="AERbody"/>
        </w:rPr>
        <w:t>Figure 8</w:t>
      </w:r>
      <w:r w:rsidR="00BC1372" w:rsidRPr="00722C30">
        <w:rPr>
          <w:rStyle w:val="AERbody"/>
        </w:rPr>
        <w:fldChar w:fldCharType="end"/>
      </w:r>
      <w:r w:rsidR="00BC1372" w:rsidRPr="00722C30">
        <w:rPr>
          <w:rStyle w:val="AERbody"/>
        </w:rPr>
        <w:t xml:space="preserve"> </w:t>
      </w:r>
      <w:r w:rsidR="00E97C10" w:rsidRPr="00722C30">
        <w:rPr>
          <w:rStyle w:val="AERbody"/>
        </w:rPr>
        <w:t>below.</w:t>
      </w:r>
    </w:p>
    <w:p w:rsidR="00A4003D" w:rsidRPr="00722C30" w:rsidRDefault="00A4003D">
      <w:pPr>
        <w:pStyle w:val="BodyText"/>
        <w:rPr>
          <w:rStyle w:val="AERbody"/>
        </w:rPr>
      </w:pPr>
      <w:r w:rsidRPr="00722C30">
        <w:rPr>
          <w:rStyle w:val="AERbody"/>
        </w:rPr>
        <w:t xml:space="preserve">For the avoidance of doubt, Ausgrid has undertaken further analysis to confirm that the data presented in </w:t>
      </w:r>
      <w:r w:rsidRPr="00722C30">
        <w:rPr>
          <w:rStyle w:val="AERbody"/>
        </w:rPr>
        <w:fldChar w:fldCharType="begin"/>
      </w:r>
      <w:r w:rsidRPr="00722C30">
        <w:rPr>
          <w:rStyle w:val="AERbody"/>
        </w:rPr>
        <w:instrText xml:space="preserve"> REF _Ref462042694 \h  \* MERGEFORMAT </w:instrText>
      </w:r>
      <w:r w:rsidRPr="00722C30">
        <w:rPr>
          <w:rStyle w:val="AERbody"/>
        </w:rPr>
      </w:r>
      <w:r w:rsidRPr="00722C30">
        <w:rPr>
          <w:rStyle w:val="AERbody"/>
        </w:rPr>
        <w:fldChar w:fldCharType="separate"/>
      </w:r>
      <w:r w:rsidR="00BE0834" w:rsidRPr="00BE0834">
        <w:rPr>
          <w:rStyle w:val="AERbody"/>
        </w:rPr>
        <w:t>Figure 8</w:t>
      </w:r>
      <w:r w:rsidRPr="00722C30">
        <w:rPr>
          <w:rStyle w:val="AERbody"/>
        </w:rPr>
        <w:fldChar w:fldCharType="end"/>
      </w:r>
      <w:r w:rsidRPr="00722C30">
        <w:rPr>
          <w:rStyle w:val="AERbody"/>
        </w:rPr>
        <w:t xml:space="preserve"> below is illustrative of a typical year.</w:t>
      </w:r>
    </w:p>
    <w:p w:rsidR="00721FE4" w:rsidRPr="000D6076" w:rsidRDefault="00347193" w:rsidP="000D6076">
      <w:pPr>
        <w:keepNext/>
        <w:ind w:left="851"/>
        <w:rPr>
          <w:b/>
          <w:i/>
        </w:rPr>
      </w:pPr>
      <w:bookmarkStart w:id="455" w:name="_Ref462042694"/>
      <w:r w:rsidRPr="00D54FEB">
        <w:rPr>
          <w:rFonts w:ascii="Arial Bold" w:hAnsi="Arial Bold"/>
          <w:b/>
          <w:szCs w:val="18"/>
          <w:lang w:val="en-AU" w:eastAsia="en-AU"/>
        </w:rPr>
        <w:t xml:space="preserve">Figure </w:t>
      </w:r>
      <w:r w:rsidRPr="00D54FEB">
        <w:rPr>
          <w:rFonts w:ascii="Arial Bold" w:hAnsi="Arial Bold"/>
          <w:b/>
          <w:szCs w:val="18"/>
          <w:lang w:val="en-AU" w:eastAsia="en-AU"/>
        </w:rPr>
        <w:fldChar w:fldCharType="begin"/>
      </w:r>
      <w:r w:rsidRPr="00D54FEB">
        <w:rPr>
          <w:rFonts w:ascii="Arial Bold" w:hAnsi="Arial Bold"/>
          <w:b/>
          <w:szCs w:val="18"/>
          <w:lang w:val="en-AU" w:eastAsia="en-AU"/>
        </w:rPr>
        <w:instrText xml:space="preserve"> SEQ Figure \* ARABIC </w:instrText>
      </w:r>
      <w:r w:rsidRPr="00D54FEB">
        <w:rPr>
          <w:rFonts w:ascii="Arial Bold" w:hAnsi="Arial Bold"/>
          <w:b/>
          <w:szCs w:val="18"/>
          <w:lang w:val="en-AU" w:eastAsia="en-AU"/>
        </w:rPr>
        <w:fldChar w:fldCharType="separate"/>
      </w:r>
      <w:r w:rsidR="00BE0834">
        <w:rPr>
          <w:rFonts w:ascii="Arial Bold" w:hAnsi="Arial Bold"/>
          <w:b/>
          <w:noProof/>
          <w:szCs w:val="18"/>
          <w:lang w:val="en-AU" w:eastAsia="en-AU"/>
        </w:rPr>
        <w:t>8</w:t>
      </w:r>
      <w:r w:rsidRPr="00D54FEB">
        <w:rPr>
          <w:rFonts w:ascii="Arial Bold" w:hAnsi="Arial Bold"/>
          <w:b/>
          <w:szCs w:val="18"/>
          <w:lang w:val="en-AU" w:eastAsia="en-AU"/>
        </w:rPr>
        <w:fldChar w:fldCharType="end"/>
      </w:r>
      <w:bookmarkEnd w:id="455"/>
      <w:r w:rsidRPr="00D54FEB">
        <w:rPr>
          <w:rFonts w:ascii="Arial Bold" w:hAnsi="Arial Bold"/>
          <w:b/>
          <w:szCs w:val="18"/>
          <w:lang w:val="en-AU" w:eastAsia="en-AU"/>
        </w:rPr>
        <w:t xml:space="preserve"> –</w:t>
      </w:r>
      <w:r w:rsidR="00792EE4" w:rsidRPr="00D54FEB">
        <w:rPr>
          <w:rFonts w:ascii="Arial Bold" w:hAnsi="Arial Bold"/>
          <w:b/>
          <w:szCs w:val="18"/>
          <w:lang w:val="en-AU" w:eastAsia="en-AU"/>
        </w:rPr>
        <w:t xml:space="preserve"> </w:t>
      </w:r>
      <w:r w:rsidR="005830C7" w:rsidRPr="00D54FEB">
        <w:rPr>
          <w:rFonts w:ascii="Arial Bold" w:hAnsi="Arial Bold"/>
          <w:b/>
          <w:szCs w:val="18"/>
          <w:lang w:val="en-AU" w:eastAsia="en-AU"/>
        </w:rPr>
        <w:t>Timing of peak demand for winter-peaking zone-substations</w:t>
      </w:r>
      <w:r w:rsidR="00994050" w:rsidRPr="00D54FEB">
        <w:rPr>
          <w:rStyle w:val="FootnoteReference"/>
          <w:b/>
          <w:lang w:val="en-AU" w:eastAsia="en-AU"/>
        </w:rPr>
        <w:footnoteReference w:id="24"/>
      </w:r>
    </w:p>
    <w:p w:rsidR="004050C3" w:rsidRDefault="00B56962" w:rsidP="000D6076">
      <w:pPr>
        <w:ind w:left="720" w:firstLine="131"/>
      </w:pPr>
      <w:r w:rsidRPr="00B56962">
        <w:rPr>
          <w:noProof/>
          <w:lang w:val="en-AU" w:eastAsia="en-AU"/>
        </w:rPr>
        <w:drawing>
          <wp:inline distT="0" distB="0" distL="0" distR="0" wp14:anchorId="10F5FAE9" wp14:editId="2AC3AF0B">
            <wp:extent cx="5353050" cy="1602709"/>
            <wp:effectExtent l="19050" t="19050" r="1905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61320" cy="1605185"/>
                    </a:xfrm>
                    <a:prstGeom prst="rect">
                      <a:avLst/>
                    </a:prstGeom>
                    <a:noFill/>
                    <a:ln>
                      <a:solidFill>
                        <a:schemeClr val="tx1"/>
                      </a:solidFill>
                    </a:ln>
                  </pic:spPr>
                </pic:pic>
              </a:graphicData>
            </a:graphic>
          </wp:inline>
        </w:drawing>
      </w:r>
    </w:p>
    <w:p w:rsidR="00C54371" w:rsidRPr="00722C30" w:rsidRDefault="009E5AFB" w:rsidP="00BD7A0B">
      <w:pPr>
        <w:pStyle w:val="BodyText"/>
        <w:rPr>
          <w:rStyle w:val="AERbody"/>
        </w:rPr>
      </w:pPr>
      <w:r w:rsidRPr="00722C30">
        <w:rPr>
          <w:rStyle w:val="AERbody"/>
        </w:rPr>
        <w:fldChar w:fldCharType="begin"/>
      </w:r>
      <w:r w:rsidRPr="00722C30">
        <w:rPr>
          <w:rStyle w:val="AERbody"/>
        </w:rPr>
        <w:instrText xml:space="preserve"> REF _Ref462042694 \h  \* MERGEFORMAT </w:instrText>
      </w:r>
      <w:r w:rsidRPr="00722C30">
        <w:rPr>
          <w:rStyle w:val="AERbody"/>
        </w:rPr>
      </w:r>
      <w:r w:rsidRPr="00722C30">
        <w:rPr>
          <w:rStyle w:val="AERbody"/>
        </w:rPr>
        <w:fldChar w:fldCharType="separate"/>
      </w:r>
      <w:r w:rsidR="00BE0834" w:rsidRPr="00BE0834">
        <w:rPr>
          <w:rStyle w:val="AERbody"/>
        </w:rPr>
        <w:t>Figure 8</w:t>
      </w:r>
      <w:r w:rsidRPr="00722C30">
        <w:rPr>
          <w:rStyle w:val="AERbody"/>
        </w:rPr>
        <w:fldChar w:fldCharType="end"/>
      </w:r>
      <w:r w:rsidRPr="00722C30">
        <w:rPr>
          <w:rStyle w:val="AERbody"/>
        </w:rPr>
        <w:t xml:space="preserve"> </w:t>
      </w:r>
      <w:r w:rsidR="005830C7" w:rsidRPr="00722C30">
        <w:rPr>
          <w:rStyle w:val="AERbody"/>
        </w:rPr>
        <w:t xml:space="preserve">shows that the timing of </w:t>
      </w:r>
      <w:r w:rsidR="00C54371" w:rsidRPr="00722C30">
        <w:rPr>
          <w:rStyle w:val="AERbody"/>
        </w:rPr>
        <w:t>peak demand for winter-peaking substations in the winter months broadly aligns with the timing of system-level peak demand in the winter months.</w:t>
      </w:r>
      <w:r w:rsidR="00532787" w:rsidRPr="00025BDF">
        <w:rPr>
          <w:rStyle w:val="AERbody"/>
          <w:vertAlign w:val="superscript"/>
        </w:rPr>
        <w:footnoteReference w:id="25"/>
      </w:r>
      <w:r w:rsidR="00C54371" w:rsidRPr="00025BDF">
        <w:rPr>
          <w:rStyle w:val="AERbody"/>
          <w:vertAlign w:val="superscript"/>
        </w:rPr>
        <w:t xml:space="preserve"> </w:t>
      </w:r>
      <w:r w:rsidR="00C54371" w:rsidRPr="00722C30">
        <w:rPr>
          <w:rStyle w:val="AERbody"/>
        </w:rPr>
        <w:t>Specifically, peak demand at both a system level and substation level occurs between 5pm and 9pm in winter.</w:t>
      </w:r>
    </w:p>
    <w:p w:rsidR="00AB3E8C" w:rsidRDefault="005B7261" w:rsidP="00722C30">
      <w:pPr>
        <w:pStyle w:val="Heading3"/>
      </w:pPr>
      <w:r>
        <w:lastRenderedPageBreak/>
        <w:t xml:space="preserve">The </w:t>
      </w:r>
      <w:r w:rsidR="00AB3E8C">
        <w:t>winter peak period for residential customers</w:t>
      </w:r>
    </w:p>
    <w:p w:rsidR="00AB3E8C" w:rsidRPr="00722C30" w:rsidRDefault="00B76A9C" w:rsidP="00BD7A0B">
      <w:pPr>
        <w:pStyle w:val="BodyText"/>
        <w:rPr>
          <w:rStyle w:val="AERbody"/>
        </w:rPr>
      </w:pPr>
      <w:r w:rsidRPr="00722C30">
        <w:rPr>
          <w:rStyle w:val="AERbody"/>
        </w:rPr>
        <w:t xml:space="preserve">Ausgrid’s peak period currently applies from 2pm to 8pm on working weekdays </w:t>
      </w:r>
      <w:r w:rsidR="00E97C10" w:rsidRPr="00722C30">
        <w:rPr>
          <w:rStyle w:val="AERbody"/>
        </w:rPr>
        <w:t xml:space="preserve">in every month of the year </w:t>
      </w:r>
      <w:r w:rsidRPr="00722C30">
        <w:rPr>
          <w:rStyle w:val="AERbody"/>
        </w:rPr>
        <w:t>for both residential and business customers.</w:t>
      </w:r>
      <w:r w:rsidR="00AB3E8C" w:rsidRPr="00722C30">
        <w:rPr>
          <w:rStyle w:val="AERbody"/>
        </w:rPr>
        <w:t xml:space="preserve"> </w:t>
      </w:r>
    </w:p>
    <w:p w:rsidR="00AB3E8C" w:rsidRPr="00722C30" w:rsidRDefault="00AB3E8C" w:rsidP="007D0321">
      <w:pPr>
        <w:pStyle w:val="BodyText"/>
        <w:rPr>
          <w:rStyle w:val="AERbody"/>
        </w:rPr>
      </w:pPr>
      <w:r w:rsidRPr="00722C30">
        <w:rPr>
          <w:rStyle w:val="AERbody"/>
        </w:rPr>
        <w:t xml:space="preserve">However, in the winter months, peak demand is driven primarily </w:t>
      </w:r>
      <w:r w:rsidR="00E97C10" w:rsidRPr="00722C30">
        <w:rPr>
          <w:rStyle w:val="AERbody"/>
        </w:rPr>
        <w:t xml:space="preserve">by </w:t>
      </w:r>
      <w:r w:rsidR="00A1422A" w:rsidRPr="00722C30">
        <w:rPr>
          <w:rStyle w:val="AERbody"/>
        </w:rPr>
        <w:t>the peak in</w:t>
      </w:r>
      <w:r w:rsidRPr="00722C30">
        <w:rPr>
          <w:rStyle w:val="AERbody"/>
        </w:rPr>
        <w:t xml:space="preserve"> residential demand that occurs late in the day whereas, in contrast, business customers have a much flatter load profile with a </w:t>
      </w:r>
      <w:r w:rsidR="00262862" w:rsidRPr="00722C30">
        <w:rPr>
          <w:rStyle w:val="AERbody"/>
        </w:rPr>
        <w:t xml:space="preserve">considerably </w:t>
      </w:r>
      <w:r w:rsidRPr="00722C30">
        <w:rPr>
          <w:rStyle w:val="AERbody"/>
        </w:rPr>
        <w:t>more modest peak that occurs earlier in the day.</w:t>
      </w:r>
      <w:r w:rsidR="00262862" w:rsidRPr="00722C30">
        <w:rPr>
          <w:rStyle w:val="AERbody"/>
        </w:rPr>
        <w:t xml:space="preserve"> Further, there is minimal uplift in demand on a peak day for businesses in winter, as compared with demand on a typical winter day. </w:t>
      </w:r>
    </w:p>
    <w:p w:rsidR="00AB3E8C" w:rsidRPr="00722C30" w:rsidRDefault="00262862">
      <w:pPr>
        <w:pStyle w:val="BodyText"/>
        <w:rPr>
          <w:rStyle w:val="AERbody"/>
        </w:rPr>
      </w:pPr>
      <w:r w:rsidRPr="00722C30">
        <w:rPr>
          <w:rStyle w:val="AERbody"/>
        </w:rPr>
        <w:t>T</w:t>
      </w:r>
      <w:r w:rsidR="00AB3E8C" w:rsidRPr="00722C30">
        <w:rPr>
          <w:rStyle w:val="AERbody"/>
        </w:rPr>
        <w:t xml:space="preserve">he </w:t>
      </w:r>
      <w:r w:rsidRPr="00722C30">
        <w:rPr>
          <w:rStyle w:val="AERbody"/>
        </w:rPr>
        <w:t xml:space="preserve">uplift </w:t>
      </w:r>
      <w:r w:rsidR="00AB3E8C" w:rsidRPr="00722C30">
        <w:rPr>
          <w:rStyle w:val="AERbody"/>
        </w:rPr>
        <w:t>in residential demand on a peak day</w:t>
      </w:r>
      <w:r w:rsidRPr="00722C30">
        <w:rPr>
          <w:rStyle w:val="AERbody"/>
        </w:rPr>
        <w:t xml:space="preserve"> in winter</w:t>
      </w:r>
      <w:r w:rsidR="00AB3E8C" w:rsidRPr="00722C30">
        <w:rPr>
          <w:rStyle w:val="AERbody"/>
        </w:rPr>
        <w:t xml:space="preserve"> </w:t>
      </w:r>
      <w:r w:rsidR="00DC1D33" w:rsidRPr="00722C30">
        <w:rPr>
          <w:rStyle w:val="AERbody"/>
        </w:rPr>
        <w:t>is considerably more significant</w:t>
      </w:r>
      <w:r w:rsidR="00AB3E8C" w:rsidRPr="00722C30">
        <w:rPr>
          <w:rStyle w:val="AERbody"/>
        </w:rPr>
        <w:t>, as compared with that on a typical winter day. By way of example,</w:t>
      </w:r>
      <w:r w:rsidR="00E97C10" w:rsidRPr="00722C30">
        <w:rPr>
          <w:rStyle w:val="AERbody"/>
        </w:rPr>
        <w:t xml:space="preserve"> </w:t>
      </w:r>
      <w:r w:rsidR="009E5AFB" w:rsidRPr="00722C30">
        <w:rPr>
          <w:rStyle w:val="AERbody"/>
        </w:rPr>
        <w:fldChar w:fldCharType="begin"/>
      </w:r>
      <w:r w:rsidR="009E5AFB" w:rsidRPr="00722C30">
        <w:rPr>
          <w:rStyle w:val="AERbody"/>
        </w:rPr>
        <w:instrText xml:space="preserve"> REF _Ref462042716 \h  \* MERGEFORMAT </w:instrText>
      </w:r>
      <w:r w:rsidR="009E5AFB" w:rsidRPr="00722C30">
        <w:rPr>
          <w:rStyle w:val="AERbody"/>
        </w:rPr>
      </w:r>
      <w:r w:rsidR="009E5AFB" w:rsidRPr="00722C30">
        <w:rPr>
          <w:rStyle w:val="AERbody"/>
        </w:rPr>
        <w:fldChar w:fldCharType="separate"/>
      </w:r>
      <w:r w:rsidR="00BE0834" w:rsidRPr="00BE0834">
        <w:rPr>
          <w:rStyle w:val="AERbody"/>
        </w:rPr>
        <w:t>Figure 9</w:t>
      </w:r>
      <w:r w:rsidR="009E5AFB" w:rsidRPr="00722C30">
        <w:rPr>
          <w:rStyle w:val="AERbody"/>
        </w:rPr>
        <w:fldChar w:fldCharType="end"/>
      </w:r>
      <w:r w:rsidR="009E5AFB" w:rsidRPr="00722C30">
        <w:rPr>
          <w:rStyle w:val="AERbody"/>
        </w:rPr>
        <w:t xml:space="preserve"> </w:t>
      </w:r>
      <w:r w:rsidR="00E97C10" w:rsidRPr="00722C30">
        <w:rPr>
          <w:rStyle w:val="AERbody"/>
        </w:rPr>
        <w:t>below illustrates the demand of residential customers on a typical winter day (dotted lines) as compared with that on a peak winter day.</w:t>
      </w:r>
      <w:r w:rsidR="00AB3E8C" w:rsidRPr="00722C30">
        <w:rPr>
          <w:rStyle w:val="AERbody"/>
        </w:rPr>
        <w:t xml:space="preserve"> </w:t>
      </w:r>
    </w:p>
    <w:p w:rsidR="004050C3" w:rsidRPr="00722C30" w:rsidRDefault="00347193" w:rsidP="00D54FEB">
      <w:pPr>
        <w:pStyle w:val="Caption"/>
        <w:rPr>
          <w:b w:val="0"/>
        </w:rPr>
      </w:pPr>
      <w:bookmarkStart w:id="456" w:name="_Ref462042716"/>
      <w:r w:rsidRPr="00D54FEB">
        <w:t xml:space="preserve">Figure </w:t>
      </w:r>
      <w:fldSimple w:instr=" SEQ Figure \* ARABIC ">
        <w:r w:rsidR="00BE0834">
          <w:rPr>
            <w:noProof/>
          </w:rPr>
          <w:t>9</w:t>
        </w:r>
      </w:fldSimple>
      <w:bookmarkEnd w:id="456"/>
      <w:r w:rsidRPr="00D54FEB">
        <w:t xml:space="preserve"> – </w:t>
      </w:r>
      <w:r w:rsidR="00A1422A" w:rsidRPr="00D54FEB">
        <w:t>Peak winter demand versus demand on normal winter day, residential</w:t>
      </w:r>
      <w:r w:rsidR="00A1422A" w:rsidRPr="00722C30">
        <w:rPr>
          <w:b w:val="0"/>
        </w:rPr>
        <w:t xml:space="preserve"> </w:t>
      </w:r>
    </w:p>
    <w:p w:rsidR="004050C3" w:rsidRDefault="00BB321D" w:rsidP="000D6076">
      <w:pPr>
        <w:ind w:left="720" w:firstLine="131"/>
        <w:rPr>
          <w:lang w:val="en-AU" w:eastAsia="en-AU"/>
        </w:rPr>
      </w:pPr>
      <w:r w:rsidRPr="00BB321D">
        <w:rPr>
          <w:noProof/>
          <w:lang w:val="en-AU" w:eastAsia="en-AU"/>
        </w:rPr>
        <w:drawing>
          <wp:inline distT="0" distB="0" distL="0" distR="0" wp14:anchorId="64DC577B" wp14:editId="022578ED">
            <wp:extent cx="5493231" cy="3579963"/>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02190" cy="3585802"/>
                    </a:xfrm>
                    <a:prstGeom prst="rect">
                      <a:avLst/>
                    </a:prstGeom>
                    <a:noFill/>
                    <a:ln>
                      <a:noFill/>
                    </a:ln>
                  </pic:spPr>
                </pic:pic>
              </a:graphicData>
            </a:graphic>
          </wp:inline>
        </w:drawing>
      </w:r>
    </w:p>
    <w:p w:rsidR="004050C3" w:rsidRPr="00722C30" w:rsidRDefault="00A1422A" w:rsidP="00BD7A0B">
      <w:pPr>
        <w:pStyle w:val="BodyText"/>
        <w:rPr>
          <w:rStyle w:val="AERbody"/>
        </w:rPr>
      </w:pPr>
      <w:r w:rsidRPr="00722C30">
        <w:rPr>
          <w:rStyle w:val="AERbody"/>
        </w:rPr>
        <w:t xml:space="preserve">Given that system-wide peak demand and substation-specific peak demand occurs between 5pm and 9pm in the winter months, and that residential demand is the key drive of this peak in demand, Ausgrid </w:t>
      </w:r>
      <w:r w:rsidR="005B7261" w:rsidRPr="00722C30">
        <w:rPr>
          <w:rStyle w:val="AERbody"/>
        </w:rPr>
        <w:t>will</w:t>
      </w:r>
      <w:r w:rsidRPr="00722C30">
        <w:rPr>
          <w:rStyle w:val="AERbody"/>
        </w:rPr>
        <w:t xml:space="preserve"> apply a peak period of 5pm and 9pm for residential customers in the winter months</w:t>
      </w:r>
      <w:r w:rsidR="007C7FCE">
        <w:rPr>
          <w:rStyle w:val="AERbody"/>
        </w:rPr>
        <w:t xml:space="preserve"> from 1 July 2018</w:t>
      </w:r>
      <w:r w:rsidRPr="00722C30">
        <w:rPr>
          <w:rStyle w:val="AERbody"/>
        </w:rPr>
        <w:t>.</w:t>
      </w:r>
    </w:p>
    <w:p w:rsidR="00644FDA" w:rsidRPr="00722C30" w:rsidRDefault="00644FDA" w:rsidP="007D0321">
      <w:pPr>
        <w:pStyle w:val="BodyText"/>
        <w:rPr>
          <w:rStyle w:val="AERbody"/>
        </w:rPr>
      </w:pPr>
      <w:r w:rsidRPr="00722C30">
        <w:rPr>
          <w:rStyle w:val="AERbody"/>
        </w:rPr>
        <w:t xml:space="preserve">Ausgrid </w:t>
      </w:r>
      <w:r w:rsidR="005B7261" w:rsidRPr="00722C30">
        <w:rPr>
          <w:rStyle w:val="AERbody"/>
        </w:rPr>
        <w:t>will</w:t>
      </w:r>
      <w:r w:rsidRPr="00722C30">
        <w:rPr>
          <w:rStyle w:val="AERbody"/>
        </w:rPr>
        <w:t xml:space="preserve"> retain the existing 2-8pm peak period for all business customers in the winter months</w:t>
      </w:r>
      <w:r w:rsidR="00262862" w:rsidRPr="00722C30">
        <w:rPr>
          <w:rStyle w:val="AERbody"/>
        </w:rPr>
        <w:t xml:space="preserve">, as explained in section </w:t>
      </w:r>
      <w:r w:rsidR="00262862" w:rsidRPr="00722C30">
        <w:rPr>
          <w:rStyle w:val="AERbody"/>
        </w:rPr>
        <w:fldChar w:fldCharType="begin"/>
      </w:r>
      <w:r w:rsidR="00262862" w:rsidRPr="00722C30">
        <w:rPr>
          <w:rStyle w:val="AERbody"/>
        </w:rPr>
        <w:instrText xml:space="preserve"> REF _Ref461970309 \r \h </w:instrText>
      </w:r>
      <w:r w:rsidR="00262862" w:rsidRPr="00722C30">
        <w:rPr>
          <w:rStyle w:val="AERbody"/>
        </w:rPr>
      </w:r>
      <w:r w:rsidR="00262862" w:rsidRPr="00722C30">
        <w:rPr>
          <w:rStyle w:val="AERbody"/>
        </w:rPr>
        <w:fldChar w:fldCharType="separate"/>
      </w:r>
      <w:r w:rsidR="00BE0834">
        <w:rPr>
          <w:rStyle w:val="AERbody"/>
        </w:rPr>
        <w:t>6.3.2</w:t>
      </w:r>
      <w:r w:rsidR="00262862" w:rsidRPr="00722C30">
        <w:rPr>
          <w:rStyle w:val="AERbody"/>
        </w:rPr>
        <w:fldChar w:fldCharType="end"/>
      </w:r>
      <w:r w:rsidR="00262862" w:rsidRPr="00722C30">
        <w:rPr>
          <w:rStyle w:val="AERbody"/>
        </w:rPr>
        <w:t xml:space="preserve"> below</w:t>
      </w:r>
      <w:r w:rsidRPr="00722C30">
        <w:rPr>
          <w:rStyle w:val="AERbody"/>
        </w:rPr>
        <w:t xml:space="preserve">. </w:t>
      </w:r>
    </w:p>
    <w:p w:rsidR="00262862" w:rsidRPr="00722C30" w:rsidRDefault="00262862">
      <w:pPr>
        <w:pStyle w:val="BodyText"/>
        <w:rPr>
          <w:rStyle w:val="AERbody"/>
        </w:rPr>
      </w:pPr>
      <w:r w:rsidRPr="00722C30">
        <w:rPr>
          <w:rStyle w:val="AERbody"/>
        </w:rPr>
        <w:t xml:space="preserve">The customer bill impacts arising from the implementation of seasonality and reform of the winter peak period definition for residential customers </w:t>
      </w:r>
      <w:r w:rsidR="007C7FCE">
        <w:rPr>
          <w:rStyle w:val="AERbody"/>
        </w:rPr>
        <w:t>are</w:t>
      </w:r>
      <w:r w:rsidR="007C7FCE" w:rsidRPr="00722C30">
        <w:rPr>
          <w:rStyle w:val="AERbody"/>
        </w:rPr>
        <w:t xml:space="preserve"> </w:t>
      </w:r>
      <w:r w:rsidRPr="00722C30">
        <w:rPr>
          <w:rStyle w:val="AERbody"/>
        </w:rPr>
        <w:t>presented in section</w:t>
      </w:r>
      <w:r w:rsidR="009E5AFB" w:rsidRPr="00722C30">
        <w:rPr>
          <w:rStyle w:val="AERbody"/>
        </w:rPr>
        <w:t xml:space="preserve"> </w:t>
      </w:r>
      <w:r w:rsidR="009E5AFB" w:rsidRPr="00722C30">
        <w:rPr>
          <w:rStyle w:val="AERbody"/>
        </w:rPr>
        <w:fldChar w:fldCharType="begin"/>
      </w:r>
      <w:r w:rsidR="009E5AFB" w:rsidRPr="00722C30">
        <w:rPr>
          <w:rStyle w:val="AERbody"/>
        </w:rPr>
        <w:instrText xml:space="preserve"> REF _Ref462042500 \r \h </w:instrText>
      </w:r>
      <w:r w:rsidR="009E5AFB" w:rsidRPr="00722C30">
        <w:rPr>
          <w:rStyle w:val="AERbody"/>
        </w:rPr>
      </w:r>
      <w:r w:rsidR="009E5AFB" w:rsidRPr="00722C30">
        <w:rPr>
          <w:rStyle w:val="AERbody"/>
        </w:rPr>
        <w:fldChar w:fldCharType="separate"/>
      </w:r>
      <w:r w:rsidR="00BE0834">
        <w:rPr>
          <w:rStyle w:val="AERbody"/>
        </w:rPr>
        <w:t>8.3.4</w:t>
      </w:r>
      <w:r w:rsidR="009E5AFB" w:rsidRPr="00722C30">
        <w:rPr>
          <w:rStyle w:val="AERbody"/>
        </w:rPr>
        <w:fldChar w:fldCharType="end"/>
      </w:r>
      <w:r w:rsidR="006A450F">
        <w:rPr>
          <w:rStyle w:val="AERbody"/>
        </w:rPr>
        <w:t xml:space="preserve"> and </w:t>
      </w:r>
      <w:r w:rsidR="006A450F">
        <w:rPr>
          <w:rStyle w:val="AERbody"/>
        </w:rPr>
        <w:fldChar w:fldCharType="begin"/>
      </w:r>
      <w:r w:rsidR="006A450F">
        <w:rPr>
          <w:rStyle w:val="AERbody"/>
        </w:rPr>
        <w:instrText xml:space="preserve"> REF _Ref462995830 \r \h </w:instrText>
      </w:r>
      <w:r w:rsidR="006A450F">
        <w:rPr>
          <w:rStyle w:val="AERbody"/>
        </w:rPr>
      </w:r>
      <w:r w:rsidR="006A450F">
        <w:rPr>
          <w:rStyle w:val="AERbody"/>
        </w:rPr>
        <w:fldChar w:fldCharType="separate"/>
      </w:r>
      <w:r w:rsidR="00BE0834">
        <w:rPr>
          <w:rStyle w:val="AERbody"/>
        </w:rPr>
        <w:t>10.1</w:t>
      </w:r>
      <w:r w:rsidR="006A450F">
        <w:rPr>
          <w:rStyle w:val="AERbody"/>
        </w:rPr>
        <w:fldChar w:fldCharType="end"/>
      </w:r>
      <w:r w:rsidRPr="00722C30">
        <w:rPr>
          <w:rStyle w:val="AERbody"/>
        </w:rPr>
        <w:t>.</w:t>
      </w:r>
    </w:p>
    <w:p w:rsidR="00644FDA" w:rsidRDefault="005B7261" w:rsidP="00722C30">
      <w:pPr>
        <w:pStyle w:val="Heading3"/>
      </w:pPr>
      <w:bookmarkStart w:id="457" w:name="_Ref461970309"/>
      <w:r>
        <w:t>W</w:t>
      </w:r>
      <w:r w:rsidR="00644FDA">
        <w:t xml:space="preserve">inter peak period for </w:t>
      </w:r>
      <w:r w:rsidR="007C45F3">
        <w:t>business</w:t>
      </w:r>
      <w:r w:rsidR="00644FDA">
        <w:t xml:space="preserve"> customers</w:t>
      </w:r>
      <w:bookmarkEnd w:id="457"/>
    </w:p>
    <w:p w:rsidR="005B7261" w:rsidRPr="00722C30" w:rsidRDefault="005B7261" w:rsidP="00BD7A0B">
      <w:pPr>
        <w:pStyle w:val="BodyText"/>
        <w:rPr>
          <w:rStyle w:val="AERbody"/>
        </w:rPr>
      </w:pPr>
      <w:r w:rsidRPr="00722C30">
        <w:rPr>
          <w:rStyle w:val="AERbody"/>
        </w:rPr>
        <w:t xml:space="preserve">Ausgrid will consider reforming the peak period definition in the winter months for business customers as part of developing its next TSS. This will provide sufficient time to consider and assess potential reform options – along with the corresponding implications for price stability and customer impacts – without compromising near term efficiency implications since business </w:t>
      </w:r>
      <w:r w:rsidRPr="00722C30">
        <w:rPr>
          <w:rStyle w:val="AERbody"/>
        </w:rPr>
        <w:lastRenderedPageBreak/>
        <w:t>customers are not key contributors to peak demand in winter</w:t>
      </w:r>
      <w:r w:rsidR="00DC1D33" w:rsidRPr="00722C30">
        <w:rPr>
          <w:rStyle w:val="AERbody"/>
        </w:rPr>
        <w:t xml:space="preserve">, ie, </w:t>
      </w:r>
      <w:r w:rsidR="00B17C8B">
        <w:rPr>
          <w:rStyle w:val="AERbody"/>
        </w:rPr>
        <w:t>Ausgrid</w:t>
      </w:r>
      <w:r w:rsidR="00B17C8B" w:rsidRPr="00722C30">
        <w:rPr>
          <w:rStyle w:val="AERbody"/>
        </w:rPr>
        <w:t xml:space="preserve"> </w:t>
      </w:r>
      <w:r w:rsidR="00DC1D33" w:rsidRPr="00722C30">
        <w:rPr>
          <w:rStyle w:val="AERbody"/>
        </w:rPr>
        <w:t>demonstrated above that most winter-peaking zone substations are dominated by residential load.</w:t>
      </w:r>
    </w:p>
    <w:p w:rsidR="005B7261" w:rsidRPr="00722C30" w:rsidRDefault="005B7261" w:rsidP="007D0321">
      <w:pPr>
        <w:pStyle w:val="BodyText"/>
        <w:rPr>
          <w:rStyle w:val="AERbody"/>
        </w:rPr>
      </w:pPr>
      <w:r w:rsidRPr="00722C30">
        <w:rPr>
          <w:rStyle w:val="AERbody"/>
        </w:rPr>
        <w:t>Further, reforming the peak period for business customers affects not just peak prices and residual costs; there are also important interrelationships between the peak period and capacity charges (</w:t>
      </w:r>
      <w:r w:rsidR="003F00EC" w:rsidRPr="00722C30">
        <w:rPr>
          <w:rStyle w:val="AERbody"/>
        </w:rPr>
        <w:t xml:space="preserve">capacity charges </w:t>
      </w:r>
      <w:r w:rsidRPr="00722C30">
        <w:rPr>
          <w:rStyle w:val="AERbody"/>
        </w:rPr>
        <w:t>account for approximately</w:t>
      </w:r>
      <w:r w:rsidR="003F00EC" w:rsidRPr="00722C30">
        <w:rPr>
          <w:rStyle w:val="AERbody"/>
        </w:rPr>
        <w:t xml:space="preserve"> 20 </w:t>
      </w:r>
      <w:r w:rsidRPr="00722C30">
        <w:rPr>
          <w:rStyle w:val="AERbody"/>
        </w:rPr>
        <w:t xml:space="preserve">per cent of </w:t>
      </w:r>
      <w:r w:rsidR="00A4003D" w:rsidRPr="00722C30">
        <w:rPr>
          <w:rStyle w:val="AERbody"/>
        </w:rPr>
        <w:t xml:space="preserve">Ausgrid’s </w:t>
      </w:r>
      <w:r w:rsidRPr="00722C30">
        <w:rPr>
          <w:rStyle w:val="AERbody"/>
        </w:rPr>
        <w:t>NUOS revenue) that require careful and extensive analysis.</w:t>
      </w:r>
    </w:p>
    <w:p w:rsidR="005B7261" w:rsidRPr="00722C30" w:rsidRDefault="005B7261">
      <w:pPr>
        <w:pStyle w:val="BodyText"/>
        <w:rPr>
          <w:rStyle w:val="AERbody"/>
        </w:rPr>
      </w:pPr>
      <w:r w:rsidRPr="00722C30">
        <w:rPr>
          <w:rStyle w:val="AERbody"/>
        </w:rPr>
        <w:t xml:space="preserve">It is important to bear in mind that this decision is made against the backdrop of the substantial reforms proposed by Ausgrid in this TSS, the customer impacts of which Ausgrid has carefully assessed and, where appropriate, taken steps to mitigate. Ausgrid considers that a further reform of this magnitude would expose Ausgrid’s customers to an unacceptable level of risk as to price instability and adverse bill impacts. </w:t>
      </w:r>
    </w:p>
    <w:p w:rsidR="005B7261" w:rsidRPr="00722C30" w:rsidRDefault="005B7261">
      <w:pPr>
        <w:pStyle w:val="BodyText"/>
        <w:rPr>
          <w:rStyle w:val="AERbody"/>
        </w:rPr>
      </w:pPr>
      <w:r w:rsidRPr="00722C30">
        <w:rPr>
          <w:rStyle w:val="AERbody"/>
        </w:rPr>
        <w:t>Moreover, the proposed reforms to Ausgrid’s TOU tariffs come into effect on 1 July 2018, and Ausgrid’s next TSS will come into effect only one year later on 1 July 2019. Bearing in mind that the reform to the timing of the winter peak window was developed in the 45 business days leading up to the submission of Ausgrid’s revised TSS, it is clear that the advantages of delaying any potential reforms by a year – namely the ability to adequately consider customer implications – far outweigh any perceived cost associated with a delay of only a year.</w:t>
      </w:r>
    </w:p>
    <w:p w:rsidR="004050C3" w:rsidRPr="00722C30" w:rsidRDefault="005B7261">
      <w:pPr>
        <w:pStyle w:val="BodyText"/>
        <w:rPr>
          <w:rStyle w:val="AERbody"/>
        </w:rPr>
      </w:pPr>
      <w:r w:rsidRPr="00722C30">
        <w:rPr>
          <w:rStyle w:val="AERbody"/>
        </w:rPr>
        <w:t>With this in mind, Ausgrid will delay the consideration of further reforms to the peak periods for business customers until the next TSS. Consequently, Ausgrid will continue to apply a peak period definition of 2pm to 8pm for business customers in the winter months.</w:t>
      </w:r>
    </w:p>
    <w:p w:rsidR="004050C3" w:rsidRDefault="00080AED">
      <w:pPr>
        <w:pStyle w:val="Heading2"/>
      </w:pPr>
      <w:bookmarkStart w:id="458" w:name="_Ref462151305"/>
      <w:bookmarkStart w:id="459" w:name="_Ref462151394"/>
      <w:bookmarkStart w:id="460" w:name="_Toc475527430"/>
      <w:r>
        <w:t>Summary of peak periods</w:t>
      </w:r>
      <w:bookmarkEnd w:id="458"/>
      <w:bookmarkEnd w:id="459"/>
      <w:bookmarkEnd w:id="460"/>
    </w:p>
    <w:p w:rsidR="00080AED" w:rsidRPr="00722C30" w:rsidRDefault="00080AED" w:rsidP="00BD7A0B">
      <w:pPr>
        <w:pStyle w:val="BodyText"/>
        <w:rPr>
          <w:rStyle w:val="AERbody"/>
        </w:rPr>
      </w:pPr>
      <w:r w:rsidRPr="00722C30">
        <w:rPr>
          <w:rStyle w:val="AERbody"/>
        </w:rPr>
        <w:t xml:space="preserve">Ausgrid </w:t>
      </w:r>
      <w:r w:rsidR="005B7261" w:rsidRPr="00722C30">
        <w:rPr>
          <w:rStyle w:val="AERbody"/>
        </w:rPr>
        <w:t>will</w:t>
      </w:r>
      <w:r w:rsidRPr="00722C30">
        <w:rPr>
          <w:rStyle w:val="AERbody"/>
        </w:rPr>
        <w:t xml:space="preserve"> implement the reforms to its TOU tariffs in the final year of the current regulatory control period so as to afford retailers and customers time to prepare for the associated changes. The existing definition of the peak periods will apply prior 1 July 2018.</w:t>
      </w:r>
    </w:p>
    <w:p w:rsidR="00080AED" w:rsidRPr="00722C30" w:rsidRDefault="009E5AFB" w:rsidP="007D0321">
      <w:pPr>
        <w:pStyle w:val="BodyText"/>
        <w:rPr>
          <w:rStyle w:val="AERbody"/>
        </w:rPr>
      </w:pPr>
      <w:r w:rsidRPr="00722C30">
        <w:rPr>
          <w:rStyle w:val="AERbody"/>
        </w:rPr>
        <w:fldChar w:fldCharType="begin"/>
      </w:r>
      <w:r w:rsidRPr="00722C30">
        <w:rPr>
          <w:rStyle w:val="AERbody"/>
        </w:rPr>
        <w:instrText xml:space="preserve"> REF _Ref462042762 \h  \* MERGEFORMAT </w:instrText>
      </w:r>
      <w:r w:rsidRPr="00722C30">
        <w:rPr>
          <w:rStyle w:val="AERbody"/>
        </w:rPr>
      </w:r>
      <w:r w:rsidRPr="00722C30">
        <w:rPr>
          <w:rStyle w:val="AERbody"/>
        </w:rPr>
        <w:fldChar w:fldCharType="separate"/>
      </w:r>
      <w:r w:rsidR="00BE0834" w:rsidRPr="00BE0834">
        <w:rPr>
          <w:rStyle w:val="AERbody"/>
        </w:rPr>
        <w:t>Table 10</w:t>
      </w:r>
      <w:r w:rsidRPr="00722C30">
        <w:rPr>
          <w:rStyle w:val="AERbody"/>
        </w:rPr>
        <w:fldChar w:fldCharType="end"/>
      </w:r>
      <w:r w:rsidRPr="00722C30">
        <w:rPr>
          <w:rStyle w:val="AERbody"/>
        </w:rPr>
        <w:t xml:space="preserve"> </w:t>
      </w:r>
      <w:r w:rsidR="00080AED" w:rsidRPr="00722C30">
        <w:rPr>
          <w:rStyle w:val="AERbody"/>
        </w:rPr>
        <w:t xml:space="preserve">below illustrates the proposed definition of the peak period from 1 July 2018. </w:t>
      </w:r>
    </w:p>
    <w:p w:rsidR="006178BD" w:rsidRPr="00411821" w:rsidRDefault="00347193" w:rsidP="00EF3B7E">
      <w:pPr>
        <w:pStyle w:val="Caption"/>
      </w:pPr>
      <w:bookmarkStart w:id="461" w:name="_Ref462042762"/>
      <w:r w:rsidRPr="00073643">
        <w:t xml:space="preserve">Table </w:t>
      </w:r>
      <w:fldSimple w:instr=" SEQ Table \* ARABIC ">
        <w:r w:rsidR="00BE0834">
          <w:rPr>
            <w:noProof/>
          </w:rPr>
          <w:t>10</w:t>
        </w:r>
      </w:fldSimple>
      <w:bookmarkEnd w:id="461"/>
      <w:r w:rsidRPr="00073643">
        <w:t xml:space="preserve"> –</w:t>
      </w:r>
      <w:r>
        <w:t xml:space="preserve"> </w:t>
      </w:r>
      <w:r w:rsidR="005B7261">
        <w:t>D</w:t>
      </w:r>
      <w:r w:rsidR="00C82F3D">
        <w:t xml:space="preserve">efinition of peak </w:t>
      </w:r>
      <w:r w:rsidR="006178BD">
        <w:t xml:space="preserve">periods </w:t>
      </w:r>
      <w:r w:rsidR="00C82F3D">
        <w:t>from 1 July 2018</w:t>
      </w:r>
    </w:p>
    <w:tbl>
      <w:tblPr>
        <w:tblW w:w="8505" w:type="dxa"/>
        <w:tblInd w:w="9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1E0" w:firstRow="1" w:lastRow="1" w:firstColumn="1" w:lastColumn="1" w:noHBand="0" w:noVBand="0"/>
      </w:tblPr>
      <w:tblGrid>
        <w:gridCol w:w="2268"/>
        <w:gridCol w:w="6237"/>
      </w:tblGrid>
      <w:tr w:rsidR="006178BD" w:rsidTr="00722C30">
        <w:tc>
          <w:tcPr>
            <w:tcW w:w="2268" w:type="dxa"/>
            <w:shd w:val="clear" w:color="auto" w:fill="0065A6"/>
            <w:vAlign w:val="center"/>
          </w:tcPr>
          <w:p w:rsidR="006178BD" w:rsidRDefault="006178BD" w:rsidP="006040C3">
            <w:pPr>
              <w:spacing w:before="120" w:after="120"/>
              <w:ind w:left="33"/>
              <w:jc w:val="center"/>
              <w:rPr>
                <w:rFonts w:cs="Arial"/>
                <w:b/>
                <w:bCs/>
                <w:color w:val="FFFFFF"/>
                <w:szCs w:val="18"/>
              </w:rPr>
            </w:pPr>
            <w:r>
              <w:rPr>
                <w:rFonts w:cs="Arial"/>
                <w:b/>
                <w:bCs/>
                <w:color w:val="FFFFFF"/>
                <w:szCs w:val="18"/>
              </w:rPr>
              <w:t>Season</w:t>
            </w:r>
          </w:p>
        </w:tc>
        <w:tc>
          <w:tcPr>
            <w:tcW w:w="6237" w:type="dxa"/>
            <w:shd w:val="clear" w:color="auto" w:fill="0065A6"/>
            <w:vAlign w:val="center"/>
          </w:tcPr>
          <w:p w:rsidR="006178BD" w:rsidRPr="00952B94" w:rsidRDefault="007C7FCE">
            <w:pPr>
              <w:spacing w:before="120" w:after="120"/>
              <w:jc w:val="center"/>
              <w:rPr>
                <w:rFonts w:cs="Arial"/>
                <w:b/>
                <w:bCs/>
                <w:color w:val="FFFFFF"/>
                <w:szCs w:val="18"/>
              </w:rPr>
            </w:pPr>
            <w:r>
              <w:rPr>
                <w:rFonts w:cs="Arial"/>
                <w:b/>
                <w:bCs/>
                <w:color w:val="FFFFFF"/>
                <w:szCs w:val="18"/>
              </w:rPr>
              <w:t xml:space="preserve">Seasonal Peak </w:t>
            </w:r>
            <w:r w:rsidR="006178BD">
              <w:rPr>
                <w:rFonts w:cs="Arial"/>
                <w:b/>
                <w:bCs/>
                <w:color w:val="FFFFFF"/>
                <w:szCs w:val="18"/>
              </w:rPr>
              <w:t>Period Definition</w:t>
            </w:r>
          </w:p>
        </w:tc>
      </w:tr>
      <w:tr w:rsidR="006178BD" w:rsidTr="00722C30">
        <w:trPr>
          <w:trHeight w:val="593"/>
        </w:trPr>
        <w:tc>
          <w:tcPr>
            <w:tcW w:w="2268" w:type="dxa"/>
            <w:shd w:val="clear" w:color="auto" w:fill="97C5EA"/>
            <w:vAlign w:val="center"/>
            <w:hideMark/>
          </w:tcPr>
          <w:p w:rsidR="006178BD" w:rsidRPr="00722C30" w:rsidRDefault="006178BD" w:rsidP="00722C30">
            <w:pPr>
              <w:spacing w:before="120" w:after="120"/>
              <w:ind w:left="34"/>
              <w:rPr>
                <w:rFonts w:cs="Arial"/>
                <w:b/>
                <w:bCs/>
                <w:szCs w:val="18"/>
              </w:rPr>
            </w:pPr>
            <w:r w:rsidRPr="00722C30">
              <w:rPr>
                <w:rFonts w:cs="Arial"/>
                <w:b/>
                <w:bCs/>
                <w:szCs w:val="18"/>
              </w:rPr>
              <w:t>Summer peak period</w:t>
            </w:r>
          </w:p>
        </w:tc>
        <w:tc>
          <w:tcPr>
            <w:tcW w:w="6237" w:type="dxa"/>
            <w:shd w:val="clear" w:color="auto" w:fill="DEEAF6"/>
            <w:hideMark/>
          </w:tcPr>
          <w:p w:rsidR="006178BD" w:rsidRDefault="006178BD" w:rsidP="006040C3">
            <w:pPr>
              <w:spacing w:before="120" w:after="120"/>
              <w:rPr>
                <w:rFonts w:cs="Arial"/>
                <w:szCs w:val="18"/>
              </w:rPr>
            </w:pPr>
            <w:r>
              <w:rPr>
                <w:rFonts w:cs="Arial"/>
                <w:spacing w:val="-1"/>
              </w:rPr>
              <w:t>F</w:t>
            </w:r>
            <w:r>
              <w:rPr>
                <w:rFonts w:cs="Arial"/>
                <w:spacing w:val="2"/>
              </w:rPr>
              <w:t>r</w:t>
            </w:r>
            <w:r>
              <w:rPr>
                <w:rFonts w:cs="Arial"/>
                <w:spacing w:val="-5"/>
              </w:rPr>
              <w:t>o</w:t>
            </w:r>
            <w:r>
              <w:rPr>
                <w:rFonts w:cs="Arial"/>
              </w:rPr>
              <w:t>m</w:t>
            </w:r>
            <w:r>
              <w:rPr>
                <w:rFonts w:cs="Arial"/>
                <w:spacing w:val="8"/>
              </w:rPr>
              <w:t xml:space="preserve"> </w:t>
            </w:r>
            <w:r>
              <w:rPr>
                <w:rFonts w:cs="Arial"/>
              </w:rPr>
              <w:t>2</w:t>
            </w:r>
            <w:r>
              <w:rPr>
                <w:rFonts w:cs="Arial"/>
                <w:spacing w:val="-5"/>
              </w:rPr>
              <w:t>p</w:t>
            </w:r>
            <w:r>
              <w:rPr>
                <w:rFonts w:cs="Arial"/>
              </w:rPr>
              <w:t>m</w:t>
            </w:r>
            <w:r>
              <w:rPr>
                <w:rFonts w:cs="Arial"/>
                <w:spacing w:val="8"/>
              </w:rPr>
              <w:t xml:space="preserve"> </w:t>
            </w:r>
            <w:r>
              <w:rPr>
                <w:rFonts w:cs="Arial"/>
              </w:rPr>
              <w:t>to</w:t>
            </w:r>
            <w:r>
              <w:rPr>
                <w:rFonts w:cs="Arial"/>
                <w:spacing w:val="-2"/>
              </w:rPr>
              <w:t xml:space="preserve"> </w:t>
            </w:r>
            <w:r>
              <w:rPr>
                <w:rFonts w:cs="Arial"/>
              </w:rPr>
              <w:t>8</w:t>
            </w:r>
            <w:r>
              <w:rPr>
                <w:rFonts w:cs="Arial"/>
                <w:spacing w:val="-2"/>
              </w:rPr>
              <w:t xml:space="preserve"> </w:t>
            </w:r>
            <w:r>
              <w:rPr>
                <w:rFonts w:cs="Arial"/>
                <w:spacing w:val="-5"/>
              </w:rPr>
              <w:t>p</w:t>
            </w:r>
            <w:r>
              <w:rPr>
                <w:rFonts w:cs="Arial"/>
              </w:rPr>
              <w:t>m</w:t>
            </w:r>
            <w:r>
              <w:rPr>
                <w:rFonts w:cs="Arial"/>
                <w:spacing w:val="6"/>
              </w:rPr>
              <w:t xml:space="preserve"> </w:t>
            </w:r>
            <w:r>
              <w:rPr>
                <w:rFonts w:cs="Arial"/>
                <w:spacing w:val="-5"/>
              </w:rPr>
              <w:t>o</w:t>
            </w:r>
            <w:r>
              <w:rPr>
                <w:rFonts w:cs="Arial"/>
              </w:rPr>
              <w:t>n</w:t>
            </w:r>
            <w:r>
              <w:rPr>
                <w:rFonts w:cs="Arial"/>
                <w:spacing w:val="4"/>
              </w:rPr>
              <w:t xml:space="preserve"> </w:t>
            </w:r>
            <w:r>
              <w:rPr>
                <w:rFonts w:cs="Arial"/>
                <w:spacing w:val="-2"/>
              </w:rPr>
              <w:t>w</w:t>
            </w:r>
            <w:r>
              <w:rPr>
                <w:rFonts w:cs="Arial"/>
                <w:spacing w:val="-5"/>
              </w:rPr>
              <w:t>o</w:t>
            </w:r>
            <w:r>
              <w:rPr>
                <w:rFonts w:cs="Arial"/>
                <w:spacing w:val="2"/>
              </w:rPr>
              <w:t>r</w:t>
            </w:r>
            <w:r>
              <w:rPr>
                <w:rFonts w:cs="Arial"/>
                <w:spacing w:val="-5"/>
              </w:rPr>
              <w:t>k</w:t>
            </w:r>
            <w:r>
              <w:rPr>
                <w:rFonts w:cs="Arial"/>
                <w:spacing w:val="3"/>
              </w:rPr>
              <w:t>i</w:t>
            </w:r>
            <w:r>
              <w:rPr>
                <w:rFonts w:cs="Arial"/>
                <w:spacing w:val="-1"/>
              </w:rPr>
              <w:t>n</w:t>
            </w:r>
            <w:r>
              <w:rPr>
                <w:rFonts w:cs="Arial"/>
              </w:rPr>
              <w:t>g</w:t>
            </w:r>
            <w:r>
              <w:rPr>
                <w:rFonts w:cs="Arial"/>
                <w:spacing w:val="3"/>
              </w:rPr>
              <w:t xml:space="preserve"> </w:t>
            </w:r>
            <w:r>
              <w:rPr>
                <w:rFonts w:cs="Arial"/>
                <w:spacing w:val="-2"/>
                <w:w w:val="101"/>
              </w:rPr>
              <w:t>w</w:t>
            </w:r>
            <w:r>
              <w:rPr>
                <w:rFonts w:cs="Arial"/>
                <w:spacing w:val="-5"/>
                <w:w w:val="101"/>
              </w:rPr>
              <w:t>ee</w:t>
            </w:r>
            <w:r>
              <w:rPr>
                <w:rFonts w:cs="Arial"/>
                <w:w w:val="101"/>
              </w:rPr>
              <w:t>k</w:t>
            </w:r>
            <w:r>
              <w:rPr>
                <w:rFonts w:cs="Arial"/>
                <w:spacing w:val="-1"/>
                <w:w w:val="101"/>
              </w:rPr>
              <w:t>da</w:t>
            </w:r>
            <w:r>
              <w:rPr>
                <w:rFonts w:cs="Arial"/>
                <w:w w:val="101"/>
              </w:rPr>
              <w:t>ys during 1 November and 31 March (inclusive)</w:t>
            </w:r>
          </w:p>
        </w:tc>
      </w:tr>
      <w:tr w:rsidR="006178BD" w:rsidTr="00722C30">
        <w:trPr>
          <w:trHeight w:val="365"/>
        </w:trPr>
        <w:tc>
          <w:tcPr>
            <w:tcW w:w="2268" w:type="dxa"/>
            <w:shd w:val="clear" w:color="auto" w:fill="97C5EA"/>
            <w:vAlign w:val="center"/>
            <w:hideMark/>
          </w:tcPr>
          <w:p w:rsidR="006178BD" w:rsidRPr="00722C30" w:rsidRDefault="006178BD" w:rsidP="00722C30">
            <w:pPr>
              <w:spacing w:before="120" w:after="120"/>
              <w:ind w:left="34"/>
              <w:rPr>
                <w:rFonts w:cs="Arial"/>
                <w:b/>
                <w:bCs/>
                <w:szCs w:val="18"/>
              </w:rPr>
            </w:pPr>
            <w:r w:rsidRPr="00722C30">
              <w:rPr>
                <w:rFonts w:cs="Arial"/>
                <w:b/>
                <w:bCs/>
                <w:szCs w:val="18"/>
              </w:rPr>
              <w:t>Winter peak period (residential)</w:t>
            </w:r>
          </w:p>
        </w:tc>
        <w:tc>
          <w:tcPr>
            <w:tcW w:w="6237" w:type="dxa"/>
            <w:shd w:val="clear" w:color="auto" w:fill="DEEAF6"/>
            <w:hideMark/>
          </w:tcPr>
          <w:p w:rsidR="006178BD" w:rsidRDefault="006178BD" w:rsidP="006040C3">
            <w:pPr>
              <w:spacing w:before="120" w:after="120"/>
              <w:rPr>
                <w:rFonts w:cs="Arial"/>
                <w:szCs w:val="18"/>
              </w:rPr>
            </w:pPr>
            <w:r>
              <w:rPr>
                <w:rFonts w:cs="Arial"/>
                <w:spacing w:val="-1"/>
              </w:rPr>
              <w:t>F</w:t>
            </w:r>
            <w:r>
              <w:rPr>
                <w:rFonts w:cs="Arial"/>
                <w:spacing w:val="2"/>
              </w:rPr>
              <w:t>r</w:t>
            </w:r>
            <w:r>
              <w:rPr>
                <w:rFonts w:cs="Arial"/>
                <w:spacing w:val="-5"/>
              </w:rPr>
              <w:t>o</w:t>
            </w:r>
            <w:r>
              <w:rPr>
                <w:rFonts w:cs="Arial"/>
              </w:rPr>
              <w:t>m</w:t>
            </w:r>
            <w:r>
              <w:rPr>
                <w:rFonts w:cs="Arial"/>
                <w:spacing w:val="8"/>
              </w:rPr>
              <w:t xml:space="preserve"> </w:t>
            </w:r>
            <w:r>
              <w:rPr>
                <w:rFonts w:cs="Arial"/>
              </w:rPr>
              <w:t>5</w:t>
            </w:r>
            <w:r>
              <w:rPr>
                <w:rFonts w:cs="Arial"/>
                <w:spacing w:val="-5"/>
              </w:rPr>
              <w:t>p</w:t>
            </w:r>
            <w:r>
              <w:rPr>
                <w:rFonts w:cs="Arial"/>
              </w:rPr>
              <w:t>m</w:t>
            </w:r>
            <w:r>
              <w:rPr>
                <w:rFonts w:cs="Arial"/>
                <w:spacing w:val="8"/>
              </w:rPr>
              <w:t xml:space="preserve"> </w:t>
            </w:r>
            <w:r>
              <w:rPr>
                <w:rFonts w:cs="Arial"/>
              </w:rPr>
              <w:t>to</w:t>
            </w:r>
            <w:r>
              <w:rPr>
                <w:rFonts w:cs="Arial"/>
                <w:spacing w:val="-2"/>
              </w:rPr>
              <w:t xml:space="preserve"> </w:t>
            </w:r>
            <w:r>
              <w:rPr>
                <w:rFonts w:cs="Arial"/>
              </w:rPr>
              <w:t>9pm</w:t>
            </w:r>
            <w:r>
              <w:rPr>
                <w:rFonts w:cs="Arial"/>
                <w:spacing w:val="6"/>
              </w:rPr>
              <w:t xml:space="preserve"> </w:t>
            </w:r>
            <w:r>
              <w:rPr>
                <w:rFonts w:cs="Arial"/>
                <w:spacing w:val="-5"/>
              </w:rPr>
              <w:t>o</w:t>
            </w:r>
            <w:r>
              <w:rPr>
                <w:rFonts w:cs="Arial"/>
              </w:rPr>
              <w:t>n</w:t>
            </w:r>
            <w:r>
              <w:rPr>
                <w:rFonts w:cs="Arial"/>
                <w:spacing w:val="4"/>
              </w:rPr>
              <w:t xml:space="preserve"> </w:t>
            </w:r>
            <w:r>
              <w:rPr>
                <w:rFonts w:cs="Arial"/>
                <w:spacing w:val="-2"/>
              </w:rPr>
              <w:t>w</w:t>
            </w:r>
            <w:r>
              <w:rPr>
                <w:rFonts w:cs="Arial"/>
                <w:spacing w:val="-5"/>
              </w:rPr>
              <w:t>o</w:t>
            </w:r>
            <w:r>
              <w:rPr>
                <w:rFonts w:cs="Arial"/>
                <w:spacing w:val="2"/>
              </w:rPr>
              <w:t>r</w:t>
            </w:r>
            <w:r>
              <w:rPr>
                <w:rFonts w:cs="Arial"/>
                <w:spacing w:val="-5"/>
              </w:rPr>
              <w:t>k</w:t>
            </w:r>
            <w:r>
              <w:rPr>
                <w:rFonts w:cs="Arial"/>
                <w:spacing w:val="3"/>
              </w:rPr>
              <w:t>i</w:t>
            </w:r>
            <w:r>
              <w:rPr>
                <w:rFonts w:cs="Arial"/>
                <w:spacing w:val="-1"/>
              </w:rPr>
              <w:t>n</w:t>
            </w:r>
            <w:r>
              <w:rPr>
                <w:rFonts w:cs="Arial"/>
              </w:rPr>
              <w:t>g</w:t>
            </w:r>
            <w:r>
              <w:rPr>
                <w:rFonts w:cs="Arial"/>
                <w:spacing w:val="3"/>
              </w:rPr>
              <w:t xml:space="preserve"> </w:t>
            </w:r>
            <w:r>
              <w:rPr>
                <w:rFonts w:cs="Arial"/>
                <w:spacing w:val="-2"/>
                <w:w w:val="101"/>
              </w:rPr>
              <w:t>w</w:t>
            </w:r>
            <w:r>
              <w:rPr>
                <w:rFonts w:cs="Arial"/>
                <w:spacing w:val="-5"/>
                <w:w w:val="101"/>
              </w:rPr>
              <w:t>ee</w:t>
            </w:r>
            <w:r>
              <w:rPr>
                <w:rFonts w:cs="Arial"/>
                <w:w w:val="101"/>
              </w:rPr>
              <w:t>k</w:t>
            </w:r>
            <w:r>
              <w:rPr>
                <w:rFonts w:cs="Arial"/>
                <w:spacing w:val="-1"/>
                <w:w w:val="101"/>
              </w:rPr>
              <w:t>da</w:t>
            </w:r>
            <w:r>
              <w:rPr>
                <w:rFonts w:cs="Arial"/>
                <w:w w:val="101"/>
              </w:rPr>
              <w:t>ys during 1 June to 31 August (inclusive)</w:t>
            </w:r>
          </w:p>
        </w:tc>
      </w:tr>
      <w:tr w:rsidR="006178BD" w:rsidTr="00722C30">
        <w:trPr>
          <w:trHeight w:val="365"/>
        </w:trPr>
        <w:tc>
          <w:tcPr>
            <w:tcW w:w="2268" w:type="dxa"/>
            <w:shd w:val="clear" w:color="auto" w:fill="97C5EA"/>
            <w:vAlign w:val="center"/>
          </w:tcPr>
          <w:p w:rsidR="006178BD" w:rsidRPr="00722C30" w:rsidRDefault="006178BD" w:rsidP="00722C30">
            <w:pPr>
              <w:spacing w:before="120" w:after="120"/>
              <w:ind w:left="34"/>
              <w:rPr>
                <w:rFonts w:cs="Arial"/>
                <w:b/>
                <w:bCs/>
                <w:szCs w:val="18"/>
              </w:rPr>
            </w:pPr>
            <w:r w:rsidRPr="00722C30">
              <w:rPr>
                <w:rFonts w:cs="Arial"/>
                <w:b/>
                <w:bCs/>
                <w:szCs w:val="18"/>
              </w:rPr>
              <w:t>Winter peak period (business)</w:t>
            </w:r>
          </w:p>
        </w:tc>
        <w:tc>
          <w:tcPr>
            <w:tcW w:w="6237" w:type="dxa"/>
            <w:shd w:val="clear" w:color="auto" w:fill="DEEAF6"/>
          </w:tcPr>
          <w:p w:rsidR="006178BD" w:rsidRDefault="006178BD">
            <w:pPr>
              <w:spacing w:before="120" w:after="120"/>
              <w:rPr>
                <w:rFonts w:cs="Arial"/>
                <w:spacing w:val="-1"/>
              </w:rPr>
            </w:pPr>
            <w:r>
              <w:rPr>
                <w:rFonts w:cs="Arial"/>
                <w:spacing w:val="-1"/>
              </w:rPr>
              <w:t>F</w:t>
            </w:r>
            <w:r>
              <w:rPr>
                <w:rFonts w:cs="Arial"/>
                <w:spacing w:val="2"/>
              </w:rPr>
              <w:t>r</w:t>
            </w:r>
            <w:r>
              <w:rPr>
                <w:rFonts w:cs="Arial"/>
                <w:spacing w:val="-5"/>
              </w:rPr>
              <w:t>o</w:t>
            </w:r>
            <w:r>
              <w:rPr>
                <w:rFonts w:cs="Arial"/>
              </w:rPr>
              <w:t>m</w:t>
            </w:r>
            <w:r>
              <w:rPr>
                <w:rFonts w:cs="Arial"/>
                <w:spacing w:val="8"/>
              </w:rPr>
              <w:t xml:space="preserve"> </w:t>
            </w:r>
            <w:r>
              <w:rPr>
                <w:rFonts w:cs="Arial"/>
              </w:rPr>
              <w:t>2</w:t>
            </w:r>
            <w:r>
              <w:rPr>
                <w:rFonts w:cs="Arial"/>
                <w:spacing w:val="-5"/>
              </w:rPr>
              <w:t>p</w:t>
            </w:r>
            <w:r>
              <w:rPr>
                <w:rFonts w:cs="Arial"/>
              </w:rPr>
              <w:t>m</w:t>
            </w:r>
            <w:r>
              <w:rPr>
                <w:rFonts w:cs="Arial"/>
                <w:spacing w:val="8"/>
              </w:rPr>
              <w:t xml:space="preserve"> </w:t>
            </w:r>
            <w:r>
              <w:rPr>
                <w:rFonts w:cs="Arial"/>
              </w:rPr>
              <w:t>to</w:t>
            </w:r>
            <w:r>
              <w:rPr>
                <w:rFonts w:cs="Arial"/>
                <w:spacing w:val="-2"/>
              </w:rPr>
              <w:t xml:space="preserve"> </w:t>
            </w:r>
            <w:r>
              <w:rPr>
                <w:rFonts w:cs="Arial"/>
              </w:rPr>
              <w:t>8pm</w:t>
            </w:r>
            <w:r>
              <w:rPr>
                <w:rFonts w:cs="Arial"/>
                <w:spacing w:val="6"/>
              </w:rPr>
              <w:t xml:space="preserve"> </w:t>
            </w:r>
            <w:r>
              <w:rPr>
                <w:rFonts w:cs="Arial"/>
                <w:spacing w:val="-5"/>
              </w:rPr>
              <w:t>o</w:t>
            </w:r>
            <w:r>
              <w:rPr>
                <w:rFonts w:cs="Arial"/>
              </w:rPr>
              <w:t>n</w:t>
            </w:r>
            <w:r>
              <w:rPr>
                <w:rFonts w:cs="Arial"/>
                <w:spacing w:val="4"/>
              </w:rPr>
              <w:t xml:space="preserve"> </w:t>
            </w:r>
            <w:r>
              <w:rPr>
                <w:rFonts w:cs="Arial"/>
                <w:spacing w:val="-2"/>
              </w:rPr>
              <w:t>w</w:t>
            </w:r>
            <w:r>
              <w:rPr>
                <w:rFonts w:cs="Arial"/>
                <w:spacing w:val="-5"/>
              </w:rPr>
              <w:t>o</w:t>
            </w:r>
            <w:r>
              <w:rPr>
                <w:rFonts w:cs="Arial"/>
                <w:spacing w:val="2"/>
              </w:rPr>
              <w:t>r</w:t>
            </w:r>
            <w:r>
              <w:rPr>
                <w:rFonts w:cs="Arial"/>
                <w:spacing w:val="-5"/>
              </w:rPr>
              <w:t>k</w:t>
            </w:r>
            <w:r>
              <w:rPr>
                <w:rFonts w:cs="Arial"/>
                <w:spacing w:val="3"/>
              </w:rPr>
              <w:t>i</w:t>
            </w:r>
            <w:r>
              <w:rPr>
                <w:rFonts w:cs="Arial"/>
                <w:spacing w:val="-1"/>
              </w:rPr>
              <w:t>n</w:t>
            </w:r>
            <w:r>
              <w:rPr>
                <w:rFonts w:cs="Arial"/>
              </w:rPr>
              <w:t>g</w:t>
            </w:r>
            <w:r>
              <w:rPr>
                <w:rFonts w:cs="Arial"/>
                <w:spacing w:val="3"/>
              </w:rPr>
              <w:t xml:space="preserve"> </w:t>
            </w:r>
            <w:r>
              <w:rPr>
                <w:rFonts w:cs="Arial"/>
                <w:spacing w:val="-2"/>
                <w:w w:val="101"/>
              </w:rPr>
              <w:t>w</w:t>
            </w:r>
            <w:r>
              <w:rPr>
                <w:rFonts w:cs="Arial"/>
                <w:spacing w:val="-5"/>
                <w:w w:val="101"/>
              </w:rPr>
              <w:t>ee</w:t>
            </w:r>
            <w:r>
              <w:rPr>
                <w:rFonts w:cs="Arial"/>
                <w:w w:val="101"/>
              </w:rPr>
              <w:t>k</w:t>
            </w:r>
            <w:r>
              <w:rPr>
                <w:rFonts w:cs="Arial"/>
                <w:spacing w:val="-1"/>
                <w:w w:val="101"/>
              </w:rPr>
              <w:t>da</w:t>
            </w:r>
            <w:r>
              <w:rPr>
                <w:rFonts w:cs="Arial"/>
                <w:w w:val="101"/>
              </w:rPr>
              <w:t>ys during 1 June to 31 August (inclusive)</w:t>
            </w:r>
          </w:p>
        </w:tc>
      </w:tr>
    </w:tbl>
    <w:p w:rsidR="008725DF" w:rsidRPr="00722C30" w:rsidRDefault="008725DF" w:rsidP="00BD7A0B">
      <w:pPr>
        <w:pStyle w:val="BodyText"/>
        <w:rPr>
          <w:rStyle w:val="AERbody"/>
        </w:rPr>
      </w:pPr>
    </w:p>
    <w:p w:rsidR="006A4FD9" w:rsidRPr="00722C30" w:rsidRDefault="0076655C" w:rsidP="007D0321">
      <w:pPr>
        <w:pStyle w:val="BodyText"/>
        <w:rPr>
          <w:rStyle w:val="AERbody"/>
        </w:rPr>
      </w:pPr>
      <w:r w:rsidRPr="00722C30">
        <w:rPr>
          <w:rStyle w:val="AERbody"/>
        </w:rPr>
        <w:t>On this basis, t</w:t>
      </w:r>
      <w:r w:rsidR="00557D57" w:rsidRPr="00722C30">
        <w:rPr>
          <w:rStyle w:val="AERbody"/>
        </w:rPr>
        <w:t>he two tables below present the peak, shoulder and off-peak periods</w:t>
      </w:r>
      <w:r w:rsidR="000928C7" w:rsidRPr="00722C30">
        <w:rPr>
          <w:rStyle w:val="AERbody"/>
        </w:rPr>
        <w:t xml:space="preserve"> for residential and business customers respectively.</w:t>
      </w:r>
    </w:p>
    <w:p w:rsidR="00490DAD" w:rsidRDefault="00490DAD">
      <w:pPr>
        <w:spacing w:after="0"/>
        <w:rPr>
          <w:rFonts w:ascii="Arial Bold" w:hAnsi="Arial Bold"/>
          <w:b/>
          <w:szCs w:val="18"/>
          <w:lang w:val="en-AU" w:eastAsia="en-AU"/>
        </w:rPr>
      </w:pPr>
      <w:r>
        <w:br w:type="page"/>
      </w:r>
    </w:p>
    <w:p w:rsidR="006A4FD9" w:rsidRDefault="00347193" w:rsidP="00EF3B7E">
      <w:pPr>
        <w:pStyle w:val="Caption"/>
      </w:pPr>
      <w:r w:rsidRPr="00073643">
        <w:lastRenderedPageBreak/>
        <w:t xml:space="preserve">Table </w:t>
      </w:r>
      <w:fldSimple w:instr=" SEQ Table \* ARABIC ">
        <w:r w:rsidR="00BE0834">
          <w:rPr>
            <w:noProof/>
          </w:rPr>
          <w:t>11</w:t>
        </w:r>
      </w:fldSimple>
      <w:r w:rsidRPr="00073643">
        <w:t xml:space="preserve"> –</w:t>
      </w:r>
      <w:r>
        <w:t xml:space="preserve"> </w:t>
      </w:r>
      <w:proofErr w:type="spellStart"/>
      <w:r w:rsidR="006A4FD9">
        <w:t>Ausgrid’s</w:t>
      </w:r>
      <w:proofErr w:type="spellEnd"/>
      <w:r w:rsidR="006A4FD9">
        <w:t xml:space="preserve"> Peak, Shoulder and Off-peak Periods </w:t>
      </w:r>
      <w:r w:rsidR="000928C7">
        <w:t xml:space="preserve">for residential customers </w:t>
      </w:r>
      <w:r w:rsidR="006A4FD9">
        <w:t xml:space="preserve">– Current Vs Proposed </w:t>
      </w:r>
    </w:p>
    <w:tbl>
      <w:tblPr>
        <w:tblW w:w="850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1"/>
        <w:gridCol w:w="2551"/>
        <w:gridCol w:w="4253"/>
      </w:tblGrid>
      <w:tr w:rsidR="006A4FD9" w:rsidTr="00722C30">
        <w:trPr>
          <w:trHeight w:val="513"/>
          <w:tblHeader/>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6A4FD9" w:rsidRDefault="006A4FD9" w:rsidP="00557D57">
            <w:pPr>
              <w:spacing w:before="120" w:after="120"/>
              <w:ind w:left="34"/>
              <w:jc w:val="center"/>
              <w:rPr>
                <w:rFonts w:cs="Arial"/>
                <w:b/>
                <w:bCs/>
                <w:color w:val="FFFFFF"/>
                <w:szCs w:val="18"/>
              </w:rPr>
            </w:pPr>
            <w:r>
              <w:rPr>
                <w:rFonts w:cs="Arial"/>
                <w:b/>
                <w:bCs/>
                <w:color w:val="FFFFFF"/>
                <w:szCs w:val="18"/>
              </w:rPr>
              <w:t>Time Period</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6A4FD9" w:rsidRDefault="006A4FD9" w:rsidP="00557D57">
            <w:pPr>
              <w:spacing w:before="120" w:after="120"/>
              <w:ind w:left="33"/>
              <w:jc w:val="center"/>
              <w:rPr>
                <w:rFonts w:cs="Arial"/>
                <w:b/>
                <w:bCs/>
                <w:color w:val="FFFFFF"/>
                <w:szCs w:val="18"/>
              </w:rPr>
            </w:pPr>
            <w:r>
              <w:rPr>
                <w:rFonts w:cs="Arial"/>
                <w:b/>
                <w:bCs/>
                <w:color w:val="FFFFFF"/>
                <w:szCs w:val="18"/>
              </w:rPr>
              <w:t>Existing Definition</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6A4FD9" w:rsidRDefault="006A4FD9" w:rsidP="00722C30">
            <w:pPr>
              <w:spacing w:before="120" w:after="120"/>
              <w:ind w:left="33"/>
              <w:rPr>
                <w:rFonts w:cs="Arial"/>
                <w:b/>
                <w:bCs/>
                <w:color w:val="FFFFFF"/>
                <w:szCs w:val="18"/>
              </w:rPr>
            </w:pPr>
            <w:r>
              <w:rPr>
                <w:rFonts w:cs="Arial"/>
                <w:b/>
                <w:bCs/>
                <w:color w:val="FFFFFF"/>
                <w:szCs w:val="18"/>
              </w:rPr>
              <w:t>New Seasonal Peak Period Definition</w:t>
            </w:r>
            <w:r w:rsidR="007C7FCE">
              <w:rPr>
                <w:rFonts w:cs="Arial"/>
                <w:b/>
                <w:bCs/>
                <w:color w:val="FFFFFF"/>
                <w:szCs w:val="18"/>
              </w:rPr>
              <w:t xml:space="preserve"> from 1 July 2018</w:t>
            </w:r>
          </w:p>
        </w:tc>
      </w:tr>
      <w:tr w:rsidR="006A4FD9" w:rsidTr="00722C30">
        <w:trPr>
          <w:trHeight w:val="371"/>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hideMark/>
          </w:tcPr>
          <w:p w:rsidR="006A4FD9" w:rsidRDefault="006A4FD9" w:rsidP="00557D57">
            <w:pPr>
              <w:spacing w:before="120" w:after="120"/>
              <w:ind w:left="34"/>
              <w:rPr>
                <w:rFonts w:cs="Arial"/>
                <w:b/>
                <w:bCs/>
                <w:szCs w:val="18"/>
              </w:rPr>
            </w:pPr>
            <w:r>
              <w:rPr>
                <w:rFonts w:cs="Arial"/>
                <w:b/>
                <w:bCs/>
                <w:szCs w:val="18"/>
              </w:rPr>
              <w:t>Peak period</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Default="006A4FD9" w:rsidP="00557D57">
            <w:pPr>
              <w:spacing w:before="120" w:after="120"/>
              <w:ind w:left="33"/>
              <w:rPr>
                <w:rFonts w:cs="Arial"/>
                <w:szCs w:val="18"/>
              </w:rPr>
            </w:pPr>
            <w:r>
              <w:rPr>
                <w:rFonts w:cs="Arial"/>
                <w:spacing w:val="-1"/>
              </w:rPr>
              <w:t>F</w:t>
            </w:r>
            <w:r>
              <w:rPr>
                <w:rFonts w:cs="Arial"/>
                <w:spacing w:val="2"/>
              </w:rPr>
              <w:t>r</w:t>
            </w:r>
            <w:r>
              <w:rPr>
                <w:rFonts w:cs="Arial"/>
                <w:spacing w:val="-5"/>
              </w:rPr>
              <w:t>o</w:t>
            </w:r>
            <w:r>
              <w:rPr>
                <w:rFonts w:cs="Arial"/>
              </w:rPr>
              <w:t>m</w:t>
            </w:r>
            <w:r>
              <w:rPr>
                <w:rFonts w:cs="Arial"/>
                <w:spacing w:val="8"/>
              </w:rPr>
              <w:t xml:space="preserve"> </w:t>
            </w:r>
            <w:r>
              <w:rPr>
                <w:rFonts w:cs="Arial"/>
              </w:rPr>
              <w:t>2</w:t>
            </w:r>
            <w:r>
              <w:rPr>
                <w:rFonts w:cs="Arial"/>
                <w:spacing w:val="-2"/>
              </w:rPr>
              <w:t xml:space="preserve"> </w:t>
            </w:r>
            <w:r>
              <w:rPr>
                <w:rFonts w:cs="Arial"/>
                <w:spacing w:val="-5"/>
              </w:rPr>
              <w:t>p</w:t>
            </w:r>
            <w:r>
              <w:rPr>
                <w:rFonts w:cs="Arial"/>
              </w:rPr>
              <w:t>m</w:t>
            </w:r>
            <w:r>
              <w:rPr>
                <w:rFonts w:cs="Arial"/>
                <w:spacing w:val="8"/>
              </w:rPr>
              <w:t xml:space="preserve"> </w:t>
            </w:r>
            <w:r>
              <w:rPr>
                <w:rFonts w:cs="Arial"/>
              </w:rPr>
              <w:t>–</w:t>
            </w:r>
            <w:r>
              <w:rPr>
                <w:rFonts w:cs="Arial"/>
                <w:spacing w:val="-2"/>
              </w:rPr>
              <w:t xml:space="preserve"> </w:t>
            </w:r>
            <w:r>
              <w:rPr>
                <w:rFonts w:cs="Arial"/>
              </w:rPr>
              <w:t>8</w:t>
            </w:r>
            <w:r>
              <w:rPr>
                <w:rFonts w:cs="Arial"/>
                <w:spacing w:val="-2"/>
              </w:rPr>
              <w:t xml:space="preserve"> </w:t>
            </w:r>
            <w:r>
              <w:rPr>
                <w:rFonts w:cs="Arial"/>
                <w:spacing w:val="-5"/>
              </w:rPr>
              <w:t>p</w:t>
            </w:r>
            <w:r>
              <w:rPr>
                <w:rFonts w:cs="Arial"/>
              </w:rPr>
              <w:t>m</w:t>
            </w:r>
            <w:r>
              <w:rPr>
                <w:rFonts w:cs="Arial"/>
                <w:spacing w:val="6"/>
              </w:rPr>
              <w:t xml:space="preserve"> </w:t>
            </w:r>
            <w:r>
              <w:rPr>
                <w:rFonts w:cs="Arial"/>
                <w:spacing w:val="-5"/>
              </w:rPr>
              <w:t>o</w:t>
            </w:r>
            <w:r>
              <w:rPr>
                <w:rFonts w:cs="Arial"/>
              </w:rPr>
              <w:t>n</w:t>
            </w:r>
            <w:r>
              <w:rPr>
                <w:rFonts w:cs="Arial"/>
                <w:spacing w:val="4"/>
              </w:rPr>
              <w:t xml:space="preserve"> </w:t>
            </w:r>
            <w:r>
              <w:rPr>
                <w:rFonts w:cs="Arial"/>
                <w:spacing w:val="-2"/>
              </w:rPr>
              <w:t>w</w:t>
            </w:r>
            <w:r>
              <w:rPr>
                <w:rFonts w:cs="Arial"/>
                <w:spacing w:val="-5"/>
              </w:rPr>
              <w:t>o</w:t>
            </w:r>
            <w:r>
              <w:rPr>
                <w:rFonts w:cs="Arial"/>
                <w:spacing w:val="2"/>
              </w:rPr>
              <w:t>r</w:t>
            </w:r>
            <w:r>
              <w:rPr>
                <w:rFonts w:cs="Arial"/>
                <w:spacing w:val="-5"/>
              </w:rPr>
              <w:t>k</w:t>
            </w:r>
            <w:r>
              <w:rPr>
                <w:rFonts w:cs="Arial"/>
                <w:spacing w:val="3"/>
              </w:rPr>
              <w:t>i</w:t>
            </w:r>
            <w:r>
              <w:rPr>
                <w:rFonts w:cs="Arial"/>
                <w:spacing w:val="-1"/>
              </w:rPr>
              <w:t>n</w:t>
            </w:r>
            <w:r>
              <w:rPr>
                <w:rFonts w:cs="Arial"/>
              </w:rPr>
              <w:t>g</w:t>
            </w:r>
            <w:r>
              <w:rPr>
                <w:rFonts w:cs="Arial"/>
                <w:spacing w:val="3"/>
              </w:rPr>
              <w:t xml:space="preserve"> </w:t>
            </w:r>
            <w:r>
              <w:rPr>
                <w:rFonts w:cs="Arial"/>
                <w:spacing w:val="-2"/>
                <w:w w:val="101"/>
              </w:rPr>
              <w:t>w</w:t>
            </w:r>
            <w:r>
              <w:rPr>
                <w:rFonts w:cs="Arial"/>
                <w:spacing w:val="-5"/>
                <w:w w:val="101"/>
              </w:rPr>
              <w:t>ee</w:t>
            </w:r>
            <w:r>
              <w:rPr>
                <w:rFonts w:cs="Arial"/>
                <w:w w:val="101"/>
              </w:rPr>
              <w:t>k</w:t>
            </w:r>
            <w:r>
              <w:rPr>
                <w:rFonts w:cs="Arial"/>
                <w:spacing w:val="-1"/>
                <w:w w:val="101"/>
              </w:rPr>
              <w:t>da</w:t>
            </w:r>
            <w:r>
              <w:rPr>
                <w:rFonts w:cs="Arial"/>
                <w:w w:val="101"/>
              </w:rPr>
              <w:t>ys</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Default="006A4FD9" w:rsidP="00557D57">
            <w:pPr>
              <w:spacing w:before="120" w:after="120"/>
              <w:ind w:left="34"/>
              <w:rPr>
                <w:rFonts w:cs="Arial"/>
                <w:szCs w:val="18"/>
              </w:rPr>
            </w:pPr>
            <w:r>
              <w:rPr>
                <w:rFonts w:cs="Arial"/>
                <w:szCs w:val="18"/>
              </w:rPr>
              <w:t>N/A</w:t>
            </w:r>
          </w:p>
        </w:tc>
      </w:tr>
      <w:tr w:rsidR="006A4FD9" w:rsidTr="00722C30">
        <w:trPr>
          <w:trHeight w:val="568"/>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hideMark/>
          </w:tcPr>
          <w:p w:rsidR="006A4FD9" w:rsidRDefault="006A4FD9" w:rsidP="00557D57">
            <w:pPr>
              <w:spacing w:before="120" w:after="120"/>
              <w:ind w:left="34"/>
              <w:rPr>
                <w:rFonts w:cs="Arial"/>
                <w:b/>
                <w:bCs/>
                <w:szCs w:val="18"/>
              </w:rPr>
            </w:pPr>
            <w:r>
              <w:rPr>
                <w:rFonts w:cs="Arial"/>
                <w:b/>
                <w:bCs/>
                <w:szCs w:val="18"/>
              </w:rPr>
              <w:t>Summer peak period</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hideMark/>
          </w:tcPr>
          <w:p w:rsidR="006A4FD9" w:rsidRDefault="006A4FD9" w:rsidP="00557D57">
            <w:pPr>
              <w:spacing w:before="120" w:after="120"/>
              <w:ind w:left="33"/>
              <w:rPr>
                <w:rFonts w:cs="Arial"/>
                <w:szCs w:val="18"/>
              </w:rPr>
            </w:pPr>
            <w:r>
              <w:rPr>
                <w:rFonts w:cs="Arial"/>
                <w:szCs w:val="18"/>
              </w:rPr>
              <w:t>N/A</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Default="006A4FD9" w:rsidP="00557D57">
            <w:pPr>
              <w:spacing w:before="120" w:after="120"/>
              <w:rPr>
                <w:rFonts w:cs="Arial"/>
                <w:szCs w:val="18"/>
              </w:rPr>
            </w:pPr>
            <w:r>
              <w:rPr>
                <w:rFonts w:cs="Arial"/>
                <w:spacing w:val="-1"/>
              </w:rPr>
              <w:t>F</w:t>
            </w:r>
            <w:r>
              <w:rPr>
                <w:rFonts w:cs="Arial"/>
                <w:spacing w:val="2"/>
              </w:rPr>
              <w:t>r</w:t>
            </w:r>
            <w:r>
              <w:rPr>
                <w:rFonts w:cs="Arial"/>
                <w:spacing w:val="-5"/>
              </w:rPr>
              <w:t>o</w:t>
            </w:r>
            <w:r>
              <w:rPr>
                <w:rFonts w:cs="Arial"/>
              </w:rPr>
              <w:t>m</w:t>
            </w:r>
            <w:r>
              <w:rPr>
                <w:rFonts w:cs="Arial"/>
                <w:spacing w:val="8"/>
              </w:rPr>
              <w:t xml:space="preserve"> </w:t>
            </w:r>
            <w:r>
              <w:rPr>
                <w:rFonts w:cs="Arial"/>
              </w:rPr>
              <w:t>2</w:t>
            </w:r>
            <w:r>
              <w:rPr>
                <w:rFonts w:cs="Arial"/>
                <w:spacing w:val="-5"/>
              </w:rPr>
              <w:t>p</w:t>
            </w:r>
            <w:r>
              <w:rPr>
                <w:rFonts w:cs="Arial"/>
              </w:rPr>
              <w:t>m</w:t>
            </w:r>
            <w:r>
              <w:rPr>
                <w:rFonts w:cs="Arial"/>
                <w:spacing w:val="8"/>
              </w:rPr>
              <w:t xml:space="preserve"> </w:t>
            </w:r>
            <w:r>
              <w:rPr>
                <w:rFonts w:cs="Arial"/>
              </w:rPr>
              <w:t>–</w:t>
            </w:r>
            <w:r>
              <w:rPr>
                <w:rFonts w:cs="Arial"/>
                <w:spacing w:val="-2"/>
              </w:rPr>
              <w:t xml:space="preserve"> </w:t>
            </w:r>
            <w:r>
              <w:rPr>
                <w:rFonts w:cs="Arial"/>
              </w:rPr>
              <w:t>8</w:t>
            </w:r>
            <w:r>
              <w:rPr>
                <w:rFonts w:cs="Arial"/>
                <w:spacing w:val="-5"/>
              </w:rPr>
              <w:t>p</w:t>
            </w:r>
            <w:r>
              <w:rPr>
                <w:rFonts w:cs="Arial"/>
              </w:rPr>
              <w:t>m</w:t>
            </w:r>
            <w:r>
              <w:rPr>
                <w:rFonts w:cs="Arial"/>
                <w:spacing w:val="6"/>
              </w:rPr>
              <w:t xml:space="preserve"> </w:t>
            </w:r>
            <w:r>
              <w:rPr>
                <w:rFonts w:cs="Arial"/>
                <w:spacing w:val="-5"/>
              </w:rPr>
              <w:t>o</w:t>
            </w:r>
            <w:r>
              <w:rPr>
                <w:rFonts w:cs="Arial"/>
              </w:rPr>
              <w:t>n</w:t>
            </w:r>
            <w:r>
              <w:rPr>
                <w:rFonts w:cs="Arial"/>
                <w:spacing w:val="4"/>
              </w:rPr>
              <w:t xml:space="preserve"> </w:t>
            </w:r>
            <w:r>
              <w:rPr>
                <w:rFonts w:cs="Arial"/>
                <w:spacing w:val="-2"/>
              </w:rPr>
              <w:t>w</w:t>
            </w:r>
            <w:r>
              <w:rPr>
                <w:rFonts w:cs="Arial"/>
                <w:spacing w:val="-5"/>
              </w:rPr>
              <w:t>o</w:t>
            </w:r>
            <w:r>
              <w:rPr>
                <w:rFonts w:cs="Arial"/>
                <w:spacing w:val="2"/>
              </w:rPr>
              <w:t>r</w:t>
            </w:r>
            <w:r>
              <w:rPr>
                <w:rFonts w:cs="Arial"/>
                <w:spacing w:val="-5"/>
              </w:rPr>
              <w:t>k</w:t>
            </w:r>
            <w:r>
              <w:rPr>
                <w:rFonts w:cs="Arial"/>
                <w:spacing w:val="3"/>
              </w:rPr>
              <w:t>i</w:t>
            </w:r>
            <w:r>
              <w:rPr>
                <w:rFonts w:cs="Arial"/>
                <w:spacing w:val="-1"/>
              </w:rPr>
              <w:t>n</w:t>
            </w:r>
            <w:r>
              <w:rPr>
                <w:rFonts w:cs="Arial"/>
              </w:rPr>
              <w:t>g</w:t>
            </w:r>
            <w:r>
              <w:rPr>
                <w:rFonts w:cs="Arial"/>
                <w:spacing w:val="3"/>
              </w:rPr>
              <w:t xml:space="preserve"> </w:t>
            </w:r>
            <w:r>
              <w:rPr>
                <w:rFonts w:cs="Arial"/>
                <w:spacing w:val="-2"/>
                <w:w w:val="101"/>
              </w:rPr>
              <w:t>w</w:t>
            </w:r>
            <w:r>
              <w:rPr>
                <w:rFonts w:cs="Arial"/>
                <w:spacing w:val="-5"/>
                <w:w w:val="101"/>
              </w:rPr>
              <w:t>ee</w:t>
            </w:r>
            <w:r>
              <w:rPr>
                <w:rFonts w:cs="Arial"/>
                <w:w w:val="101"/>
              </w:rPr>
              <w:t>k</w:t>
            </w:r>
            <w:r>
              <w:rPr>
                <w:rFonts w:cs="Arial"/>
                <w:spacing w:val="-1"/>
                <w:w w:val="101"/>
              </w:rPr>
              <w:t>da</w:t>
            </w:r>
            <w:r>
              <w:rPr>
                <w:rFonts w:cs="Arial"/>
                <w:w w:val="101"/>
              </w:rPr>
              <w:t>ys during 1 November and 31 March (inclusive)</w:t>
            </w:r>
          </w:p>
        </w:tc>
      </w:tr>
      <w:tr w:rsidR="006A4FD9" w:rsidTr="00722C30">
        <w:trPr>
          <w:trHeight w:val="349"/>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hideMark/>
          </w:tcPr>
          <w:p w:rsidR="006A4FD9" w:rsidRDefault="006A4FD9" w:rsidP="00557D57">
            <w:pPr>
              <w:spacing w:before="120" w:after="120"/>
              <w:ind w:left="34"/>
              <w:rPr>
                <w:rFonts w:cs="Arial"/>
                <w:b/>
                <w:bCs/>
                <w:szCs w:val="18"/>
              </w:rPr>
            </w:pPr>
            <w:r>
              <w:rPr>
                <w:rFonts w:cs="Arial"/>
                <w:b/>
                <w:bCs/>
                <w:szCs w:val="18"/>
              </w:rPr>
              <w:t>Winter peak period</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hideMark/>
          </w:tcPr>
          <w:p w:rsidR="006A4FD9" w:rsidRDefault="006A4FD9" w:rsidP="00557D57">
            <w:pPr>
              <w:spacing w:before="120" w:after="120"/>
              <w:ind w:left="33"/>
              <w:rPr>
                <w:rFonts w:cs="Arial"/>
                <w:szCs w:val="18"/>
              </w:rPr>
            </w:pPr>
            <w:r>
              <w:rPr>
                <w:rFonts w:cs="Arial"/>
                <w:szCs w:val="18"/>
              </w:rPr>
              <w:t>N/A</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Default="006A4FD9">
            <w:pPr>
              <w:spacing w:before="120" w:after="120"/>
              <w:rPr>
                <w:rFonts w:cs="Arial"/>
                <w:szCs w:val="18"/>
              </w:rPr>
            </w:pPr>
            <w:r w:rsidRPr="000928C7">
              <w:rPr>
                <w:rFonts w:cs="Arial"/>
                <w:spacing w:val="-1"/>
              </w:rPr>
              <w:t>F</w:t>
            </w:r>
            <w:r w:rsidRPr="000928C7">
              <w:rPr>
                <w:rFonts w:cs="Arial"/>
                <w:spacing w:val="2"/>
              </w:rPr>
              <w:t>r</w:t>
            </w:r>
            <w:r w:rsidRPr="000928C7">
              <w:rPr>
                <w:rFonts w:cs="Arial"/>
                <w:spacing w:val="-5"/>
              </w:rPr>
              <w:t>o</w:t>
            </w:r>
            <w:r w:rsidRPr="000928C7">
              <w:rPr>
                <w:rFonts w:cs="Arial"/>
              </w:rPr>
              <w:t>m</w:t>
            </w:r>
            <w:r w:rsidRPr="000928C7">
              <w:rPr>
                <w:rFonts w:cs="Arial"/>
                <w:spacing w:val="8"/>
              </w:rPr>
              <w:t xml:space="preserve"> </w:t>
            </w:r>
            <w:r w:rsidR="000928C7" w:rsidRPr="0075101A">
              <w:rPr>
                <w:rFonts w:cs="Arial"/>
              </w:rPr>
              <w:t>5</w:t>
            </w:r>
            <w:r w:rsidRPr="0075101A">
              <w:rPr>
                <w:rFonts w:cs="Arial"/>
                <w:spacing w:val="-5"/>
              </w:rPr>
              <w:t>p</w:t>
            </w:r>
            <w:r w:rsidRPr="0075101A">
              <w:rPr>
                <w:rFonts w:cs="Arial"/>
              </w:rPr>
              <w:t>m</w:t>
            </w:r>
            <w:r w:rsidRPr="0075101A">
              <w:rPr>
                <w:rFonts w:cs="Arial"/>
                <w:spacing w:val="8"/>
              </w:rPr>
              <w:t xml:space="preserve"> </w:t>
            </w:r>
            <w:r w:rsidRPr="0075101A">
              <w:rPr>
                <w:rFonts w:cs="Arial"/>
              </w:rPr>
              <w:t>–</w:t>
            </w:r>
            <w:r w:rsidRPr="0075101A">
              <w:rPr>
                <w:rFonts w:cs="Arial"/>
                <w:spacing w:val="-2"/>
              </w:rPr>
              <w:t xml:space="preserve"> </w:t>
            </w:r>
            <w:r w:rsidR="000928C7" w:rsidRPr="0075101A">
              <w:rPr>
                <w:rFonts w:cs="Arial"/>
              </w:rPr>
              <w:t>9</w:t>
            </w:r>
            <w:r w:rsidRPr="0075101A">
              <w:rPr>
                <w:rFonts w:cs="Arial"/>
                <w:spacing w:val="-5"/>
              </w:rPr>
              <w:t>p</w:t>
            </w:r>
            <w:r w:rsidRPr="0075101A">
              <w:rPr>
                <w:rFonts w:cs="Arial"/>
              </w:rPr>
              <w:t>m</w:t>
            </w:r>
            <w:r w:rsidRPr="000928C7">
              <w:rPr>
                <w:rFonts w:cs="Arial"/>
                <w:spacing w:val="6"/>
              </w:rPr>
              <w:t xml:space="preserve"> </w:t>
            </w:r>
            <w:r w:rsidRPr="000928C7">
              <w:rPr>
                <w:rFonts w:cs="Arial"/>
                <w:spacing w:val="-5"/>
              </w:rPr>
              <w:t>o</w:t>
            </w:r>
            <w:r w:rsidRPr="000928C7">
              <w:rPr>
                <w:rFonts w:cs="Arial"/>
              </w:rPr>
              <w:t>n</w:t>
            </w:r>
            <w:r w:rsidRPr="000928C7">
              <w:rPr>
                <w:rFonts w:cs="Arial"/>
                <w:spacing w:val="4"/>
              </w:rPr>
              <w:t xml:space="preserve"> </w:t>
            </w:r>
            <w:r w:rsidRPr="000928C7">
              <w:rPr>
                <w:rFonts w:cs="Arial"/>
                <w:spacing w:val="-2"/>
              </w:rPr>
              <w:t>w</w:t>
            </w:r>
            <w:r w:rsidRPr="000928C7">
              <w:rPr>
                <w:rFonts w:cs="Arial"/>
                <w:spacing w:val="-5"/>
              </w:rPr>
              <w:t>o</w:t>
            </w:r>
            <w:r w:rsidRPr="000928C7">
              <w:rPr>
                <w:rFonts w:cs="Arial"/>
                <w:spacing w:val="2"/>
              </w:rPr>
              <w:t>r</w:t>
            </w:r>
            <w:r w:rsidRPr="000928C7">
              <w:rPr>
                <w:rFonts w:cs="Arial"/>
                <w:spacing w:val="-5"/>
              </w:rPr>
              <w:t>k</w:t>
            </w:r>
            <w:r w:rsidRPr="000928C7">
              <w:rPr>
                <w:rFonts w:cs="Arial"/>
                <w:spacing w:val="3"/>
              </w:rPr>
              <w:t>i</w:t>
            </w:r>
            <w:r w:rsidRPr="000928C7">
              <w:rPr>
                <w:rFonts w:cs="Arial"/>
                <w:spacing w:val="-1"/>
              </w:rPr>
              <w:t>n</w:t>
            </w:r>
            <w:r w:rsidRPr="000928C7">
              <w:rPr>
                <w:rFonts w:cs="Arial"/>
              </w:rPr>
              <w:t>g</w:t>
            </w:r>
            <w:r w:rsidRPr="000928C7">
              <w:rPr>
                <w:rFonts w:cs="Arial"/>
                <w:spacing w:val="3"/>
              </w:rPr>
              <w:t xml:space="preserve"> </w:t>
            </w:r>
            <w:r w:rsidRPr="000928C7">
              <w:rPr>
                <w:rFonts w:cs="Arial"/>
                <w:spacing w:val="-2"/>
                <w:w w:val="101"/>
              </w:rPr>
              <w:t>w</w:t>
            </w:r>
            <w:r w:rsidRPr="000928C7">
              <w:rPr>
                <w:rFonts w:cs="Arial"/>
                <w:spacing w:val="-5"/>
                <w:w w:val="101"/>
              </w:rPr>
              <w:t>ee</w:t>
            </w:r>
            <w:r w:rsidRPr="000928C7">
              <w:rPr>
                <w:rFonts w:cs="Arial"/>
                <w:w w:val="101"/>
              </w:rPr>
              <w:t>k</w:t>
            </w:r>
            <w:r w:rsidRPr="000928C7">
              <w:rPr>
                <w:rFonts w:cs="Arial"/>
                <w:spacing w:val="-1"/>
                <w:w w:val="101"/>
              </w:rPr>
              <w:t>da</w:t>
            </w:r>
            <w:r w:rsidRPr="000928C7">
              <w:rPr>
                <w:rFonts w:cs="Arial"/>
                <w:w w:val="101"/>
              </w:rPr>
              <w:t>ys during 1 June to 31 August</w:t>
            </w:r>
            <w:r>
              <w:rPr>
                <w:rFonts w:cs="Arial"/>
                <w:w w:val="101"/>
              </w:rPr>
              <w:t xml:space="preserve"> (inclusive)</w:t>
            </w:r>
          </w:p>
        </w:tc>
      </w:tr>
      <w:tr w:rsidR="006A4FD9" w:rsidTr="00722C30">
        <w:trPr>
          <w:trHeight w:val="227"/>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hideMark/>
          </w:tcPr>
          <w:p w:rsidR="006A4FD9" w:rsidRDefault="006A4FD9" w:rsidP="00557D57">
            <w:pPr>
              <w:spacing w:before="120" w:after="120"/>
              <w:ind w:left="34"/>
              <w:rPr>
                <w:rFonts w:cs="Arial"/>
                <w:b/>
                <w:bCs/>
                <w:szCs w:val="18"/>
              </w:rPr>
            </w:pPr>
            <w:r>
              <w:rPr>
                <w:rFonts w:cs="Arial"/>
                <w:b/>
                <w:bCs/>
                <w:szCs w:val="18"/>
              </w:rPr>
              <w:t>Shoulder period</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Default="006A4FD9" w:rsidP="00557D57">
            <w:pPr>
              <w:spacing w:before="120" w:after="120"/>
              <w:ind w:left="33"/>
              <w:rPr>
                <w:rFonts w:cs="Arial"/>
              </w:rPr>
            </w:pPr>
            <w:r>
              <w:rPr>
                <w:rFonts w:cs="Arial"/>
                <w:spacing w:val="-1"/>
              </w:rPr>
              <w:t>F</w:t>
            </w:r>
            <w:r>
              <w:rPr>
                <w:rFonts w:cs="Arial"/>
                <w:spacing w:val="2"/>
              </w:rPr>
              <w:t>r</w:t>
            </w:r>
            <w:r>
              <w:rPr>
                <w:rFonts w:cs="Arial"/>
                <w:spacing w:val="-5"/>
              </w:rPr>
              <w:t>o</w:t>
            </w:r>
            <w:r>
              <w:rPr>
                <w:rFonts w:cs="Arial"/>
              </w:rPr>
              <w:t>m</w:t>
            </w:r>
            <w:r>
              <w:rPr>
                <w:rFonts w:cs="Arial"/>
                <w:spacing w:val="8"/>
              </w:rPr>
              <w:t xml:space="preserve"> </w:t>
            </w:r>
            <w:r>
              <w:rPr>
                <w:rFonts w:cs="Arial"/>
              </w:rPr>
              <w:t>7</w:t>
            </w:r>
            <w:r>
              <w:rPr>
                <w:rFonts w:cs="Arial"/>
                <w:spacing w:val="-2"/>
              </w:rPr>
              <w:t xml:space="preserve"> </w:t>
            </w:r>
            <w:r>
              <w:rPr>
                <w:rFonts w:cs="Arial"/>
                <w:spacing w:val="-5"/>
              </w:rPr>
              <w:t>a</w:t>
            </w:r>
            <w:r>
              <w:rPr>
                <w:rFonts w:cs="Arial"/>
              </w:rPr>
              <w:t>m</w:t>
            </w:r>
            <w:r>
              <w:rPr>
                <w:rFonts w:cs="Arial"/>
                <w:spacing w:val="8"/>
              </w:rPr>
              <w:t xml:space="preserve"> </w:t>
            </w:r>
            <w:r>
              <w:rPr>
                <w:rFonts w:cs="Arial"/>
              </w:rPr>
              <w:t>–</w:t>
            </w:r>
            <w:r>
              <w:rPr>
                <w:rFonts w:cs="Arial"/>
                <w:spacing w:val="-2"/>
              </w:rPr>
              <w:t xml:space="preserve"> </w:t>
            </w:r>
            <w:r>
              <w:rPr>
                <w:rFonts w:cs="Arial"/>
              </w:rPr>
              <w:t>2</w:t>
            </w:r>
            <w:r>
              <w:rPr>
                <w:rFonts w:cs="Arial"/>
                <w:spacing w:val="-2"/>
              </w:rPr>
              <w:t xml:space="preserve"> </w:t>
            </w:r>
            <w:r>
              <w:rPr>
                <w:rFonts w:cs="Arial"/>
                <w:spacing w:val="-5"/>
              </w:rPr>
              <w:t>p</w:t>
            </w:r>
            <w:r>
              <w:rPr>
                <w:rFonts w:cs="Arial"/>
              </w:rPr>
              <w:t>m</w:t>
            </w:r>
            <w:r>
              <w:rPr>
                <w:rFonts w:cs="Arial"/>
                <w:spacing w:val="6"/>
              </w:rPr>
              <w:t xml:space="preserve"> </w:t>
            </w:r>
            <w:r>
              <w:rPr>
                <w:rFonts w:cs="Arial"/>
                <w:spacing w:val="-5"/>
              </w:rPr>
              <w:t>a</w:t>
            </w:r>
            <w:r>
              <w:rPr>
                <w:rFonts w:cs="Arial"/>
                <w:spacing w:val="-1"/>
              </w:rPr>
              <w:t>n</w:t>
            </w:r>
            <w:r>
              <w:rPr>
                <w:rFonts w:cs="Arial"/>
              </w:rPr>
              <w:t>d</w:t>
            </w:r>
            <w:r>
              <w:rPr>
                <w:rFonts w:cs="Arial"/>
                <w:spacing w:val="5"/>
              </w:rPr>
              <w:t xml:space="preserve"> </w:t>
            </w:r>
            <w:r>
              <w:rPr>
                <w:rFonts w:cs="Arial"/>
              </w:rPr>
              <w:t>8</w:t>
            </w:r>
            <w:r>
              <w:rPr>
                <w:rFonts w:cs="Arial"/>
                <w:spacing w:val="-2"/>
              </w:rPr>
              <w:t xml:space="preserve"> </w:t>
            </w:r>
            <w:r>
              <w:rPr>
                <w:rFonts w:cs="Arial"/>
                <w:spacing w:val="-5"/>
              </w:rPr>
              <w:t>p</w:t>
            </w:r>
            <w:r>
              <w:rPr>
                <w:rFonts w:cs="Arial"/>
              </w:rPr>
              <w:t>m</w:t>
            </w:r>
            <w:r>
              <w:rPr>
                <w:rFonts w:cs="Arial"/>
                <w:spacing w:val="3"/>
              </w:rPr>
              <w:t xml:space="preserve"> </w:t>
            </w:r>
            <w:r>
              <w:rPr>
                <w:rFonts w:cs="Arial"/>
              </w:rPr>
              <w:t>–</w:t>
            </w:r>
            <w:r>
              <w:rPr>
                <w:rFonts w:cs="Arial"/>
                <w:spacing w:val="3"/>
              </w:rPr>
              <w:t xml:space="preserve"> </w:t>
            </w:r>
            <w:r>
              <w:rPr>
                <w:rFonts w:cs="Arial"/>
                <w:spacing w:val="-5"/>
              </w:rPr>
              <w:t>1</w:t>
            </w:r>
            <w:r>
              <w:rPr>
                <w:rFonts w:cs="Arial"/>
                <w:spacing w:val="-1"/>
              </w:rPr>
              <w:t>0</w:t>
            </w:r>
            <w:r>
              <w:rPr>
                <w:rFonts w:cs="Arial"/>
                <w:spacing w:val="-5"/>
              </w:rPr>
              <w:t>p</w:t>
            </w:r>
            <w:r>
              <w:rPr>
                <w:rFonts w:cs="Arial"/>
              </w:rPr>
              <w:t>m</w:t>
            </w:r>
            <w:r>
              <w:rPr>
                <w:rFonts w:cs="Arial"/>
                <w:spacing w:val="8"/>
              </w:rPr>
              <w:t xml:space="preserve"> </w:t>
            </w:r>
            <w:r>
              <w:rPr>
                <w:rFonts w:cs="Arial"/>
                <w:spacing w:val="-1"/>
              </w:rPr>
              <w:t>o</w:t>
            </w:r>
            <w:r>
              <w:rPr>
                <w:rFonts w:cs="Arial"/>
              </w:rPr>
              <w:t>n</w:t>
            </w:r>
            <w:r>
              <w:rPr>
                <w:rFonts w:cs="Arial"/>
                <w:spacing w:val="-1"/>
              </w:rPr>
              <w:t xml:space="preserve"> </w:t>
            </w:r>
            <w:r>
              <w:rPr>
                <w:rFonts w:cs="Arial"/>
                <w:spacing w:val="-2"/>
              </w:rPr>
              <w:t>w</w:t>
            </w:r>
            <w:r>
              <w:rPr>
                <w:rFonts w:cs="Arial"/>
                <w:spacing w:val="-5"/>
              </w:rPr>
              <w:t>o</w:t>
            </w:r>
            <w:r>
              <w:rPr>
                <w:rFonts w:cs="Arial"/>
                <w:spacing w:val="2"/>
              </w:rPr>
              <w:t>r</w:t>
            </w:r>
            <w:r>
              <w:rPr>
                <w:rFonts w:cs="Arial"/>
              </w:rPr>
              <w:t>k</w:t>
            </w:r>
            <w:r>
              <w:rPr>
                <w:rFonts w:cs="Arial"/>
                <w:spacing w:val="-2"/>
              </w:rPr>
              <w:t>i</w:t>
            </w:r>
            <w:r>
              <w:rPr>
                <w:rFonts w:cs="Arial"/>
                <w:spacing w:val="-1"/>
              </w:rPr>
              <w:t>n</w:t>
            </w:r>
            <w:r>
              <w:rPr>
                <w:rFonts w:cs="Arial"/>
              </w:rPr>
              <w:t>g</w:t>
            </w:r>
            <w:r>
              <w:rPr>
                <w:rFonts w:cs="Arial"/>
                <w:spacing w:val="8"/>
              </w:rPr>
              <w:t xml:space="preserve"> </w:t>
            </w:r>
            <w:r>
              <w:rPr>
                <w:rFonts w:cs="Arial"/>
                <w:spacing w:val="-2"/>
              </w:rPr>
              <w:t>w</w:t>
            </w:r>
            <w:r>
              <w:rPr>
                <w:rFonts w:cs="Arial"/>
                <w:spacing w:val="-5"/>
              </w:rPr>
              <w:t>ee</w:t>
            </w:r>
            <w:r>
              <w:rPr>
                <w:rFonts w:cs="Arial"/>
              </w:rPr>
              <w:t>k</w:t>
            </w:r>
            <w:r>
              <w:rPr>
                <w:rFonts w:cs="Arial"/>
                <w:spacing w:val="-1"/>
              </w:rPr>
              <w:t>da</w:t>
            </w:r>
            <w:r>
              <w:rPr>
                <w:rFonts w:cs="Arial"/>
              </w:rPr>
              <w:t>ys</w:t>
            </w:r>
          </w:p>
          <w:p w:rsidR="006A4FD9" w:rsidRDefault="006A4FD9" w:rsidP="00557D57">
            <w:pPr>
              <w:spacing w:before="120" w:after="120"/>
              <w:ind w:left="33"/>
              <w:rPr>
                <w:rFonts w:cs="Arial"/>
                <w:b/>
                <w:bCs/>
                <w:szCs w:val="18"/>
              </w:rPr>
            </w:pPr>
            <w:r>
              <w:rPr>
                <w:rFonts w:cs="Arial"/>
              </w:rPr>
              <w:t>From 7am to 10pm on weekends and public holidays</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76655C" w:rsidRDefault="0076655C" w:rsidP="00722C30">
            <w:pPr>
              <w:spacing w:before="40" w:after="40"/>
              <w:ind w:left="34"/>
              <w:rPr>
                <w:rFonts w:cs="Arial"/>
                <w:spacing w:val="-1"/>
              </w:rPr>
            </w:pPr>
            <w:r w:rsidRPr="009C3620">
              <w:rPr>
                <w:rFonts w:cs="Arial"/>
                <w:b/>
                <w:spacing w:val="-1"/>
              </w:rPr>
              <w:t>Note: In simple terms, the shoulder period runs from 7am to 10pm every day, except where a peak period applies</w:t>
            </w:r>
            <w:r w:rsidR="00114658">
              <w:rPr>
                <w:rFonts w:cs="Arial"/>
                <w:b/>
                <w:spacing w:val="-1"/>
              </w:rPr>
              <w:t xml:space="preserve"> during that period</w:t>
            </w:r>
            <w:r w:rsidRPr="009C3620">
              <w:rPr>
                <w:rFonts w:cs="Arial"/>
                <w:b/>
                <w:spacing w:val="-1"/>
              </w:rPr>
              <w:t>.</w:t>
            </w:r>
          </w:p>
          <w:p w:rsidR="000928C7" w:rsidRDefault="000928C7" w:rsidP="00722C30">
            <w:pPr>
              <w:spacing w:before="40" w:after="40"/>
              <w:ind w:left="34"/>
              <w:rPr>
                <w:rFonts w:cs="Arial"/>
              </w:rPr>
            </w:pPr>
            <w:r>
              <w:rPr>
                <w:rFonts w:cs="Arial"/>
                <w:spacing w:val="-1"/>
              </w:rPr>
              <w:t xml:space="preserve">In the summer months, from 7am to 2pm and from </w:t>
            </w:r>
            <w:r>
              <w:rPr>
                <w:rFonts w:cs="Arial"/>
              </w:rPr>
              <w:t>8</w:t>
            </w:r>
            <w:r>
              <w:rPr>
                <w:rFonts w:cs="Arial"/>
                <w:spacing w:val="-2"/>
              </w:rPr>
              <w:t xml:space="preserve"> </w:t>
            </w:r>
            <w:r>
              <w:rPr>
                <w:rFonts w:cs="Arial"/>
                <w:spacing w:val="-5"/>
              </w:rPr>
              <w:t>p</w:t>
            </w:r>
            <w:r>
              <w:rPr>
                <w:rFonts w:cs="Arial"/>
              </w:rPr>
              <w:t>m</w:t>
            </w:r>
            <w:r>
              <w:rPr>
                <w:rFonts w:cs="Arial"/>
                <w:spacing w:val="3"/>
              </w:rPr>
              <w:t xml:space="preserve"> </w:t>
            </w:r>
            <w:r>
              <w:rPr>
                <w:rFonts w:cs="Arial"/>
              </w:rPr>
              <w:t>to</w:t>
            </w:r>
            <w:r>
              <w:rPr>
                <w:rFonts w:cs="Arial"/>
                <w:spacing w:val="3"/>
              </w:rPr>
              <w:t xml:space="preserve"> </w:t>
            </w:r>
            <w:r>
              <w:rPr>
                <w:rFonts w:cs="Arial"/>
                <w:spacing w:val="-5"/>
              </w:rPr>
              <w:t>1</w:t>
            </w:r>
            <w:r>
              <w:rPr>
                <w:rFonts w:cs="Arial"/>
                <w:spacing w:val="-1"/>
              </w:rPr>
              <w:t>0</w:t>
            </w:r>
            <w:r>
              <w:rPr>
                <w:rFonts w:cs="Arial"/>
                <w:spacing w:val="-5"/>
              </w:rPr>
              <w:t>p</w:t>
            </w:r>
            <w:r>
              <w:rPr>
                <w:rFonts w:cs="Arial"/>
              </w:rPr>
              <w:t>m</w:t>
            </w:r>
            <w:r>
              <w:rPr>
                <w:rFonts w:cs="Arial"/>
                <w:spacing w:val="8"/>
              </w:rPr>
              <w:t xml:space="preserve"> </w:t>
            </w:r>
            <w:r>
              <w:rPr>
                <w:rFonts w:cs="Arial"/>
                <w:spacing w:val="-1"/>
              </w:rPr>
              <w:t>o</w:t>
            </w:r>
            <w:r>
              <w:rPr>
                <w:rFonts w:cs="Arial"/>
              </w:rPr>
              <w:t>n</w:t>
            </w:r>
            <w:r>
              <w:rPr>
                <w:rFonts w:cs="Arial"/>
                <w:spacing w:val="-1"/>
              </w:rPr>
              <w:t xml:space="preserve"> </w:t>
            </w:r>
            <w:r>
              <w:rPr>
                <w:rFonts w:cs="Arial"/>
                <w:spacing w:val="-2"/>
              </w:rPr>
              <w:t>w</w:t>
            </w:r>
            <w:r>
              <w:rPr>
                <w:rFonts w:cs="Arial"/>
                <w:spacing w:val="-5"/>
              </w:rPr>
              <w:t>o</w:t>
            </w:r>
            <w:r>
              <w:rPr>
                <w:rFonts w:cs="Arial"/>
                <w:spacing w:val="2"/>
              </w:rPr>
              <w:t>r</w:t>
            </w:r>
            <w:r>
              <w:rPr>
                <w:rFonts w:cs="Arial"/>
              </w:rPr>
              <w:t>k</w:t>
            </w:r>
            <w:r>
              <w:rPr>
                <w:rFonts w:cs="Arial"/>
                <w:spacing w:val="-2"/>
              </w:rPr>
              <w:t>i</w:t>
            </w:r>
            <w:r>
              <w:rPr>
                <w:rFonts w:cs="Arial"/>
                <w:spacing w:val="-1"/>
              </w:rPr>
              <w:t>n</w:t>
            </w:r>
            <w:r>
              <w:rPr>
                <w:rFonts w:cs="Arial"/>
              </w:rPr>
              <w:t>g</w:t>
            </w:r>
            <w:r>
              <w:rPr>
                <w:rFonts w:cs="Arial"/>
                <w:spacing w:val="8"/>
              </w:rPr>
              <w:t xml:space="preserve"> </w:t>
            </w:r>
            <w:r>
              <w:rPr>
                <w:rFonts w:cs="Arial"/>
                <w:spacing w:val="-2"/>
              </w:rPr>
              <w:t>w</w:t>
            </w:r>
            <w:r>
              <w:rPr>
                <w:rFonts w:cs="Arial"/>
                <w:spacing w:val="-5"/>
              </w:rPr>
              <w:t>ee</w:t>
            </w:r>
            <w:r>
              <w:rPr>
                <w:rFonts w:cs="Arial"/>
              </w:rPr>
              <w:t>k</w:t>
            </w:r>
            <w:r>
              <w:rPr>
                <w:rFonts w:cs="Arial"/>
                <w:spacing w:val="-1"/>
              </w:rPr>
              <w:t>da</w:t>
            </w:r>
            <w:r>
              <w:rPr>
                <w:rFonts w:cs="Arial"/>
              </w:rPr>
              <w:t>ys</w:t>
            </w:r>
          </w:p>
          <w:p w:rsidR="000928C7" w:rsidRDefault="000928C7" w:rsidP="00722C30">
            <w:pPr>
              <w:spacing w:before="40" w:after="40"/>
              <w:ind w:left="34"/>
              <w:rPr>
                <w:rFonts w:cs="Arial"/>
                <w:spacing w:val="-1"/>
              </w:rPr>
            </w:pPr>
            <w:r>
              <w:rPr>
                <w:rFonts w:cs="Arial"/>
                <w:spacing w:val="-1"/>
              </w:rPr>
              <w:t>In the winter months, from 7am to 5pm and from 9pm to 10pm</w:t>
            </w:r>
          </w:p>
          <w:p w:rsidR="000928C7" w:rsidRDefault="000928C7" w:rsidP="00722C30">
            <w:pPr>
              <w:spacing w:before="40" w:after="40"/>
              <w:ind w:left="34"/>
              <w:rPr>
                <w:rFonts w:cs="Arial"/>
                <w:spacing w:val="-1"/>
              </w:rPr>
            </w:pPr>
            <w:r>
              <w:rPr>
                <w:rFonts w:cs="Arial"/>
                <w:spacing w:val="-1"/>
              </w:rPr>
              <w:t>In the non-summer and non-winter months, from 7am to 10pm on working weekdays.</w:t>
            </w:r>
          </w:p>
          <w:p w:rsidR="006A4FD9" w:rsidRPr="000D6076" w:rsidRDefault="000928C7" w:rsidP="0075101A">
            <w:pPr>
              <w:spacing w:before="120" w:after="120"/>
              <w:rPr>
                <w:rFonts w:cs="Arial"/>
                <w:spacing w:val="-1"/>
              </w:rPr>
            </w:pPr>
            <w:r>
              <w:rPr>
                <w:rFonts w:cs="Arial"/>
                <w:spacing w:val="-1"/>
              </w:rPr>
              <w:t xml:space="preserve">From </w:t>
            </w:r>
            <w:r>
              <w:rPr>
                <w:rFonts w:cs="Arial"/>
              </w:rPr>
              <w:t>7am to 10pm on weekends and public holidays.</w:t>
            </w:r>
          </w:p>
        </w:tc>
      </w:tr>
      <w:tr w:rsidR="006A4FD9" w:rsidTr="00722C30">
        <w:trPr>
          <w:trHeight w:val="632"/>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hideMark/>
          </w:tcPr>
          <w:p w:rsidR="006A4FD9" w:rsidRDefault="006A4FD9" w:rsidP="00557D57">
            <w:pPr>
              <w:spacing w:before="120" w:after="120"/>
              <w:ind w:left="34"/>
              <w:rPr>
                <w:rFonts w:cs="Arial"/>
                <w:b/>
                <w:bCs/>
                <w:szCs w:val="18"/>
              </w:rPr>
            </w:pPr>
            <w:r>
              <w:rPr>
                <w:rFonts w:cs="Arial"/>
                <w:b/>
                <w:bCs/>
                <w:szCs w:val="18"/>
              </w:rPr>
              <w:t>Off-peak period</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Default="006A4FD9" w:rsidP="00557D57">
            <w:pPr>
              <w:spacing w:before="120" w:after="120"/>
              <w:ind w:left="33"/>
              <w:rPr>
                <w:rFonts w:cs="Arial"/>
                <w:spacing w:val="-2"/>
              </w:rPr>
            </w:pPr>
            <w:r>
              <w:rPr>
                <w:rFonts w:cs="Arial"/>
                <w:spacing w:val="-2"/>
              </w:rPr>
              <w:t>A</w:t>
            </w:r>
            <w:r>
              <w:rPr>
                <w:rFonts w:cs="Arial"/>
                <w:spacing w:val="3"/>
              </w:rPr>
              <w:t>l</w:t>
            </w:r>
            <w:r>
              <w:rPr>
                <w:rFonts w:cs="Arial"/>
              </w:rPr>
              <w:t>l</w:t>
            </w:r>
            <w:r>
              <w:rPr>
                <w:rFonts w:cs="Arial"/>
                <w:spacing w:val="3"/>
              </w:rPr>
              <w:t xml:space="preserve"> </w:t>
            </w:r>
            <w:r>
              <w:rPr>
                <w:rFonts w:cs="Arial"/>
                <w:spacing w:val="-5"/>
              </w:rPr>
              <w:t>o</w:t>
            </w:r>
            <w:r>
              <w:rPr>
                <w:rFonts w:cs="Arial"/>
                <w:spacing w:val="2"/>
              </w:rPr>
              <w:t>t</w:t>
            </w:r>
            <w:r>
              <w:rPr>
                <w:rFonts w:cs="Arial"/>
                <w:spacing w:val="-1"/>
              </w:rPr>
              <w:t>h</w:t>
            </w:r>
            <w:r>
              <w:rPr>
                <w:rFonts w:cs="Arial"/>
                <w:spacing w:val="-5"/>
              </w:rPr>
              <w:t>e</w:t>
            </w:r>
            <w:r>
              <w:rPr>
                <w:rFonts w:cs="Arial"/>
              </w:rPr>
              <w:t>r</w:t>
            </w:r>
            <w:r>
              <w:rPr>
                <w:rFonts w:cs="Arial"/>
                <w:spacing w:val="4"/>
              </w:rPr>
              <w:t xml:space="preserve"> </w:t>
            </w:r>
            <w:r>
              <w:rPr>
                <w:rFonts w:cs="Arial"/>
                <w:spacing w:val="2"/>
                <w:w w:val="101"/>
              </w:rPr>
              <w:t>t</w:t>
            </w:r>
            <w:r>
              <w:rPr>
                <w:rFonts w:cs="Arial"/>
                <w:spacing w:val="-2"/>
                <w:w w:val="101"/>
              </w:rPr>
              <w:t>i</w:t>
            </w:r>
            <w:r>
              <w:rPr>
                <w:rFonts w:cs="Arial"/>
                <w:spacing w:val="6"/>
                <w:w w:val="101"/>
              </w:rPr>
              <w:t>m</w:t>
            </w:r>
            <w:r>
              <w:rPr>
                <w:rFonts w:cs="Arial"/>
                <w:spacing w:val="-5"/>
                <w:w w:val="101"/>
              </w:rPr>
              <w:t>es</w:t>
            </w:r>
          </w:p>
        </w:tc>
        <w:tc>
          <w:tcPr>
            <w:tcW w:w="42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Default="006A4FD9" w:rsidP="00557D57">
            <w:pPr>
              <w:spacing w:before="120" w:after="120"/>
              <w:ind w:left="34"/>
              <w:rPr>
                <w:rFonts w:cs="Arial"/>
                <w:b/>
                <w:bCs/>
                <w:szCs w:val="18"/>
              </w:rPr>
            </w:pPr>
            <w:r>
              <w:rPr>
                <w:rFonts w:cs="Arial"/>
                <w:spacing w:val="-2"/>
              </w:rPr>
              <w:t>A</w:t>
            </w:r>
            <w:r>
              <w:rPr>
                <w:rFonts w:cs="Arial"/>
                <w:spacing w:val="3"/>
              </w:rPr>
              <w:t>l</w:t>
            </w:r>
            <w:r>
              <w:rPr>
                <w:rFonts w:cs="Arial"/>
              </w:rPr>
              <w:t>l</w:t>
            </w:r>
            <w:r>
              <w:rPr>
                <w:rFonts w:cs="Arial"/>
                <w:spacing w:val="3"/>
              </w:rPr>
              <w:t xml:space="preserve"> </w:t>
            </w:r>
            <w:r>
              <w:rPr>
                <w:rFonts w:cs="Arial"/>
                <w:spacing w:val="-5"/>
              </w:rPr>
              <w:t>o</w:t>
            </w:r>
            <w:r>
              <w:rPr>
                <w:rFonts w:cs="Arial"/>
                <w:spacing w:val="2"/>
              </w:rPr>
              <w:t>t</w:t>
            </w:r>
            <w:r>
              <w:rPr>
                <w:rFonts w:cs="Arial"/>
                <w:spacing w:val="-1"/>
              </w:rPr>
              <w:t>h</w:t>
            </w:r>
            <w:r>
              <w:rPr>
                <w:rFonts w:cs="Arial"/>
                <w:spacing w:val="-5"/>
              </w:rPr>
              <w:t>e</w:t>
            </w:r>
            <w:r>
              <w:rPr>
                <w:rFonts w:cs="Arial"/>
              </w:rPr>
              <w:t>r</w:t>
            </w:r>
            <w:r>
              <w:rPr>
                <w:rFonts w:cs="Arial"/>
                <w:spacing w:val="4"/>
              </w:rPr>
              <w:t xml:space="preserve"> </w:t>
            </w:r>
            <w:r>
              <w:rPr>
                <w:rFonts w:cs="Arial"/>
                <w:spacing w:val="2"/>
                <w:w w:val="101"/>
              </w:rPr>
              <w:t>t</w:t>
            </w:r>
            <w:r>
              <w:rPr>
                <w:rFonts w:cs="Arial"/>
                <w:spacing w:val="-2"/>
                <w:w w:val="101"/>
              </w:rPr>
              <w:t>i</w:t>
            </w:r>
            <w:r>
              <w:rPr>
                <w:rFonts w:cs="Arial"/>
                <w:spacing w:val="6"/>
                <w:w w:val="101"/>
              </w:rPr>
              <w:t>m</w:t>
            </w:r>
            <w:r>
              <w:rPr>
                <w:rFonts w:cs="Arial"/>
                <w:spacing w:val="-5"/>
                <w:w w:val="101"/>
              </w:rPr>
              <w:t>es</w:t>
            </w:r>
          </w:p>
        </w:tc>
      </w:tr>
      <w:tr w:rsidR="006A4FD9" w:rsidTr="00722C30">
        <w:trPr>
          <w:trHeight w:val="449"/>
        </w:trPr>
        <w:tc>
          <w:tcPr>
            <w:tcW w:w="8505" w:type="dxa"/>
            <w:gridSpan w:val="3"/>
            <w:tcBorders>
              <w:top w:val="single" w:sz="4" w:space="0" w:color="FFFFFF" w:themeColor="background1"/>
              <w:left w:val="nil"/>
              <w:bottom w:val="nil"/>
              <w:right w:val="nil"/>
            </w:tcBorders>
            <w:shd w:val="clear" w:color="auto" w:fill="auto"/>
          </w:tcPr>
          <w:p w:rsidR="006A4FD9" w:rsidRDefault="006A4FD9" w:rsidP="000C58D9">
            <w:pPr>
              <w:spacing w:before="20" w:after="20"/>
              <w:jc w:val="right"/>
              <w:rPr>
                <w:rFonts w:cs="Arial"/>
                <w:spacing w:val="-2"/>
              </w:rPr>
            </w:pPr>
            <w:r w:rsidRPr="000C58D9">
              <w:rPr>
                <w:rFonts w:cs="Arial"/>
                <w:sz w:val="16"/>
                <w:szCs w:val="18"/>
              </w:rPr>
              <w:t xml:space="preserve">Source: </w:t>
            </w:r>
            <w:proofErr w:type="spellStart"/>
            <w:r w:rsidRPr="000C58D9">
              <w:rPr>
                <w:rFonts w:cs="Arial"/>
                <w:sz w:val="16"/>
                <w:szCs w:val="18"/>
              </w:rPr>
              <w:t>Ausgrid</w:t>
            </w:r>
            <w:proofErr w:type="spellEnd"/>
            <w:r w:rsidRPr="000C58D9">
              <w:rPr>
                <w:rFonts w:cs="Arial"/>
                <w:sz w:val="16"/>
                <w:szCs w:val="18"/>
              </w:rPr>
              <w:t xml:space="preserve"> 2015</w:t>
            </w:r>
          </w:p>
        </w:tc>
      </w:tr>
    </w:tbl>
    <w:p w:rsidR="008725DF" w:rsidRDefault="008725DF" w:rsidP="0071162E">
      <w:pPr>
        <w:keepNext/>
        <w:spacing w:after="120"/>
        <w:ind w:left="851"/>
        <w:rPr>
          <w:b/>
        </w:rPr>
      </w:pPr>
    </w:p>
    <w:p w:rsidR="006A4FD9" w:rsidRPr="0075101A" w:rsidRDefault="00347193" w:rsidP="0071162E">
      <w:pPr>
        <w:keepNext/>
        <w:spacing w:after="120"/>
        <w:ind w:left="851"/>
      </w:pPr>
      <w:r w:rsidRPr="00073643">
        <w:rPr>
          <w:b/>
        </w:rPr>
        <w:t xml:space="preserve">Table </w:t>
      </w:r>
      <w:r w:rsidRPr="00073643">
        <w:rPr>
          <w:b/>
        </w:rPr>
        <w:fldChar w:fldCharType="begin"/>
      </w:r>
      <w:r w:rsidRPr="00073643">
        <w:rPr>
          <w:b/>
        </w:rPr>
        <w:instrText xml:space="preserve"> SEQ Table \* ARABIC </w:instrText>
      </w:r>
      <w:r w:rsidRPr="00073643">
        <w:rPr>
          <w:b/>
        </w:rPr>
        <w:fldChar w:fldCharType="separate"/>
      </w:r>
      <w:r w:rsidR="00BE0834">
        <w:rPr>
          <w:b/>
          <w:noProof/>
        </w:rPr>
        <w:t>12</w:t>
      </w:r>
      <w:r w:rsidRPr="00073643">
        <w:rPr>
          <w:b/>
        </w:rPr>
        <w:fldChar w:fldCharType="end"/>
      </w:r>
      <w:r w:rsidRPr="00073643">
        <w:rPr>
          <w:b/>
        </w:rPr>
        <w:t xml:space="preserve"> –</w:t>
      </w:r>
      <w:r>
        <w:rPr>
          <w:rFonts w:cs="Arial"/>
          <w:b/>
          <w:szCs w:val="18"/>
        </w:rPr>
        <w:t xml:space="preserve"> </w:t>
      </w:r>
      <w:proofErr w:type="spellStart"/>
      <w:r w:rsidR="006A4FD9" w:rsidRPr="0075101A">
        <w:rPr>
          <w:rFonts w:cs="Arial"/>
          <w:b/>
          <w:szCs w:val="18"/>
        </w:rPr>
        <w:t>Ausgrid’s</w:t>
      </w:r>
      <w:proofErr w:type="spellEnd"/>
      <w:r w:rsidR="006A4FD9" w:rsidRPr="0075101A">
        <w:rPr>
          <w:rFonts w:cs="Arial"/>
          <w:b/>
          <w:szCs w:val="18"/>
        </w:rPr>
        <w:t xml:space="preserve"> Peak, Shoulder and Off-peak Periods </w:t>
      </w:r>
      <w:r w:rsidR="000928C7" w:rsidRPr="0075101A">
        <w:rPr>
          <w:rFonts w:cs="Arial"/>
          <w:b/>
          <w:szCs w:val="18"/>
        </w:rPr>
        <w:t xml:space="preserve">for small, medium and large business customers </w:t>
      </w:r>
      <w:r w:rsidR="006A4FD9" w:rsidRPr="0075101A">
        <w:rPr>
          <w:rFonts w:cs="Arial"/>
          <w:b/>
          <w:szCs w:val="18"/>
        </w:rPr>
        <w:t xml:space="preserve">– Current Vs Proposed </w:t>
      </w:r>
    </w:p>
    <w:tbl>
      <w:tblPr>
        <w:tblW w:w="85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2127"/>
        <w:gridCol w:w="4394"/>
      </w:tblGrid>
      <w:tr w:rsidR="006A4FD9" w:rsidRPr="000928C7" w:rsidTr="00F93A72">
        <w:trPr>
          <w:trHeight w:val="579"/>
          <w:tblHeader/>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6A4FD9" w:rsidRPr="000928C7" w:rsidRDefault="006A4FD9" w:rsidP="00557D57">
            <w:pPr>
              <w:spacing w:before="120" w:after="120"/>
              <w:ind w:left="34"/>
              <w:jc w:val="center"/>
              <w:rPr>
                <w:rFonts w:cs="Arial"/>
                <w:b/>
                <w:bCs/>
                <w:color w:val="FFFFFF"/>
                <w:szCs w:val="18"/>
              </w:rPr>
            </w:pPr>
            <w:r w:rsidRPr="000928C7">
              <w:rPr>
                <w:rFonts w:cs="Arial"/>
                <w:b/>
                <w:bCs/>
                <w:color w:val="FFFFFF"/>
                <w:szCs w:val="18"/>
              </w:rPr>
              <w:t>Time Period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6A4FD9" w:rsidRPr="000928C7" w:rsidRDefault="006A4FD9" w:rsidP="00557D57">
            <w:pPr>
              <w:spacing w:before="120" w:after="120"/>
              <w:ind w:left="33"/>
              <w:jc w:val="center"/>
              <w:rPr>
                <w:rFonts w:cs="Arial"/>
                <w:b/>
                <w:bCs/>
                <w:color w:val="FFFFFF"/>
                <w:szCs w:val="18"/>
              </w:rPr>
            </w:pPr>
            <w:r w:rsidRPr="000928C7">
              <w:rPr>
                <w:rFonts w:cs="Arial"/>
                <w:b/>
                <w:bCs/>
                <w:color w:val="FFFFFF"/>
                <w:szCs w:val="18"/>
              </w:rPr>
              <w:t>Existing Definition</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65A6"/>
            <w:vAlign w:val="center"/>
          </w:tcPr>
          <w:p w:rsidR="006A4FD9" w:rsidRPr="000928C7" w:rsidRDefault="006A4FD9" w:rsidP="00557D57">
            <w:pPr>
              <w:spacing w:before="120" w:after="120"/>
              <w:ind w:left="33"/>
              <w:jc w:val="center"/>
              <w:rPr>
                <w:rFonts w:cs="Arial"/>
                <w:b/>
                <w:bCs/>
                <w:color w:val="FFFFFF"/>
                <w:szCs w:val="18"/>
              </w:rPr>
            </w:pPr>
            <w:r w:rsidRPr="000928C7">
              <w:rPr>
                <w:rFonts w:cs="Arial"/>
                <w:b/>
                <w:bCs/>
                <w:color w:val="FFFFFF"/>
                <w:szCs w:val="18"/>
              </w:rPr>
              <w:t>New Seasonal Peak Period Definition</w:t>
            </w:r>
            <w:r w:rsidR="007C7FCE">
              <w:rPr>
                <w:rFonts w:cs="Arial"/>
                <w:b/>
                <w:bCs/>
                <w:color w:val="FFFFFF"/>
                <w:szCs w:val="18"/>
              </w:rPr>
              <w:t xml:space="preserve"> from 1 July 2018</w:t>
            </w:r>
          </w:p>
        </w:tc>
      </w:tr>
      <w:tr w:rsidR="006A4FD9" w:rsidRPr="000928C7" w:rsidTr="00F93A72">
        <w:trPr>
          <w:trHeight w:val="387"/>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hideMark/>
          </w:tcPr>
          <w:p w:rsidR="006A4FD9" w:rsidRPr="0075101A" w:rsidRDefault="006A4FD9" w:rsidP="00557D57">
            <w:pPr>
              <w:spacing w:before="120" w:after="120"/>
              <w:ind w:left="34"/>
              <w:rPr>
                <w:rFonts w:cs="Arial"/>
                <w:b/>
                <w:bCs/>
                <w:szCs w:val="18"/>
              </w:rPr>
            </w:pPr>
            <w:r w:rsidRPr="0075101A">
              <w:rPr>
                <w:rFonts w:cs="Arial"/>
                <w:b/>
                <w:bCs/>
                <w:szCs w:val="18"/>
              </w:rPr>
              <w:t>Peak period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Pr="0075101A" w:rsidRDefault="006A4FD9" w:rsidP="00557D57">
            <w:pPr>
              <w:spacing w:before="120" w:after="120"/>
              <w:ind w:left="33"/>
              <w:rPr>
                <w:rFonts w:cs="Arial"/>
                <w:szCs w:val="18"/>
              </w:rPr>
            </w:pPr>
            <w:r w:rsidRPr="0075101A">
              <w:rPr>
                <w:rFonts w:cs="Arial"/>
                <w:spacing w:val="-1"/>
              </w:rPr>
              <w:t>F</w:t>
            </w:r>
            <w:r w:rsidRPr="0075101A">
              <w:rPr>
                <w:rFonts w:cs="Arial"/>
                <w:spacing w:val="2"/>
              </w:rPr>
              <w:t>r</w:t>
            </w:r>
            <w:r w:rsidRPr="0075101A">
              <w:rPr>
                <w:rFonts w:cs="Arial"/>
                <w:spacing w:val="-5"/>
              </w:rPr>
              <w:t>o</w:t>
            </w:r>
            <w:r w:rsidRPr="0075101A">
              <w:rPr>
                <w:rFonts w:cs="Arial"/>
              </w:rPr>
              <w:t>m</w:t>
            </w:r>
            <w:r w:rsidRPr="0075101A">
              <w:rPr>
                <w:rFonts w:cs="Arial"/>
                <w:spacing w:val="8"/>
              </w:rPr>
              <w:t xml:space="preserve"> </w:t>
            </w:r>
            <w:r w:rsidRPr="0075101A">
              <w:rPr>
                <w:rFonts w:cs="Arial"/>
              </w:rPr>
              <w:t>2</w:t>
            </w:r>
            <w:r w:rsidRPr="0075101A">
              <w:rPr>
                <w:rFonts w:cs="Arial"/>
                <w:spacing w:val="-2"/>
              </w:rPr>
              <w:t xml:space="preserve"> </w:t>
            </w:r>
            <w:r w:rsidRPr="0075101A">
              <w:rPr>
                <w:rFonts w:cs="Arial"/>
                <w:spacing w:val="-5"/>
              </w:rPr>
              <w:t>p</w:t>
            </w:r>
            <w:r w:rsidRPr="0075101A">
              <w:rPr>
                <w:rFonts w:cs="Arial"/>
              </w:rPr>
              <w:t>m</w:t>
            </w:r>
            <w:r w:rsidRPr="0075101A">
              <w:rPr>
                <w:rFonts w:cs="Arial"/>
                <w:spacing w:val="8"/>
              </w:rPr>
              <w:t xml:space="preserve"> </w:t>
            </w:r>
            <w:r w:rsidRPr="0075101A">
              <w:rPr>
                <w:rFonts w:cs="Arial"/>
              </w:rPr>
              <w:t>–</w:t>
            </w:r>
            <w:r w:rsidRPr="0075101A">
              <w:rPr>
                <w:rFonts w:cs="Arial"/>
                <w:spacing w:val="-2"/>
              </w:rPr>
              <w:t xml:space="preserve"> </w:t>
            </w:r>
            <w:r w:rsidRPr="0075101A">
              <w:rPr>
                <w:rFonts w:cs="Arial"/>
              </w:rPr>
              <w:t>8</w:t>
            </w:r>
            <w:r w:rsidRPr="0075101A">
              <w:rPr>
                <w:rFonts w:cs="Arial"/>
                <w:spacing w:val="-2"/>
              </w:rPr>
              <w:t xml:space="preserve"> </w:t>
            </w:r>
            <w:r w:rsidRPr="0075101A">
              <w:rPr>
                <w:rFonts w:cs="Arial"/>
                <w:spacing w:val="-5"/>
              </w:rPr>
              <w:t>p</w:t>
            </w:r>
            <w:r w:rsidRPr="0075101A">
              <w:rPr>
                <w:rFonts w:cs="Arial"/>
              </w:rPr>
              <w:t>m</w:t>
            </w:r>
            <w:r w:rsidRPr="0075101A">
              <w:rPr>
                <w:rFonts w:cs="Arial"/>
                <w:spacing w:val="6"/>
              </w:rPr>
              <w:t xml:space="preserve"> </w:t>
            </w:r>
            <w:r w:rsidRPr="0075101A">
              <w:rPr>
                <w:rFonts w:cs="Arial"/>
                <w:spacing w:val="-5"/>
              </w:rPr>
              <w:t>o</w:t>
            </w:r>
            <w:r w:rsidRPr="0075101A">
              <w:rPr>
                <w:rFonts w:cs="Arial"/>
              </w:rPr>
              <w:t>n</w:t>
            </w:r>
            <w:r w:rsidRPr="0075101A">
              <w:rPr>
                <w:rFonts w:cs="Arial"/>
                <w:spacing w:val="4"/>
              </w:rPr>
              <w:t xml:space="preserve"> </w:t>
            </w:r>
            <w:r w:rsidRPr="0075101A">
              <w:rPr>
                <w:rFonts w:cs="Arial"/>
                <w:spacing w:val="-2"/>
              </w:rPr>
              <w:t>w</w:t>
            </w:r>
            <w:r w:rsidRPr="0075101A">
              <w:rPr>
                <w:rFonts w:cs="Arial"/>
                <w:spacing w:val="-5"/>
              </w:rPr>
              <w:t>o</w:t>
            </w:r>
            <w:r w:rsidRPr="0075101A">
              <w:rPr>
                <w:rFonts w:cs="Arial"/>
                <w:spacing w:val="2"/>
              </w:rPr>
              <w:t>r</w:t>
            </w:r>
            <w:r w:rsidRPr="0075101A">
              <w:rPr>
                <w:rFonts w:cs="Arial"/>
                <w:spacing w:val="-5"/>
              </w:rPr>
              <w:t>k</w:t>
            </w:r>
            <w:r w:rsidRPr="0075101A">
              <w:rPr>
                <w:rFonts w:cs="Arial"/>
                <w:spacing w:val="3"/>
              </w:rPr>
              <w:t>i</w:t>
            </w:r>
            <w:r w:rsidRPr="0075101A">
              <w:rPr>
                <w:rFonts w:cs="Arial"/>
                <w:spacing w:val="-1"/>
              </w:rPr>
              <w:t>n</w:t>
            </w:r>
            <w:r w:rsidRPr="0075101A">
              <w:rPr>
                <w:rFonts w:cs="Arial"/>
              </w:rPr>
              <w:t>g</w:t>
            </w:r>
            <w:r w:rsidRPr="0075101A">
              <w:rPr>
                <w:rFonts w:cs="Arial"/>
                <w:spacing w:val="3"/>
              </w:rPr>
              <w:t xml:space="preserve"> </w:t>
            </w:r>
            <w:r w:rsidRPr="0075101A">
              <w:rPr>
                <w:rFonts w:cs="Arial"/>
                <w:spacing w:val="-2"/>
                <w:w w:val="101"/>
              </w:rPr>
              <w:t>w</w:t>
            </w:r>
            <w:r w:rsidRPr="0075101A">
              <w:rPr>
                <w:rFonts w:cs="Arial"/>
                <w:spacing w:val="-5"/>
                <w:w w:val="101"/>
              </w:rPr>
              <w:t>ee</w:t>
            </w:r>
            <w:r w:rsidRPr="0075101A">
              <w:rPr>
                <w:rFonts w:cs="Arial"/>
                <w:w w:val="101"/>
              </w:rPr>
              <w:t>k</w:t>
            </w:r>
            <w:r w:rsidRPr="0075101A">
              <w:rPr>
                <w:rFonts w:cs="Arial"/>
                <w:spacing w:val="-1"/>
                <w:w w:val="101"/>
              </w:rPr>
              <w:t>da</w:t>
            </w:r>
            <w:r w:rsidRPr="0075101A">
              <w:rPr>
                <w:rFonts w:cs="Arial"/>
                <w:w w:val="101"/>
              </w:rPr>
              <w:t>ys</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Pr="0075101A" w:rsidRDefault="006A4FD9" w:rsidP="00557D57">
            <w:pPr>
              <w:spacing w:before="120" w:after="120"/>
              <w:ind w:left="34"/>
              <w:rPr>
                <w:rFonts w:cs="Arial"/>
                <w:szCs w:val="18"/>
              </w:rPr>
            </w:pPr>
            <w:r w:rsidRPr="0075101A">
              <w:rPr>
                <w:rFonts w:cs="Arial"/>
                <w:szCs w:val="18"/>
              </w:rPr>
              <w:t>N/A</w:t>
            </w:r>
          </w:p>
        </w:tc>
      </w:tr>
      <w:tr w:rsidR="006A4FD9" w:rsidRPr="000928C7" w:rsidTr="00F93A72">
        <w:trPr>
          <w:trHeight w:val="593"/>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hideMark/>
          </w:tcPr>
          <w:p w:rsidR="006A4FD9" w:rsidRPr="0075101A" w:rsidRDefault="006A4FD9" w:rsidP="00557D57">
            <w:pPr>
              <w:spacing w:before="120" w:after="120"/>
              <w:ind w:left="34"/>
              <w:rPr>
                <w:rFonts w:cs="Arial"/>
                <w:b/>
                <w:bCs/>
                <w:szCs w:val="18"/>
              </w:rPr>
            </w:pPr>
            <w:r w:rsidRPr="0075101A">
              <w:rPr>
                <w:rFonts w:cs="Arial"/>
                <w:b/>
                <w:bCs/>
                <w:szCs w:val="18"/>
              </w:rPr>
              <w:t>Summer peak period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hideMark/>
          </w:tcPr>
          <w:p w:rsidR="006A4FD9" w:rsidRPr="0075101A" w:rsidRDefault="006A4FD9" w:rsidP="00557D57">
            <w:pPr>
              <w:spacing w:before="120" w:after="120"/>
              <w:ind w:left="33"/>
              <w:rPr>
                <w:rFonts w:cs="Arial"/>
                <w:szCs w:val="18"/>
              </w:rPr>
            </w:pPr>
            <w:r w:rsidRPr="0075101A">
              <w:rPr>
                <w:rFonts w:cs="Arial"/>
                <w:szCs w:val="18"/>
              </w:rPr>
              <w:t>N/A</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Pr="0075101A" w:rsidRDefault="006A4FD9" w:rsidP="00557D57">
            <w:pPr>
              <w:spacing w:before="120" w:after="120"/>
              <w:rPr>
                <w:rFonts w:cs="Arial"/>
                <w:szCs w:val="18"/>
              </w:rPr>
            </w:pPr>
            <w:r w:rsidRPr="0075101A">
              <w:rPr>
                <w:rFonts w:cs="Arial"/>
                <w:spacing w:val="-1"/>
              </w:rPr>
              <w:t>F</w:t>
            </w:r>
            <w:r w:rsidRPr="0075101A">
              <w:rPr>
                <w:rFonts w:cs="Arial"/>
                <w:spacing w:val="2"/>
              </w:rPr>
              <w:t>r</w:t>
            </w:r>
            <w:r w:rsidRPr="0075101A">
              <w:rPr>
                <w:rFonts w:cs="Arial"/>
                <w:spacing w:val="-5"/>
              </w:rPr>
              <w:t>o</w:t>
            </w:r>
            <w:r w:rsidRPr="0075101A">
              <w:rPr>
                <w:rFonts w:cs="Arial"/>
              </w:rPr>
              <w:t>m</w:t>
            </w:r>
            <w:r w:rsidRPr="0075101A">
              <w:rPr>
                <w:rFonts w:cs="Arial"/>
                <w:spacing w:val="8"/>
              </w:rPr>
              <w:t xml:space="preserve"> </w:t>
            </w:r>
            <w:r w:rsidRPr="0075101A">
              <w:rPr>
                <w:rFonts w:cs="Arial"/>
              </w:rPr>
              <w:t>2</w:t>
            </w:r>
            <w:r w:rsidRPr="0075101A">
              <w:rPr>
                <w:rFonts w:cs="Arial"/>
                <w:spacing w:val="-2"/>
              </w:rPr>
              <w:t xml:space="preserve"> </w:t>
            </w:r>
            <w:r w:rsidRPr="0075101A">
              <w:rPr>
                <w:rFonts w:cs="Arial"/>
                <w:spacing w:val="-5"/>
              </w:rPr>
              <w:t>p</w:t>
            </w:r>
            <w:r w:rsidRPr="0075101A">
              <w:rPr>
                <w:rFonts w:cs="Arial"/>
              </w:rPr>
              <w:t>m</w:t>
            </w:r>
            <w:r w:rsidRPr="0075101A">
              <w:rPr>
                <w:rFonts w:cs="Arial"/>
                <w:spacing w:val="8"/>
              </w:rPr>
              <w:t xml:space="preserve"> </w:t>
            </w:r>
            <w:r w:rsidRPr="0075101A">
              <w:rPr>
                <w:rFonts w:cs="Arial"/>
              </w:rPr>
              <w:t>–</w:t>
            </w:r>
            <w:r w:rsidRPr="0075101A">
              <w:rPr>
                <w:rFonts w:cs="Arial"/>
                <w:spacing w:val="-2"/>
              </w:rPr>
              <w:t xml:space="preserve"> </w:t>
            </w:r>
            <w:r w:rsidRPr="0075101A">
              <w:rPr>
                <w:rFonts w:cs="Arial"/>
              </w:rPr>
              <w:t>8</w:t>
            </w:r>
            <w:r w:rsidRPr="0075101A">
              <w:rPr>
                <w:rFonts w:cs="Arial"/>
                <w:spacing w:val="-2"/>
              </w:rPr>
              <w:t xml:space="preserve"> </w:t>
            </w:r>
            <w:r w:rsidRPr="0075101A">
              <w:rPr>
                <w:rFonts w:cs="Arial"/>
                <w:spacing w:val="-5"/>
              </w:rPr>
              <w:t>p</w:t>
            </w:r>
            <w:r w:rsidRPr="0075101A">
              <w:rPr>
                <w:rFonts w:cs="Arial"/>
              </w:rPr>
              <w:t>m</w:t>
            </w:r>
            <w:r w:rsidRPr="0075101A">
              <w:rPr>
                <w:rFonts w:cs="Arial"/>
                <w:spacing w:val="6"/>
              </w:rPr>
              <w:t xml:space="preserve"> </w:t>
            </w:r>
            <w:r w:rsidRPr="0075101A">
              <w:rPr>
                <w:rFonts w:cs="Arial"/>
                <w:spacing w:val="-5"/>
              </w:rPr>
              <w:t>o</w:t>
            </w:r>
            <w:r w:rsidRPr="0075101A">
              <w:rPr>
                <w:rFonts w:cs="Arial"/>
              </w:rPr>
              <w:t>n</w:t>
            </w:r>
            <w:r w:rsidRPr="0075101A">
              <w:rPr>
                <w:rFonts w:cs="Arial"/>
                <w:spacing w:val="4"/>
              </w:rPr>
              <w:t xml:space="preserve"> </w:t>
            </w:r>
            <w:r w:rsidRPr="0075101A">
              <w:rPr>
                <w:rFonts w:cs="Arial"/>
                <w:spacing w:val="-2"/>
              </w:rPr>
              <w:t>w</w:t>
            </w:r>
            <w:r w:rsidRPr="0075101A">
              <w:rPr>
                <w:rFonts w:cs="Arial"/>
                <w:spacing w:val="-5"/>
              </w:rPr>
              <w:t>o</w:t>
            </w:r>
            <w:r w:rsidRPr="0075101A">
              <w:rPr>
                <w:rFonts w:cs="Arial"/>
                <w:spacing w:val="2"/>
              </w:rPr>
              <w:t>r</w:t>
            </w:r>
            <w:r w:rsidRPr="0075101A">
              <w:rPr>
                <w:rFonts w:cs="Arial"/>
                <w:spacing w:val="-5"/>
              </w:rPr>
              <w:t>k</w:t>
            </w:r>
            <w:r w:rsidRPr="0075101A">
              <w:rPr>
                <w:rFonts w:cs="Arial"/>
                <w:spacing w:val="3"/>
              </w:rPr>
              <w:t>i</w:t>
            </w:r>
            <w:r w:rsidRPr="0075101A">
              <w:rPr>
                <w:rFonts w:cs="Arial"/>
                <w:spacing w:val="-1"/>
              </w:rPr>
              <w:t>n</w:t>
            </w:r>
            <w:r w:rsidRPr="0075101A">
              <w:rPr>
                <w:rFonts w:cs="Arial"/>
              </w:rPr>
              <w:t>g</w:t>
            </w:r>
            <w:r w:rsidRPr="0075101A">
              <w:rPr>
                <w:rFonts w:cs="Arial"/>
                <w:spacing w:val="3"/>
              </w:rPr>
              <w:t xml:space="preserve"> </w:t>
            </w:r>
            <w:r w:rsidRPr="0075101A">
              <w:rPr>
                <w:rFonts w:cs="Arial"/>
                <w:spacing w:val="-2"/>
                <w:w w:val="101"/>
              </w:rPr>
              <w:t>w</w:t>
            </w:r>
            <w:r w:rsidRPr="0075101A">
              <w:rPr>
                <w:rFonts w:cs="Arial"/>
                <w:spacing w:val="-5"/>
                <w:w w:val="101"/>
              </w:rPr>
              <w:t>ee</w:t>
            </w:r>
            <w:r w:rsidRPr="0075101A">
              <w:rPr>
                <w:rFonts w:cs="Arial"/>
                <w:w w:val="101"/>
              </w:rPr>
              <w:t>k</w:t>
            </w:r>
            <w:r w:rsidRPr="0075101A">
              <w:rPr>
                <w:rFonts w:cs="Arial"/>
                <w:spacing w:val="-1"/>
                <w:w w:val="101"/>
              </w:rPr>
              <w:t>da</w:t>
            </w:r>
            <w:r w:rsidRPr="0075101A">
              <w:rPr>
                <w:rFonts w:cs="Arial"/>
                <w:w w:val="101"/>
              </w:rPr>
              <w:t>ys during 1 November and 31 March (inclusive)</w:t>
            </w:r>
          </w:p>
        </w:tc>
      </w:tr>
      <w:tr w:rsidR="006A4FD9" w:rsidRPr="000928C7" w:rsidTr="00F93A72">
        <w:trPr>
          <w:trHeight w:val="365"/>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hideMark/>
          </w:tcPr>
          <w:p w:rsidR="006A4FD9" w:rsidRPr="0075101A" w:rsidRDefault="006A4FD9" w:rsidP="00557D57">
            <w:pPr>
              <w:spacing w:before="120" w:after="120"/>
              <w:ind w:left="34"/>
              <w:rPr>
                <w:rFonts w:cs="Arial"/>
                <w:b/>
                <w:bCs/>
                <w:szCs w:val="18"/>
              </w:rPr>
            </w:pPr>
            <w:r w:rsidRPr="0075101A">
              <w:rPr>
                <w:rFonts w:cs="Arial"/>
                <w:b/>
                <w:bCs/>
                <w:szCs w:val="18"/>
              </w:rPr>
              <w:t>Winter peak period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hideMark/>
          </w:tcPr>
          <w:p w:rsidR="006A4FD9" w:rsidRPr="0075101A" w:rsidRDefault="006A4FD9" w:rsidP="00557D57">
            <w:pPr>
              <w:spacing w:before="120" w:after="120"/>
              <w:ind w:left="33"/>
              <w:rPr>
                <w:rFonts w:cs="Arial"/>
                <w:szCs w:val="18"/>
              </w:rPr>
            </w:pPr>
            <w:r w:rsidRPr="0075101A">
              <w:rPr>
                <w:rFonts w:cs="Arial"/>
                <w:szCs w:val="18"/>
              </w:rPr>
              <w:t>N/A</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Pr="0075101A" w:rsidRDefault="006A4FD9" w:rsidP="00557D57">
            <w:pPr>
              <w:spacing w:before="120" w:after="120"/>
              <w:rPr>
                <w:rFonts w:cs="Arial"/>
                <w:szCs w:val="18"/>
              </w:rPr>
            </w:pPr>
            <w:r w:rsidRPr="0075101A">
              <w:rPr>
                <w:rFonts w:cs="Arial"/>
                <w:spacing w:val="-1"/>
              </w:rPr>
              <w:t>F</w:t>
            </w:r>
            <w:r w:rsidRPr="0075101A">
              <w:rPr>
                <w:rFonts w:cs="Arial"/>
                <w:spacing w:val="2"/>
              </w:rPr>
              <w:t>r</w:t>
            </w:r>
            <w:r w:rsidRPr="0075101A">
              <w:rPr>
                <w:rFonts w:cs="Arial"/>
                <w:spacing w:val="-5"/>
              </w:rPr>
              <w:t>o</w:t>
            </w:r>
            <w:r w:rsidRPr="0075101A">
              <w:rPr>
                <w:rFonts w:cs="Arial"/>
              </w:rPr>
              <w:t>m</w:t>
            </w:r>
            <w:r w:rsidRPr="0075101A">
              <w:rPr>
                <w:rFonts w:cs="Arial"/>
                <w:spacing w:val="8"/>
              </w:rPr>
              <w:t xml:space="preserve"> </w:t>
            </w:r>
            <w:r w:rsidRPr="0075101A">
              <w:rPr>
                <w:rFonts w:cs="Arial"/>
              </w:rPr>
              <w:t>2</w:t>
            </w:r>
            <w:r w:rsidRPr="0075101A">
              <w:rPr>
                <w:rFonts w:cs="Arial"/>
                <w:spacing w:val="-2"/>
              </w:rPr>
              <w:t xml:space="preserve"> </w:t>
            </w:r>
            <w:r w:rsidRPr="0075101A">
              <w:rPr>
                <w:rFonts w:cs="Arial"/>
                <w:spacing w:val="-5"/>
              </w:rPr>
              <w:t>p</w:t>
            </w:r>
            <w:r w:rsidRPr="0075101A">
              <w:rPr>
                <w:rFonts w:cs="Arial"/>
              </w:rPr>
              <w:t>m</w:t>
            </w:r>
            <w:r w:rsidRPr="0075101A">
              <w:rPr>
                <w:rFonts w:cs="Arial"/>
                <w:spacing w:val="8"/>
              </w:rPr>
              <w:t xml:space="preserve"> </w:t>
            </w:r>
            <w:r w:rsidRPr="0075101A">
              <w:rPr>
                <w:rFonts w:cs="Arial"/>
              </w:rPr>
              <w:t>–</w:t>
            </w:r>
            <w:r w:rsidRPr="0075101A">
              <w:rPr>
                <w:rFonts w:cs="Arial"/>
                <w:spacing w:val="-2"/>
              </w:rPr>
              <w:t xml:space="preserve"> </w:t>
            </w:r>
            <w:r w:rsidRPr="0075101A">
              <w:rPr>
                <w:rFonts w:cs="Arial"/>
              </w:rPr>
              <w:t>8</w:t>
            </w:r>
            <w:r w:rsidRPr="0075101A">
              <w:rPr>
                <w:rFonts w:cs="Arial"/>
                <w:spacing w:val="-2"/>
              </w:rPr>
              <w:t xml:space="preserve"> </w:t>
            </w:r>
            <w:r w:rsidRPr="0075101A">
              <w:rPr>
                <w:rFonts w:cs="Arial"/>
                <w:spacing w:val="-5"/>
              </w:rPr>
              <w:t>p</w:t>
            </w:r>
            <w:r w:rsidRPr="0075101A">
              <w:rPr>
                <w:rFonts w:cs="Arial"/>
              </w:rPr>
              <w:t>m</w:t>
            </w:r>
            <w:r w:rsidRPr="0075101A">
              <w:rPr>
                <w:rFonts w:cs="Arial"/>
                <w:spacing w:val="6"/>
              </w:rPr>
              <w:t xml:space="preserve"> </w:t>
            </w:r>
            <w:r w:rsidRPr="0075101A">
              <w:rPr>
                <w:rFonts w:cs="Arial"/>
                <w:spacing w:val="-5"/>
              </w:rPr>
              <w:t>o</w:t>
            </w:r>
            <w:r w:rsidRPr="0075101A">
              <w:rPr>
                <w:rFonts w:cs="Arial"/>
              </w:rPr>
              <w:t>n</w:t>
            </w:r>
            <w:r w:rsidRPr="0075101A">
              <w:rPr>
                <w:rFonts w:cs="Arial"/>
                <w:spacing w:val="4"/>
              </w:rPr>
              <w:t xml:space="preserve"> </w:t>
            </w:r>
            <w:r w:rsidRPr="0075101A">
              <w:rPr>
                <w:rFonts w:cs="Arial"/>
                <w:spacing w:val="-2"/>
              </w:rPr>
              <w:t>w</w:t>
            </w:r>
            <w:r w:rsidRPr="0075101A">
              <w:rPr>
                <w:rFonts w:cs="Arial"/>
                <w:spacing w:val="-5"/>
              </w:rPr>
              <w:t>o</w:t>
            </w:r>
            <w:r w:rsidRPr="0075101A">
              <w:rPr>
                <w:rFonts w:cs="Arial"/>
                <w:spacing w:val="2"/>
              </w:rPr>
              <w:t>r</w:t>
            </w:r>
            <w:r w:rsidRPr="0075101A">
              <w:rPr>
                <w:rFonts w:cs="Arial"/>
                <w:spacing w:val="-5"/>
              </w:rPr>
              <w:t>k</w:t>
            </w:r>
            <w:r w:rsidRPr="0075101A">
              <w:rPr>
                <w:rFonts w:cs="Arial"/>
                <w:spacing w:val="3"/>
              </w:rPr>
              <w:t>i</w:t>
            </w:r>
            <w:r w:rsidRPr="0075101A">
              <w:rPr>
                <w:rFonts w:cs="Arial"/>
                <w:spacing w:val="-1"/>
              </w:rPr>
              <w:t>n</w:t>
            </w:r>
            <w:r w:rsidRPr="0075101A">
              <w:rPr>
                <w:rFonts w:cs="Arial"/>
              </w:rPr>
              <w:t>g</w:t>
            </w:r>
            <w:r w:rsidRPr="0075101A">
              <w:rPr>
                <w:rFonts w:cs="Arial"/>
                <w:spacing w:val="3"/>
              </w:rPr>
              <w:t xml:space="preserve"> </w:t>
            </w:r>
            <w:r w:rsidRPr="0075101A">
              <w:rPr>
                <w:rFonts w:cs="Arial"/>
                <w:spacing w:val="-2"/>
                <w:w w:val="101"/>
              </w:rPr>
              <w:t>w</w:t>
            </w:r>
            <w:r w:rsidRPr="0075101A">
              <w:rPr>
                <w:rFonts w:cs="Arial"/>
                <w:spacing w:val="-5"/>
                <w:w w:val="101"/>
              </w:rPr>
              <w:t>ee</w:t>
            </w:r>
            <w:r w:rsidRPr="0075101A">
              <w:rPr>
                <w:rFonts w:cs="Arial"/>
                <w:w w:val="101"/>
              </w:rPr>
              <w:t>k</w:t>
            </w:r>
            <w:r w:rsidRPr="0075101A">
              <w:rPr>
                <w:rFonts w:cs="Arial"/>
                <w:spacing w:val="-1"/>
                <w:w w:val="101"/>
              </w:rPr>
              <w:t>da</w:t>
            </w:r>
            <w:r w:rsidRPr="0075101A">
              <w:rPr>
                <w:rFonts w:cs="Arial"/>
                <w:w w:val="101"/>
              </w:rPr>
              <w:t>ys during 1 June to 31 August (inclusive)</w:t>
            </w:r>
          </w:p>
        </w:tc>
      </w:tr>
      <w:tr w:rsidR="006A4FD9" w:rsidRPr="00D25E18" w:rsidTr="00F93A72">
        <w:trPr>
          <w:trHeight w:val="1682"/>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hideMark/>
          </w:tcPr>
          <w:p w:rsidR="006A4FD9" w:rsidRPr="0075101A" w:rsidRDefault="006A4FD9" w:rsidP="00557D57">
            <w:pPr>
              <w:spacing w:before="120" w:after="120"/>
              <w:ind w:left="34"/>
              <w:rPr>
                <w:rFonts w:cs="Arial"/>
                <w:b/>
                <w:bCs/>
                <w:szCs w:val="18"/>
              </w:rPr>
            </w:pPr>
            <w:r w:rsidRPr="0075101A">
              <w:rPr>
                <w:rFonts w:cs="Arial"/>
                <w:b/>
                <w:bCs/>
                <w:szCs w:val="18"/>
              </w:rPr>
              <w:t>Shoulder period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Default="006A4FD9" w:rsidP="00557D57">
            <w:pPr>
              <w:spacing w:before="120" w:after="120"/>
              <w:ind w:left="33"/>
              <w:rPr>
                <w:rFonts w:cs="Arial"/>
              </w:rPr>
            </w:pPr>
            <w:r w:rsidRPr="0075101A">
              <w:rPr>
                <w:rFonts w:cs="Arial"/>
                <w:spacing w:val="-1"/>
              </w:rPr>
              <w:t>F</w:t>
            </w:r>
            <w:r w:rsidRPr="0075101A">
              <w:rPr>
                <w:rFonts w:cs="Arial"/>
                <w:spacing w:val="2"/>
              </w:rPr>
              <w:t>r</w:t>
            </w:r>
            <w:r w:rsidRPr="0075101A">
              <w:rPr>
                <w:rFonts w:cs="Arial"/>
                <w:spacing w:val="-5"/>
              </w:rPr>
              <w:t>o</w:t>
            </w:r>
            <w:r w:rsidRPr="0075101A">
              <w:rPr>
                <w:rFonts w:cs="Arial"/>
              </w:rPr>
              <w:t>m</w:t>
            </w:r>
            <w:r w:rsidRPr="0075101A">
              <w:rPr>
                <w:rFonts w:cs="Arial"/>
                <w:spacing w:val="8"/>
              </w:rPr>
              <w:t xml:space="preserve"> </w:t>
            </w:r>
            <w:r w:rsidRPr="0075101A">
              <w:rPr>
                <w:rFonts w:cs="Arial"/>
              </w:rPr>
              <w:t>7</w:t>
            </w:r>
            <w:r w:rsidRPr="0075101A">
              <w:rPr>
                <w:rFonts w:cs="Arial"/>
                <w:spacing w:val="-2"/>
              </w:rPr>
              <w:t xml:space="preserve"> </w:t>
            </w:r>
            <w:r w:rsidRPr="0075101A">
              <w:rPr>
                <w:rFonts w:cs="Arial"/>
                <w:spacing w:val="-5"/>
              </w:rPr>
              <w:t>a</w:t>
            </w:r>
            <w:r w:rsidRPr="0075101A">
              <w:rPr>
                <w:rFonts w:cs="Arial"/>
              </w:rPr>
              <w:t>m</w:t>
            </w:r>
            <w:r w:rsidRPr="0075101A">
              <w:rPr>
                <w:rFonts w:cs="Arial"/>
                <w:spacing w:val="8"/>
              </w:rPr>
              <w:t xml:space="preserve"> </w:t>
            </w:r>
            <w:r w:rsidRPr="0075101A">
              <w:rPr>
                <w:rFonts w:cs="Arial"/>
              </w:rPr>
              <w:t>–</w:t>
            </w:r>
            <w:r w:rsidRPr="0075101A">
              <w:rPr>
                <w:rFonts w:cs="Arial"/>
                <w:spacing w:val="-2"/>
              </w:rPr>
              <w:t xml:space="preserve"> </w:t>
            </w:r>
            <w:r w:rsidRPr="0075101A">
              <w:rPr>
                <w:rFonts w:cs="Arial"/>
              </w:rPr>
              <w:t>2</w:t>
            </w:r>
            <w:r w:rsidRPr="0075101A">
              <w:rPr>
                <w:rFonts w:cs="Arial"/>
                <w:spacing w:val="-2"/>
              </w:rPr>
              <w:t xml:space="preserve"> </w:t>
            </w:r>
            <w:r w:rsidRPr="0075101A">
              <w:rPr>
                <w:rFonts w:cs="Arial"/>
                <w:spacing w:val="-5"/>
              </w:rPr>
              <w:t>p</w:t>
            </w:r>
            <w:r w:rsidRPr="0075101A">
              <w:rPr>
                <w:rFonts w:cs="Arial"/>
              </w:rPr>
              <w:t>m</w:t>
            </w:r>
            <w:r w:rsidRPr="0075101A">
              <w:rPr>
                <w:rFonts w:cs="Arial"/>
                <w:spacing w:val="6"/>
              </w:rPr>
              <w:t xml:space="preserve"> </w:t>
            </w:r>
            <w:r w:rsidRPr="0075101A">
              <w:rPr>
                <w:rFonts w:cs="Arial"/>
                <w:spacing w:val="-5"/>
              </w:rPr>
              <w:t>a</w:t>
            </w:r>
            <w:r w:rsidRPr="0075101A">
              <w:rPr>
                <w:rFonts w:cs="Arial"/>
                <w:spacing w:val="-1"/>
              </w:rPr>
              <w:t>n</w:t>
            </w:r>
            <w:r w:rsidRPr="0075101A">
              <w:rPr>
                <w:rFonts w:cs="Arial"/>
              </w:rPr>
              <w:t>d</w:t>
            </w:r>
            <w:r w:rsidRPr="0075101A">
              <w:rPr>
                <w:rFonts w:cs="Arial"/>
                <w:spacing w:val="5"/>
              </w:rPr>
              <w:t xml:space="preserve"> </w:t>
            </w:r>
            <w:r w:rsidRPr="0075101A">
              <w:rPr>
                <w:rFonts w:cs="Arial"/>
              </w:rPr>
              <w:t>8</w:t>
            </w:r>
            <w:r w:rsidRPr="0075101A">
              <w:rPr>
                <w:rFonts w:cs="Arial"/>
                <w:spacing w:val="-2"/>
              </w:rPr>
              <w:t xml:space="preserve"> </w:t>
            </w:r>
            <w:r w:rsidRPr="0075101A">
              <w:rPr>
                <w:rFonts w:cs="Arial"/>
                <w:spacing w:val="-5"/>
              </w:rPr>
              <w:t>p</w:t>
            </w:r>
            <w:r w:rsidRPr="0075101A">
              <w:rPr>
                <w:rFonts w:cs="Arial"/>
              </w:rPr>
              <w:t>m</w:t>
            </w:r>
            <w:r w:rsidRPr="0075101A">
              <w:rPr>
                <w:rFonts w:cs="Arial"/>
                <w:spacing w:val="3"/>
              </w:rPr>
              <w:t xml:space="preserve"> </w:t>
            </w:r>
            <w:r w:rsidRPr="0075101A">
              <w:rPr>
                <w:rFonts w:cs="Arial"/>
              </w:rPr>
              <w:t>–</w:t>
            </w:r>
            <w:r w:rsidRPr="0075101A">
              <w:rPr>
                <w:rFonts w:cs="Arial"/>
                <w:spacing w:val="3"/>
              </w:rPr>
              <w:t xml:space="preserve"> </w:t>
            </w:r>
            <w:r w:rsidRPr="0075101A">
              <w:rPr>
                <w:rFonts w:cs="Arial"/>
                <w:spacing w:val="-5"/>
              </w:rPr>
              <w:t>1</w:t>
            </w:r>
            <w:r w:rsidRPr="0075101A">
              <w:rPr>
                <w:rFonts w:cs="Arial"/>
                <w:spacing w:val="-1"/>
              </w:rPr>
              <w:t>0</w:t>
            </w:r>
            <w:r w:rsidRPr="0075101A">
              <w:rPr>
                <w:rFonts w:cs="Arial"/>
                <w:spacing w:val="-5"/>
              </w:rPr>
              <w:t>p</w:t>
            </w:r>
            <w:r w:rsidRPr="0075101A">
              <w:rPr>
                <w:rFonts w:cs="Arial"/>
              </w:rPr>
              <w:t>m</w:t>
            </w:r>
            <w:r w:rsidRPr="0075101A">
              <w:rPr>
                <w:rFonts w:cs="Arial"/>
                <w:spacing w:val="8"/>
              </w:rPr>
              <w:t xml:space="preserve"> </w:t>
            </w:r>
            <w:r w:rsidRPr="0075101A">
              <w:rPr>
                <w:rFonts w:cs="Arial"/>
                <w:spacing w:val="-1"/>
              </w:rPr>
              <w:t>o</w:t>
            </w:r>
            <w:r w:rsidRPr="0075101A">
              <w:rPr>
                <w:rFonts w:cs="Arial"/>
              </w:rPr>
              <w:t>n</w:t>
            </w:r>
            <w:r w:rsidRPr="0075101A">
              <w:rPr>
                <w:rFonts w:cs="Arial"/>
                <w:spacing w:val="-1"/>
              </w:rPr>
              <w:t xml:space="preserve"> </w:t>
            </w:r>
            <w:r w:rsidRPr="0075101A">
              <w:rPr>
                <w:rFonts w:cs="Arial"/>
                <w:spacing w:val="-2"/>
              </w:rPr>
              <w:t>w</w:t>
            </w:r>
            <w:r w:rsidRPr="0075101A">
              <w:rPr>
                <w:rFonts w:cs="Arial"/>
                <w:spacing w:val="-5"/>
              </w:rPr>
              <w:t>o</w:t>
            </w:r>
            <w:r w:rsidRPr="0075101A">
              <w:rPr>
                <w:rFonts w:cs="Arial"/>
                <w:spacing w:val="2"/>
              </w:rPr>
              <w:t>r</w:t>
            </w:r>
            <w:r w:rsidRPr="0075101A">
              <w:rPr>
                <w:rFonts w:cs="Arial"/>
              </w:rPr>
              <w:t>k</w:t>
            </w:r>
            <w:r w:rsidRPr="0075101A">
              <w:rPr>
                <w:rFonts w:cs="Arial"/>
                <w:spacing w:val="-2"/>
              </w:rPr>
              <w:t>i</w:t>
            </w:r>
            <w:r w:rsidRPr="0075101A">
              <w:rPr>
                <w:rFonts w:cs="Arial"/>
                <w:spacing w:val="-1"/>
              </w:rPr>
              <w:t>n</w:t>
            </w:r>
            <w:r w:rsidRPr="0075101A">
              <w:rPr>
                <w:rFonts w:cs="Arial"/>
              </w:rPr>
              <w:t>g</w:t>
            </w:r>
            <w:r w:rsidRPr="0075101A">
              <w:rPr>
                <w:rFonts w:cs="Arial"/>
                <w:spacing w:val="8"/>
              </w:rPr>
              <w:t xml:space="preserve"> </w:t>
            </w:r>
            <w:r w:rsidRPr="0075101A">
              <w:rPr>
                <w:rFonts w:cs="Arial"/>
                <w:spacing w:val="-2"/>
              </w:rPr>
              <w:t>w</w:t>
            </w:r>
            <w:r w:rsidRPr="0075101A">
              <w:rPr>
                <w:rFonts w:cs="Arial"/>
                <w:spacing w:val="-5"/>
              </w:rPr>
              <w:t>ee</w:t>
            </w:r>
            <w:r w:rsidRPr="0075101A">
              <w:rPr>
                <w:rFonts w:cs="Arial"/>
              </w:rPr>
              <w:t>k</w:t>
            </w:r>
            <w:r w:rsidRPr="0075101A">
              <w:rPr>
                <w:rFonts w:cs="Arial"/>
                <w:spacing w:val="-1"/>
              </w:rPr>
              <w:t>da</w:t>
            </w:r>
            <w:r w:rsidRPr="0075101A">
              <w:rPr>
                <w:rFonts w:cs="Arial"/>
              </w:rPr>
              <w:t>ys</w:t>
            </w:r>
          </w:p>
          <w:p w:rsidR="006A4FD9" w:rsidRPr="0075101A" w:rsidRDefault="000928C7">
            <w:pPr>
              <w:spacing w:before="120" w:after="120"/>
              <w:ind w:left="33"/>
              <w:rPr>
                <w:rFonts w:cs="Arial"/>
                <w:b/>
                <w:bCs/>
                <w:szCs w:val="18"/>
              </w:rPr>
            </w:pPr>
            <w:r>
              <w:rPr>
                <w:rFonts w:cs="Arial"/>
              </w:rPr>
              <w:t>For small business customers only, from 7am to 10pm on weekends</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Pr="0075101A" w:rsidRDefault="000928C7" w:rsidP="00557D57">
            <w:pPr>
              <w:spacing w:before="120" w:after="120"/>
              <w:ind w:left="34"/>
              <w:rPr>
                <w:rFonts w:cs="Arial"/>
                <w:spacing w:val="-1"/>
              </w:rPr>
            </w:pPr>
            <w:r>
              <w:rPr>
                <w:rFonts w:cs="Arial"/>
                <w:spacing w:val="-1"/>
              </w:rPr>
              <w:t>In the summer and winter months, f</w:t>
            </w:r>
            <w:r w:rsidR="006A4FD9" w:rsidRPr="0075101A">
              <w:rPr>
                <w:rFonts w:cs="Arial"/>
                <w:spacing w:val="2"/>
              </w:rPr>
              <w:t>r</w:t>
            </w:r>
            <w:r w:rsidR="006A4FD9" w:rsidRPr="0075101A">
              <w:rPr>
                <w:rFonts w:cs="Arial"/>
                <w:spacing w:val="-5"/>
              </w:rPr>
              <w:t>o</w:t>
            </w:r>
            <w:r w:rsidR="006A4FD9" w:rsidRPr="0075101A">
              <w:rPr>
                <w:rFonts w:cs="Arial"/>
              </w:rPr>
              <w:t>m</w:t>
            </w:r>
            <w:r w:rsidR="006A4FD9" w:rsidRPr="0075101A">
              <w:rPr>
                <w:rFonts w:cs="Arial"/>
                <w:spacing w:val="8"/>
              </w:rPr>
              <w:t xml:space="preserve"> </w:t>
            </w:r>
            <w:r w:rsidR="006A4FD9" w:rsidRPr="0075101A">
              <w:rPr>
                <w:rFonts w:cs="Arial"/>
              </w:rPr>
              <w:t>7</w:t>
            </w:r>
            <w:r w:rsidR="006A4FD9" w:rsidRPr="0075101A">
              <w:rPr>
                <w:rFonts w:cs="Arial"/>
                <w:spacing w:val="-2"/>
              </w:rPr>
              <w:t xml:space="preserve"> </w:t>
            </w:r>
            <w:r w:rsidR="006A4FD9" w:rsidRPr="0075101A">
              <w:rPr>
                <w:rFonts w:cs="Arial"/>
                <w:spacing w:val="-5"/>
              </w:rPr>
              <w:t>a</w:t>
            </w:r>
            <w:r w:rsidR="006A4FD9" w:rsidRPr="0075101A">
              <w:rPr>
                <w:rFonts w:cs="Arial"/>
              </w:rPr>
              <w:t>m</w:t>
            </w:r>
            <w:r w:rsidR="006A4FD9" w:rsidRPr="0075101A">
              <w:rPr>
                <w:rFonts w:cs="Arial"/>
                <w:spacing w:val="8"/>
              </w:rPr>
              <w:t xml:space="preserve"> </w:t>
            </w:r>
            <w:r w:rsidR="006A4FD9" w:rsidRPr="0075101A">
              <w:rPr>
                <w:rFonts w:cs="Arial"/>
              </w:rPr>
              <w:t>–</w:t>
            </w:r>
            <w:r w:rsidR="006A4FD9" w:rsidRPr="0075101A">
              <w:rPr>
                <w:rFonts w:cs="Arial"/>
                <w:spacing w:val="-2"/>
              </w:rPr>
              <w:t xml:space="preserve"> </w:t>
            </w:r>
            <w:r w:rsidR="006A4FD9" w:rsidRPr="0075101A">
              <w:rPr>
                <w:rFonts w:cs="Arial"/>
              </w:rPr>
              <w:t>2</w:t>
            </w:r>
            <w:r w:rsidR="006A4FD9" w:rsidRPr="0075101A">
              <w:rPr>
                <w:rFonts w:cs="Arial"/>
                <w:spacing w:val="-2"/>
              </w:rPr>
              <w:t xml:space="preserve"> </w:t>
            </w:r>
            <w:r w:rsidR="006A4FD9" w:rsidRPr="0075101A">
              <w:rPr>
                <w:rFonts w:cs="Arial"/>
                <w:spacing w:val="-5"/>
              </w:rPr>
              <w:t>p</w:t>
            </w:r>
            <w:r w:rsidR="006A4FD9" w:rsidRPr="0075101A">
              <w:rPr>
                <w:rFonts w:cs="Arial"/>
              </w:rPr>
              <w:t>m</w:t>
            </w:r>
            <w:r w:rsidR="006A4FD9" w:rsidRPr="0075101A">
              <w:rPr>
                <w:rFonts w:cs="Arial"/>
                <w:spacing w:val="6"/>
              </w:rPr>
              <w:t xml:space="preserve"> </w:t>
            </w:r>
            <w:r w:rsidR="006A4FD9" w:rsidRPr="0075101A">
              <w:rPr>
                <w:rFonts w:cs="Arial"/>
                <w:spacing w:val="-5"/>
              </w:rPr>
              <w:t>a</w:t>
            </w:r>
            <w:r w:rsidR="006A4FD9" w:rsidRPr="0075101A">
              <w:rPr>
                <w:rFonts w:cs="Arial"/>
                <w:spacing w:val="-1"/>
              </w:rPr>
              <w:t>n</w:t>
            </w:r>
            <w:r w:rsidR="006A4FD9" w:rsidRPr="0075101A">
              <w:rPr>
                <w:rFonts w:cs="Arial"/>
              </w:rPr>
              <w:t>d</w:t>
            </w:r>
            <w:r w:rsidR="006A4FD9" w:rsidRPr="0075101A">
              <w:rPr>
                <w:rFonts w:cs="Arial"/>
                <w:spacing w:val="5"/>
              </w:rPr>
              <w:t xml:space="preserve"> </w:t>
            </w:r>
            <w:r w:rsidR="006A4FD9" w:rsidRPr="0075101A">
              <w:rPr>
                <w:rFonts w:cs="Arial"/>
              </w:rPr>
              <w:t>8</w:t>
            </w:r>
            <w:r w:rsidR="006A4FD9" w:rsidRPr="0075101A">
              <w:rPr>
                <w:rFonts w:cs="Arial"/>
                <w:spacing w:val="-2"/>
              </w:rPr>
              <w:t xml:space="preserve"> </w:t>
            </w:r>
            <w:r w:rsidR="006A4FD9" w:rsidRPr="0075101A">
              <w:rPr>
                <w:rFonts w:cs="Arial"/>
                <w:spacing w:val="-5"/>
              </w:rPr>
              <w:t>p</w:t>
            </w:r>
            <w:r w:rsidR="006A4FD9" w:rsidRPr="0075101A">
              <w:rPr>
                <w:rFonts w:cs="Arial"/>
              </w:rPr>
              <w:t>m</w:t>
            </w:r>
            <w:r w:rsidR="006A4FD9" w:rsidRPr="0075101A">
              <w:rPr>
                <w:rFonts w:cs="Arial"/>
                <w:spacing w:val="3"/>
              </w:rPr>
              <w:t xml:space="preserve"> </w:t>
            </w:r>
            <w:r w:rsidR="006A4FD9" w:rsidRPr="0075101A">
              <w:rPr>
                <w:rFonts w:cs="Arial"/>
              </w:rPr>
              <w:t>–</w:t>
            </w:r>
            <w:r w:rsidR="006A4FD9" w:rsidRPr="0075101A">
              <w:rPr>
                <w:rFonts w:cs="Arial"/>
                <w:spacing w:val="3"/>
              </w:rPr>
              <w:t xml:space="preserve"> </w:t>
            </w:r>
            <w:r w:rsidR="006A4FD9" w:rsidRPr="0075101A">
              <w:rPr>
                <w:rFonts w:cs="Arial"/>
                <w:spacing w:val="-5"/>
              </w:rPr>
              <w:t>1</w:t>
            </w:r>
            <w:r w:rsidR="006A4FD9" w:rsidRPr="0075101A">
              <w:rPr>
                <w:rFonts w:cs="Arial"/>
                <w:spacing w:val="-1"/>
              </w:rPr>
              <w:t>0</w:t>
            </w:r>
            <w:r w:rsidR="006A4FD9" w:rsidRPr="0075101A">
              <w:rPr>
                <w:rFonts w:cs="Arial"/>
                <w:spacing w:val="-5"/>
              </w:rPr>
              <w:t>p</w:t>
            </w:r>
            <w:r w:rsidR="006A4FD9" w:rsidRPr="0075101A">
              <w:rPr>
                <w:rFonts w:cs="Arial"/>
              </w:rPr>
              <w:t>m</w:t>
            </w:r>
            <w:r w:rsidR="006A4FD9" w:rsidRPr="0075101A">
              <w:rPr>
                <w:rFonts w:cs="Arial"/>
                <w:spacing w:val="8"/>
              </w:rPr>
              <w:t xml:space="preserve"> </w:t>
            </w:r>
            <w:r w:rsidR="006A4FD9" w:rsidRPr="0075101A">
              <w:rPr>
                <w:rFonts w:cs="Arial"/>
                <w:spacing w:val="-1"/>
              </w:rPr>
              <w:t>o</w:t>
            </w:r>
            <w:r w:rsidR="006A4FD9" w:rsidRPr="0075101A">
              <w:rPr>
                <w:rFonts w:cs="Arial"/>
              </w:rPr>
              <w:t>n</w:t>
            </w:r>
            <w:r w:rsidR="006A4FD9" w:rsidRPr="0075101A">
              <w:rPr>
                <w:rFonts w:cs="Arial"/>
                <w:spacing w:val="-1"/>
              </w:rPr>
              <w:t xml:space="preserve"> </w:t>
            </w:r>
            <w:r w:rsidR="006A4FD9" w:rsidRPr="0075101A">
              <w:rPr>
                <w:rFonts w:cs="Arial"/>
                <w:spacing w:val="-2"/>
              </w:rPr>
              <w:t>w</w:t>
            </w:r>
            <w:r w:rsidR="006A4FD9" w:rsidRPr="0075101A">
              <w:rPr>
                <w:rFonts w:cs="Arial"/>
                <w:spacing w:val="-5"/>
              </w:rPr>
              <w:t>o</w:t>
            </w:r>
            <w:r w:rsidR="006A4FD9" w:rsidRPr="0075101A">
              <w:rPr>
                <w:rFonts w:cs="Arial"/>
                <w:spacing w:val="2"/>
              </w:rPr>
              <w:t>r</w:t>
            </w:r>
            <w:r w:rsidR="006A4FD9" w:rsidRPr="0075101A">
              <w:rPr>
                <w:rFonts w:cs="Arial"/>
              </w:rPr>
              <w:t>k</w:t>
            </w:r>
            <w:r w:rsidR="006A4FD9" w:rsidRPr="0075101A">
              <w:rPr>
                <w:rFonts w:cs="Arial"/>
                <w:spacing w:val="-2"/>
              </w:rPr>
              <w:t>i</w:t>
            </w:r>
            <w:r w:rsidR="006A4FD9" w:rsidRPr="0075101A">
              <w:rPr>
                <w:rFonts w:cs="Arial"/>
                <w:spacing w:val="-1"/>
              </w:rPr>
              <w:t>n</w:t>
            </w:r>
            <w:r w:rsidR="006A4FD9" w:rsidRPr="0075101A">
              <w:rPr>
                <w:rFonts w:cs="Arial"/>
              </w:rPr>
              <w:t>g</w:t>
            </w:r>
            <w:r w:rsidR="006A4FD9" w:rsidRPr="0075101A">
              <w:rPr>
                <w:rFonts w:cs="Arial"/>
                <w:spacing w:val="8"/>
              </w:rPr>
              <w:t xml:space="preserve"> </w:t>
            </w:r>
            <w:r w:rsidR="006A4FD9" w:rsidRPr="0075101A">
              <w:rPr>
                <w:rFonts w:cs="Arial"/>
                <w:spacing w:val="-2"/>
              </w:rPr>
              <w:t>w</w:t>
            </w:r>
            <w:r w:rsidR="006A4FD9" w:rsidRPr="0075101A">
              <w:rPr>
                <w:rFonts w:cs="Arial"/>
                <w:spacing w:val="-5"/>
              </w:rPr>
              <w:t>ee</w:t>
            </w:r>
            <w:r w:rsidR="006A4FD9" w:rsidRPr="0075101A">
              <w:rPr>
                <w:rFonts w:cs="Arial"/>
              </w:rPr>
              <w:t>k</w:t>
            </w:r>
            <w:r w:rsidR="006A4FD9" w:rsidRPr="0075101A">
              <w:rPr>
                <w:rFonts w:cs="Arial"/>
                <w:spacing w:val="-1"/>
              </w:rPr>
              <w:t>da</w:t>
            </w:r>
            <w:r w:rsidR="006A4FD9" w:rsidRPr="0075101A">
              <w:rPr>
                <w:rFonts w:cs="Arial"/>
              </w:rPr>
              <w:t>ys</w:t>
            </w:r>
          </w:p>
          <w:p w:rsidR="006A4FD9" w:rsidRPr="0075101A" w:rsidRDefault="000928C7" w:rsidP="0075101A">
            <w:pPr>
              <w:spacing w:before="120" w:after="120"/>
              <w:ind w:left="34"/>
              <w:rPr>
                <w:rFonts w:cs="Arial"/>
                <w:b/>
                <w:bCs/>
                <w:szCs w:val="18"/>
              </w:rPr>
            </w:pPr>
            <w:r>
              <w:rPr>
                <w:rFonts w:cs="Arial"/>
                <w:spacing w:val="-1"/>
              </w:rPr>
              <w:t>In the non-summer and non-winter months, f</w:t>
            </w:r>
            <w:r w:rsidR="006A4FD9" w:rsidRPr="0075101A">
              <w:rPr>
                <w:rFonts w:cs="Arial"/>
                <w:spacing w:val="-1"/>
              </w:rPr>
              <w:t xml:space="preserve">rom </w:t>
            </w:r>
            <w:r>
              <w:rPr>
                <w:rFonts w:cs="Arial"/>
                <w:spacing w:val="-1"/>
              </w:rPr>
              <w:t>7am</w:t>
            </w:r>
            <w:r w:rsidR="006A4FD9" w:rsidRPr="0075101A">
              <w:rPr>
                <w:rFonts w:cs="Arial"/>
                <w:spacing w:val="-1"/>
              </w:rPr>
              <w:t xml:space="preserve"> – </w:t>
            </w:r>
            <w:r>
              <w:rPr>
                <w:rFonts w:cs="Arial"/>
                <w:spacing w:val="-1"/>
              </w:rPr>
              <w:t>10</w:t>
            </w:r>
            <w:r w:rsidR="006A4FD9" w:rsidRPr="0075101A">
              <w:rPr>
                <w:rFonts w:cs="Arial"/>
                <w:spacing w:val="-1"/>
              </w:rPr>
              <w:t xml:space="preserve"> pm on working weekdays </w:t>
            </w:r>
          </w:p>
        </w:tc>
      </w:tr>
      <w:tr w:rsidR="006A4FD9" w:rsidTr="00F93A72">
        <w:trPr>
          <w:trHeight w:val="660"/>
        </w:trPr>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hideMark/>
          </w:tcPr>
          <w:p w:rsidR="006A4FD9" w:rsidRPr="0075101A" w:rsidRDefault="006A4FD9" w:rsidP="00557D57">
            <w:pPr>
              <w:spacing w:before="120" w:after="120"/>
              <w:ind w:left="34"/>
              <w:rPr>
                <w:rFonts w:cs="Arial"/>
                <w:b/>
                <w:bCs/>
                <w:szCs w:val="18"/>
              </w:rPr>
            </w:pPr>
            <w:r w:rsidRPr="0075101A">
              <w:rPr>
                <w:rFonts w:cs="Arial"/>
                <w:b/>
                <w:bCs/>
                <w:szCs w:val="18"/>
              </w:rPr>
              <w:t>Off-peak period</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Pr="0075101A" w:rsidRDefault="006A4FD9" w:rsidP="00557D57">
            <w:pPr>
              <w:spacing w:before="120" w:after="120"/>
              <w:ind w:left="33"/>
              <w:rPr>
                <w:rFonts w:cs="Arial"/>
                <w:spacing w:val="-2"/>
              </w:rPr>
            </w:pPr>
            <w:r w:rsidRPr="0075101A">
              <w:rPr>
                <w:rFonts w:cs="Arial"/>
                <w:spacing w:val="-2"/>
              </w:rPr>
              <w:t>A</w:t>
            </w:r>
            <w:r w:rsidRPr="0075101A">
              <w:rPr>
                <w:rFonts w:cs="Arial"/>
                <w:spacing w:val="3"/>
              </w:rPr>
              <w:t>l</w:t>
            </w:r>
            <w:r w:rsidRPr="0075101A">
              <w:rPr>
                <w:rFonts w:cs="Arial"/>
              </w:rPr>
              <w:t>l</w:t>
            </w:r>
            <w:r w:rsidRPr="0075101A">
              <w:rPr>
                <w:rFonts w:cs="Arial"/>
                <w:spacing w:val="3"/>
              </w:rPr>
              <w:t xml:space="preserve"> </w:t>
            </w:r>
            <w:r w:rsidRPr="0075101A">
              <w:rPr>
                <w:rFonts w:cs="Arial"/>
                <w:spacing w:val="-5"/>
              </w:rPr>
              <w:t>o</w:t>
            </w:r>
            <w:r w:rsidRPr="0075101A">
              <w:rPr>
                <w:rFonts w:cs="Arial"/>
                <w:spacing w:val="2"/>
              </w:rPr>
              <w:t>t</w:t>
            </w:r>
            <w:r w:rsidRPr="0075101A">
              <w:rPr>
                <w:rFonts w:cs="Arial"/>
                <w:spacing w:val="-1"/>
              </w:rPr>
              <w:t>h</w:t>
            </w:r>
            <w:r w:rsidRPr="0075101A">
              <w:rPr>
                <w:rFonts w:cs="Arial"/>
                <w:spacing w:val="-5"/>
              </w:rPr>
              <w:t>e</w:t>
            </w:r>
            <w:r w:rsidRPr="0075101A">
              <w:rPr>
                <w:rFonts w:cs="Arial"/>
              </w:rPr>
              <w:t>r</w:t>
            </w:r>
            <w:r w:rsidRPr="0075101A">
              <w:rPr>
                <w:rFonts w:cs="Arial"/>
                <w:spacing w:val="4"/>
              </w:rPr>
              <w:t xml:space="preserve"> </w:t>
            </w:r>
            <w:r w:rsidRPr="0075101A">
              <w:rPr>
                <w:rFonts w:cs="Arial"/>
                <w:spacing w:val="2"/>
                <w:w w:val="101"/>
              </w:rPr>
              <w:t>t</w:t>
            </w:r>
            <w:r w:rsidRPr="0075101A">
              <w:rPr>
                <w:rFonts w:cs="Arial"/>
                <w:spacing w:val="-2"/>
                <w:w w:val="101"/>
              </w:rPr>
              <w:t>i</w:t>
            </w:r>
            <w:r w:rsidRPr="0075101A">
              <w:rPr>
                <w:rFonts w:cs="Arial"/>
                <w:spacing w:val="6"/>
                <w:w w:val="101"/>
              </w:rPr>
              <w:t>m</w:t>
            </w:r>
            <w:r w:rsidRPr="0075101A">
              <w:rPr>
                <w:rFonts w:cs="Arial"/>
                <w:spacing w:val="-5"/>
                <w:w w:val="101"/>
              </w:rPr>
              <w:t>es</w:t>
            </w:r>
          </w:p>
        </w:tc>
        <w:tc>
          <w:tcPr>
            <w:tcW w:w="43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hideMark/>
          </w:tcPr>
          <w:p w:rsidR="006A4FD9" w:rsidRPr="000928C7" w:rsidRDefault="006A4FD9" w:rsidP="00557D57">
            <w:pPr>
              <w:spacing w:before="120" w:after="120"/>
              <w:ind w:left="34"/>
              <w:rPr>
                <w:rFonts w:cs="Arial"/>
                <w:b/>
                <w:bCs/>
                <w:szCs w:val="18"/>
              </w:rPr>
            </w:pPr>
            <w:r w:rsidRPr="0075101A">
              <w:rPr>
                <w:rFonts w:cs="Arial"/>
                <w:spacing w:val="-2"/>
              </w:rPr>
              <w:t>A</w:t>
            </w:r>
            <w:r w:rsidRPr="0075101A">
              <w:rPr>
                <w:rFonts w:cs="Arial"/>
                <w:spacing w:val="3"/>
              </w:rPr>
              <w:t>l</w:t>
            </w:r>
            <w:r w:rsidRPr="0075101A">
              <w:rPr>
                <w:rFonts w:cs="Arial"/>
              </w:rPr>
              <w:t>l</w:t>
            </w:r>
            <w:r w:rsidRPr="0075101A">
              <w:rPr>
                <w:rFonts w:cs="Arial"/>
                <w:spacing w:val="3"/>
              </w:rPr>
              <w:t xml:space="preserve"> </w:t>
            </w:r>
            <w:r w:rsidRPr="0075101A">
              <w:rPr>
                <w:rFonts w:cs="Arial"/>
                <w:spacing w:val="-5"/>
              </w:rPr>
              <w:t>o</w:t>
            </w:r>
            <w:r w:rsidRPr="0075101A">
              <w:rPr>
                <w:rFonts w:cs="Arial"/>
                <w:spacing w:val="2"/>
              </w:rPr>
              <w:t>t</w:t>
            </w:r>
            <w:r w:rsidRPr="0075101A">
              <w:rPr>
                <w:rFonts w:cs="Arial"/>
                <w:spacing w:val="-1"/>
              </w:rPr>
              <w:t>h</w:t>
            </w:r>
            <w:r w:rsidRPr="0075101A">
              <w:rPr>
                <w:rFonts w:cs="Arial"/>
                <w:spacing w:val="-5"/>
              </w:rPr>
              <w:t>e</w:t>
            </w:r>
            <w:r w:rsidRPr="0075101A">
              <w:rPr>
                <w:rFonts w:cs="Arial"/>
              </w:rPr>
              <w:t>r</w:t>
            </w:r>
            <w:r w:rsidRPr="0075101A">
              <w:rPr>
                <w:rFonts w:cs="Arial"/>
                <w:spacing w:val="4"/>
              </w:rPr>
              <w:t xml:space="preserve"> </w:t>
            </w:r>
            <w:r w:rsidRPr="0075101A">
              <w:rPr>
                <w:rFonts w:cs="Arial"/>
                <w:spacing w:val="2"/>
                <w:w w:val="101"/>
              </w:rPr>
              <w:t>t</w:t>
            </w:r>
            <w:r w:rsidRPr="0075101A">
              <w:rPr>
                <w:rFonts w:cs="Arial"/>
                <w:spacing w:val="-2"/>
                <w:w w:val="101"/>
              </w:rPr>
              <w:t>i</w:t>
            </w:r>
            <w:r w:rsidRPr="0075101A">
              <w:rPr>
                <w:rFonts w:cs="Arial"/>
                <w:spacing w:val="6"/>
                <w:w w:val="101"/>
              </w:rPr>
              <w:t>m</w:t>
            </w:r>
            <w:r w:rsidRPr="0075101A">
              <w:rPr>
                <w:rFonts w:cs="Arial"/>
                <w:spacing w:val="-5"/>
                <w:w w:val="101"/>
              </w:rPr>
              <w:t>es</w:t>
            </w:r>
          </w:p>
        </w:tc>
      </w:tr>
    </w:tbl>
    <w:p w:rsidR="006A4FD9" w:rsidRPr="00080AED" w:rsidRDefault="006A4FD9" w:rsidP="000D6076">
      <w:pPr>
        <w:ind w:left="851"/>
        <w:rPr>
          <w:lang w:val="en-AU" w:eastAsia="en-AU"/>
        </w:rPr>
      </w:pPr>
    </w:p>
    <w:p w:rsidR="003A20D7" w:rsidRPr="005E1097" w:rsidRDefault="003A20D7" w:rsidP="00722C30">
      <w:pPr>
        <w:pStyle w:val="Heading1"/>
      </w:pPr>
      <w:bookmarkStart w:id="462" w:name="_Ref462042542"/>
      <w:bookmarkStart w:id="463" w:name="_Toc475527431"/>
      <w:r w:rsidRPr="005E1097">
        <w:lastRenderedPageBreak/>
        <w:t>Approach to Residual Cost Recovery</w:t>
      </w:r>
      <w:bookmarkEnd w:id="447"/>
      <w:bookmarkEnd w:id="462"/>
      <w:bookmarkEnd w:id="463"/>
    </w:p>
    <w:p w:rsidR="009C453A" w:rsidRPr="00722C30" w:rsidRDefault="009C453A" w:rsidP="00BD7A0B">
      <w:pPr>
        <w:pStyle w:val="BodyText"/>
        <w:rPr>
          <w:rStyle w:val="AERbody"/>
        </w:rPr>
      </w:pPr>
      <w:bookmarkStart w:id="464" w:name="_Toc429068809"/>
      <w:r w:rsidRPr="00722C30">
        <w:rPr>
          <w:rStyle w:val="AERbody"/>
        </w:rPr>
        <w:t xml:space="preserve">A significant proportion of a DNSP’s revenue requirement is made up of the fixed capital costs of previous investments in network assets – so-called sunk costs. </w:t>
      </w:r>
      <w:r w:rsidR="0085717B" w:rsidRPr="00722C30">
        <w:rPr>
          <w:rStyle w:val="AERbody"/>
        </w:rPr>
        <w:t>These s</w:t>
      </w:r>
      <w:r w:rsidRPr="00722C30">
        <w:rPr>
          <w:rStyle w:val="AERbody"/>
        </w:rPr>
        <w:t>unk costs are not affected by current and future consumption decisions.</w:t>
      </w:r>
    </w:p>
    <w:p w:rsidR="009C453A" w:rsidRPr="00722C30" w:rsidRDefault="009C453A" w:rsidP="007D0321">
      <w:pPr>
        <w:pStyle w:val="BodyText"/>
        <w:rPr>
          <w:rStyle w:val="AERbody"/>
        </w:rPr>
      </w:pPr>
      <w:r w:rsidRPr="00722C30">
        <w:rPr>
          <w:rStyle w:val="AERbody"/>
        </w:rPr>
        <w:t xml:space="preserve">Further, since LRMC reflects forward looking costs, not historical costs, LRMC-based prices will not </w:t>
      </w:r>
      <w:r w:rsidR="005B7261" w:rsidRPr="00722C30">
        <w:rPr>
          <w:rStyle w:val="AERbody"/>
        </w:rPr>
        <w:t xml:space="preserve">lead </w:t>
      </w:r>
      <w:r w:rsidRPr="00722C30">
        <w:rPr>
          <w:rStyle w:val="AERbody"/>
        </w:rPr>
        <w:t xml:space="preserve">to the recovery of Ausgrid’s efficient costs. The difference between Ausgrid’s efficient costs and the revenue recovered from LRMC-based prices is </w:t>
      </w:r>
      <w:r w:rsidR="0085717B" w:rsidRPr="00722C30">
        <w:rPr>
          <w:rStyle w:val="AERbody"/>
        </w:rPr>
        <w:t>referred to as residual costs.</w:t>
      </w:r>
    </w:p>
    <w:p w:rsidR="00FB1BC8" w:rsidRPr="001C190C" w:rsidRDefault="00347193" w:rsidP="00D54FEB">
      <w:pPr>
        <w:pStyle w:val="Caption"/>
        <w:rPr>
          <w:rFonts w:cs="Arial"/>
          <w:b w:val="0"/>
        </w:rPr>
      </w:pPr>
      <w:r w:rsidRPr="00D54FEB">
        <w:t xml:space="preserve">Table </w:t>
      </w:r>
      <w:fldSimple w:instr=" SEQ Table \* ARABIC ">
        <w:r w:rsidR="00BE0834">
          <w:rPr>
            <w:noProof/>
          </w:rPr>
          <w:t>13</w:t>
        </w:r>
      </w:fldSimple>
      <w:r w:rsidRPr="00D54FEB">
        <w:t xml:space="preserve"> – </w:t>
      </w:r>
      <w:r w:rsidR="00FB1BC8" w:rsidRPr="00D54FEB">
        <w:t>Indicative Total Residual Cost ($</w:t>
      </w:r>
      <w:proofErr w:type="gramStart"/>
      <w:r w:rsidR="00FB1BC8" w:rsidRPr="00D54FEB">
        <w:t>,000</w:t>
      </w:r>
      <w:proofErr w:type="gramEnd"/>
      <w:r w:rsidR="00FB1BC8" w:rsidRPr="00D54FEB">
        <w:t xml:space="preserve">) – </w:t>
      </w:r>
      <w:proofErr w:type="spellStart"/>
      <w:r w:rsidR="00FB1BC8" w:rsidRPr="00D54FEB">
        <w:t>Ausgrid</w:t>
      </w:r>
      <w:proofErr w:type="spellEnd"/>
      <w:r w:rsidR="00FB1BC8" w:rsidRPr="00D54FEB">
        <w:t xml:space="preserve"> – FY 2017 to FY 2019</w:t>
      </w:r>
    </w:p>
    <w:tbl>
      <w:tblPr>
        <w:tblW w:w="8442" w:type="dxa"/>
        <w:tblInd w:w="95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65A6"/>
          <w:insideV w:val="single" w:sz="4" w:space="0" w:color="000000" w:themeColor="text1"/>
        </w:tblBorders>
        <w:tblLook w:val="01E0" w:firstRow="1" w:lastRow="1" w:firstColumn="1" w:lastColumn="1" w:noHBand="0" w:noVBand="0"/>
      </w:tblPr>
      <w:tblGrid>
        <w:gridCol w:w="2693"/>
        <w:gridCol w:w="1916"/>
        <w:gridCol w:w="1916"/>
        <w:gridCol w:w="1917"/>
      </w:tblGrid>
      <w:tr w:rsidR="00FB1BC8" w:rsidRPr="00B77EEA" w:rsidTr="00C223CF">
        <w:trPr>
          <w:trHeight w:val="438"/>
        </w:trPr>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B1BC8" w:rsidRPr="000D6076" w:rsidRDefault="00FB1BC8" w:rsidP="000D6076">
            <w:pPr>
              <w:spacing w:before="120" w:after="120"/>
              <w:jc w:val="center"/>
              <w:rPr>
                <w:rFonts w:cs="Arial"/>
                <w:b/>
                <w:bCs/>
                <w:color w:val="FFFFFF"/>
                <w:sz w:val="16"/>
                <w:szCs w:val="20"/>
              </w:rPr>
            </w:pPr>
          </w:p>
        </w:tc>
        <w:tc>
          <w:tcPr>
            <w:tcW w:w="1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B1BC8" w:rsidRPr="000D6076" w:rsidRDefault="00FB1BC8">
            <w:pPr>
              <w:spacing w:before="120" w:after="120"/>
              <w:ind w:right="318"/>
              <w:jc w:val="center"/>
              <w:rPr>
                <w:rFonts w:cs="Arial"/>
                <w:b/>
                <w:bCs/>
                <w:color w:val="FFFFFF"/>
                <w:sz w:val="16"/>
                <w:szCs w:val="20"/>
              </w:rPr>
            </w:pPr>
            <w:r w:rsidRPr="000D6076">
              <w:rPr>
                <w:rFonts w:cs="Arial"/>
                <w:b/>
                <w:bCs/>
                <w:color w:val="FFFFFF"/>
                <w:sz w:val="16"/>
                <w:szCs w:val="20"/>
              </w:rPr>
              <w:t>2017</w:t>
            </w:r>
          </w:p>
        </w:tc>
        <w:tc>
          <w:tcPr>
            <w:tcW w:w="1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B1BC8" w:rsidRPr="000D6076" w:rsidRDefault="00FB1BC8">
            <w:pPr>
              <w:spacing w:before="120" w:after="120"/>
              <w:ind w:right="318"/>
              <w:jc w:val="center"/>
              <w:rPr>
                <w:rFonts w:cs="Arial"/>
                <w:b/>
                <w:bCs/>
                <w:color w:val="FFFFFF"/>
                <w:sz w:val="16"/>
                <w:szCs w:val="20"/>
              </w:rPr>
            </w:pPr>
            <w:r w:rsidRPr="000D6076">
              <w:rPr>
                <w:rFonts w:cs="Arial"/>
                <w:b/>
                <w:bCs/>
                <w:color w:val="FFFFFF"/>
                <w:sz w:val="16"/>
                <w:szCs w:val="20"/>
              </w:rPr>
              <w:t>2018</w:t>
            </w:r>
          </w:p>
        </w:tc>
        <w:tc>
          <w:tcPr>
            <w:tcW w:w="1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70C0"/>
            <w:vAlign w:val="center"/>
          </w:tcPr>
          <w:p w:rsidR="00FB1BC8" w:rsidRPr="000D6076" w:rsidRDefault="00FB1BC8">
            <w:pPr>
              <w:spacing w:before="120" w:after="120"/>
              <w:ind w:right="318"/>
              <w:jc w:val="center"/>
              <w:rPr>
                <w:rFonts w:cs="Arial"/>
                <w:b/>
                <w:bCs/>
                <w:color w:val="FFFFFF"/>
                <w:sz w:val="16"/>
                <w:szCs w:val="20"/>
              </w:rPr>
            </w:pPr>
            <w:r w:rsidRPr="000D6076">
              <w:rPr>
                <w:rFonts w:cs="Arial"/>
                <w:b/>
                <w:bCs/>
                <w:color w:val="FFFFFF"/>
                <w:sz w:val="16"/>
                <w:szCs w:val="20"/>
              </w:rPr>
              <w:t>2019</w:t>
            </w:r>
          </w:p>
        </w:tc>
      </w:tr>
      <w:tr w:rsidR="00297681" w:rsidRPr="00B77EEA" w:rsidTr="00C223CF">
        <w:trPr>
          <w:trHeight w:val="359"/>
        </w:trPr>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tcPr>
          <w:p w:rsidR="00297681" w:rsidRPr="000D6076" w:rsidRDefault="00297681">
            <w:pPr>
              <w:spacing w:before="120" w:after="120"/>
              <w:rPr>
                <w:rFonts w:cs="Arial"/>
                <w:bCs/>
                <w:sz w:val="16"/>
                <w:szCs w:val="20"/>
              </w:rPr>
            </w:pPr>
            <w:r w:rsidRPr="000D6076">
              <w:rPr>
                <w:rFonts w:cs="Arial"/>
                <w:bCs/>
                <w:sz w:val="16"/>
                <w:szCs w:val="20"/>
              </w:rPr>
              <w:t>Expected Revenue</w:t>
            </w:r>
            <w:r>
              <w:rPr>
                <w:rStyle w:val="FootnoteReference"/>
                <w:rFonts w:cs="Arial"/>
                <w:bCs/>
                <w:sz w:val="16"/>
                <w:szCs w:val="20"/>
              </w:rPr>
              <w:footnoteReference w:id="26"/>
            </w:r>
          </w:p>
        </w:tc>
        <w:tc>
          <w:tcPr>
            <w:tcW w:w="1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297681" w:rsidRPr="00715D79" w:rsidRDefault="00297681" w:rsidP="00715D79">
            <w:pPr>
              <w:spacing w:after="0"/>
              <w:ind w:right="318"/>
              <w:jc w:val="right"/>
              <w:rPr>
                <w:rFonts w:cs="Arial"/>
                <w:color w:val="000000"/>
                <w:sz w:val="16"/>
                <w:szCs w:val="16"/>
                <w:highlight w:val="yellow"/>
              </w:rPr>
            </w:pPr>
            <w:r w:rsidRPr="00715D79">
              <w:rPr>
                <w:rFonts w:cs="Arial"/>
                <w:color w:val="000000"/>
                <w:sz w:val="16"/>
                <w:szCs w:val="16"/>
              </w:rPr>
              <w:t>2,193,6</w:t>
            </w:r>
            <w:r>
              <w:rPr>
                <w:rFonts w:cs="Arial"/>
                <w:color w:val="000000"/>
                <w:sz w:val="16"/>
                <w:szCs w:val="16"/>
              </w:rPr>
              <w:t>40</w:t>
            </w:r>
          </w:p>
        </w:tc>
        <w:tc>
          <w:tcPr>
            <w:tcW w:w="1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297681" w:rsidRPr="00715D79" w:rsidRDefault="00297681" w:rsidP="00715D79">
            <w:pPr>
              <w:spacing w:after="0"/>
              <w:ind w:right="318"/>
              <w:jc w:val="right"/>
              <w:rPr>
                <w:rFonts w:cs="Arial"/>
                <w:color w:val="000000"/>
                <w:sz w:val="16"/>
                <w:szCs w:val="16"/>
                <w:highlight w:val="yellow"/>
              </w:rPr>
            </w:pPr>
            <w:r w:rsidRPr="00715D79">
              <w:rPr>
                <w:rFonts w:cs="Arial"/>
                <w:color w:val="000000"/>
                <w:sz w:val="16"/>
                <w:szCs w:val="16"/>
              </w:rPr>
              <w:t>2,237,512</w:t>
            </w:r>
          </w:p>
        </w:tc>
        <w:tc>
          <w:tcPr>
            <w:tcW w:w="1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297681" w:rsidRPr="00715D79" w:rsidRDefault="00297681" w:rsidP="00715D79">
            <w:pPr>
              <w:spacing w:after="0"/>
              <w:ind w:right="318"/>
              <w:jc w:val="right"/>
              <w:rPr>
                <w:rFonts w:cs="Arial"/>
                <w:color w:val="000000"/>
                <w:sz w:val="16"/>
                <w:szCs w:val="16"/>
                <w:highlight w:val="yellow"/>
              </w:rPr>
            </w:pPr>
            <w:r w:rsidRPr="00715D79">
              <w:rPr>
                <w:rFonts w:cs="Arial"/>
                <w:color w:val="000000"/>
                <w:sz w:val="16"/>
                <w:szCs w:val="16"/>
              </w:rPr>
              <w:t>2,293,450</w:t>
            </w:r>
          </w:p>
        </w:tc>
      </w:tr>
      <w:tr w:rsidR="00297681" w:rsidRPr="00B77EEA" w:rsidTr="00C223CF">
        <w:trPr>
          <w:trHeight w:val="527"/>
        </w:trPr>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tcPr>
          <w:p w:rsidR="00297681" w:rsidRPr="000D6076" w:rsidRDefault="00297681">
            <w:pPr>
              <w:spacing w:before="120" w:after="120"/>
              <w:rPr>
                <w:rFonts w:cs="Arial"/>
                <w:bCs/>
                <w:sz w:val="16"/>
                <w:szCs w:val="20"/>
              </w:rPr>
            </w:pPr>
            <w:r w:rsidRPr="000D6076">
              <w:rPr>
                <w:rFonts w:cs="Arial"/>
                <w:bCs/>
                <w:sz w:val="16"/>
                <w:szCs w:val="20"/>
              </w:rPr>
              <w:t xml:space="preserve">Less </w:t>
            </w:r>
            <w:r>
              <w:rPr>
                <w:rFonts w:cs="Arial"/>
                <w:bCs/>
                <w:sz w:val="16"/>
                <w:szCs w:val="20"/>
              </w:rPr>
              <w:t>r</w:t>
            </w:r>
            <w:r w:rsidRPr="000D6076">
              <w:rPr>
                <w:rFonts w:cs="Arial"/>
                <w:bCs/>
                <w:sz w:val="16"/>
                <w:szCs w:val="20"/>
              </w:rPr>
              <w:t xml:space="preserve">evenue from </w:t>
            </w:r>
            <w:r>
              <w:rPr>
                <w:rFonts w:cs="Arial"/>
                <w:bCs/>
                <w:sz w:val="16"/>
                <w:szCs w:val="20"/>
              </w:rPr>
              <w:t>LRMC component of peak charges</w:t>
            </w:r>
          </w:p>
        </w:tc>
        <w:tc>
          <w:tcPr>
            <w:tcW w:w="1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297681" w:rsidRPr="00715D79" w:rsidRDefault="00297681" w:rsidP="00715D79">
            <w:pPr>
              <w:spacing w:after="0"/>
              <w:ind w:right="318"/>
              <w:jc w:val="right"/>
              <w:rPr>
                <w:rFonts w:cs="Arial"/>
                <w:color w:val="000000"/>
                <w:sz w:val="16"/>
                <w:szCs w:val="16"/>
                <w:highlight w:val="yellow"/>
              </w:rPr>
            </w:pPr>
            <w:r>
              <w:rPr>
                <w:rFonts w:cs="Arial"/>
                <w:color w:val="000000"/>
                <w:sz w:val="16"/>
                <w:szCs w:val="16"/>
              </w:rPr>
              <w:t>508,529</w:t>
            </w:r>
          </w:p>
        </w:tc>
        <w:tc>
          <w:tcPr>
            <w:tcW w:w="1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297681" w:rsidRPr="00715D79" w:rsidRDefault="00297681" w:rsidP="00715D79">
            <w:pPr>
              <w:spacing w:after="0"/>
              <w:ind w:right="318"/>
              <w:jc w:val="right"/>
              <w:rPr>
                <w:rFonts w:cs="Arial"/>
                <w:color w:val="000000"/>
                <w:sz w:val="16"/>
                <w:szCs w:val="16"/>
                <w:highlight w:val="yellow"/>
              </w:rPr>
            </w:pPr>
            <w:r>
              <w:rPr>
                <w:rFonts w:cs="Arial"/>
                <w:color w:val="000000"/>
                <w:sz w:val="16"/>
                <w:szCs w:val="16"/>
              </w:rPr>
              <w:t>505,410</w:t>
            </w:r>
          </w:p>
        </w:tc>
        <w:tc>
          <w:tcPr>
            <w:tcW w:w="1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297681" w:rsidRPr="00715D79" w:rsidRDefault="00297681" w:rsidP="00715D79">
            <w:pPr>
              <w:spacing w:after="0"/>
              <w:ind w:right="318"/>
              <w:jc w:val="right"/>
              <w:rPr>
                <w:rFonts w:cs="Arial"/>
                <w:color w:val="000000"/>
                <w:sz w:val="16"/>
                <w:szCs w:val="16"/>
                <w:highlight w:val="yellow"/>
              </w:rPr>
            </w:pPr>
            <w:r>
              <w:rPr>
                <w:rFonts w:cs="Arial"/>
                <w:color w:val="000000"/>
                <w:sz w:val="16"/>
                <w:szCs w:val="16"/>
              </w:rPr>
              <w:t>343,804</w:t>
            </w:r>
          </w:p>
        </w:tc>
      </w:tr>
      <w:tr w:rsidR="00297681" w:rsidRPr="00717A2F" w:rsidTr="00C223CF">
        <w:trPr>
          <w:trHeight w:val="411"/>
        </w:trPr>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97C5EA"/>
            <w:vAlign w:val="center"/>
          </w:tcPr>
          <w:p w:rsidR="00297681" w:rsidRPr="000D6076" w:rsidRDefault="00297681">
            <w:pPr>
              <w:spacing w:before="120" w:after="120"/>
              <w:rPr>
                <w:rFonts w:cs="Arial"/>
                <w:bCs/>
                <w:sz w:val="16"/>
                <w:szCs w:val="20"/>
              </w:rPr>
            </w:pPr>
            <w:r w:rsidRPr="000D6076">
              <w:rPr>
                <w:rFonts w:cs="Arial"/>
                <w:bCs/>
                <w:sz w:val="16"/>
                <w:szCs w:val="20"/>
              </w:rPr>
              <w:t>Total Residual Cost</w:t>
            </w:r>
          </w:p>
        </w:tc>
        <w:tc>
          <w:tcPr>
            <w:tcW w:w="1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297681" w:rsidRPr="00715D79" w:rsidRDefault="00297681" w:rsidP="00715D79">
            <w:pPr>
              <w:spacing w:after="0"/>
              <w:ind w:right="318"/>
              <w:jc w:val="right"/>
              <w:rPr>
                <w:rFonts w:cs="Arial"/>
                <w:color w:val="000000"/>
                <w:sz w:val="16"/>
                <w:szCs w:val="16"/>
                <w:highlight w:val="yellow"/>
              </w:rPr>
            </w:pPr>
            <w:r w:rsidRPr="00715D79">
              <w:rPr>
                <w:rFonts w:cs="Arial"/>
                <w:color w:val="000000"/>
                <w:sz w:val="16"/>
                <w:szCs w:val="16"/>
              </w:rPr>
              <w:t>1,6</w:t>
            </w:r>
            <w:r>
              <w:rPr>
                <w:rFonts w:cs="Arial"/>
                <w:color w:val="000000"/>
                <w:sz w:val="16"/>
                <w:szCs w:val="16"/>
              </w:rPr>
              <w:t>85</w:t>
            </w:r>
            <w:r w:rsidRPr="00715D79">
              <w:rPr>
                <w:rFonts w:cs="Arial"/>
                <w:color w:val="000000"/>
                <w:sz w:val="16"/>
                <w:szCs w:val="16"/>
              </w:rPr>
              <w:t>,</w:t>
            </w:r>
            <w:r>
              <w:rPr>
                <w:rFonts w:cs="Arial"/>
                <w:color w:val="000000"/>
                <w:sz w:val="16"/>
                <w:szCs w:val="16"/>
              </w:rPr>
              <w:t>110</w:t>
            </w:r>
          </w:p>
        </w:tc>
        <w:tc>
          <w:tcPr>
            <w:tcW w:w="19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297681" w:rsidRPr="00715D79" w:rsidRDefault="00297681" w:rsidP="00715D79">
            <w:pPr>
              <w:spacing w:after="0"/>
              <w:ind w:right="318"/>
              <w:jc w:val="right"/>
              <w:rPr>
                <w:rFonts w:cs="Arial"/>
                <w:color w:val="000000"/>
                <w:sz w:val="16"/>
                <w:szCs w:val="16"/>
                <w:highlight w:val="yellow"/>
              </w:rPr>
            </w:pPr>
            <w:r w:rsidRPr="00715D79">
              <w:rPr>
                <w:rFonts w:cs="Arial"/>
                <w:color w:val="000000"/>
                <w:sz w:val="16"/>
                <w:szCs w:val="16"/>
              </w:rPr>
              <w:t>1,</w:t>
            </w:r>
            <w:r>
              <w:rPr>
                <w:rFonts w:cs="Arial"/>
                <w:color w:val="000000"/>
                <w:sz w:val="16"/>
                <w:szCs w:val="16"/>
              </w:rPr>
              <w:t>732,102</w:t>
            </w:r>
          </w:p>
        </w:tc>
        <w:tc>
          <w:tcPr>
            <w:tcW w:w="191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vAlign w:val="center"/>
          </w:tcPr>
          <w:p w:rsidR="00297681" w:rsidRPr="00715D79" w:rsidRDefault="00297681" w:rsidP="00715D79">
            <w:pPr>
              <w:spacing w:after="0"/>
              <w:ind w:right="318"/>
              <w:jc w:val="right"/>
              <w:rPr>
                <w:rFonts w:cs="Arial"/>
                <w:color w:val="000000"/>
                <w:sz w:val="16"/>
                <w:szCs w:val="16"/>
                <w:highlight w:val="yellow"/>
              </w:rPr>
            </w:pPr>
            <w:r w:rsidRPr="00715D79">
              <w:rPr>
                <w:rFonts w:cs="Arial"/>
                <w:color w:val="000000"/>
                <w:sz w:val="16"/>
                <w:szCs w:val="16"/>
              </w:rPr>
              <w:t>1,</w:t>
            </w:r>
            <w:r>
              <w:rPr>
                <w:rFonts w:cs="Arial"/>
                <w:color w:val="000000"/>
                <w:sz w:val="16"/>
                <w:szCs w:val="16"/>
              </w:rPr>
              <w:t>949,645</w:t>
            </w:r>
          </w:p>
        </w:tc>
      </w:tr>
    </w:tbl>
    <w:p w:rsidR="00490DAD" w:rsidRDefault="00490DAD" w:rsidP="00BD7A0B">
      <w:pPr>
        <w:pStyle w:val="BodyText"/>
        <w:rPr>
          <w:rStyle w:val="AERbody"/>
        </w:rPr>
      </w:pPr>
    </w:p>
    <w:p w:rsidR="00E60BE6" w:rsidRPr="00722C30" w:rsidRDefault="00E60BE6" w:rsidP="007D0321">
      <w:pPr>
        <w:pStyle w:val="BodyText"/>
        <w:rPr>
          <w:rStyle w:val="AERbody"/>
        </w:rPr>
      </w:pPr>
      <w:r w:rsidRPr="00722C30">
        <w:rPr>
          <w:rStyle w:val="AERbody"/>
        </w:rPr>
        <w:t>Ausgrid’s approach to the recovery of residual costs is guided by the following principles:</w:t>
      </w:r>
    </w:p>
    <w:p w:rsidR="00E60BE6" w:rsidRDefault="00E60BE6" w:rsidP="00722C30">
      <w:pPr>
        <w:pStyle w:val="Bulletedtext"/>
      </w:pPr>
      <w:r w:rsidRPr="005874EA">
        <w:rPr>
          <w:b/>
        </w:rPr>
        <w:t>Economic Efficiency</w:t>
      </w:r>
      <w:r w:rsidRPr="007D4699">
        <w:t>: residual costs should be r</w:t>
      </w:r>
      <w:r>
        <w:t xml:space="preserve">ecovered in a way that is </w:t>
      </w:r>
      <w:r w:rsidRPr="007D4699">
        <w:t xml:space="preserve">consistent with the promotion of economic efficiency and </w:t>
      </w:r>
      <w:r w:rsidR="0076655C">
        <w:t xml:space="preserve">that </w:t>
      </w:r>
      <w:r w:rsidRPr="007D4699">
        <w:t xml:space="preserve">does not distort efficient LRMC based network </w:t>
      </w:r>
      <w:r w:rsidR="0076655C" w:rsidRPr="007D4699">
        <w:t>price</w:t>
      </w:r>
      <w:r w:rsidR="0076655C">
        <w:t xml:space="preserve"> signals</w:t>
      </w:r>
      <w:r>
        <w:t xml:space="preserve">, as required </w:t>
      </w:r>
      <w:r w:rsidR="0076655C">
        <w:t>by the NER</w:t>
      </w:r>
      <w:r w:rsidRPr="007D4699">
        <w:t>.</w:t>
      </w:r>
    </w:p>
    <w:p w:rsidR="00E60BE6" w:rsidRPr="00586857" w:rsidRDefault="00E60BE6" w:rsidP="00722C30">
      <w:pPr>
        <w:pStyle w:val="Bulletedtext"/>
      </w:pPr>
      <w:r w:rsidRPr="00586857">
        <w:rPr>
          <w:b/>
        </w:rPr>
        <w:t>Fairness</w:t>
      </w:r>
      <w:r w:rsidRPr="00586857">
        <w:t xml:space="preserve">: there is no single accepted interpretation of fairness, but the concept typically involves the desire for customers to contribute towards the recovery of costs in proportion to the extent that their network usage has caused these costs to be incurred. </w:t>
      </w:r>
    </w:p>
    <w:p w:rsidR="00E60BE6" w:rsidRDefault="00E60BE6" w:rsidP="00722C30">
      <w:pPr>
        <w:pStyle w:val="Bulletedtext"/>
      </w:pPr>
      <w:r w:rsidRPr="00FC393E">
        <w:rPr>
          <w:b/>
        </w:rPr>
        <w:t>Gradualism</w:t>
      </w:r>
      <w:r w:rsidRPr="00586857">
        <w:t>: Prices should change gradually to avoid shocking and inconveniencing consumers, as required under Section 6.18.5(</w:t>
      </w:r>
      <w:r w:rsidR="005A5496">
        <w:t>h</w:t>
      </w:r>
      <w:r w:rsidRPr="00586857">
        <w:t>) of</w:t>
      </w:r>
      <w:r>
        <w:t xml:space="preserve"> the </w:t>
      </w:r>
      <w:r w:rsidR="007C7FCE">
        <w:t>NER.</w:t>
      </w:r>
    </w:p>
    <w:p w:rsidR="009C6462" w:rsidRPr="00722C30" w:rsidRDefault="009C6462" w:rsidP="000D6076">
      <w:pPr>
        <w:tabs>
          <w:tab w:val="left" w:pos="1276"/>
        </w:tabs>
        <w:spacing w:before="120" w:after="0" w:line="240" w:lineRule="exact"/>
        <w:ind w:left="851"/>
        <w:rPr>
          <w:rStyle w:val="AERbody"/>
        </w:rPr>
      </w:pPr>
      <w:r w:rsidRPr="00722C30">
        <w:rPr>
          <w:rStyle w:val="AERbody"/>
        </w:rPr>
        <w:t xml:space="preserve">The allocation of residual costs requires three sequential steps, </w:t>
      </w:r>
      <w:proofErr w:type="spellStart"/>
      <w:r w:rsidRPr="00722C30">
        <w:rPr>
          <w:rStyle w:val="AERbody"/>
        </w:rPr>
        <w:t>ie</w:t>
      </w:r>
      <w:proofErr w:type="spellEnd"/>
      <w:r w:rsidRPr="00722C30">
        <w:rPr>
          <w:rStyle w:val="AERbody"/>
        </w:rPr>
        <w:t>:</w:t>
      </w:r>
    </w:p>
    <w:p w:rsidR="009C6462" w:rsidRPr="00722C30" w:rsidRDefault="00B17C8B" w:rsidP="00722C30">
      <w:pPr>
        <w:pStyle w:val="ListParagraph"/>
        <w:numPr>
          <w:ilvl w:val="0"/>
          <w:numId w:val="192"/>
        </w:numPr>
        <w:tabs>
          <w:tab w:val="left" w:pos="1276"/>
        </w:tabs>
        <w:spacing w:before="120" w:after="120" w:line="240" w:lineRule="exact"/>
        <w:ind w:hanging="357"/>
        <w:contextualSpacing w:val="0"/>
        <w:rPr>
          <w:rStyle w:val="AERbody"/>
        </w:rPr>
      </w:pPr>
      <w:r>
        <w:rPr>
          <w:rStyle w:val="AERbody"/>
        </w:rPr>
        <w:t>a</w:t>
      </w:r>
      <w:r w:rsidRPr="00722C30">
        <w:rPr>
          <w:rStyle w:val="AERbody"/>
        </w:rPr>
        <w:t xml:space="preserve">llocating </w:t>
      </w:r>
      <w:r w:rsidR="009C6462" w:rsidRPr="00722C30">
        <w:rPr>
          <w:rStyle w:val="AERbody"/>
        </w:rPr>
        <w:t>total residual costs to tariff classes;</w:t>
      </w:r>
    </w:p>
    <w:p w:rsidR="009C6462" w:rsidRPr="00722C30" w:rsidRDefault="00B17C8B" w:rsidP="00722C30">
      <w:pPr>
        <w:pStyle w:val="ListParagraph"/>
        <w:numPr>
          <w:ilvl w:val="0"/>
          <w:numId w:val="192"/>
        </w:numPr>
        <w:tabs>
          <w:tab w:val="left" w:pos="1276"/>
        </w:tabs>
        <w:spacing w:before="120" w:after="120" w:line="240" w:lineRule="exact"/>
        <w:ind w:hanging="357"/>
        <w:contextualSpacing w:val="0"/>
        <w:rPr>
          <w:rStyle w:val="AERbody"/>
        </w:rPr>
      </w:pPr>
      <w:r>
        <w:rPr>
          <w:rStyle w:val="AERbody"/>
        </w:rPr>
        <w:t>a</w:t>
      </w:r>
      <w:r w:rsidRPr="00722C30">
        <w:rPr>
          <w:rStyle w:val="AERbody"/>
        </w:rPr>
        <w:t xml:space="preserve">llocating </w:t>
      </w:r>
      <w:r w:rsidR="009C6462" w:rsidRPr="00722C30">
        <w:rPr>
          <w:rStyle w:val="AERbody"/>
        </w:rPr>
        <w:t>residual costs to the individual tariffs within each tariff class; and</w:t>
      </w:r>
    </w:p>
    <w:p w:rsidR="009C6462" w:rsidRPr="00722C30" w:rsidRDefault="00B17C8B" w:rsidP="00722C30">
      <w:pPr>
        <w:pStyle w:val="ListParagraph"/>
        <w:numPr>
          <w:ilvl w:val="0"/>
          <w:numId w:val="192"/>
        </w:numPr>
        <w:tabs>
          <w:tab w:val="left" w:pos="1276"/>
        </w:tabs>
        <w:spacing w:before="120" w:after="240" w:line="240" w:lineRule="exact"/>
        <w:rPr>
          <w:rStyle w:val="AERbody"/>
        </w:rPr>
      </w:pPr>
      <w:proofErr w:type="gramStart"/>
      <w:r>
        <w:rPr>
          <w:rStyle w:val="AERbody"/>
        </w:rPr>
        <w:t>a</w:t>
      </w:r>
      <w:r w:rsidRPr="00722C30">
        <w:rPr>
          <w:rStyle w:val="AERbody"/>
        </w:rPr>
        <w:t>llocating</w:t>
      </w:r>
      <w:proofErr w:type="gramEnd"/>
      <w:r w:rsidRPr="00722C30">
        <w:rPr>
          <w:rStyle w:val="AERbody"/>
        </w:rPr>
        <w:t xml:space="preserve"> </w:t>
      </w:r>
      <w:r w:rsidR="009C6462" w:rsidRPr="00722C30">
        <w:rPr>
          <w:rStyle w:val="AERbody"/>
        </w:rPr>
        <w:t>residual costs to the charging parameters within each tariff.</w:t>
      </w:r>
    </w:p>
    <w:p w:rsidR="009C6462" w:rsidRPr="00722C30" w:rsidRDefault="009C6462" w:rsidP="000D6076">
      <w:pPr>
        <w:ind w:left="851"/>
        <w:rPr>
          <w:rStyle w:val="AERbody"/>
        </w:rPr>
      </w:pPr>
      <w:proofErr w:type="spellStart"/>
      <w:r w:rsidRPr="00722C30">
        <w:rPr>
          <w:rStyle w:val="AERbody"/>
        </w:rPr>
        <w:t>Ausgrid’s</w:t>
      </w:r>
      <w:proofErr w:type="spellEnd"/>
      <w:r w:rsidRPr="00722C30">
        <w:rPr>
          <w:rStyle w:val="AERbody"/>
        </w:rPr>
        <w:t xml:space="preserve"> approach to each of these three steps is discussed in turn below. </w:t>
      </w:r>
    </w:p>
    <w:p w:rsidR="008725DF" w:rsidRPr="00722C30" w:rsidRDefault="008725DF" w:rsidP="00BD7A0B">
      <w:pPr>
        <w:pStyle w:val="BodyText"/>
      </w:pPr>
      <w:r w:rsidRPr="00722C30">
        <w:br w:type="page"/>
      </w:r>
    </w:p>
    <w:p w:rsidR="00E60BE6" w:rsidRDefault="000A3022">
      <w:pPr>
        <w:pStyle w:val="Heading2"/>
      </w:pPr>
      <w:bookmarkStart w:id="465" w:name="_Toc475527432"/>
      <w:r>
        <w:lastRenderedPageBreak/>
        <w:t>Allocating r</w:t>
      </w:r>
      <w:r w:rsidR="0085717B">
        <w:t xml:space="preserve">esidual </w:t>
      </w:r>
      <w:r w:rsidR="00070CFD">
        <w:t xml:space="preserve">costs </w:t>
      </w:r>
      <w:r>
        <w:t>to</w:t>
      </w:r>
      <w:r w:rsidR="0085717B">
        <w:t xml:space="preserve"> tariff class</w:t>
      </w:r>
      <w:r>
        <w:t>es</w:t>
      </w:r>
      <w:bookmarkEnd w:id="465"/>
      <w:r>
        <w:t xml:space="preserve"> </w:t>
      </w:r>
    </w:p>
    <w:p w:rsidR="009C6462" w:rsidRPr="00722C30" w:rsidRDefault="009C6462" w:rsidP="00BD7A0B">
      <w:pPr>
        <w:pStyle w:val="BodyText"/>
        <w:rPr>
          <w:rStyle w:val="AERbody"/>
        </w:rPr>
      </w:pPr>
      <w:r w:rsidRPr="00722C30">
        <w:rPr>
          <w:rStyle w:val="AERbody"/>
        </w:rPr>
        <w:t>Ausgrid allocate</w:t>
      </w:r>
      <w:r w:rsidR="005B7261" w:rsidRPr="00722C30">
        <w:rPr>
          <w:rStyle w:val="AERbody"/>
        </w:rPr>
        <w:t>s</w:t>
      </w:r>
      <w:r w:rsidRPr="00722C30">
        <w:rPr>
          <w:rStyle w:val="AERbody"/>
        </w:rPr>
        <w:t xml:space="preserve"> total residual costs to </w:t>
      </w:r>
      <w:r w:rsidR="00DA261A" w:rsidRPr="00722C30">
        <w:rPr>
          <w:rStyle w:val="AERbody"/>
        </w:rPr>
        <w:t xml:space="preserve">tariff classes on the basis of the summary included in </w:t>
      </w:r>
      <w:r w:rsidR="009E5AFB" w:rsidRPr="00722C30">
        <w:rPr>
          <w:rStyle w:val="AERbody"/>
        </w:rPr>
        <w:fldChar w:fldCharType="begin"/>
      </w:r>
      <w:r w:rsidR="009E5AFB" w:rsidRPr="00722C30">
        <w:rPr>
          <w:rStyle w:val="AERbody"/>
        </w:rPr>
        <w:instrText xml:space="preserve"> REF _Ref462042792 \h  \* MERGEFORMAT </w:instrText>
      </w:r>
      <w:r w:rsidR="009E5AFB" w:rsidRPr="00722C30">
        <w:rPr>
          <w:rStyle w:val="AERbody"/>
        </w:rPr>
      </w:r>
      <w:r w:rsidR="009E5AFB" w:rsidRPr="00722C30">
        <w:rPr>
          <w:rStyle w:val="AERbody"/>
        </w:rPr>
        <w:fldChar w:fldCharType="separate"/>
      </w:r>
      <w:r w:rsidR="00BE0834" w:rsidRPr="00BE0834">
        <w:rPr>
          <w:rStyle w:val="AERbody"/>
        </w:rPr>
        <w:t>Figure 10</w:t>
      </w:r>
      <w:r w:rsidR="009E5AFB" w:rsidRPr="00722C30">
        <w:rPr>
          <w:rStyle w:val="AERbody"/>
        </w:rPr>
        <w:fldChar w:fldCharType="end"/>
      </w:r>
      <w:r w:rsidR="009E5AFB" w:rsidRPr="00722C30">
        <w:rPr>
          <w:rStyle w:val="AERbody"/>
        </w:rPr>
        <w:t xml:space="preserve"> </w:t>
      </w:r>
      <w:r w:rsidR="00DA261A" w:rsidRPr="00722C30">
        <w:rPr>
          <w:rStyle w:val="AERbody"/>
        </w:rPr>
        <w:t xml:space="preserve">below. </w:t>
      </w:r>
    </w:p>
    <w:p w:rsidR="009C6462" w:rsidRDefault="00347193" w:rsidP="00D54FEB">
      <w:pPr>
        <w:pStyle w:val="Caption"/>
      </w:pPr>
      <w:bookmarkStart w:id="466" w:name="_Ref462042792"/>
      <w:r w:rsidRPr="00D54FEB">
        <w:t xml:space="preserve">Figure </w:t>
      </w:r>
      <w:fldSimple w:instr=" SEQ Figure \* ARABIC ">
        <w:r w:rsidR="00BE0834">
          <w:rPr>
            <w:noProof/>
          </w:rPr>
          <w:t>10</w:t>
        </w:r>
      </w:fldSimple>
      <w:bookmarkEnd w:id="466"/>
      <w:r w:rsidRPr="00D54FEB">
        <w:t xml:space="preserve"> – </w:t>
      </w:r>
      <w:r w:rsidR="009C6462" w:rsidRPr="00D54FEB">
        <w:t xml:space="preserve">Overview of </w:t>
      </w:r>
      <w:proofErr w:type="spellStart"/>
      <w:r w:rsidR="009C6462" w:rsidRPr="00D54FEB">
        <w:t>Ausgrid’s</w:t>
      </w:r>
      <w:proofErr w:type="spellEnd"/>
      <w:r w:rsidR="009C6462" w:rsidRPr="00D54FEB">
        <w:t xml:space="preserve"> Method for Allocating Residual Cost to Tariff Class</w:t>
      </w:r>
    </w:p>
    <w:p w:rsidR="008725DF" w:rsidRDefault="008725DF" w:rsidP="00BD7A0B">
      <w:pPr>
        <w:pStyle w:val="BodyText"/>
      </w:pPr>
    </w:p>
    <w:p w:rsidR="008725DF" w:rsidRDefault="007C3566" w:rsidP="007D0321">
      <w:pPr>
        <w:pStyle w:val="BodyText"/>
      </w:pPr>
      <w:r>
        <mc:AlternateContent>
          <mc:Choice Requires="wps">
            <w:drawing>
              <wp:anchor distT="0" distB="0" distL="114300" distR="114300" simplePos="0" relativeHeight="251806720" behindDoc="0" locked="0" layoutInCell="1" allowOverlap="1" wp14:anchorId="149D2985" wp14:editId="733F2CDD">
                <wp:simplePos x="0" y="0"/>
                <wp:positionH relativeFrom="column">
                  <wp:posOffset>4501515</wp:posOffset>
                </wp:positionH>
                <wp:positionV relativeFrom="paragraph">
                  <wp:posOffset>132715</wp:posOffset>
                </wp:positionV>
                <wp:extent cx="214630" cy="0"/>
                <wp:effectExtent l="0" t="76200" r="13970" b="95250"/>
                <wp:wrapNone/>
                <wp:docPr id="4651" name="Straight Arrow Connector 4651"/>
                <wp:cNvGraphicFramePr/>
                <a:graphic xmlns:a="http://schemas.openxmlformats.org/drawingml/2006/main">
                  <a:graphicData uri="http://schemas.microsoft.com/office/word/2010/wordprocessingShape">
                    <wps:wsp>
                      <wps:cNvCnPr/>
                      <wps:spPr>
                        <a:xfrm>
                          <a:off x="0" y="0"/>
                          <a:ext cx="21463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51" o:spid="_x0000_s1026" type="#_x0000_t32" style="position:absolute;margin-left:354.45pt;margin-top:10.45pt;width:16.9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" strokecolor="#548dd4 [1951]">
                <v:stroke endarrow="block"/>
              </v:shape>
            </w:pict>
          </mc:Fallback>
        </mc:AlternateContent>
      </w:r>
    </w:p>
    <w:p w:rsidR="008725DF" w:rsidRDefault="008725DF">
      <w:pPr>
        <w:pStyle w:val="BodyText"/>
      </w:pPr>
    </w:p>
    <w:p w:rsidR="008725DF" w:rsidRDefault="007C3566">
      <w:pPr>
        <w:pStyle w:val="BodyText"/>
      </w:pPr>
      <w:r>
        <mc:AlternateContent>
          <mc:Choice Requires="wps">
            <w:drawing>
              <wp:anchor distT="0" distB="0" distL="114300" distR="114300" simplePos="0" relativeHeight="251804672" behindDoc="0" locked="0" layoutInCell="1" allowOverlap="1" wp14:anchorId="0EBA0B33" wp14:editId="5FC91564">
                <wp:simplePos x="0" y="0"/>
                <wp:positionH relativeFrom="column">
                  <wp:posOffset>4508500</wp:posOffset>
                </wp:positionH>
                <wp:positionV relativeFrom="paragraph">
                  <wp:posOffset>41910</wp:posOffset>
                </wp:positionV>
                <wp:extent cx="214630" cy="0"/>
                <wp:effectExtent l="0" t="76200" r="13970" b="95250"/>
                <wp:wrapNone/>
                <wp:docPr id="4650" name="Straight Arrow Connector 4650"/>
                <wp:cNvGraphicFramePr/>
                <a:graphic xmlns:a="http://schemas.openxmlformats.org/drawingml/2006/main">
                  <a:graphicData uri="http://schemas.microsoft.com/office/word/2010/wordprocessingShape">
                    <wps:wsp>
                      <wps:cNvCnPr/>
                      <wps:spPr>
                        <a:xfrm>
                          <a:off x="0" y="0"/>
                          <a:ext cx="21463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50" o:spid="_x0000_s1026" type="#_x0000_t32" style="position:absolute;margin-left:355pt;margin-top:3.3pt;width:16.9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" strokecolor="#548dd4 [1951]">
                <v:stroke endarrow="block"/>
              </v:shape>
            </w:pict>
          </mc:Fallback>
        </mc:AlternateContent>
      </w:r>
    </w:p>
    <w:p w:rsidR="008725DF" w:rsidRDefault="008725DF">
      <w:pPr>
        <w:pStyle w:val="BodyText"/>
      </w:pPr>
    </w:p>
    <w:p w:rsidR="008725DF" w:rsidRDefault="007C3566">
      <w:pPr>
        <w:pStyle w:val="BodyText"/>
      </w:pPr>
      <w:r>
        <mc:AlternateContent>
          <mc:Choice Requires="wps">
            <w:drawing>
              <wp:anchor distT="0" distB="0" distL="114300" distR="114300" simplePos="0" relativeHeight="251802624" behindDoc="0" locked="0" layoutInCell="1" allowOverlap="1" wp14:anchorId="1E46A3E4" wp14:editId="6A846184">
                <wp:simplePos x="0" y="0"/>
                <wp:positionH relativeFrom="column">
                  <wp:posOffset>4507727</wp:posOffset>
                </wp:positionH>
                <wp:positionV relativeFrom="paragraph">
                  <wp:posOffset>78105</wp:posOffset>
                </wp:positionV>
                <wp:extent cx="214630" cy="0"/>
                <wp:effectExtent l="0" t="76200" r="13970" b="95250"/>
                <wp:wrapNone/>
                <wp:docPr id="4649" name="Straight Arrow Connector 4649"/>
                <wp:cNvGraphicFramePr/>
                <a:graphic xmlns:a="http://schemas.openxmlformats.org/drawingml/2006/main">
                  <a:graphicData uri="http://schemas.microsoft.com/office/word/2010/wordprocessingShape">
                    <wps:wsp>
                      <wps:cNvCnPr/>
                      <wps:spPr>
                        <a:xfrm>
                          <a:off x="0" y="0"/>
                          <a:ext cx="21463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49" o:spid="_x0000_s1026" type="#_x0000_t32" style="position:absolute;margin-left:354.95pt;margin-top:6.15pt;width:16.9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" strokecolor="#548dd4 [1951]">
                <v:stroke endarrow="block"/>
              </v:shape>
            </w:pict>
          </mc:Fallback>
        </mc:AlternateContent>
      </w:r>
    </w:p>
    <w:p w:rsidR="008725DF" w:rsidRDefault="007D16EB">
      <w:pPr>
        <w:pStyle w:val="BodyText"/>
      </w:pPr>
      <w:r>
        <mc:AlternateContent>
          <mc:Choice Requires="wps">
            <w:drawing>
              <wp:anchor distT="0" distB="0" distL="114300" distR="114300" simplePos="0" relativeHeight="251796480" behindDoc="0" locked="0" layoutInCell="1" allowOverlap="1" wp14:anchorId="61321E51" wp14:editId="73C68F76">
                <wp:simplePos x="0" y="0"/>
                <wp:positionH relativeFrom="column">
                  <wp:posOffset>2647315</wp:posOffset>
                </wp:positionH>
                <wp:positionV relativeFrom="paragraph">
                  <wp:posOffset>207645</wp:posOffset>
                </wp:positionV>
                <wp:extent cx="427355" cy="0"/>
                <wp:effectExtent l="38100" t="76200" r="0" b="95250"/>
                <wp:wrapNone/>
                <wp:docPr id="4646" name="Straight Arrow Connector 4646"/>
                <wp:cNvGraphicFramePr/>
                <a:graphic xmlns:a="http://schemas.openxmlformats.org/drawingml/2006/main">
                  <a:graphicData uri="http://schemas.microsoft.com/office/word/2010/wordprocessingShape">
                    <wps:wsp>
                      <wps:cNvCnPr/>
                      <wps:spPr>
                        <a:xfrm flipH="1">
                          <a:off x="0" y="0"/>
                          <a:ext cx="427355"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46" o:spid="_x0000_s1026" type="#_x0000_t32" style="position:absolute;margin-left:208.45pt;margin-top:16.35pt;width:33.65pt;height:0;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" strokecolor="#548dd4 [1951]">
                <v:stroke endarrow="block"/>
              </v:shape>
            </w:pict>
          </mc:Fallback>
        </mc:AlternateContent>
      </w:r>
    </w:p>
    <w:p w:rsidR="008725DF" w:rsidRDefault="00564096">
      <w:pPr>
        <w:pStyle w:val="BodyText"/>
      </w:pPr>
      <w:r>
        <mc:AlternateContent>
          <mc:Choice Requires="wps">
            <w:drawing>
              <wp:anchor distT="0" distB="0" distL="114300" distR="114300" simplePos="0" relativeHeight="251790336" behindDoc="0" locked="0" layoutInCell="1" allowOverlap="1" wp14:anchorId="50BF3416" wp14:editId="47AEEA61">
                <wp:simplePos x="0" y="0"/>
                <wp:positionH relativeFrom="column">
                  <wp:posOffset>4508754</wp:posOffset>
                </wp:positionH>
                <wp:positionV relativeFrom="paragraph">
                  <wp:posOffset>89535</wp:posOffset>
                </wp:positionV>
                <wp:extent cx="214630" cy="0"/>
                <wp:effectExtent l="0" t="76200" r="13970" b="95250"/>
                <wp:wrapNone/>
                <wp:docPr id="31" name="Straight Arrow Connector 31"/>
                <wp:cNvGraphicFramePr/>
                <a:graphic xmlns:a="http://schemas.openxmlformats.org/drawingml/2006/main">
                  <a:graphicData uri="http://schemas.microsoft.com/office/word/2010/wordprocessingShape">
                    <wps:wsp>
                      <wps:cNvCnPr/>
                      <wps:spPr>
                        <a:xfrm>
                          <a:off x="0" y="0"/>
                          <a:ext cx="21463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1" o:spid="_x0000_s1026" type="#_x0000_t32" style="position:absolute;margin-left:355pt;margin-top:7.05pt;width:16.9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" strokecolor="#548dd4 [1951]">
                <v:stroke endarrow="block"/>
              </v:shape>
            </w:pict>
          </mc:Fallback>
        </mc:AlternateContent>
      </w:r>
    </w:p>
    <w:p w:rsidR="008725DF" w:rsidRDefault="008725DF">
      <w:pPr>
        <w:pStyle w:val="BodyText"/>
      </w:pPr>
    </w:p>
    <w:p w:rsidR="008725DF" w:rsidRDefault="007D16EB">
      <w:pPr>
        <w:pStyle w:val="BodyText"/>
      </w:pPr>
      <w:r>
        <mc:AlternateContent>
          <mc:Choice Requires="wps">
            <w:drawing>
              <wp:anchor distT="0" distB="0" distL="114300" distR="114300" simplePos="0" relativeHeight="251794432" behindDoc="0" locked="0" layoutInCell="1" allowOverlap="1" wp14:anchorId="29547D29" wp14:editId="1DCADCCE">
                <wp:simplePos x="0" y="0"/>
                <wp:positionH relativeFrom="column">
                  <wp:posOffset>1496060</wp:posOffset>
                </wp:positionH>
                <wp:positionV relativeFrom="paragraph">
                  <wp:posOffset>220345</wp:posOffset>
                </wp:positionV>
                <wp:extent cx="245110" cy="0"/>
                <wp:effectExtent l="0" t="76200" r="21590" b="95250"/>
                <wp:wrapNone/>
                <wp:docPr id="4645" name="Straight Arrow Connector 4645"/>
                <wp:cNvGraphicFramePr/>
                <a:graphic xmlns:a="http://schemas.openxmlformats.org/drawingml/2006/main">
                  <a:graphicData uri="http://schemas.microsoft.com/office/word/2010/wordprocessingShape">
                    <wps:wsp>
                      <wps:cNvCnPr/>
                      <wps:spPr>
                        <a:xfrm>
                          <a:off x="0" y="0"/>
                          <a:ext cx="24511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45" o:spid="_x0000_s1026" type="#_x0000_t32" style="position:absolute;margin-left:117.8pt;margin-top:17.35pt;width:19.3pt;height:0;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" strokecolor="#548dd4 [1951]">
                <v:stroke endarrow="block"/>
              </v:shape>
            </w:pict>
          </mc:Fallback>
        </mc:AlternateContent>
      </w:r>
      <w:r w:rsidR="00564096">
        <mc:AlternateContent>
          <mc:Choice Requires="wps">
            <w:drawing>
              <wp:anchor distT="0" distB="0" distL="114300" distR="114300" simplePos="0" relativeHeight="251792384" behindDoc="0" locked="0" layoutInCell="1" allowOverlap="1" wp14:anchorId="0FF08808" wp14:editId="2E8CA26D">
                <wp:simplePos x="0" y="0"/>
                <wp:positionH relativeFrom="column">
                  <wp:posOffset>4515442</wp:posOffset>
                </wp:positionH>
                <wp:positionV relativeFrom="paragraph">
                  <wp:posOffset>215265</wp:posOffset>
                </wp:positionV>
                <wp:extent cx="214630" cy="0"/>
                <wp:effectExtent l="0" t="76200" r="13970" b="95250"/>
                <wp:wrapNone/>
                <wp:docPr id="4644" name="Straight Arrow Connector 4644"/>
                <wp:cNvGraphicFramePr/>
                <a:graphic xmlns:a="http://schemas.openxmlformats.org/drawingml/2006/main">
                  <a:graphicData uri="http://schemas.microsoft.com/office/word/2010/wordprocessingShape">
                    <wps:wsp>
                      <wps:cNvCnPr/>
                      <wps:spPr>
                        <a:xfrm>
                          <a:off x="0" y="0"/>
                          <a:ext cx="21463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44" o:spid="_x0000_s1026" type="#_x0000_t32" style="position:absolute;margin-left:355.55pt;margin-top:16.95pt;width:16.9pt;height:0;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" strokecolor="#548dd4 [1951]">
                <v:stroke endarrow="block"/>
              </v:shape>
            </w:pict>
          </mc:Fallback>
        </mc:AlternateContent>
      </w:r>
    </w:p>
    <w:p w:rsidR="008725DF" w:rsidRDefault="008725DF">
      <w:pPr>
        <w:pStyle w:val="BodyText"/>
      </w:pPr>
      <w:r w:rsidRPr="00F154B1">
        <mc:AlternateContent>
          <mc:Choice Requires="wpg">
            <w:drawing>
              <wp:inline distT="0" distB="0" distL="0" distR="0" wp14:anchorId="7F43400D" wp14:editId="10258F4E">
                <wp:extent cx="5188005" cy="2777706"/>
                <wp:effectExtent l="0" t="0" r="12700" b="22860"/>
                <wp:docPr id="165" name="Group 148"/>
                <wp:cNvGraphicFramePr/>
                <a:graphic xmlns:a="http://schemas.openxmlformats.org/drawingml/2006/main">
                  <a:graphicData uri="http://schemas.microsoft.com/office/word/2010/wordprocessingGroup">
                    <wpg:wgp>
                      <wpg:cNvGrpSpPr/>
                      <wpg:grpSpPr>
                        <a:xfrm>
                          <a:off x="0" y="0"/>
                          <a:ext cx="5188005" cy="2777706"/>
                          <a:chOff x="0" y="0"/>
                          <a:chExt cx="4159249" cy="3594100"/>
                        </a:xfrm>
                      </wpg:grpSpPr>
                      <wps:wsp>
                        <wps:cNvPr id="166" name="Text Box 166"/>
                        <wps:cNvSpPr txBox="1"/>
                        <wps:spPr>
                          <a:xfrm>
                            <a:off x="3352614" y="2285823"/>
                            <a:ext cx="806177" cy="60325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TRANSMISSION CONNECTED</w:t>
                              </w:r>
                            </w:p>
                          </w:txbxContent>
                        </wps:txbx>
                        <wps:bodyPr wrap="square" rtlCol="0" anchor="ctr" anchorCtr="0"/>
                      </wps:wsp>
                      <wpg:grpSp>
                        <wpg:cNvPr id="177" name="Group 177"/>
                        <wpg:cNvGrpSpPr/>
                        <wpg:grpSpPr>
                          <a:xfrm>
                            <a:off x="0" y="0"/>
                            <a:ext cx="4159249" cy="3594100"/>
                            <a:chOff x="0" y="0"/>
                            <a:chExt cx="4159249" cy="3594100"/>
                          </a:xfrm>
                        </wpg:grpSpPr>
                        <wps:wsp>
                          <wps:cNvPr id="195" name="Text Box 195"/>
                          <wps:cNvSpPr txBox="1"/>
                          <wps:spPr>
                            <a:xfrm>
                              <a:off x="3352614" y="3136655"/>
                              <a:ext cx="774651" cy="400051"/>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UNMETERED</w:t>
                                </w:r>
                              </w:p>
                            </w:txbxContent>
                          </wps:txbx>
                          <wps:bodyPr wrap="square" rtlCol="0" anchor="ctr" anchorCtr="0"/>
                        </wps:wsp>
                        <wpg:grpSp>
                          <wpg:cNvPr id="198" name="Group 198"/>
                          <wpg:cNvGrpSpPr/>
                          <wpg:grpSpPr>
                            <a:xfrm>
                              <a:off x="0" y="0"/>
                              <a:ext cx="4159249" cy="3594100"/>
                              <a:chOff x="0" y="0"/>
                              <a:chExt cx="4159249" cy="3594100"/>
                            </a:xfrm>
                          </wpg:grpSpPr>
                          <wps:wsp>
                            <wps:cNvPr id="200" name="Text Box 200"/>
                            <wps:cNvSpPr txBox="1"/>
                            <wps:spPr>
                              <a:xfrm>
                                <a:off x="3352614" y="380970"/>
                                <a:ext cx="806406" cy="400051"/>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LOW VOLTAGE</w:t>
                                  </w:r>
                                </w:p>
                              </w:txbxContent>
                            </wps:txbx>
                            <wps:bodyPr wrap="square" rtlCol="0" anchor="ctr" anchorCtr="0"/>
                          </wps:wsp>
                          <wpg:grpSp>
                            <wpg:cNvPr id="201" name="Group 201"/>
                            <wpg:cNvGrpSpPr/>
                            <wpg:grpSpPr>
                              <a:xfrm>
                                <a:off x="0" y="0"/>
                                <a:ext cx="4159249" cy="3594100"/>
                                <a:chOff x="0" y="0"/>
                                <a:chExt cx="4159249" cy="3594100"/>
                              </a:xfrm>
                            </wpg:grpSpPr>
                            <wps:wsp>
                              <wps:cNvPr id="206" name="Text Box 206"/>
                              <wps:cNvSpPr txBox="1"/>
                              <wps:spPr>
                                <a:xfrm>
                                  <a:off x="3352799" y="889000"/>
                                  <a:ext cx="806450" cy="48260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HIGH VOLTAGE</w:t>
                                    </w:r>
                                  </w:p>
                                </w:txbxContent>
                              </wps:txbx>
                              <wps:bodyPr wrap="square" rtlCol="0" anchor="ctr" anchorCtr="0"/>
                            </wps:wsp>
                            <wpg:grpSp>
                              <wpg:cNvPr id="207" name="Group 207"/>
                              <wpg:cNvGrpSpPr/>
                              <wpg:grpSpPr>
                                <a:xfrm>
                                  <a:off x="0" y="0"/>
                                  <a:ext cx="4152899" cy="3594100"/>
                                  <a:chOff x="0" y="0"/>
                                  <a:chExt cx="4152899" cy="3594100"/>
                                </a:xfrm>
                              </wpg:grpSpPr>
                              <wps:wsp>
                                <wps:cNvPr id="208" name="Text Box 208"/>
                                <wps:cNvSpPr txBox="1"/>
                                <wps:spPr>
                                  <a:xfrm>
                                    <a:off x="3359149" y="1498600"/>
                                    <a:ext cx="793750" cy="60325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SUB-TRANSMISSION VOLTAGE</w:t>
                                      </w:r>
                                    </w:p>
                                  </w:txbxContent>
                                </wps:txbx>
                                <wps:bodyPr wrap="square" rtlCol="0" anchor="ctr" anchorCtr="0"/>
                              </wps:wsp>
                              <wpg:grpSp>
                                <wpg:cNvPr id="209" name="Group 209"/>
                                <wpg:cNvGrpSpPr/>
                                <wpg:grpSpPr>
                                  <a:xfrm>
                                    <a:off x="0" y="0"/>
                                    <a:ext cx="3180959" cy="3594100"/>
                                    <a:chOff x="0" y="0"/>
                                    <a:chExt cx="3180959" cy="3594100"/>
                                  </a:xfrm>
                                </wpg:grpSpPr>
                                <wps:wsp>
                                  <wps:cNvPr id="210" name="Text Box 210"/>
                                  <wps:cNvSpPr txBox="1"/>
                                  <wps:spPr>
                                    <a:xfrm>
                                      <a:off x="2044699" y="3048000"/>
                                      <a:ext cx="996950" cy="54610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SUmmation of Tariff LEVEL ALLOCATION</w:t>
                                        </w:r>
                                      </w:p>
                                    </w:txbxContent>
                                  </wps:txbx>
                                  <wps:bodyPr wrap="square" rtlCol="0" anchor="ctr" anchorCtr="0"/>
                                </wps:wsp>
                                <wpg:grpSp>
                                  <wpg:cNvPr id="211" name="Group 211"/>
                                  <wpg:cNvGrpSpPr/>
                                  <wpg:grpSpPr>
                                    <a:xfrm>
                                      <a:off x="0" y="0"/>
                                      <a:ext cx="3180959" cy="3562350"/>
                                      <a:chOff x="0" y="0"/>
                                      <a:chExt cx="3180959" cy="3562350"/>
                                    </a:xfrm>
                                  </wpg:grpSpPr>
                                  <wps:wsp>
                                    <wps:cNvPr id="212" name="Text Box 212"/>
                                    <wps:cNvSpPr txBox="1"/>
                                    <wps:spPr>
                                      <a:xfrm>
                                        <a:off x="2044677" y="2114386"/>
                                        <a:ext cx="1009639" cy="54610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SUmmation of Tariff LEVEL ALLOCATION</w:t>
                                          </w:r>
                                        </w:p>
                                      </w:txbxContent>
                                    </wps:txbx>
                                    <wps:bodyPr wrap="square" rtlCol="0" anchor="ctr" anchorCtr="0"/>
                                  </wps:wsp>
                                  <wpg:grpSp>
                                    <wpg:cNvPr id="213" name="Group 213"/>
                                    <wpg:cNvGrpSpPr/>
                                    <wpg:grpSpPr>
                                      <a:xfrm>
                                        <a:off x="0" y="0"/>
                                        <a:ext cx="3180959" cy="3562350"/>
                                        <a:chOff x="0" y="0"/>
                                        <a:chExt cx="3180959" cy="3562350"/>
                                      </a:xfrm>
                                    </wpg:grpSpPr>
                                    <wps:wsp>
                                      <wps:cNvPr id="216" name="Text Box 216"/>
                                      <wps:cNvSpPr txBox="1"/>
                                      <wps:spPr>
                                        <a:xfrm>
                                          <a:off x="958776" y="1834723"/>
                                          <a:ext cx="723946" cy="1123153"/>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PROPOSED DESIGNATED PRICING PROPOSAL CHARGES</w:t>
                                            </w:r>
                                          </w:p>
                                        </w:txbxContent>
                                      </wps:txbx>
                                      <wps:bodyPr wrap="square" rtlCol="0" anchor="ctr" anchorCtr="0"/>
                                    </wps:wsp>
                                    <wpg:grpSp>
                                      <wpg:cNvPr id="217" name="Group 217"/>
                                      <wpg:cNvGrpSpPr/>
                                      <wpg:grpSpPr>
                                        <a:xfrm>
                                          <a:off x="0" y="0"/>
                                          <a:ext cx="3180959" cy="3562350"/>
                                          <a:chOff x="0" y="0"/>
                                          <a:chExt cx="3180959" cy="3562350"/>
                                        </a:xfrm>
                                      </wpg:grpSpPr>
                                      <wps:wsp>
                                        <wps:cNvPr id="218" name="Text Box 218"/>
                                        <wps:cNvSpPr txBox="1"/>
                                        <wps:spPr>
                                          <a:xfrm>
                                            <a:off x="958849" y="3098800"/>
                                            <a:ext cx="749300" cy="463550"/>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pPr>
                                              <w:r>
                                                <w:rPr>
                                                  <w:rFonts w:asciiTheme="minorHAnsi" w:hAnsi="Cambria"/>
                                                  <w:caps/>
                                                  <w:color w:val="FFFFFF"/>
                                                  <w:sz w:val="16"/>
                                                  <w:szCs w:val="16"/>
                                                </w:rPr>
                                                <w:t>EXPECTED CCF REVENUE</w:t>
                                              </w:r>
                                            </w:p>
                                          </w:txbxContent>
                                        </wps:txbx>
                                        <wps:bodyPr wrap="square" rtlCol="0" anchor="ctr" anchorCtr="0"/>
                                      </wps:wsp>
                                      <wpg:grpSp>
                                        <wpg:cNvPr id="219" name="Group 219"/>
                                        <wpg:cNvGrpSpPr/>
                                        <wpg:grpSpPr>
                                          <a:xfrm>
                                            <a:off x="0" y="0"/>
                                            <a:ext cx="3180959" cy="3403569"/>
                                            <a:chOff x="0" y="0"/>
                                            <a:chExt cx="3180959" cy="3403569"/>
                                          </a:xfrm>
                                        </wpg:grpSpPr>
                                        <wps:wsp>
                                          <wps:cNvPr id="220" name="Text Box 220"/>
                                          <wps:cNvSpPr txBox="1"/>
                                          <wps:spPr>
                                            <a:xfrm>
                                              <a:off x="0" y="1917701"/>
                                              <a:ext cx="596900" cy="971550"/>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nUOS RESIDUAL COST</w:t>
                                                </w:r>
                                              </w:p>
                                            </w:txbxContent>
                                          </wps:txbx>
                                          <wps:bodyPr wrap="square" rtlCol="0" anchor="ctr" anchorCtr="0"/>
                                        </wps:wsp>
                                        <wpg:grpSp>
                                          <wpg:cNvPr id="221" name="Group 221"/>
                                          <wpg:cNvGrpSpPr/>
                                          <wpg:grpSpPr>
                                            <a:xfrm>
                                              <a:off x="6350" y="0"/>
                                              <a:ext cx="3174609" cy="3403569"/>
                                              <a:chOff x="6350" y="0"/>
                                              <a:chExt cx="3174609" cy="3403569"/>
                                            </a:xfrm>
                                          </wpg:grpSpPr>
                                          <wps:wsp>
                                            <wps:cNvPr id="222" name="Text Box 222"/>
                                            <wps:cNvSpPr txBox="1"/>
                                            <wps:spPr>
                                              <a:xfrm>
                                                <a:off x="958849" y="0"/>
                                                <a:ext cx="723900" cy="749300"/>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DUOS REVENUE FROM LRMC BASED PRICES</w:t>
                                                  </w:r>
                                                </w:p>
                                              </w:txbxContent>
                                            </wps:txbx>
                                            <wps:bodyPr wrap="square" rtlCol="0" anchor="ctr" anchorCtr="0"/>
                                          </wps:wsp>
                                          <wpg:grpSp>
                                            <wpg:cNvPr id="223" name="Group 223"/>
                                            <wpg:cNvGrpSpPr/>
                                            <wpg:grpSpPr>
                                              <a:xfrm>
                                                <a:off x="6350" y="254068"/>
                                                <a:ext cx="3174609" cy="3149501"/>
                                                <a:chOff x="6350" y="254068"/>
                                                <a:chExt cx="3174609" cy="3149501"/>
                                              </a:xfrm>
                                            </wpg:grpSpPr>
                                            <wps:wsp>
                                              <wps:cNvPr id="3008" name="Text Box 3008"/>
                                              <wps:cNvSpPr txBox="1"/>
                                              <wps:spPr>
                                                <a:xfrm>
                                                  <a:off x="958838" y="951792"/>
                                                  <a:ext cx="723892" cy="629285"/>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RESIDUAL DUOS COST</w:t>
                                                    </w:r>
                                                  </w:p>
                                                </w:txbxContent>
                                              </wps:txbx>
                                              <wps:bodyPr wrap="square" rtlCol="0" anchor="ctr" anchorCtr="0"/>
                                            </wps:wsp>
                                            <wpg:grpSp>
                                              <wpg:cNvPr id="3009" name="Group 3009"/>
                                              <wpg:cNvGrpSpPr/>
                                              <wpg:grpSpPr>
                                                <a:xfrm>
                                                  <a:off x="6350" y="254068"/>
                                                  <a:ext cx="3174609" cy="3149501"/>
                                                  <a:chOff x="6350" y="254068"/>
                                                  <a:chExt cx="3174609" cy="3149501"/>
                                                </a:xfrm>
                                              </wpg:grpSpPr>
                                              <wpg:grpSp>
                                                <wpg:cNvPr id="3013" name="Group 3013"/>
                                                <wpg:cNvGrpSpPr/>
                                                <wpg:grpSpPr>
                                                  <a:xfrm>
                                                    <a:off x="6350" y="254068"/>
                                                    <a:ext cx="3174609" cy="3149501"/>
                                                    <a:chOff x="6350" y="254068"/>
                                                    <a:chExt cx="3174609" cy="3149501"/>
                                                  </a:xfrm>
                                                </wpg:grpSpPr>
                                                <wps:wsp>
                                                  <wps:cNvPr id="3014" name="Straight Arrow Connector 3014"/>
                                                  <wps:cNvCnPr/>
                                                  <wps:spPr>
                                                    <a:xfrm>
                                                      <a:off x="761999" y="266700"/>
                                                      <a:ext cx="19685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5" name="Text Box 3015"/>
                                                  <wps:cNvSpPr txBox="1"/>
                                                  <wps:spPr>
                                                    <a:xfrm>
                                                      <a:off x="6350" y="450215"/>
                                                      <a:ext cx="596900" cy="673735"/>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DUOS REVENUE</w:t>
                                                        </w:r>
                                                      </w:p>
                                                    </w:txbxContent>
                                                  </wps:txbx>
                                                  <wps:bodyPr wrap="square" rtlCol="0" anchor="ctr" anchorCtr="0"/>
                                                </wps:wsp>
                                                <wps:wsp>
                                                  <wps:cNvPr id="3016" name="Straight Connector 3016"/>
                                                  <wps:cNvCnPr/>
                                                  <wps:spPr>
                                                    <a:xfrm flipH="1" flipV="1">
                                                      <a:off x="603250" y="787083"/>
                                                      <a:ext cx="171449" cy="317"/>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017" name="Straight Connector 3017"/>
                                                  <wps:cNvCnPr/>
                                                  <wps:spPr>
                                                    <a:xfrm>
                                                      <a:off x="768305" y="254068"/>
                                                      <a:ext cx="0" cy="952426"/>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018" name="Straight Arrow Connector 3018"/>
                                                  <wps:cNvCnPr/>
                                                  <wps:spPr>
                                                    <a:xfrm flipV="1">
                                                      <a:off x="774699" y="1203008"/>
                                                      <a:ext cx="190500" cy="3492"/>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9" name="Straight Arrow Connector 3019"/>
                                                  <wps:cNvCnPr/>
                                                  <wps:spPr>
                                                    <a:xfrm>
                                                      <a:off x="761999" y="1460500"/>
                                                      <a:ext cx="19685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0" name="Straight Connector 3020"/>
                                                  <wps:cNvCnPr/>
                                                  <wps:spPr>
                                                    <a:xfrm>
                                                      <a:off x="762011" y="1460619"/>
                                                      <a:ext cx="0" cy="1942849"/>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021" name="Straight Arrow Connector 3021"/>
                                                  <wps:cNvCnPr/>
                                                  <wps:spPr>
                                                    <a:xfrm>
                                                      <a:off x="603237" y="2349356"/>
                                                      <a:ext cx="355573"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5" name="Straight Arrow Connector 3025"/>
                                                  <wps:cNvCnPr/>
                                                  <wps:spPr>
                                                    <a:xfrm flipH="1">
                                                      <a:off x="1701799" y="3327400"/>
                                                      <a:ext cx="34290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27" name="Straight Connector 3027"/>
                                                  <wps:cNvCnPr/>
                                                  <wps:spPr>
                                                    <a:xfrm>
                                                      <a:off x="3180959" y="527243"/>
                                                      <a:ext cx="0" cy="2876326"/>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3033" name="Straight Arrow Connector 3033"/>
                                                  <wps:cNvCnPr/>
                                                  <wps:spPr>
                                                    <a:xfrm flipV="1">
                                                      <a:off x="1688617" y="1289250"/>
                                                      <a:ext cx="1485968" cy="3"/>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3034" name="Text Box 3034"/>
                                                <wps:cNvSpPr txBox="1"/>
                                                <wps:spPr>
                                                  <a:xfrm>
                                                    <a:off x="2057286" y="882117"/>
                                                    <a:ext cx="720569" cy="698910"/>
                                                  </a:xfrm>
                                                  <a:prstGeom prst="rect">
                                                    <a:avLst/>
                                                  </a:prstGeom>
                                                  <a:solidFill>
                                                    <a:schemeClr val="bg1"/>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120" w:afterAutospacing="0"/>
                                                        <w:jc w:val="center"/>
                                                        <w:rPr>
                                                          <w:rFonts w:asciiTheme="minorHAnsi" w:hAnsi="Cambria"/>
                                                          <w:caps/>
                                                          <w:color w:val="000000" w:themeColor="text1"/>
                                                          <w:sz w:val="16"/>
                                                          <w:szCs w:val="16"/>
                                                        </w:rPr>
                                                      </w:pPr>
                                                      <w:r>
                                                        <w:rPr>
                                                          <w:rFonts w:asciiTheme="minorHAnsi" w:hAnsi="Cambria"/>
                                                          <w:caps/>
                                                          <w:color w:val="000000" w:themeColor="text1"/>
                                                          <w:sz w:val="16"/>
                                                          <w:szCs w:val="16"/>
                                                        </w:rPr>
                                                        <w:t>PEAK DEMAND</w:t>
                                                      </w:r>
                                                    </w:p>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Customer NUMBERS</w:t>
                                                      </w:r>
                                                    </w:p>
                                                  </w:txbxContent>
                                                </wps:txbx>
                                                <wps:bodyPr wrap="square" rtlCol="0" anchor="ctr" anchorCtr="0"/>
                                              </wps:wsp>
                                            </wpg:grpSp>
                                          </wpg:grpSp>
                                        </wpg:grpSp>
                                      </wpg:grpSp>
                                    </wpg:grpSp>
                                  </wpg:grpSp>
                                </wpg:grpSp>
                              </wpg:grpSp>
                            </wpg:grpSp>
                          </wpg:grpSp>
                        </wpg:grpSp>
                      </wpg:grpSp>
                    </wpg:wgp>
                  </a:graphicData>
                </a:graphic>
              </wp:inline>
            </w:drawing>
          </mc:Choice>
          <mc:Fallback>
            <w:pict>
              <v:group id="Group 148" o:spid="_x0000_s1076" style="width:408.5pt;height:218.7pt;mso-position-horizontal-relative:char;mso-position-vertical-relative:line" coordsize="41592,3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">
                <v:shape id="Text Box 166" o:spid="_x0000_s1077" type="#_x0000_t202" style="position:absolute;left:33526;top:22858;width:8061;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w5TMQA&#10;AADcAAAADwAAAGRycy9kb3ducmV2LnhtbERPS2vCQBC+F/oflhG81Y1Vg6Su0geCPSititjbmB2T&#10;aHY2Zrca/31XEHqbj+85o0ljSnGm2hWWFXQ7EQji1OqCMwXr1fRpCMJ5ZI2lZVJwJQeT8ePDCBNt&#10;L/xN56XPRAhhl6CC3PsqkdKlORl0HVsRB25va4M+wDqTusZLCDelfI6iWBosODTkWNF7Tulx+WsU&#10;uMP6jU8/m92A+/OP5vNkvxa9rVLtVvP6AsJT4//Fd/dMh/lxDLdnwgV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MOUzEAAAA3AAAAA8AAAAAAAAAAAAAAAAAmAIAAGRycy9k&#10;b3ducmV2LnhtbFBLBQYAAAAABAAEAPUAAACJAwAAAAA=&#10;" filled="f"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TRANSMISSION CONNECTED</w:t>
                        </w:r>
                      </w:p>
                    </w:txbxContent>
                  </v:textbox>
                </v:shape>
                <v:group id="Group 177" o:spid="_x0000_s1078" style="position:absolute;width:41592;height:35941" coordsize="41592,35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Text Box 195" o:spid="_x0000_s1079" type="#_x0000_t202" style="position:absolute;left:33526;top:31366;width:7746;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XHMUA&#10;AADcAAAADwAAAGRycy9kb3ducmV2LnhtbERPTWvCQBC9C/6HZYTedKNVsamrVEtBD4pVKXqbZsck&#10;NTsbs1tN/323IPQ2j/c542ltCnGlyuWWFXQ7EQjixOqcUwX73Vt7BMJ5ZI2FZVLwQw6mk2ZjjLG2&#10;N36n69anIoSwi1FB5n0ZS+mSjAy6ji2JA3eylUEfYJVKXeEthJtC9qJoKA3mHBoyLGmeUXLefhsF&#10;7ms/48vx43PA/dVrvbzYzfrxoNRDq355BuGp9v/iu3uhw/ynAfw9Ey6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9ccxQAAANwAAAAPAAAAAAAAAAAAAAAAAJgCAABkcnMv&#10;ZG93bnJldi54bWxQSwUGAAAAAAQABAD1AAAAigMAAAAA&#10;" filled="f"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UNMETERED</w:t>
                          </w:r>
                        </w:p>
                      </w:txbxContent>
                    </v:textbox>
                  </v:shape>
                  <v:group id="Group 198" o:spid="_x0000_s1080" style="position:absolute;width:41592;height:35941" coordsize="41592,35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Text Box 200" o:spid="_x0000_s1081" type="#_x0000_t202" style="position:absolute;left:33526;top:3809;width:8064;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Af8UA&#10;AADcAAAADwAAAGRycy9kb3ducmV2LnhtbESPQWvCQBSE7wX/w/IEb3WjVSnRVdQitIeKWil6e2af&#10;STT7Nma3mv57tyD0OMzMN8xoUptCXKlyuWUFnXYEgjixOudUwfZr8fwKwnlkjYVlUvBLDibjxtMI&#10;Y21vvKbrxqciQNjFqCDzvoyldElGBl3blsTBO9rKoA+ySqWu8BbgppDdKBpIgzmHhQxLmmeUnDc/&#10;RoE7bWd82X8f+tz7fKs/Lna1fNkp1WrW0yEIT7X/Dz/a71pBIMLfmXAE5Pg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04B/xQAAANwAAAAPAAAAAAAAAAAAAAAAAJgCAABkcnMv&#10;ZG93bnJldi54bWxQSwUGAAAAAAQABAD1AAAAigMAAAAA&#10;" filled="f"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LOW VOLTAGE</w:t>
                            </w:r>
                          </w:p>
                        </w:txbxContent>
                      </v:textbox>
                    </v:shape>
                    <v:group id="Group 201" o:spid="_x0000_s1082" style="position:absolute;width:41592;height:35941" coordsize="41592,35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Text Box 206" o:spid="_x0000_s1083" type="#_x0000_t202" style="position:absolute;left:33527;top:8890;width:8065;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9kMYA&#10;AADcAAAADwAAAGRycy9kb3ducmV2LnhtbESPQWvCQBSE74L/YXlCb7rRVpHoKrWlUA9KqyL29pp9&#10;JqnZtzG7avrvXUHwOMzMN8x4WptCnKlyuWUF3U4EgjixOudUwWb90R6CcB5ZY2GZFPyTg+mk2Rhj&#10;rO2Fv+m88qkIEHYxKsi8L2MpXZKRQdexJXHw9rYy6IOsUqkrvAS4KWQvigbSYM5hIcOS3jJKDquT&#10;UeD+NjM+/mx/+/yyeK/nR/u1fN4p9dSqX0cgPNX+Eb63P7WCXjSA25lwBOTk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a9kMYAAADcAAAADwAAAAAAAAAAAAAAAACYAgAAZHJz&#10;L2Rvd25yZXYueG1sUEsFBgAAAAAEAAQA9QAAAIsDAAAAAA==&#10;" filled="f"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HIGH VOLTAGE</w:t>
                              </w:r>
                            </w:p>
                          </w:txbxContent>
                        </v:textbox>
                      </v:shape>
                      <v:group id="Group 207" o:spid="_x0000_s1084" style="position:absolute;width:41528;height:35941" coordsize="41528,35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Text Box 208" o:spid="_x0000_s1085" type="#_x0000_t202" style="position:absolute;left:33591;top:14986;width:7937;height:60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MecQA&#10;AADcAAAADwAAAGRycy9kb3ducmV2LnhtbERPy2rCQBTdC/7DcIXudKK1UqKj+KBQF4q1UnR3zVyT&#10;aOZOzEw1/n1nUXB5OO/RpDaFuFHlcssKup0IBHFidc6pgt33R/sdhPPIGgvLpOBBDibjZmOEsbZ3&#10;/qLb1qcihLCLUUHmfRlL6ZKMDLqOLYkDd7KVQR9glUpd4T2Em0L2omggDeYcGjIsaZ5Rctn+GgXu&#10;vJvx9fBzfOP+alEvr3azft0r9dKqp0MQnmr/FP+7P7WCXhTWhjPhCMj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jHnEAAAA3AAAAA8AAAAAAAAAAAAAAAAAmAIAAGRycy9k&#10;b3ducmV2LnhtbFBLBQYAAAAABAAEAPUAAACJAwAAAAA=&#10;" filled="f"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SUB-TRANSMISSION VOLTAGE</w:t>
                                </w:r>
                              </w:p>
                            </w:txbxContent>
                          </v:textbox>
                        </v:shape>
                        <v:group id="Group 209" o:spid="_x0000_s1086" style="position:absolute;width:31809;height:35941" coordsize="31809,35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Text Box 210" o:spid="_x0000_s1087" type="#_x0000_t202" style="position:absolute;left:20446;top:30480;width:997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WosMA&#10;AADcAAAADwAAAGRycy9kb3ducmV2LnhtbERPy2rCQBTdC/7DcIXudKJtRaKjWKVQF4ovRHfXzDWJ&#10;zdyJmammf99ZFFwezns0qU0h7lS53LKCbicCQZxYnXOqYL/7bA9AOI+ssbBMCn7JwWTcbIww1vbB&#10;G7pvfSpCCLsYFWTel7GULsnIoOvYkjhwF1sZ9AFWqdQVPkK4KWQvivrSYM6hIcOSZhkl39sfo8Bd&#10;9x98Ox3O7/y2nNeLm12vXo9KvbTq6RCEp9o/xf/uL62g1w3zw5lwBOT4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WosMAAADcAAAADwAAAAAAAAAAAAAAAACYAgAAZHJzL2Rv&#10;d25yZXYueG1sUEsFBgAAAAAEAAQA9QAAAIgDAAAAAA==&#10;" filled="f"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SUmmation of Tariff LEVEL ALLOCATION</w:t>
                                  </w:r>
                                </w:p>
                              </w:txbxContent>
                            </v:textbox>
                          </v:shape>
                          <v:group id="Group 211" o:spid="_x0000_s1088" style="position:absolute;width:31809;height:35623" coordsize="31809,3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Text Box 212" o:spid="_x0000_s1089" type="#_x0000_t202" style="position:absolute;left:20446;top:21143;width:1009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tTscA&#10;AADcAAAADwAAAGRycy9kb3ducmV2LnhtbESPW2vCQBSE3wv+h+UU+lY3RiuSuooXCu2D4g1p306z&#10;p0k0ezZmt5r+e1co+DjMzDfMcNyYUpypdoVlBZ12BII4tbrgTMFu+/Y8AOE8ssbSMin4IwfjUeth&#10;iIm2F17TeeMzESDsElSQe18lUro0J4OubSvi4P3Y2qAPss6krvES4KaUcRT1pcGCw0KOFc1ySo+b&#10;X6PAHXZTPn3tv1+4t5g3Hye7WnY/lXp6bCavIDw1/h7+b79rBXEnhtuZcATk6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ULU7HAAAA3AAAAA8AAAAAAAAAAAAAAAAAmAIAAGRy&#10;cy9kb3ducmV2LnhtbFBLBQYAAAAABAAEAPUAAACMAwAAAAA=&#10;" filled="f"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SUmmation of Tariff LEVEL ALLOCATION</w:t>
                                    </w:r>
                                  </w:p>
                                </w:txbxContent>
                              </v:textbox>
                            </v:shape>
                            <v:group id="Group 213" o:spid="_x0000_s1090" style="position:absolute;width:31809;height:35623" coordsize="31809,3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Text Box 216" o:spid="_x0000_s1091" type="#_x0000_t202" style="position:absolute;left:9587;top:18347;width:7240;height:112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2LMQA&#10;AADcAAAADwAAAGRycy9kb3ducmV2LnhtbESPQWvCQBSE74X+h+UVeqsbcwiSZhVpGxACBa3k/Mi+&#10;ZqPZt2l21fjvXUHocZiZb5hiNdlenGn0nWMF81kCgrhxuuNWwf6nfFuA8AFZY++YFFzJw2r5/FRg&#10;rt2Ft3TehVZECPscFZgQhlxK3xiy6GduII7erxsthijHVuoRLxFue5kmSSYtdhwXDA70Yag57k5W&#10;wZc3zfX7UPYVV67+q2p/+CwXSr2+TOt3EIGm8B9+tDdaQTrP4H4mHg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0dizEAAAA3AAAAA8AAAAAAAAAAAAAAAAAmAIAAGRycy9k&#10;b3ducmV2LnhtbFBLBQYAAAAABAAEAPUAAACJAwAAAAA=&#10;" fillcolor="#1f497d [3215]"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PROPOSED DESIGNATED PRICING PROPOSAL CHARGES</w:t>
                                      </w:r>
                                    </w:p>
                                  </w:txbxContent>
                                </v:textbox>
                              </v:shape>
                              <v:group id="Group 217" o:spid="_x0000_s1092" style="position:absolute;width:31809;height:35623" coordsize="31809,356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Text Box 218" o:spid="_x0000_s1093" type="#_x0000_t202" style="position:absolute;left:9588;top:30988;width:7493;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dHxb8A&#10;AADcAAAADwAAAGRycy9kb3ducmV2LnhtbERPy4rCMBTdC/5DuII7TXUhUo0iamGgMOAD15fm2lSb&#10;m9pktP79ZCG4PJz3ct3ZWjyp9ZVjBZNxAoK4cLriUsH5lI3mIHxA1lg7JgVv8rBe9XtLTLV78YGe&#10;x1CKGMI+RQUmhCaV0heGLPqxa4gjd3WtxRBhW0rd4iuG21pOk2QmLVYcGww2tDVU3I9/VsHem+L9&#10;e8vqnHN3eeQXf9tlc6WGg26zABGoC1/xx/2jFUwncW08E4+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0fFvwAAANwAAAAPAAAAAAAAAAAAAAAAAJgCAABkcnMvZG93bnJl&#10;di54bWxQSwUGAAAAAAQABAD1AAAAhAMAAAAA&#10;" fillcolor="#1f497d [3215]" strokecolor="#548dd4 [1951]">
                                  <v:textbox>
                                    <w:txbxContent>
                                      <w:p w:rsidR="001B5FF8" w:rsidRDefault="001B5FF8" w:rsidP="008725DF">
                                        <w:pPr>
                                          <w:pStyle w:val="NormalWeb"/>
                                          <w:spacing w:before="0" w:beforeAutospacing="0" w:after="0" w:afterAutospacing="0"/>
                                        </w:pPr>
                                        <w:r>
                                          <w:rPr>
                                            <w:rFonts w:asciiTheme="minorHAnsi" w:hAnsi="Cambria"/>
                                            <w:caps/>
                                            <w:color w:val="FFFFFF"/>
                                            <w:sz w:val="16"/>
                                            <w:szCs w:val="16"/>
                                          </w:rPr>
                                          <w:t>EXPECTED CCF REVENUE</w:t>
                                        </w:r>
                                      </w:p>
                                    </w:txbxContent>
                                  </v:textbox>
                                </v:shape>
                                <v:group id="Group 219" o:spid="_x0000_s1094" style="position:absolute;width:31809;height:34035" coordsize="31809,34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220" o:spid="_x0000_s1095" type="#_x0000_t202" style="position:absolute;top:19177;width:5969;height:9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2Bfr8A&#10;AADcAAAADwAAAGRycy9kb3ducmV2LnhtbERPTYvCMBC9C/6HMII3Te1BpBpF1MJCYWFVPA/N2FSb&#10;SW2yWv/95rDg8fG+V5veNuJJna8dK5hNExDEpdM1VwrOp3yyAOEDssbGMSl4k4fNejhYYabdi3/o&#10;eQyViCHsM1RgQmgzKX1pyKKfupY4clfXWQwRdpXUHb5iuG1kmiRzabHm2GCwpZ2h8n78tQoO3pTv&#10;71veFFy4y6O4+Ns+Xyg1HvXbJYhAffiI/91fWkGaxvnxTDwC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YF+vwAAANwAAAAPAAAAAAAAAAAAAAAAAJgCAABkcnMvZG93bnJl&#10;di54bWxQSwUGAAAAAAQABAD1AAAAhAMAAAAA&#10;" fillcolor="#1f497d [3215]"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nUOS RESIDUAL COST</w:t>
                                          </w:r>
                                        </w:p>
                                      </w:txbxContent>
                                    </v:textbox>
                                  </v:shape>
                                  <v:group id="Group 221" o:spid="_x0000_s1096" style="position:absolute;left:63;width:31746;height:34035" coordorigin="63" coordsize="31746,340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Text Box 222" o:spid="_x0000_s1097" type="#_x0000_t202" style="position:absolute;left:9588;width:7239;height:7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6ksMA&#10;AADcAAAADwAAAGRycy9kb3ducmV2LnhtbESPT4vCMBTE7wt+h/CEva2pPYhUo4huQSgs+AfPj+bZ&#10;VJuX2mS1fnuzsOBxmJnfMPNlbxtxp87XjhWMRwkI4tLpmisFx0P+NQXhA7LGxjEpeJKH5WLwMcdM&#10;uwfv6L4PlYgQ9hkqMCG0mZS+NGTRj1xLHL2z6yyGKLtK6g4fEW4bmSbJRFqsOS4YbGltqLzuf62C&#10;b2/K588lbwou3OlWnPxlk0+V+hz2qxmIQH14h//bW60gTV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O6ksMAAADcAAAADwAAAAAAAAAAAAAAAACYAgAAZHJzL2Rv&#10;d25yZXYueG1sUEsFBgAAAAAEAAQA9QAAAIgDAAAAAA==&#10;" fillcolor="#1f497d [3215]"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DUOS REVENUE FROM LRMC BASED PRICES</w:t>
                                            </w:r>
                                          </w:p>
                                        </w:txbxContent>
                                      </v:textbox>
                                    </v:shape>
                                    <v:group id="Group 223" o:spid="_x0000_s1098" style="position:absolute;left:63;top:2540;width:31746;height:31495" coordorigin="63,2540" coordsize="31746,3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3008" o:spid="_x0000_s1099" type="#_x0000_t202" style="position:absolute;left:9588;top:9517;width:7239;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7c1sEA&#10;AADdAAAADwAAAGRycy9kb3ducmV2LnhtbERPXWvCMBR9F/wP4Qp708QNRDqjDF1BKAx0o8+X5q6p&#10;a25qE7X+++VB8PFwvlebwbXiSn1oPGuYzxQI4sqbhmsNP9/5dAkiRGSDrWfScKcAm/V4tMLM+Bsf&#10;6HqMtUghHDLUYGPsMilDZclhmPmOOHG/vncYE+xraXq8pXDXylelFtJhw6nBYkdbS9Xf8eI0fAZb&#10;3b9OeVtw4ctzUYbTLl9q/TIZPt5BRBriU/xw742GN6XS3PQmPQ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e3NbBAAAA3QAAAA8AAAAAAAAAAAAAAAAAmAIAAGRycy9kb3du&#10;cmV2LnhtbFBLBQYAAAAABAAEAPUAAACGAwAAAAA=&#10;" fillcolor="#1f497d [3215]"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RESIDUAL DUOS COST</w:t>
                                              </w:r>
                                            </w:p>
                                          </w:txbxContent>
                                        </v:textbox>
                                      </v:shape>
                                      <v:group id="Group 3009" o:spid="_x0000_s1100" style="position:absolute;left:63;top:2540;width:31746;height:31495" coordorigin="63,2540" coordsize="31746,3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xFGVsYAAADdAAAADwAAAGRycy9kb3ducmV2LnhtbESPT2vCQBTE74V+h+UV&#10;equ7UVo0uoqIlh6k4B8Qb4/sMwlm34bsmsRv7wqFHoeZ+Q0zW/S2Ei01vnSsIRkoEMSZMyXnGo6H&#10;zccYhA/IBivHpOFOHhbz15cZpsZ1vKN2H3IRIexT1FCEUKdS+qwgi37gauLoXVxjMUTZ5NI02EW4&#10;reRQqS9pseS4UGBNq4Ky6/5mNXx32C1HybrdXi+r+/nw+XvaJqT1+1u/nIII1If/8F/7x2gYKTWB&#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EUZWxgAAAN0A&#10;AAAPAAAAAAAAAAAAAAAAAKoCAABkcnMvZG93bnJldi54bWxQSwUGAAAAAAQABAD6AAAAnQMAAAAA&#10;">
                                        <v:group id="Group 3013" o:spid="_x0000_s1101" style="position:absolute;left:63;top:2540;width:31746;height:31495" coordorigin="63,2540" coordsize="31746,31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IOdhxgAAAN0A&#10;AAAPAAAAAAAAAAAAAAAAAKoCAABkcnMvZG93bnJldi54bWxQSwUGAAAAAAQABAD6AAAAnQMAAAAA&#10;">
                                          <v:shapetype id="_x0000_t32" coordsize="21600,21600" o:spt="32" o:oned="t" path="m,l21600,21600e" filled="f">
                                            <v:path arrowok="t" fillok="f" o:connecttype="none"/>
                                            <o:lock v:ext="edit" shapetype="t"/>
                                          </v:shapetype>
                                          <v:shape id="Straight Arrow Connector 3014" o:spid="_x0000_s1102" type="#_x0000_t32" style="position:absolute;left:7619;top:2667;width:1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79MYAAADdAAAADwAAAGRycy9kb3ducmV2LnhtbESPUWvCMBSF3wf7D+EOfJuJOorrjDIF&#10;QWTC7PYDLs1dU9fc1Car3b9fBoKPh3POdziL1eAa0VMXas8aJmMFgrj0puZKw+fH9nEOIkRkg41n&#10;0vBLAVbL+7sF5sZf+Eh9ESuRIBxy1GBjbHMpQ2nJYRj7ljh5X75zGJPsKmk6vCS4a+RUqUw6rDkt&#10;WGxpY6n8Ln6chsN5l72f5vt+/2yUPb+djkWZrbUePQyvLyAiDfEWvrZ3RsNMTZ7g/01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Ze/TGAAAA3QAAAA8AAAAAAAAA&#10;AAAAAAAAoQIAAGRycy9kb3ducmV2LnhtbFBLBQYAAAAABAAEAPkAAACUAwAAAAA=&#10;" strokecolor="#548dd4 [1951]">
                                            <v:stroke endarrow="block"/>
                                          </v:shape>
                                          <v:shape id="Text Box 3015" o:spid="_x0000_s1103" type="#_x0000_t202" style="position:absolute;left:63;top:4502;width:5969;height:6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llcUA&#10;AADdAAAADwAAAGRycy9kb3ducmV2LnhtbESPQWvCQBSE7wX/w/KE3urGlpaQZiPFGigEhKp4fmRf&#10;s7HZtzG7avz3bqHgcZiZb5h8MdpOnGnwrWMF81kCgrh2uuVGwW5bPqUgfEDW2DkmBVfysCgmDzlm&#10;2l34m86b0IgIYZ+hAhNCn0npa0MW/cz1xNH7cYPFEOXQSD3gJcJtJ5+T5E1abDkuGOxpaaj+3Zys&#10;gpU39XV9KLuKK7c/Vnt/+CxTpR6n48c7iEBjuIf/219awUsyf4W/N/EJ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uWVxQAAAN0AAAAPAAAAAAAAAAAAAAAAAJgCAABkcnMv&#10;ZG93bnJldi54bWxQSwUGAAAAAAQABAD1AAAAigMAAAAA&#10;" fillcolor="#1f497d [3215]" strokecolor="#548dd4 [1951]">
                                            <v:textbox>
                                              <w:txbxContent>
                                                <w:p w:rsidR="001B5FF8" w:rsidRDefault="001B5FF8" w:rsidP="008725DF">
                                                  <w:pPr>
                                                    <w:pStyle w:val="NormalWeb"/>
                                                    <w:spacing w:before="0" w:beforeAutospacing="0" w:after="0" w:afterAutospacing="0"/>
                                                    <w:jc w:val="center"/>
                                                  </w:pPr>
                                                  <w:r>
                                                    <w:rPr>
                                                      <w:rFonts w:asciiTheme="minorHAnsi" w:hAnsi="Cambria"/>
                                                      <w:caps/>
                                                      <w:color w:val="FFFFFF"/>
                                                      <w:sz w:val="16"/>
                                                      <w:szCs w:val="16"/>
                                                    </w:rPr>
                                                    <w:t>EXPECTED DUOS REVENUE</w:t>
                                                  </w:r>
                                                </w:p>
                                              </w:txbxContent>
                                            </v:textbox>
                                          </v:shape>
                                          <v:line id="Straight Connector 3016" o:spid="_x0000_s1104" style="position:absolute;flip:x y;visibility:visible;mso-wrap-style:square" from="6032,7870" to="7746,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CPcsYAAADdAAAADwAAAGRycy9kb3ducmV2LnhtbESP0WoCMRRE3wv+Q7iCL6Uma0HK1iir&#10;IC19qtoPuN3c7q4mN+sm1dWvbwqCj8PMnGFmi95ZcaIuNJ41ZGMFgrj0puFKw9du/fQCIkRkg9Yz&#10;abhQgMV88DDD3Pgzb+i0jZVIEA45aqhjbHMpQ1mTwzD2LXHyfnznMCbZVdJ0eE5wZ+VEqal02HBa&#10;qLGlVU3lYfvrNFyP6tPYj/3b0hYmW35fHy/FnrQeDfviFUSkPt7Dt/a70fCssin8v0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Qwj3LGAAAA3QAAAA8AAAAAAAAA&#10;AAAAAAAAoQIAAGRycy9kb3ducmV2LnhtbFBLBQYAAAAABAAEAPkAAACUAwAAAAA=&#10;" strokecolor="#548dd4 [1951]"/>
                                          <v:line id="Straight Connector 3017" o:spid="_x0000_s1105" style="position:absolute;visibility:visible;mso-wrap-style:square" from="7683,2540" to="7683,12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eSXMcAAADdAAAADwAAAGRycy9kb3ducmV2LnhtbESPzWrDMBCE74W+g9hCLyWW80NdnCgh&#10;DZSGHgJN8gCLtbVMrJVrKf55+yoQ6HGYmW+Y1Wawteio9ZVjBdMkBUFcOF1xqeB8+pi8gfABWWPt&#10;mBSM5GGzfnxYYa5dz9/UHUMpIoR9jgpMCE0upS8MWfSJa4ij9+NaiyHKtpS6xT7CbS1nafoqLVYc&#10;Fww2tDNUXI5Xq+DltBjrzy/jd7/vc9p2i312cE6p56dhuwQRaAj/4Xt7rxXM02kGtzfxCcj1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5JcxwAAAN0AAAAPAAAAAAAA&#10;AAAAAAAAAKECAABkcnMvZG93bnJldi54bWxQSwUGAAAAAAQABAD5AAAAlQMAAAAA&#10;" strokecolor="#548dd4 [1951]"/>
                                          <v:shape id="Straight Arrow Connector 3018" o:spid="_x0000_s1106" type="#_x0000_t32" style="position:absolute;left:7746;top:12030;width:1905;height:3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1TcIAAADdAAAADwAAAGRycy9kb3ducmV2LnhtbERPTU/CQBC9k/gfNkPiDbYIKqksREiM&#10;HLFiuU66Y1vszjbdFQq/njmYeHx534tV7xp1oi7Ung1Mxgko4sLbmksD+8+30RxUiMgWG89k4EIB&#10;Vsu7wQJT68/8QacslkpCOKRooIqxTbUORUUOw9i3xMJ9+85hFNiV2nZ4lnDX6IckedIOa5aGClva&#10;VFT8ZL/OwNdRiGxP/prns8d8935Yl89TY+6H/esLqEh9/Bf/ubfWwDSZyFx5I09AL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xe1TcIAAADdAAAADwAAAAAAAAAAAAAA&#10;AAChAgAAZHJzL2Rvd25yZXYueG1sUEsFBgAAAAAEAAQA+QAAAJADAAAAAA==&#10;" strokecolor="#548dd4 [1951]">
                                            <v:stroke endarrow="block"/>
                                          </v:shape>
                                          <v:shape id="Straight Arrow Connector 3019" o:spid="_x0000_s1107" type="#_x0000_t32" style="position:absolute;left:7619;top:14605;width:196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jUasYAAADdAAAADwAAAGRycy9kb3ducmV2LnhtbESPUWvCMBSF3wf7D+EOfJuJE4pWo7jB&#10;QGSD2e0HXJprU21uahNr/ffLYODj4ZzzHc5yPbhG9NSF2rOGyViBIC69qbnS8PP9/jwDESKywcYz&#10;abhRgPXq8WGJufFX3lNfxEokCIccNdgY21zKUFpyGMa+JU7ewXcOY5JdJU2H1wR3jXxRKpMOa04L&#10;Flt6s1SeiovT8HneZl/H2a7fzY2y54/jviizV61HT8NmASLSEO/h//bWaJiqyRz+3qQn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Y1GrGAAAA3QAAAA8AAAAAAAAA&#10;AAAAAAAAoQIAAGRycy9kb3ducmV2LnhtbFBLBQYAAAAABAAEAPkAAACUAwAAAAA=&#10;" strokecolor="#548dd4 [1951]">
                                            <v:stroke endarrow="block"/>
                                          </v:shape>
                                          <v:line id="Straight Connector 3020" o:spid="_x0000_s1108" style="position:absolute;visibility:visible;mso-wrap-style:square" from="7620,14606" to="7620,34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AlcIAAADdAAAADwAAAGRycy9kb3ducmV2LnhtbERPy4rCMBTdD/gP4QqzGcbUB450jKKC&#10;KC4Eqx9wae40xeamNpla/94sBJeH854vO1uJlhpfOlYwHCQgiHOnSy4UXM7b7xkIH5A1Vo5JwYM8&#10;LBe9jzmm2t35RG0WChFD2KeowIRQp1L63JBFP3A1ceT+XGMxRNgUUjd4j+G2kqMkmUqLJccGgzVt&#10;DOXX7N8q+DpPHtXuYPzmth7Tqp3sf47OKfXZ71a/IAJ14S1+ufdawTgZxf3xTXwC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LAlcIAAADdAAAADwAAAAAAAAAAAAAA&#10;AAChAgAAZHJzL2Rvd25yZXYueG1sUEsFBgAAAAAEAAQA+QAAAJADAAAAAA==&#10;" strokecolor="#548dd4 [1951]"/>
                                          <v:shape id="Straight Arrow Connector 3021" o:spid="_x0000_s1109" type="#_x0000_t32" style="position:absolute;left:6032;top:23493;width:355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S0cYAAADdAAAADwAAAGRycy9kb3ducmV2LnhtbESPUWvCMBSF3wX/Q7iDvWmig6KdUeZg&#10;ILKB1v2AS3PX1DU3tclq9++XgeDj4ZzzHc5qM7hG9NSF2rOG2VSBIC69qbnS8Hl6myxAhIhssPFM&#10;Gn4pwGY9Hq0wN/7KR+qLWIkE4ZCjBhtjm0sZSksOw9S3xMn78p3DmGRXSdPhNcFdI+dKZdJhzWnB&#10;Ykuvlsrv4sdp+LjsssN5se/3S6Ps5f18LMpsq/Xjw/DyDCLSEO/hW3tnNDyp+Qz+36Qn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CEtHGAAAA3QAAAA8AAAAAAAAA&#10;AAAAAAAAoQIAAGRycy9kb3ducmV2LnhtbFBLBQYAAAAABAAEAPkAAACUAwAAAAA=&#10;" strokecolor="#548dd4 [1951]">
                                            <v:stroke endarrow="block"/>
                                          </v:shape>
                                          <v:shape id="Straight Arrow Connector 3025" o:spid="_x0000_s1110" type="#_x0000_t32" style="position:absolute;left:17017;top:33274;width:342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rQbsQAAADdAAAADwAAAGRycy9kb3ducmV2LnhtbESPzWrCQBSF94LvMFzBnU7Uakt0FBVE&#10;l2206faSuSbRzJ2QGTX16TuFQpeH7/xwFqvWVOJOjSstKxgNIxDEmdUl5wpOx93gDYTzyBory6Tg&#10;mxyslt3OAmNtH/xB98TnIpSwi1FB4X0dS+myggy6oa2JAzvbxqAPssmlbvARyk0lx1E0kwZLDgsF&#10;1rQtKLsmN6Pg8xJAciL7TNOXafq+/9rkrxOl+r12PQfhqfX/5r/0QSuYROMp/L4JT0A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tBuxAAAAN0AAAAPAAAAAAAAAAAA&#10;AAAAAKECAABkcnMvZG93bnJldi54bWxQSwUGAAAAAAQABAD5AAAAkgMAAAAA&#10;" strokecolor="#548dd4 [1951]">
                                            <v:stroke endarrow="block"/>
                                          </v:shape>
                                          <v:line id="Straight Connector 3027" o:spid="_x0000_s1111" style="position:absolute;visibility:visible;mso-wrap-style:square" from="31809,5272" to="31809,3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tY4cUAAADdAAAADwAAAGRycy9kb3ducmV2LnhtbESP3YrCMBSE74V9h3AWvJE19QddukZR&#10;QRQvBHUf4NCcbco2J7WJtb69EQQvh5n5hpktWluKhmpfOFYw6CcgiDOnC84V/J43X98gfEDWWDom&#10;BXfysJh/dGaYanfjIzWnkIsIYZ+iAhNClUrpM0MWfd9VxNH7c7XFEGWdS13jLcJtKYdJMpEWC44L&#10;BitaG8r+T1eroHce38vt3vj1ZTWiZTPeTQ/OKdX9bJc/IAK14R1+tXdawSgZTuH5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tY4cUAAADdAAAADwAAAAAAAAAA&#10;AAAAAAChAgAAZHJzL2Rvd25yZXYueG1sUEsFBgAAAAAEAAQA+QAAAJMDAAAAAA==&#10;" strokecolor="#548dd4 [1951]"/>
                                          <v:shape id="Straight Arrow Connector 3033" o:spid="_x0000_s1112" type="#_x0000_t32" style="position:absolute;left:16886;top:12892;width:14859;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Z7XMQAAADdAAAADwAAAGRycy9kb3ducmV2LnhtbESPzWrCQBSF9wXfYbiCuzrRWFuio6hQ&#10;dNlGm24vmWsSzdwJmalGn94pFLo8fOeHM192phYXal1lWcFoGIEgzq2uuFBw2L8/v4FwHlljbZkU&#10;3MjBctF7mmOi7ZU/6ZL6QoQSdgkqKL1vEildXpJBN7QNcWBH2xr0QbaF1C1eQ7mp5TiKptJgxWGh&#10;xIY2JeXn9Mco+DoFkB7I3rNs8pJ9bL/XxWus1KDfrWYgPHX+3/yX3mkFcRTH8PsmPA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BntcxAAAAN0AAAAPAAAAAAAAAAAA&#10;AAAAAKECAABkcnMvZG93bnJldi54bWxQSwUGAAAAAAQABAD5AAAAkgMAAAAA&#10;" strokecolor="#548dd4 [1951]">
                                            <v:stroke endarrow="block"/>
                                          </v:shape>
                                        </v:group>
                                        <v:shape id="Text Box 3034" o:spid="_x0000_s1113" type="#_x0000_t202" style="position:absolute;left:20572;top:8821;width:7206;height:69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RCcYA&#10;AADdAAAADwAAAGRycy9kb3ducmV2LnhtbESPT4vCMBTE74LfITxhb5r6BynVKCKIugdBt4LHR/Ns&#10;i81LabLa9dMbQdjjMDO/YebL1lTiTo0rLSsYDiIQxJnVJecK0p9NPwbhPLLGyjIp+CMHy0W3M8dE&#10;2wcf6X7yuQgQdgkqKLyvEyldVpBBN7A1cfCutjHog2xyqRt8BLip5CiKptJgyWGhwJrWBWW3069R&#10;cNjH8UFens86S4/79LydtNvvnVJfvXY1A+Gp9f/hT3unFYyj8QTeb8ITkI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cRCcYAAADdAAAADwAAAAAAAAAAAAAAAACYAgAAZHJz&#10;L2Rvd25yZXYueG1sUEsFBgAAAAAEAAQA9QAAAIsDAAAAAA==&#10;" fillcolor="white [3212]" strokecolor="#548dd4 [1951]">
                                          <v:textbox>
                                            <w:txbxContent>
                                              <w:p w:rsidR="001B5FF8" w:rsidRDefault="001B5FF8" w:rsidP="008725DF">
                                                <w:pPr>
                                                  <w:pStyle w:val="NormalWeb"/>
                                                  <w:spacing w:before="0" w:beforeAutospacing="0" w:after="120" w:afterAutospacing="0"/>
                                                  <w:jc w:val="center"/>
                                                  <w:rPr>
                                                    <w:rFonts w:asciiTheme="minorHAnsi" w:hAnsi="Cambria"/>
                                                    <w:caps/>
                                                    <w:color w:val="000000" w:themeColor="text1"/>
                                                    <w:sz w:val="16"/>
                                                    <w:szCs w:val="16"/>
                                                  </w:rPr>
                                                </w:pPr>
                                                <w:r>
                                                  <w:rPr>
                                                    <w:rFonts w:asciiTheme="minorHAnsi" w:hAnsi="Cambria"/>
                                                    <w:caps/>
                                                    <w:color w:val="000000" w:themeColor="text1"/>
                                                    <w:sz w:val="16"/>
                                                    <w:szCs w:val="16"/>
                                                  </w:rPr>
                                                  <w:t>PEAK DEMAND</w:t>
                                                </w:r>
                                              </w:p>
                                              <w:p w:rsidR="001B5FF8" w:rsidRDefault="001B5FF8" w:rsidP="008725DF">
                                                <w:pPr>
                                                  <w:pStyle w:val="NormalWeb"/>
                                                  <w:spacing w:before="0" w:beforeAutospacing="0" w:after="0" w:afterAutospacing="0"/>
                                                  <w:jc w:val="center"/>
                                                </w:pPr>
                                                <w:r>
                                                  <w:rPr>
                                                    <w:rFonts w:asciiTheme="minorHAnsi" w:hAnsi="Cambria"/>
                                                    <w:caps/>
                                                    <w:color w:val="000000" w:themeColor="text1"/>
                                                    <w:sz w:val="16"/>
                                                    <w:szCs w:val="16"/>
                                                  </w:rPr>
                                                  <w:t>Customer NUMBERS</w:t>
                                                </w:r>
                                              </w:p>
                                            </w:txbxContent>
                                          </v:textbox>
                                        </v:shape>
                                      </v:group>
                                    </v:group>
                                  </v:group>
                                </v:group>
                              </v:group>
                            </v:group>
                          </v:group>
                        </v:group>
                      </v:group>
                    </v:group>
                  </v:group>
                </v:group>
                <w10:anchorlock/>
              </v:group>
            </w:pict>
          </mc:Fallback>
        </mc:AlternateContent>
      </w:r>
    </w:p>
    <w:p w:rsidR="009C6462" w:rsidRDefault="009C6462">
      <w:pPr>
        <w:pStyle w:val="BodyText"/>
      </w:pPr>
    </w:p>
    <w:p w:rsidR="00DA261A" w:rsidRPr="00722C30" w:rsidRDefault="00DA261A">
      <w:pPr>
        <w:pStyle w:val="BodyText"/>
        <w:rPr>
          <w:rStyle w:val="AERbody"/>
        </w:rPr>
      </w:pPr>
      <w:r w:rsidRPr="00722C30">
        <w:rPr>
          <w:rStyle w:val="AERbody"/>
        </w:rPr>
        <w:t xml:space="preserve">A more detailed explanation of this approach, including a description of </w:t>
      </w:r>
      <w:r w:rsidR="00371CCD" w:rsidRPr="00722C30">
        <w:rPr>
          <w:rStyle w:val="AERbody"/>
        </w:rPr>
        <w:t xml:space="preserve">how Ausgrid proposes to adjust this approach where the residual cost allocation falls outside the bounds of stand-alone and avoidable costs, is included in </w:t>
      </w:r>
      <w:r w:rsidR="005E314D" w:rsidRPr="00722C30">
        <w:rPr>
          <w:rStyle w:val="AERbody"/>
        </w:rPr>
        <w:t>Appendix A</w:t>
      </w:r>
      <w:r w:rsidR="007C7FCE">
        <w:rPr>
          <w:rStyle w:val="AERbody"/>
        </w:rPr>
        <w:t>.</w:t>
      </w:r>
    </w:p>
    <w:p w:rsidR="0085717B" w:rsidRPr="00722C30" w:rsidRDefault="009E5AFB">
      <w:pPr>
        <w:pStyle w:val="BodyText"/>
        <w:rPr>
          <w:rStyle w:val="AERbody"/>
        </w:rPr>
      </w:pPr>
      <w:r w:rsidRPr="00722C30">
        <w:rPr>
          <w:rStyle w:val="AERbody"/>
        </w:rPr>
        <w:fldChar w:fldCharType="begin"/>
      </w:r>
      <w:r w:rsidRPr="00722C30">
        <w:rPr>
          <w:rStyle w:val="AERbody"/>
        </w:rPr>
        <w:instrText xml:space="preserve"> REF _Ref462042809 \h  \* MERGEFORMAT </w:instrText>
      </w:r>
      <w:r w:rsidRPr="00722C30">
        <w:rPr>
          <w:rStyle w:val="AERbody"/>
        </w:rPr>
      </w:r>
      <w:r w:rsidRPr="00722C30">
        <w:rPr>
          <w:rStyle w:val="AERbody"/>
        </w:rPr>
        <w:fldChar w:fldCharType="separate"/>
      </w:r>
      <w:r w:rsidR="00BE0834" w:rsidRPr="00BE0834">
        <w:rPr>
          <w:rStyle w:val="AERbody"/>
        </w:rPr>
        <w:t>Table 14</w:t>
      </w:r>
      <w:r w:rsidRPr="00722C30">
        <w:rPr>
          <w:rStyle w:val="AERbody"/>
        </w:rPr>
        <w:fldChar w:fldCharType="end"/>
      </w:r>
      <w:r w:rsidRPr="00722C30">
        <w:rPr>
          <w:rStyle w:val="AERbody"/>
        </w:rPr>
        <w:t xml:space="preserve"> </w:t>
      </w:r>
      <w:r w:rsidR="00371CCD" w:rsidRPr="00722C30">
        <w:rPr>
          <w:rStyle w:val="AERbody"/>
        </w:rPr>
        <w:t>below present</w:t>
      </w:r>
      <w:r w:rsidR="00FB1BC8" w:rsidRPr="00722C30">
        <w:rPr>
          <w:rStyle w:val="AERbody"/>
        </w:rPr>
        <w:t>s</w:t>
      </w:r>
      <w:r w:rsidR="00371CCD" w:rsidRPr="00722C30">
        <w:rPr>
          <w:rStyle w:val="AERbody"/>
        </w:rPr>
        <w:t xml:space="preserve"> indicative </w:t>
      </w:r>
      <w:r w:rsidR="00FB1BC8" w:rsidRPr="00722C30">
        <w:rPr>
          <w:rStyle w:val="AERbody"/>
        </w:rPr>
        <w:t xml:space="preserve">residual costs by tariff class </w:t>
      </w:r>
      <w:r w:rsidR="00371CCD" w:rsidRPr="00722C30">
        <w:rPr>
          <w:rStyle w:val="AERbody"/>
        </w:rPr>
        <w:t>for the remainder of the current regulatory control period</w:t>
      </w:r>
      <w:r w:rsidR="00FB1BC8" w:rsidRPr="00722C30">
        <w:rPr>
          <w:rStyle w:val="AERbody"/>
        </w:rPr>
        <w:t>.</w:t>
      </w:r>
    </w:p>
    <w:p w:rsidR="0085717B" w:rsidRPr="000D2517" w:rsidRDefault="00347193" w:rsidP="00EF3B7E">
      <w:pPr>
        <w:pStyle w:val="Caption"/>
      </w:pPr>
      <w:bookmarkStart w:id="467" w:name="_Ref462042809"/>
      <w:r w:rsidRPr="00073643">
        <w:t xml:space="preserve">Table </w:t>
      </w:r>
      <w:fldSimple w:instr=" SEQ Table \* ARABIC ">
        <w:r w:rsidR="00BE0834">
          <w:rPr>
            <w:noProof/>
          </w:rPr>
          <w:t>14</w:t>
        </w:r>
      </w:fldSimple>
      <w:bookmarkEnd w:id="467"/>
      <w:r w:rsidRPr="00073643">
        <w:t xml:space="preserve"> –</w:t>
      </w:r>
      <w:r>
        <w:t xml:space="preserve"> </w:t>
      </w:r>
      <w:r w:rsidR="0085717B" w:rsidRPr="000D2517">
        <w:t>Indicative Total Residual Cost</w:t>
      </w:r>
      <w:r w:rsidR="0085717B">
        <w:t xml:space="preserve"> ($</w:t>
      </w:r>
      <w:proofErr w:type="gramStart"/>
      <w:r w:rsidR="0085717B">
        <w:t>,000</w:t>
      </w:r>
      <w:proofErr w:type="gramEnd"/>
      <w:r w:rsidR="0085717B">
        <w:t>)</w:t>
      </w:r>
      <w:r w:rsidR="0085717B" w:rsidRPr="000D2517">
        <w:t xml:space="preserve"> – </w:t>
      </w:r>
      <w:proofErr w:type="spellStart"/>
      <w:r w:rsidR="0085717B" w:rsidRPr="000D2517">
        <w:t>Ausgrid</w:t>
      </w:r>
      <w:proofErr w:type="spellEnd"/>
      <w:r w:rsidR="0085717B" w:rsidRPr="000D2517">
        <w:t xml:space="preserve"> – FY 201</w:t>
      </w:r>
      <w:r w:rsidR="0085717B">
        <w:t>7</w:t>
      </w:r>
      <w:r w:rsidR="0085717B" w:rsidRPr="000D2517">
        <w:t xml:space="preserve"> to FY 2019</w:t>
      </w:r>
    </w:p>
    <w:tbl>
      <w:tblPr>
        <w:tblW w:w="8647" w:type="dxa"/>
        <w:tblInd w:w="817" w:type="dxa"/>
        <w:tblBorders>
          <w:insideH w:val="single" w:sz="4" w:space="0" w:color="FFFFFF" w:themeColor="background1"/>
          <w:insideV w:val="single" w:sz="4" w:space="0" w:color="FFFFFF" w:themeColor="background1"/>
        </w:tblBorders>
        <w:tblCellMar>
          <w:right w:w="284" w:type="dxa"/>
        </w:tblCellMar>
        <w:tblLook w:val="01E0" w:firstRow="1" w:lastRow="1" w:firstColumn="1" w:lastColumn="1" w:noHBand="0" w:noVBand="0"/>
      </w:tblPr>
      <w:tblGrid>
        <w:gridCol w:w="2835"/>
        <w:gridCol w:w="1720"/>
        <w:gridCol w:w="1852"/>
        <w:gridCol w:w="2240"/>
      </w:tblGrid>
      <w:tr w:rsidR="0085717B" w:rsidRPr="005E1097" w:rsidTr="00722C30">
        <w:trPr>
          <w:trHeight w:val="387"/>
        </w:trPr>
        <w:tc>
          <w:tcPr>
            <w:tcW w:w="2835" w:type="dxa"/>
            <w:shd w:val="clear" w:color="auto" w:fill="0065A6"/>
          </w:tcPr>
          <w:p w:rsidR="0085717B" w:rsidRPr="00722C30" w:rsidRDefault="0085717B" w:rsidP="00722C30">
            <w:pPr>
              <w:spacing w:before="120" w:after="120"/>
              <w:jc w:val="center"/>
              <w:rPr>
                <w:rFonts w:cs="Arial"/>
                <w:b/>
                <w:bCs/>
                <w:color w:val="FFFFFF"/>
                <w:szCs w:val="18"/>
              </w:rPr>
            </w:pPr>
            <w:r w:rsidRPr="00722C30">
              <w:rPr>
                <w:rFonts w:cs="Arial"/>
                <w:b/>
                <w:bCs/>
                <w:color w:val="FFFFFF"/>
                <w:szCs w:val="18"/>
              </w:rPr>
              <w:t>Tariff Class</w:t>
            </w:r>
          </w:p>
        </w:tc>
        <w:tc>
          <w:tcPr>
            <w:tcW w:w="1720" w:type="dxa"/>
            <w:shd w:val="clear" w:color="auto" w:fill="0065A6"/>
          </w:tcPr>
          <w:p w:rsidR="0085717B" w:rsidRPr="00722C30" w:rsidRDefault="0085717B">
            <w:pPr>
              <w:spacing w:before="120" w:after="120"/>
              <w:jc w:val="center"/>
              <w:rPr>
                <w:rFonts w:cs="Arial"/>
                <w:b/>
                <w:bCs/>
                <w:color w:val="FFFFFF"/>
                <w:szCs w:val="18"/>
              </w:rPr>
            </w:pPr>
            <w:r w:rsidRPr="00722C30">
              <w:rPr>
                <w:rFonts w:cs="Arial"/>
                <w:b/>
                <w:bCs/>
                <w:color w:val="FFFFFF"/>
                <w:szCs w:val="18"/>
              </w:rPr>
              <w:t>2017</w:t>
            </w:r>
          </w:p>
        </w:tc>
        <w:tc>
          <w:tcPr>
            <w:tcW w:w="1852" w:type="dxa"/>
            <w:shd w:val="clear" w:color="auto" w:fill="0065A6"/>
          </w:tcPr>
          <w:p w:rsidR="0085717B" w:rsidRPr="00722C30" w:rsidRDefault="0085717B">
            <w:pPr>
              <w:spacing w:before="120" w:after="120"/>
              <w:jc w:val="center"/>
              <w:rPr>
                <w:rFonts w:cs="Arial"/>
                <w:b/>
                <w:bCs/>
                <w:color w:val="FFFFFF"/>
                <w:szCs w:val="18"/>
              </w:rPr>
            </w:pPr>
            <w:r w:rsidRPr="00722C30">
              <w:rPr>
                <w:rFonts w:cs="Arial"/>
                <w:b/>
                <w:bCs/>
                <w:color w:val="FFFFFF"/>
                <w:szCs w:val="18"/>
              </w:rPr>
              <w:t>2018</w:t>
            </w:r>
          </w:p>
        </w:tc>
        <w:tc>
          <w:tcPr>
            <w:tcW w:w="2240" w:type="dxa"/>
            <w:shd w:val="clear" w:color="auto" w:fill="0065A6"/>
          </w:tcPr>
          <w:p w:rsidR="0085717B" w:rsidRPr="00722C30" w:rsidRDefault="0085717B">
            <w:pPr>
              <w:spacing w:before="120" w:after="120"/>
              <w:jc w:val="center"/>
              <w:rPr>
                <w:rFonts w:cs="Arial"/>
                <w:b/>
                <w:bCs/>
                <w:color w:val="FFFFFF"/>
                <w:szCs w:val="18"/>
              </w:rPr>
            </w:pPr>
            <w:r w:rsidRPr="00722C30">
              <w:rPr>
                <w:rFonts w:cs="Arial"/>
                <w:b/>
                <w:bCs/>
                <w:color w:val="FFFFFF"/>
                <w:szCs w:val="18"/>
              </w:rPr>
              <w:t>2019</w:t>
            </w:r>
          </w:p>
        </w:tc>
      </w:tr>
      <w:tr w:rsidR="00297681" w:rsidRPr="005E1097" w:rsidTr="00F93A72">
        <w:trPr>
          <w:trHeight w:val="334"/>
        </w:trPr>
        <w:tc>
          <w:tcPr>
            <w:tcW w:w="2835" w:type="dxa"/>
            <w:shd w:val="clear" w:color="auto" w:fill="97C5EA"/>
            <w:vAlign w:val="center"/>
          </w:tcPr>
          <w:p w:rsidR="00297681" w:rsidRPr="00722C30" w:rsidRDefault="00297681">
            <w:pPr>
              <w:spacing w:before="120" w:after="120"/>
              <w:rPr>
                <w:rFonts w:cs="Arial"/>
                <w:b/>
                <w:bCs/>
                <w:szCs w:val="18"/>
              </w:rPr>
            </w:pPr>
            <w:r w:rsidRPr="00722C30">
              <w:rPr>
                <w:rFonts w:cs="Arial"/>
                <w:b/>
                <w:color w:val="000000"/>
                <w:szCs w:val="18"/>
              </w:rPr>
              <w:t>Low voltage</w:t>
            </w:r>
          </w:p>
        </w:tc>
        <w:tc>
          <w:tcPr>
            <w:tcW w:w="1720" w:type="dxa"/>
            <w:shd w:val="clear" w:color="auto" w:fill="DEEAF6"/>
            <w:vAlign w:val="bottom"/>
          </w:tcPr>
          <w:p w:rsidR="00297681" w:rsidRPr="00722C30" w:rsidRDefault="00297681" w:rsidP="00715D79">
            <w:pPr>
              <w:spacing w:before="120" w:after="120"/>
              <w:jc w:val="right"/>
              <w:rPr>
                <w:rFonts w:cs="Arial"/>
                <w:b/>
                <w:bCs/>
                <w:szCs w:val="18"/>
                <w:highlight w:val="yellow"/>
              </w:rPr>
            </w:pPr>
            <w:r w:rsidRPr="003339D8">
              <w:rPr>
                <w:rFonts w:cs="Arial"/>
                <w:color w:val="000000"/>
                <w:sz w:val="16"/>
                <w:szCs w:val="16"/>
              </w:rPr>
              <w:t>1,529,600</w:t>
            </w:r>
          </w:p>
        </w:tc>
        <w:tc>
          <w:tcPr>
            <w:tcW w:w="1852" w:type="dxa"/>
            <w:shd w:val="clear" w:color="auto" w:fill="DEEAF6"/>
            <w:vAlign w:val="bottom"/>
          </w:tcPr>
          <w:p w:rsidR="00297681" w:rsidRPr="00722C30" w:rsidRDefault="00297681" w:rsidP="00715D79">
            <w:pPr>
              <w:spacing w:before="120" w:after="120"/>
              <w:jc w:val="right"/>
              <w:rPr>
                <w:rFonts w:cs="Arial"/>
                <w:color w:val="000000"/>
                <w:szCs w:val="18"/>
              </w:rPr>
            </w:pPr>
            <w:r w:rsidRPr="003339D8">
              <w:rPr>
                <w:rFonts w:cs="Arial"/>
                <w:color w:val="000000"/>
                <w:sz w:val="16"/>
                <w:szCs w:val="16"/>
              </w:rPr>
              <w:t>1,571,938</w:t>
            </w:r>
          </w:p>
        </w:tc>
        <w:tc>
          <w:tcPr>
            <w:tcW w:w="2240" w:type="dxa"/>
            <w:shd w:val="clear" w:color="auto" w:fill="DEEAF6"/>
            <w:vAlign w:val="bottom"/>
          </w:tcPr>
          <w:p w:rsidR="00297681" w:rsidRPr="00722C30" w:rsidRDefault="00297681" w:rsidP="00722C30">
            <w:pPr>
              <w:tabs>
                <w:tab w:val="right" w:pos="1140"/>
              </w:tabs>
              <w:spacing w:before="120" w:after="120"/>
              <w:jc w:val="right"/>
              <w:rPr>
                <w:rFonts w:cs="Arial"/>
                <w:color w:val="000000"/>
                <w:szCs w:val="18"/>
              </w:rPr>
            </w:pPr>
            <w:r w:rsidRPr="003339D8">
              <w:rPr>
                <w:rFonts w:cs="Arial"/>
                <w:color w:val="000000"/>
                <w:sz w:val="16"/>
                <w:szCs w:val="16"/>
              </w:rPr>
              <w:t>1,774,544</w:t>
            </w:r>
          </w:p>
        </w:tc>
      </w:tr>
      <w:tr w:rsidR="00297681" w:rsidRPr="005E1097" w:rsidTr="00F93A72">
        <w:trPr>
          <w:trHeight w:val="329"/>
        </w:trPr>
        <w:tc>
          <w:tcPr>
            <w:tcW w:w="2835" w:type="dxa"/>
            <w:shd w:val="clear" w:color="auto" w:fill="97C5EA"/>
            <w:vAlign w:val="center"/>
          </w:tcPr>
          <w:p w:rsidR="00297681" w:rsidRPr="00722C30" w:rsidRDefault="00297681">
            <w:pPr>
              <w:spacing w:before="120" w:after="120"/>
              <w:rPr>
                <w:rFonts w:cs="Arial"/>
                <w:b/>
                <w:bCs/>
                <w:szCs w:val="18"/>
              </w:rPr>
            </w:pPr>
            <w:r w:rsidRPr="00722C30">
              <w:rPr>
                <w:rFonts w:cs="Arial"/>
                <w:b/>
                <w:color w:val="000000"/>
                <w:szCs w:val="18"/>
              </w:rPr>
              <w:t>High voltage</w:t>
            </w:r>
          </w:p>
        </w:tc>
        <w:tc>
          <w:tcPr>
            <w:tcW w:w="1720" w:type="dxa"/>
            <w:shd w:val="clear" w:color="auto" w:fill="DEEAF6"/>
            <w:vAlign w:val="bottom"/>
          </w:tcPr>
          <w:p w:rsidR="00297681" w:rsidRPr="00722C30" w:rsidRDefault="00297681" w:rsidP="00715D79">
            <w:pPr>
              <w:spacing w:before="120" w:after="120"/>
              <w:jc w:val="right"/>
              <w:rPr>
                <w:rFonts w:cs="Arial"/>
                <w:b/>
                <w:bCs/>
                <w:szCs w:val="18"/>
                <w:highlight w:val="yellow"/>
              </w:rPr>
            </w:pPr>
            <w:r w:rsidRPr="003339D8">
              <w:rPr>
                <w:rFonts w:cs="Arial"/>
                <w:color w:val="000000"/>
                <w:sz w:val="16"/>
                <w:szCs w:val="16"/>
              </w:rPr>
              <w:t>49,374</w:t>
            </w:r>
          </w:p>
        </w:tc>
        <w:tc>
          <w:tcPr>
            <w:tcW w:w="1852" w:type="dxa"/>
            <w:shd w:val="clear" w:color="auto" w:fill="DEEAF6"/>
            <w:vAlign w:val="bottom"/>
          </w:tcPr>
          <w:p w:rsidR="00297681" w:rsidRPr="00722C30" w:rsidRDefault="00297681" w:rsidP="00715D79">
            <w:pPr>
              <w:spacing w:before="120" w:after="120"/>
              <w:jc w:val="right"/>
              <w:rPr>
                <w:rFonts w:cs="Arial"/>
                <w:color w:val="000000"/>
                <w:szCs w:val="18"/>
              </w:rPr>
            </w:pPr>
            <w:r w:rsidRPr="003339D8">
              <w:rPr>
                <w:rFonts w:cs="Arial"/>
                <w:color w:val="000000"/>
                <w:sz w:val="16"/>
                <w:szCs w:val="16"/>
              </w:rPr>
              <w:t>52,008</w:t>
            </w:r>
          </w:p>
        </w:tc>
        <w:tc>
          <w:tcPr>
            <w:tcW w:w="2240" w:type="dxa"/>
            <w:shd w:val="clear" w:color="auto" w:fill="DEEAF6"/>
            <w:vAlign w:val="bottom"/>
          </w:tcPr>
          <w:p w:rsidR="00297681" w:rsidRPr="00722C30" w:rsidRDefault="00297681" w:rsidP="00722C30">
            <w:pPr>
              <w:tabs>
                <w:tab w:val="right" w:pos="1140"/>
              </w:tabs>
              <w:spacing w:before="120" w:after="120"/>
              <w:jc w:val="right"/>
              <w:rPr>
                <w:rFonts w:cs="Arial"/>
                <w:color w:val="000000"/>
                <w:szCs w:val="18"/>
              </w:rPr>
            </w:pPr>
            <w:r w:rsidRPr="003339D8">
              <w:rPr>
                <w:rFonts w:cs="Arial"/>
                <w:color w:val="000000"/>
                <w:sz w:val="16"/>
                <w:szCs w:val="16"/>
              </w:rPr>
              <w:t>60,504</w:t>
            </w:r>
          </w:p>
        </w:tc>
      </w:tr>
      <w:tr w:rsidR="00297681" w:rsidRPr="005E1097" w:rsidTr="00F93A72">
        <w:trPr>
          <w:trHeight w:val="359"/>
        </w:trPr>
        <w:tc>
          <w:tcPr>
            <w:tcW w:w="2835" w:type="dxa"/>
            <w:shd w:val="clear" w:color="auto" w:fill="97C5EA"/>
            <w:vAlign w:val="center"/>
          </w:tcPr>
          <w:p w:rsidR="00297681" w:rsidRPr="00722C30" w:rsidRDefault="00297681">
            <w:pPr>
              <w:spacing w:before="120" w:after="120"/>
              <w:rPr>
                <w:rFonts w:cs="Arial"/>
                <w:b/>
                <w:bCs/>
                <w:szCs w:val="18"/>
              </w:rPr>
            </w:pPr>
            <w:r w:rsidRPr="00722C30">
              <w:rPr>
                <w:rFonts w:cs="Arial"/>
                <w:b/>
                <w:color w:val="000000"/>
                <w:szCs w:val="18"/>
              </w:rPr>
              <w:t>Sub-transmission voltage</w:t>
            </w:r>
          </w:p>
        </w:tc>
        <w:tc>
          <w:tcPr>
            <w:tcW w:w="1720" w:type="dxa"/>
            <w:shd w:val="clear" w:color="auto" w:fill="DEEAF6"/>
            <w:vAlign w:val="bottom"/>
          </w:tcPr>
          <w:p w:rsidR="00297681" w:rsidRPr="00722C30" w:rsidRDefault="00297681" w:rsidP="00715D79">
            <w:pPr>
              <w:spacing w:before="120" w:after="120"/>
              <w:jc w:val="right"/>
              <w:rPr>
                <w:rFonts w:cs="Arial"/>
                <w:b/>
                <w:bCs/>
                <w:szCs w:val="18"/>
                <w:highlight w:val="yellow"/>
              </w:rPr>
            </w:pPr>
            <w:r w:rsidRPr="003339D8">
              <w:rPr>
                <w:rFonts w:cs="Arial"/>
                <w:color w:val="000000"/>
                <w:sz w:val="16"/>
                <w:szCs w:val="16"/>
              </w:rPr>
              <w:t>86,259</w:t>
            </w:r>
          </w:p>
        </w:tc>
        <w:tc>
          <w:tcPr>
            <w:tcW w:w="1852" w:type="dxa"/>
            <w:shd w:val="clear" w:color="auto" w:fill="DEEAF6"/>
            <w:vAlign w:val="bottom"/>
          </w:tcPr>
          <w:p w:rsidR="00297681" w:rsidRPr="00722C30" w:rsidRDefault="00297681" w:rsidP="00715D79">
            <w:pPr>
              <w:spacing w:before="120" w:after="120"/>
              <w:jc w:val="right"/>
              <w:rPr>
                <w:rFonts w:cs="Arial"/>
                <w:color w:val="000000"/>
                <w:szCs w:val="18"/>
              </w:rPr>
            </w:pPr>
            <w:r w:rsidRPr="003339D8">
              <w:rPr>
                <w:rFonts w:cs="Arial"/>
                <w:color w:val="000000"/>
                <w:sz w:val="16"/>
                <w:szCs w:val="16"/>
              </w:rPr>
              <w:t>88,032</w:t>
            </w:r>
          </w:p>
        </w:tc>
        <w:tc>
          <w:tcPr>
            <w:tcW w:w="2240" w:type="dxa"/>
            <w:shd w:val="clear" w:color="auto" w:fill="DEEAF6"/>
            <w:vAlign w:val="bottom"/>
          </w:tcPr>
          <w:p w:rsidR="00297681" w:rsidRPr="00722C30" w:rsidRDefault="00297681" w:rsidP="00722C30">
            <w:pPr>
              <w:tabs>
                <w:tab w:val="right" w:pos="1140"/>
              </w:tabs>
              <w:spacing w:before="120" w:after="120"/>
              <w:jc w:val="right"/>
              <w:rPr>
                <w:rFonts w:cs="Arial"/>
                <w:color w:val="000000"/>
                <w:szCs w:val="18"/>
              </w:rPr>
            </w:pPr>
            <w:r w:rsidRPr="003339D8">
              <w:rPr>
                <w:rFonts w:cs="Arial"/>
                <w:color w:val="000000"/>
                <w:sz w:val="16"/>
                <w:szCs w:val="16"/>
              </w:rPr>
              <w:t>93,580</w:t>
            </w:r>
          </w:p>
        </w:tc>
      </w:tr>
      <w:tr w:rsidR="00297681" w:rsidRPr="005E1097" w:rsidTr="00F93A72">
        <w:trPr>
          <w:trHeight w:val="367"/>
        </w:trPr>
        <w:tc>
          <w:tcPr>
            <w:tcW w:w="2835" w:type="dxa"/>
            <w:shd w:val="clear" w:color="auto" w:fill="97C5EA"/>
            <w:vAlign w:val="center"/>
          </w:tcPr>
          <w:p w:rsidR="00297681" w:rsidRPr="00722C30" w:rsidRDefault="00297681">
            <w:pPr>
              <w:spacing w:before="120" w:after="120"/>
              <w:rPr>
                <w:rFonts w:cs="Arial"/>
                <w:b/>
                <w:bCs/>
                <w:szCs w:val="18"/>
              </w:rPr>
            </w:pPr>
            <w:r w:rsidRPr="00722C30">
              <w:rPr>
                <w:rFonts w:cs="Arial"/>
                <w:b/>
                <w:color w:val="000000"/>
                <w:szCs w:val="18"/>
              </w:rPr>
              <w:t>Unmetered</w:t>
            </w:r>
          </w:p>
        </w:tc>
        <w:tc>
          <w:tcPr>
            <w:tcW w:w="1720" w:type="dxa"/>
            <w:shd w:val="clear" w:color="auto" w:fill="DEEAF6"/>
            <w:vAlign w:val="bottom"/>
          </w:tcPr>
          <w:p w:rsidR="00297681" w:rsidRPr="00722C30" w:rsidRDefault="00297681" w:rsidP="00715D79">
            <w:pPr>
              <w:spacing w:before="120" w:after="120"/>
              <w:jc w:val="right"/>
              <w:rPr>
                <w:rFonts w:cs="Arial"/>
                <w:b/>
                <w:bCs/>
                <w:szCs w:val="18"/>
                <w:highlight w:val="yellow"/>
              </w:rPr>
            </w:pPr>
            <w:r w:rsidRPr="003339D8">
              <w:rPr>
                <w:rFonts w:cs="Arial"/>
                <w:color w:val="000000"/>
                <w:sz w:val="16"/>
                <w:szCs w:val="16"/>
              </w:rPr>
              <w:t>15,172</w:t>
            </w:r>
          </w:p>
        </w:tc>
        <w:tc>
          <w:tcPr>
            <w:tcW w:w="1852" w:type="dxa"/>
            <w:shd w:val="clear" w:color="auto" w:fill="DEEAF6"/>
            <w:vAlign w:val="bottom"/>
          </w:tcPr>
          <w:p w:rsidR="00297681" w:rsidRPr="00722C30" w:rsidRDefault="00297681" w:rsidP="00715D79">
            <w:pPr>
              <w:spacing w:before="120" w:after="120"/>
              <w:jc w:val="right"/>
              <w:rPr>
                <w:rFonts w:cs="Arial"/>
                <w:color w:val="000000"/>
                <w:szCs w:val="18"/>
              </w:rPr>
            </w:pPr>
            <w:r w:rsidRPr="003339D8">
              <w:rPr>
                <w:rFonts w:cs="Arial"/>
                <w:color w:val="000000"/>
                <w:sz w:val="16"/>
                <w:szCs w:val="16"/>
              </w:rPr>
              <w:t>15,343</w:t>
            </w:r>
          </w:p>
        </w:tc>
        <w:tc>
          <w:tcPr>
            <w:tcW w:w="2240" w:type="dxa"/>
            <w:shd w:val="clear" w:color="auto" w:fill="DEEAF6"/>
            <w:vAlign w:val="bottom"/>
          </w:tcPr>
          <w:p w:rsidR="00297681" w:rsidRPr="00722C30" w:rsidRDefault="00297681" w:rsidP="00722C30">
            <w:pPr>
              <w:tabs>
                <w:tab w:val="right" w:pos="1140"/>
              </w:tabs>
              <w:spacing w:before="120" w:after="120"/>
              <w:jc w:val="right"/>
              <w:rPr>
                <w:rFonts w:cs="Arial"/>
                <w:color w:val="000000"/>
                <w:szCs w:val="18"/>
              </w:rPr>
            </w:pPr>
            <w:r w:rsidRPr="003339D8">
              <w:rPr>
                <w:rFonts w:cs="Arial"/>
                <w:color w:val="000000"/>
                <w:sz w:val="16"/>
                <w:szCs w:val="16"/>
              </w:rPr>
              <w:t>16,116</w:t>
            </w:r>
          </w:p>
        </w:tc>
      </w:tr>
      <w:tr w:rsidR="00297681" w:rsidRPr="005E1097" w:rsidTr="00F93A72">
        <w:trPr>
          <w:trHeight w:val="313"/>
        </w:trPr>
        <w:tc>
          <w:tcPr>
            <w:tcW w:w="2835" w:type="dxa"/>
            <w:shd w:val="clear" w:color="auto" w:fill="97C5EA"/>
            <w:vAlign w:val="center"/>
          </w:tcPr>
          <w:p w:rsidR="00297681" w:rsidRPr="00722C30" w:rsidRDefault="00297681">
            <w:pPr>
              <w:spacing w:before="120" w:after="120"/>
              <w:rPr>
                <w:rFonts w:cs="Arial"/>
                <w:b/>
                <w:bCs/>
                <w:szCs w:val="18"/>
              </w:rPr>
            </w:pPr>
            <w:r w:rsidRPr="00722C30">
              <w:rPr>
                <w:rFonts w:cs="Arial"/>
                <w:b/>
                <w:color w:val="000000"/>
                <w:szCs w:val="18"/>
              </w:rPr>
              <w:t xml:space="preserve">Transmission </w:t>
            </w:r>
          </w:p>
        </w:tc>
        <w:tc>
          <w:tcPr>
            <w:tcW w:w="1720" w:type="dxa"/>
            <w:shd w:val="clear" w:color="auto" w:fill="DEEAF6"/>
            <w:vAlign w:val="bottom"/>
          </w:tcPr>
          <w:p w:rsidR="00297681" w:rsidRPr="00722C30" w:rsidRDefault="00297681" w:rsidP="00715D79">
            <w:pPr>
              <w:spacing w:before="120" w:after="120"/>
              <w:jc w:val="right"/>
              <w:rPr>
                <w:rFonts w:cs="Arial"/>
                <w:b/>
                <w:bCs/>
                <w:szCs w:val="18"/>
                <w:highlight w:val="yellow"/>
              </w:rPr>
            </w:pPr>
            <w:r w:rsidRPr="003339D8">
              <w:rPr>
                <w:rFonts w:cs="Arial"/>
                <w:color w:val="000000"/>
                <w:sz w:val="16"/>
                <w:szCs w:val="16"/>
              </w:rPr>
              <w:t>4,705</w:t>
            </w:r>
          </w:p>
        </w:tc>
        <w:tc>
          <w:tcPr>
            <w:tcW w:w="1852" w:type="dxa"/>
            <w:shd w:val="clear" w:color="auto" w:fill="DEEAF6"/>
            <w:vAlign w:val="bottom"/>
          </w:tcPr>
          <w:p w:rsidR="00297681" w:rsidRPr="00722C30" w:rsidRDefault="00297681" w:rsidP="00715D79">
            <w:pPr>
              <w:spacing w:before="120" w:after="120"/>
              <w:jc w:val="right"/>
              <w:rPr>
                <w:rFonts w:cs="Arial"/>
                <w:color w:val="000000"/>
                <w:szCs w:val="18"/>
              </w:rPr>
            </w:pPr>
            <w:r w:rsidRPr="003339D8">
              <w:rPr>
                <w:rFonts w:cs="Arial"/>
                <w:color w:val="000000"/>
                <w:sz w:val="16"/>
                <w:szCs w:val="16"/>
              </w:rPr>
              <w:t>4,783</w:t>
            </w:r>
          </w:p>
        </w:tc>
        <w:tc>
          <w:tcPr>
            <w:tcW w:w="2240" w:type="dxa"/>
            <w:shd w:val="clear" w:color="auto" w:fill="DEEAF6"/>
            <w:vAlign w:val="bottom"/>
          </w:tcPr>
          <w:p w:rsidR="00297681" w:rsidRPr="00722C30" w:rsidRDefault="00297681" w:rsidP="00722C30">
            <w:pPr>
              <w:tabs>
                <w:tab w:val="right" w:pos="1140"/>
              </w:tabs>
              <w:spacing w:before="120" w:after="120"/>
              <w:jc w:val="right"/>
              <w:rPr>
                <w:rFonts w:cs="Arial"/>
                <w:color w:val="000000"/>
                <w:szCs w:val="18"/>
              </w:rPr>
            </w:pPr>
            <w:r w:rsidRPr="003339D8">
              <w:rPr>
                <w:rFonts w:cs="Arial"/>
                <w:color w:val="000000"/>
                <w:sz w:val="16"/>
                <w:szCs w:val="16"/>
              </w:rPr>
              <w:t>4,903</w:t>
            </w:r>
          </w:p>
        </w:tc>
      </w:tr>
      <w:tr w:rsidR="00297681" w:rsidRPr="005E1097" w:rsidTr="00F93A72">
        <w:trPr>
          <w:trHeight w:val="407"/>
        </w:trPr>
        <w:tc>
          <w:tcPr>
            <w:tcW w:w="2835" w:type="dxa"/>
            <w:shd w:val="clear" w:color="auto" w:fill="97C5EA"/>
            <w:vAlign w:val="center"/>
          </w:tcPr>
          <w:p w:rsidR="00297681" w:rsidRPr="00722C30" w:rsidRDefault="00297681">
            <w:pPr>
              <w:spacing w:before="120" w:after="120"/>
              <w:rPr>
                <w:rFonts w:cs="Arial"/>
                <w:b/>
                <w:bCs/>
                <w:szCs w:val="18"/>
              </w:rPr>
            </w:pPr>
            <w:r w:rsidRPr="00722C30">
              <w:rPr>
                <w:rFonts w:cs="Arial"/>
                <w:b/>
                <w:bCs/>
                <w:szCs w:val="18"/>
              </w:rPr>
              <w:t>Total Residual Cost</w:t>
            </w:r>
          </w:p>
        </w:tc>
        <w:tc>
          <w:tcPr>
            <w:tcW w:w="1720" w:type="dxa"/>
            <w:shd w:val="clear" w:color="auto" w:fill="DEEAF6"/>
            <w:vAlign w:val="bottom"/>
          </w:tcPr>
          <w:p w:rsidR="00297681" w:rsidRPr="00722C30" w:rsidRDefault="00297681" w:rsidP="00715D79">
            <w:pPr>
              <w:spacing w:before="120" w:after="120"/>
              <w:jc w:val="right"/>
              <w:rPr>
                <w:rFonts w:cs="Arial"/>
                <w:b/>
                <w:bCs/>
                <w:szCs w:val="18"/>
                <w:highlight w:val="yellow"/>
              </w:rPr>
            </w:pPr>
            <w:r w:rsidRPr="003339D8">
              <w:rPr>
                <w:rFonts w:cs="Arial"/>
                <w:b/>
                <w:color w:val="000000"/>
                <w:sz w:val="16"/>
                <w:szCs w:val="16"/>
              </w:rPr>
              <w:t>1,685,110</w:t>
            </w:r>
          </w:p>
        </w:tc>
        <w:tc>
          <w:tcPr>
            <w:tcW w:w="1852" w:type="dxa"/>
            <w:shd w:val="clear" w:color="auto" w:fill="DEEAF6"/>
            <w:vAlign w:val="bottom"/>
          </w:tcPr>
          <w:p w:rsidR="00297681" w:rsidRPr="00722C30" w:rsidRDefault="00297681" w:rsidP="00715D79">
            <w:pPr>
              <w:spacing w:before="120" w:after="120"/>
              <w:jc w:val="right"/>
              <w:rPr>
                <w:rFonts w:cs="Arial"/>
                <w:b/>
                <w:color w:val="000000"/>
                <w:szCs w:val="18"/>
              </w:rPr>
            </w:pPr>
            <w:r w:rsidRPr="003339D8">
              <w:rPr>
                <w:rFonts w:cs="Arial"/>
                <w:b/>
                <w:color w:val="000000"/>
                <w:sz w:val="16"/>
                <w:szCs w:val="16"/>
              </w:rPr>
              <w:t>1,732,102</w:t>
            </w:r>
          </w:p>
        </w:tc>
        <w:tc>
          <w:tcPr>
            <w:tcW w:w="2240" w:type="dxa"/>
            <w:shd w:val="clear" w:color="auto" w:fill="DEEAF6"/>
            <w:vAlign w:val="bottom"/>
          </w:tcPr>
          <w:p w:rsidR="00297681" w:rsidRPr="00722C30" w:rsidRDefault="00297681" w:rsidP="00722C30">
            <w:pPr>
              <w:tabs>
                <w:tab w:val="right" w:pos="1140"/>
              </w:tabs>
              <w:spacing w:before="120" w:after="120"/>
              <w:jc w:val="right"/>
              <w:rPr>
                <w:rFonts w:cs="Arial"/>
                <w:b/>
                <w:color w:val="000000"/>
                <w:szCs w:val="18"/>
              </w:rPr>
            </w:pPr>
            <w:r w:rsidRPr="003339D8">
              <w:rPr>
                <w:rFonts w:cs="Arial"/>
                <w:b/>
                <w:color w:val="000000"/>
                <w:sz w:val="16"/>
                <w:szCs w:val="16"/>
              </w:rPr>
              <w:t>1,949,646</w:t>
            </w:r>
          </w:p>
        </w:tc>
      </w:tr>
    </w:tbl>
    <w:p w:rsidR="000A3022" w:rsidRPr="000C58D9" w:rsidRDefault="000A3022" w:rsidP="000C58D9">
      <w:pPr>
        <w:spacing w:before="20" w:after="20"/>
        <w:jc w:val="right"/>
        <w:rPr>
          <w:rStyle w:val="AERbody"/>
          <w:sz w:val="16"/>
          <w:szCs w:val="16"/>
        </w:rPr>
      </w:pPr>
      <w:r w:rsidRPr="000C58D9">
        <w:rPr>
          <w:rFonts w:cs="Arial"/>
          <w:sz w:val="16"/>
          <w:szCs w:val="16"/>
        </w:rPr>
        <w:t xml:space="preserve">Source; </w:t>
      </w:r>
      <w:proofErr w:type="spellStart"/>
      <w:r w:rsidRPr="000C58D9">
        <w:rPr>
          <w:rFonts w:cs="Arial"/>
          <w:sz w:val="16"/>
          <w:szCs w:val="16"/>
        </w:rPr>
        <w:t>Ausgrid</w:t>
      </w:r>
      <w:proofErr w:type="spellEnd"/>
      <w:r w:rsidRPr="000C58D9">
        <w:rPr>
          <w:rFonts w:cs="Arial"/>
          <w:sz w:val="16"/>
          <w:szCs w:val="16"/>
        </w:rPr>
        <w:t>, 2016</w:t>
      </w:r>
    </w:p>
    <w:p w:rsidR="00775B9E" w:rsidRPr="00722C30" w:rsidRDefault="00775B9E" w:rsidP="0075101A">
      <w:pPr>
        <w:spacing w:before="120" w:after="240" w:line="240" w:lineRule="exact"/>
        <w:ind w:left="851"/>
        <w:rPr>
          <w:rStyle w:val="AERbody"/>
        </w:rPr>
      </w:pPr>
      <w:r w:rsidRPr="00722C30">
        <w:rPr>
          <w:rStyle w:val="AERbody"/>
        </w:rPr>
        <w:t xml:space="preserve">Importantly, the allocation of residual costs to each tariff class presented in the above table is lower than the stand alone cost and greater than the avoidable cost for each tariff class, as show in </w:t>
      </w:r>
      <w:r w:rsidR="005E314D" w:rsidRPr="00722C30">
        <w:rPr>
          <w:rStyle w:val="AERbody"/>
        </w:rPr>
        <w:t>Appendix A</w:t>
      </w:r>
      <w:r w:rsidRPr="00722C30">
        <w:rPr>
          <w:rStyle w:val="AERbody"/>
        </w:rPr>
        <w:t>.</w:t>
      </w:r>
    </w:p>
    <w:p w:rsidR="008725DF" w:rsidRPr="00722C30" w:rsidRDefault="008725DF" w:rsidP="00722C30">
      <w:pPr>
        <w:rPr>
          <w:rFonts w:eastAsia="Cambria"/>
        </w:rPr>
      </w:pPr>
      <w:r w:rsidRPr="00722C30">
        <w:br w:type="page"/>
      </w:r>
    </w:p>
    <w:p w:rsidR="000A3022" w:rsidRDefault="000A3022">
      <w:pPr>
        <w:pStyle w:val="Heading2"/>
      </w:pPr>
      <w:bookmarkStart w:id="468" w:name="_Toc475527433"/>
      <w:r>
        <w:lastRenderedPageBreak/>
        <w:t>Allocating residual costs to tariffs</w:t>
      </w:r>
      <w:bookmarkEnd w:id="468"/>
      <w:r>
        <w:t xml:space="preserve"> </w:t>
      </w:r>
    </w:p>
    <w:p w:rsidR="007346D3" w:rsidRPr="00722C30" w:rsidRDefault="00FB1BC8" w:rsidP="0089756B">
      <w:pPr>
        <w:pStyle w:val="BodyText"/>
        <w:rPr>
          <w:rStyle w:val="AERbody"/>
        </w:rPr>
      </w:pPr>
      <w:r w:rsidRPr="00722C30">
        <w:rPr>
          <w:rStyle w:val="AERbody"/>
        </w:rPr>
        <w:t>Ausgrid allocate</w:t>
      </w:r>
      <w:r w:rsidR="005B7261" w:rsidRPr="00722C30">
        <w:rPr>
          <w:rStyle w:val="AERbody"/>
        </w:rPr>
        <w:t>s</w:t>
      </w:r>
      <w:r w:rsidRPr="00722C30">
        <w:rPr>
          <w:rStyle w:val="AERbody"/>
        </w:rPr>
        <w:t xml:space="preserve"> residual costs to the tariffs within each tariff class </w:t>
      </w:r>
      <w:r w:rsidR="00775B9E" w:rsidRPr="00722C30">
        <w:rPr>
          <w:rStyle w:val="AERbody"/>
        </w:rPr>
        <w:t>by reference to a number of allocation factors</w:t>
      </w:r>
      <w:r w:rsidRPr="00722C30">
        <w:rPr>
          <w:rStyle w:val="AERbody"/>
        </w:rPr>
        <w:t xml:space="preserve">, as illustrated in </w:t>
      </w:r>
      <w:r w:rsidR="00C223CF" w:rsidRPr="00081DCC">
        <w:rPr>
          <w:rStyle w:val="AERbody"/>
        </w:rPr>
        <w:fldChar w:fldCharType="begin"/>
      </w:r>
      <w:r w:rsidR="00C223CF" w:rsidRPr="00081DCC">
        <w:rPr>
          <w:rStyle w:val="AERbody"/>
        </w:rPr>
        <w:instrText xml:space="preserve"> REF _Ref462997244 \h </w:instrText>
      </w:r>
      <w:r w:rsidR="007C7FCE" w:rsidRPr="00081DCC">
        <w:rPr>
          <w:rStyle w:val="AERbody"/>
        </w:rPr>
        <w:instrText xml:space="preserve"> \* MERGEFORMAT </w:instrText>
      </w:r>
      <w:r w:rsidR="00C223CF" w:rsidRPr="00081DCC">
        <w:rPr>
          <w:rStyle w:val="AERbody"/>
        </w:rPr>
      </w:r>
      <w:r w:rsidR="00C223CF" w:rsidRPr="00081DCC">
        <w:rPr>
          <w:rStyle w:val="AERbody"/>
        </w:rPr>
        <w:fldChar w:fldCharType="separate"/>
      </w:r>
      <w:r w:rsidR="00BE0834" w:rsidRPr="00BE0834">
        <w:rPr>
          <w:rStyle w:val="AERbody"/>
        </w:rPr>
        <w:t>Figure 11</w:t>
      </w:r>
      <w:r w:rsidR="00C223CF" w:rsidRPr="00081DCC">
        <w:rPr>
          <w:rStyle w:val="AERbody"/>
        </w:rPr>
        <w:fldChar w:fldCharType="end"/>
      </w:r>
      <w:r w:rsidR="00C223CF" w:rsidRPr="00081DCC">
        <w:rPr>
          <w:rStyle w:val="AERbody"/>
        </w:rPr>
        <w:t xml:space="preserve"> </w:t>
      </w:r>
      <w:r w:rsidRPr="00722C30">
        <w:rPr>
          <w:rStyle w:val="AERbody"/>
        </w:rPr>
        <w:t>below.</w:t>
      </w:r>
      <w:r w:rsidR="007346D3" w:rsidRPr="00722C30">
        <w:rPr>
          <w:rStyle w:val="AERbody"/>
        </w:rPr>
        <w:t xml:space="preserve"> The use of different approaches assists in ensuring that the resulting allocation to each tariff reflects an appropriate balance between the often conflicting principles of economic efficiency, price stability and fairness.</w:t>
      </w:r>
    </w:p>
    <w:p w:rsidR="00FB1BC8" w:rsidRPr="002035DB" w:rsidRDefault="00347193" w:rsidP="00D54FEB">
      <w:pPr>
        <w:pStyle w:val="Caption"/>
        <w:rPr>
          <w:b w:val="0"/>
        </w:rPr>
      </w:pPr>
      <w:bookmarkStart w:id="469" w:name="_Ref462997244"/>
      <w:r w:rsidRPr="00D54FEB">
        <w:t xml:space="preserve">Figure </w:t>
      </w:r>
      <w:fldSimple w:instr=" SEQ Figure \* ARABIC ">
        <w:r w:rsidR="00BE0834">
          <w:rPr>
            <w:noProof/>
          </w:rPr>
          <w:t>11</w:t>
        </w:r>
      </w:fldSimple>
      <w:bookmarkEnd w:id="469"/>
      <w:r w:rsidRPr="00D54FEB">
        <w:t xml:space="preserve"> – </w:t>
      </w:r>
      <w:r w:rsidR="00FB1BC8" w:rsidRPr="00D54FEB">
        <w:t xml:space="preserve">Overview of </w:t>
      </w:r>
      <w:proofErr w:type="spellStart"/>
      <w:r w:rsidR="00FB1BC8" w:rsidRPr="00D54FEB">
        <w:t>Ausgrid’s</w:t>
      </w:r>
      <w:proofErr w:type="spellEnd"/>
      <w:r w:rsidR="00FB1BC8" w:rsidRPr="00D54FEB">
        <w:t xml:space="preserve"> Method for Allocating Residual Cost to Tariff Level</w:t>
      </w:r>
    </w:p>
    <w:p w:rsidR="008725DF" w:rsidRDefault="008725DF" w:rsidP="00BD7A0B">
      <w:pPr>
        <w:pStyle w:val="BodyText"/>
      </w:pPr>
      <w:r w:rsidRPr="004626D7">
        <mc:AlternateContent>
          <mc:Choice Requires="wpg">
            <w:drawing>
              <wp:anchor distT="0" distB="0" distL="114300" distR="114300" simplePos="0" relativeHeight="251768832" behindDoc="0" locked="0" layoutInCell="1" allowOverlap="1" wp14:anchorId="073CB3C3" wp14:editId="08F10905">
                <wp:simplePos x="0" y="0"/>
                <wp:positionH relativeFrom="column">
                  <wp:posOffset>542925</wp:posOffset>
                </wp:positionH>
                <wp:positionV relativeFrom="paragraph">
                  <wp:posOffset>111760</wp:posOffset>
                </wp:positionV>
                <wp:extent cx="5322512" cy="3623326"/>
                <wp:effectExtent l="0" t="0" r="12065" b="15240"/>
                <wp:wrapNone/>
                <wp:docPr id="1031" name="Group 167"/>
                <wp:cNvGraphicFramePr/>
                <a:graphic xmlns:a="http://schemas.openxmlformats.org/drawingml/2006/main">
                  <a:graphicData uri="http://schemas.microsoft.com/office/word/2010/wordprocessingGroup">
                    <wpg:wgp>
                      <wpg:cNvGrpSpPr/>
                      <wpg:grpSpPr>
                        <a:xfrm>
                          <a:off x="0" y="0"/>
                          <a:ext cx="5322512" cy="3623326"/>
                          <a:chOff x="0" y="-1"/>
                          <a:chExt cx="3886620" cy="4366457"/>
                        </a:xfrm>
                      </wpg:grpSpPr>
                      <wps:wsp>
                        <wps:cNvPr id="1032" name="Text Box 1032"/>
                        <wps:cNvSpPr txBox="1"/>
                        <wps:spPr>
                          <a:xfrm>
                            <a:off x="1961409" y="3497145"/>
                            <a:ext cx="743236" cy="395221"/>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ANNUAL CONTRIBUTION</w:t>
                              </w:r>
                            </w:p>
                          </w:txbxContent>
                        </wps:txbx>
                        <wps:bodyPr wrap="square" rtlCol="0" anchor="ctr" anchorCtr="0"/>
                      </wps:wsp>
                      <wpg:grpSp>
                        <wpg:cNvPr id="1033" name="Group 1033"/>
                        <wpg:cNvGrpSpPr/>
                        <wpg:grpSpPr>
                          <a:xfrm>
                            <a:off x="0" y="-1"/>
                            <a:ext cx="3886620" cy="4366457"/>
                            <a:chOff x="0" y="-1"/>
                            <a:chExt cx="3886620" cy="4366457"/>
                          </a:xfrm>
                        </wpg:grpSpPr>
                        <wps:wsp>
                          <wps:cNvPr id="1034" name="Text Box 1034"/>
                          <wps:cNvSpPr txBox="1"/>
                          <wps:spPr>
                            <a:xfrm>
                              <a:off x="2946135" y="990456"/>
                              <a:ext cx="927017" cy="54610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WEIGHTED AVERAGE VOLUME FORECAST</w:t>
                                </w:r>
                              </w:p>
                            </w:txbxContent>
                          </wps:txbx>
                          <wps:bodyPr wrap="square" rtlCol="0" anchor="ctr" anchorCtr="0"/>
                        </wps:wsp>
                        <wpg:grpSp>
                          <wpg:cNvPr id="1035" name="Group 1035"/>
                          <wpg:cNvGrpSpPr/>
                          <wpg:grpSpPr>
                            <a:xfrm>
                              <a:off x="0" y="-1"/>
                              <a:ext cx="3886620" cy="4366457"/>
                              <a:chOff x="0" y="-1"/>
                              <a:chExt cx="3886620" cy="4366457"/>
                            </a:xfrm>
                          </wpg:grpSpPr>
                          <wps:wsp>
                            <wps:cNvPr id="1036" name="Text Box 1036"/>
                            <wps:cNvSpPr txBox="1"/>
                            <wps:spPr>
                              <a:xfrm>
                                <a:off x="945949" y="-1"/>
                                <a:ext cx="723900" cy="737985"/>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FFFFFF"/>
                                      <w:sz w:val="16"/>
                                      <w:szCs w:val="16"/>
                                    </w:rPr>
                                    <w:t>EXPECTED DUOS REVENUE FROM LRMC BASED PRICES</w:t>
                                  </w:r>
                                </w:p>
                              </w:txbxContent>
                            </wps:txbx>
                            <wps:bodyPr wrap="square" rtlCol="0" anchor="ctr" anchorCtr="0"/>
                          </wps:wsp>
                          <wpg:grpSp>
                            <wpg:cNvPr id="1037" name="Group 1037"/>
                            <wpg:cNvGrpSpPr/>
                            <wpg:grpSpPr>
                              <a:xfrm>
                                <a:off x="0" y="317453"/>
                                <a:ext cx="3886620" cy="4049003"/>
                                <a:chOff x="0" y="317453"/>
                                <a:chExt cx="3886620" cy="4049003"/>
                              </a:xfrm>
                            </wpg:grpSpPr>
                            <wps:wsp>
                              <wps:cNvPr id="1038" name="Text Box 1038"/>
                              <wps:cNvSpPr txBox="1"/>
                              <wps:spPr>
                                <a:xfrm>
                                  <a:off x="958646" y="938890"/>
                                  <a:ext cx="704850" cy="597441"/>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FFFFFF"/>
                                        <w:sz w:val="16"/>
                                        <w:szCs w:val="16"/>
                                      </w:rPr>
                                      <w:t>EXPECTED RESIDUAL DUOS COST</w:t>
                                    </w:r>
                                  </w:p>
                                </w:txbxContent>
                              </wps:txbx>
                              <wps:bodyPr wrap="square" rtlCol="0" anchor="ctr" anchorCtr="0"/>
                            </wps:wsp>
                            <wpg:grpSp>
                              <wpg:cNvPr id="1039" name="Group 1039"/>
                              <wpg:cNvGrpSpPr/>
                              <wpg:grpSpPr>
                                <a:xfrm>
                                  <a:off x="0" y="317453"/>
                                  <a:ext cx="3886620" cy="4049003"/>
                                  <a:chOff x="0" y="317453"/>
                                  <a:chExt cx="3886620" cy="4049003"/>
                                </a:xfrm>
                              </wpg:grpSpPr>
                              <wps:wsp>
                                <wps:cNvPr id="1040" name="Text Box 1040"/>
                                <wps:cNvSpPr txBox="1"/>
                                <wps:spPr>
                                  <a:xfrm>
                                    <a:off x="0" y="501015"/>
                                    <a:ext cx="596900" cy="673735"/>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FFFFFF"/>
                                          <w:sz w:val="16"/>
                                          <w:szCs w:val="16"/>
                                        </w:rPr>
                                        <w:t>EXPECTED DUOS REVENUE</w:t>
                                      </w:r>
                                    </w:p>
                                  </w:txbxContent>
                                </wps:txbx>
                                <wps:bodyPr wrap="square" rtlCol="0" anchor="ctr" anchorCtr="0"/>
                              </wps:wsp>
                              <wpg:grpSp>
                                <wpg:cNvPr id="1041" name="Group 1041"/>
                                <wpg:cNvGrpSpPr/>
                                <wpg:grpSpPr>
                                  <a:xfrm>
                                    <a:off x="596836" y="317453"/>
                                    <a:ext cx="3289784" cy="4049003"/>
                                    <a:chOff x="596836" y="317453"/>
                                    <a:chExt cx="3289784" cy="4049003"/>
                                  </a:xfrm>
                                </wpg:grpSpPr>
                                <wps:wsp>
                                  <wps:cNvPr id="1042" name="Text Box 1042"/>
                                  <wps:cNvSpPr txBox="1"/>
                                  <wps:spPr>
                                    <a:xfrm>
                                      <a:off x="927099" y="1765300"/>
                                      <a:ext cx="749300" cy="1041400"/>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FFFFFF"/>
                                            <w:sz w:val="16"/>
                                            <w:szCs w:val="16"/>
                                          </w:rPr>
                                          <w:t>EXPECTED PROPOSED DESIGNATED PRICING PROPOSAL CHARGES</w:t>
                                        </w:r>
                                      </w:p>
                                    </w:txbxContent>
                                  </wps:txbx>
                                  <wps:bodyPr wrap="square" rtlCol="0" anchor="ctr" anchorCtr="0"/>
                                </wps:wsp>
                                <wpg:grpSp>
                                  <wpg:cNvPr id="1043" name="Group 1043"/>
                                  <wpg:cNvGrpSpPr/>
                                  <wpg:grpSpPr>
                                    <a:xfrm>
                                      <a:off x="596836" y="317453"/>
                                      <a:ext cx="3289784" cy="4049003"/>
                                      <a:chOff x="596836" y="317453"/>
                                      <a:chExt cx="3289784" cy="4049003"/>
                                    </a:xfrm>
                                  </wpg:grpSpPr>
                                  <wps:wsp>
                                    <wps:cNvPr id="1044" name="Text Box 1044"/>
                                    <wps:cNvSpPr txBox="1"/>
                                    <wps:spPr>
                                      <a:xfrm>
                                        <a:off x="2025649" y="1714501"/>
                                        <a:ext cx="679449" cy="29210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EXIT CHARGE</w:t>
                                          </w:r>
                                        </w:p>
                                      </w:txbxContent>
                                    </wps:txbx>
                                    <wps:bodyPr wrap="square" rtlCol="0" anchor="ctr" anchorCtr="0"/>
                                  </wps:wsp>
                                  <wpg:grpSp>
                                    <wpg:cNvPr id="1045" name="Group 1045"/>
                                    <wpg:cNvGrpSpPr/>
                                    <wpg:grpSpPr>
                                      <a:xfrm>
                                        <a:off x="596836" y="317453"/>
                                        <a:ext cx="3289784" cy="4049003"/>
                                        <a:chOff x="596836" y="317453"/>
                                        <a:chExt cx="3289784" cy="4049003"/>
                                      </a:xfrm>
                                    </wpg:grpSpPr>
                                    <wps:wsp>
                                      <wps:cNvPr id="1046" name="Text Box 1046"/>
                                      <wps:cNvSpPr txBox="1"/>
                                      <wps:spPr>
                                        <a:xfrm>
                                          <a:off x="2940049" y="1663700"/>
                                          <a:ext cx="933450" cy="34925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FIXED CHARGE</w:t>
                                            </w:r>
                                          </w:p>
                                        </w:txbxContent>
                                      </wps:txbx>
                                      <wps:bodyPr wrap="square" rtlCol="0" anchor="ctr" anchorCtr="0"/>
                                    </wps:wsp>
                                    <wpg:grpSp>
                                      <wpg:cNvPr id="1047" name="Group 1047"/>
                                      <wpg:cNvGrpSpPr/>
                                      <wpg:grpSpPr>
                                        <a:xfrm>
                                          <a:off x="596836" y="317453"/>
                                          <a:ext cx="3289784" cy="4049003"/>
                                          <a:chOff x="596836" y="317453"/>
                                          <a:chExt cx="3289784" cy="4049003"/>
                                        </a:xfrm>
                                      </wpg:grpSpPr>
                                      <wps:wsp>
                                        <wps:cNvPr id="1048" name="Text Box 1048"/>
                                        <wps:cNvSpPr txBox="1"/>
                                        <wps:spPr>
                                          <a:xfrm>
                                            <a:off x="2031779" y="2101839"/>
                                            <a:ext cx="673100" cy="401819"/>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Pr="000D6076" w:rsidRDefault="001B5FF8" w:rsidP="008725DF">
                                              <w:pPr>
                                                <w:pStyle w:val="NormalWeb"/>
                                                <w:spacing w:before="0" w:beforeAutospacing="0" w:after="0" w:afterAutospacing="0"/>
                                                <w:ind w:right="-129"/>
                                                <w:jc w:val="center"/>
                                                <w:rPr>
                                                  <w:sz w:val="15"/>
                                                  <w:szCs w:val="15"/>
                                                </w:rPr>
                                              </w:pPr>
                                              <w:r w:rsidRPr="000D6076">
                                                <w:rPr>
                                                  <w:rFonts w:asciiTheme="minorHAnsi" w:hAnsi="Calibri"/>
                                                  <w:caps/>
                                                  <w:color w:val="000000" w:themeColor="text1"/>
                                                  <w:sz w:val="15"/>
                                                  <w:szCs w:val="15"/>
                                                </w:rPr>
                                                <w:t>NON-LOCATION CHARGE</w:t>
                                              </w:r>
                                            </w:p>
                                          </w:txbxContent>
                                        </wps:txbx>
                                        <wps:bodyPr wrap="square" rtlCol="0" anchor="ctr" anchorCtr="0"/>
                                      </wps:wsp>
                                      <wpg:grpSp>
                                        <wpg:cNvPr id="1049" name="Group 1049"/>
                                        <wpg:cNvGrpSpPr/>
                                        <wpg:grpSpPr>
                                          <a:xfrm>
                                            <a:off x="596836" y="317453"/>
                                            <a:ext cx="3289784" cy="4049003"/>
                                            <a:chOff x="596836" y="317453"/>
                                            <a:chExt cx="3289784" cy="4049003"/>
                                          </a:xfrm>
                                        </wpg:grpSpPr>
                                        <wps:wsp>
                                          <wps:cNvPr id="1050" name="Text Box 1050"/>
                                          <wps:cNvSpPr txBox="1"/>
                                          <wps:spPr>
                                            <a:xfrm>
                                              <a:off x="2946820" y="2101850"/>
                                              <a:ext cx="939800" cy="40182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HISTORICAL ENERGY CONSUMPTION</w:t>
                                                </w:r>
                                              </w:p>
                                            </w:txbxContent>
                                          </wps:txbx>
                                          <wps:bodyPr wrap="square" rtlCol="0" anchor="ctr" anchorCtr="0"/>
                                        </wps:wsp>
                                        <wpg:grpSp>
                                          <wpg:cNvPr id="1051" name="Group 1051"/>
                                          <wpg:cNvGrpSpPr/>
                                          <wpg:grpSpPr>
                                            <a:xfrm>
                                              <a:off x="596836" y="317453"/>
                                              <a:ext cx="3276663" cy="4049003"/>
                                              <a:chOff x="596836" y="317453"/>
                                              <a:chExt cx="3276663" cy="4049003"/>
                                            </a:xfrm>
                                          </wpg:grpSpPr>
                                          <wps:wsp>
                                            <wps:cNvPr id="1052" name="Text Box 1052"/>
                                            <wps:cNvSpPr txBox="1"/>
                                            <wps:spPr>
                                              <a:xfrm>
                                                <a:off x="2946399" y="2571750"/>
                                                <a:ext cx="927100" cy="361949"/>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peak deMAnd</w:t>
                                                  </w:r>
                                                </w:p>
                                              </w:txbxContent>
                                            </wps:txbx>
                                            <wps:bodyPr wrap="square" rtlCol="0" anchor="ctr" anchorCtr="0"/>
                                          </wps:wsp>
                                          <wpg:grpSp>
                                            <wpg:cNvPr id="1053" name="Group 1053"/>
                                            <wpg:cNvGrpSpPr/>
                                            <wpg:grpSpPr>
                                              <a:xfrm>
                                                <a:off x="596836" y="317453"/>
                                                <a:ext cx="3276242" cy="4049003"/>
                                                <a:chOff x="596836" y="317453"/>
                                                <a:chExt cx="3276242" cy="4049003"/>
                                              </a:xfrm>
                                            </wpg:grpSpPr>
                                            <wps:wsp>
                                              <wps:cNvPr id="1054" name="Text Box 1054"/>
                                              <wps:cNvSpPr txBox="1"/>
                                              <wps:spPr>
                                                <a:xfrm>
                                                  <a:off x="2044517" y="2590420"/>
                                                  <a:ext cx="660342" cy="361949"/>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DEMAND CHARGE</w:t>
                                                    </w:r>
                                                  </w:p>
                                                </w:txbxContent>
                                              </wps:txbx>
                                              <wps:bodyPr wrap="square" rtlCol="0" anchor="ctr" anchorCtr="0"/>
                                            </wps:wsp>
                                            <wpg:grpSp>
                                              <wpg:cNvPr id="1055" name="Group 1055"/>
                                              <wpg:cNvGrpSpPr/>
                                              <wpg:grpSpPr>
                                                <a:xfrm>
                                                  <a:off x="596836" y="317453"/>
                                                  <a:ext cx="3276242" cy="4049003"/>
                                                  <a:chOff x="596836" y="317453"/>
                                                  <a:chExt cx="3276242" cy="4049003"/>
                                                </a:xfrm>
                                              </wpg:grpSpPr>
                                              <wps:wsp>
                                                <wps:cNvPr id="128" name="Text Box 128"/>
                                                <wps:cNvSpPr txBox="1"/>
                                                <wps:spPr>
                                                  <a:xfrm>
                                                    <a:off x="2946819" y="3035156"/>
                                                    <a:ext cx="926259" cy="410318"/>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VOLUME FORECAST ERROR</w:t>
                                                      </w:r>
                                                    </w:p>
                                                  </w:txbxContent>
                                                </wps:txbx>
                                                <wps:bodyPr wrap="square" rtlCol="0" anchor="ctr" anchorCtr="0"/>
                                              </wps:wsp>
                                              <wpg:grpSp>
                                                <wpg:cNvPr id="129" name="Group 129"/>
                                                <wpg:cNvGrpSpPr/>
                                                <wpg:grpSpPr>
                                                  <a:xfrm>
                                                    <a:off x="596836" y="317453"/>
                                                    <a:ext cx="3275895" cy="4049003"/>
                                                    <a:chOff x="596836" y="317453"/>
                                                    <a:chExt cx="3275895" cy="4049003"/>
                                                  </a:xfrm>
                                                </wpg:grpSpPr>
                                                <wps:wsp>
                                                  <wps:cNvPr id="130" name="Text Box 130"/>
                                                  <wps:cNvSpPr txBox="1"/>
                                                  <wps:spPr>
                                                    <a:xfrm>
                                                      <a:off x="2044700" y="3003550"/>
                                                      <a:ext cx="673100" cy="361949"/>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Under/OVER RECOVERY</w:t>
                                                        </w:r>
                                                      </w:p>
                                                    </w:txbxContent>
                                                  </wps:txbx>
                                                  <wps:bodyPr wrap="square" rtlCol="0" anchor="ctr" anchorCtr="0"/>
                                                </wps:wsp>
                                                <wpg:grpSp>
                                                  <wpg:cNvPr id="131" name="Group 131"/>
                                                  <wpg:cNvGrpSpPr/>
                                                  <wpg:grpSpPr>
                                                    <a:xfrm>
                                                      <a:off x="596836" y="317453"/>
                                                      <a:ext cx="3275895" cy="4049003"/>
                                                      <a:chOff x="596836" y="317453"/>
                                                      <a:chExt cx="3275895" cy="4049003"/>
                                                    </a:xfrm>
                                                  </wpg:grpSpPr>
                                                  <wps:wsp>
                                                    <wps:cNvPr id="132" name="Text Box 132"/>
                                                    <wps:cNvSpPr txBox="1"/>
                                                    <wps:spPr>
                                                      <a:xfrm>
                                                        <a:off x="2946820" y="3517216"/>
                                                        <a:ext cx="925911" cy="342899"/>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ENERGY CONSUMPTION</w:t>
                                                          </w:r>
                                                        </w:p>
                                                      </w:txbxContent>
                                                    </wps:txbx>
                                                    <wps:bodyPr wrap="square" rtlCol="0" anchor="ctr" anchorCtr="0"/>
                                                  </wps:wsp>
                                                  <wpg:grpSp>
                                                    <wpg:cNvPr id="133" name="Group 133"/>
                                                    <wpg:cNvGrpSpPr/>
                                                    <wpg:grpSpPr>
                                                      <a:xfrm>
                                                        <a:off x="596836" y="317453"/>
                                                        <a:ext cx="3263544" cy="4049003"/>
                                                        <a:chOff x="596836" y="317453"/>
                                                        <a:chExt cx="3263544" cy="4049003"/>
                                                      </a:xfrm>
                                                    </wpg:grpSpPr>
                                                    <wpg:grpSp>
                                                      <wpg:cNvPr id="134" name="Group 134"/>
                                                      <wpg:cNvGrpSpPr/>
                                                      <wpg:grpSpPr>
                                                        <a:xfrm>
                                                          <a:off x="596836" y="317453"/>
                                                          <a:ext cx="2362909" cy="4048983"/>
                                                          <a:chOff x="596836" y="317453"/>
                                                          <a:chExt cx="2362909" cy="4048983"/>
                                                        </a:xfrm>
                                                      </wpg:grpSpPr>
                                                      <wps:wsp>
                                                        <wps:cNvPr id="135" name="Text Box 135"/>
                                                        <wps:cNvSpPr txBox="1"/>
                                                        <wps:spPr>
                                                          <a:xfrm>
                                                            <a:off x="1961198" y="3949666"/>
                                                            <a:ext cx="742870" cy="416770"/>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Under/OVER RECOVERY</w:t>
                                                              </w:r>
                                                            </w:p>
                                                          </w:txbxContent>
                                                        </wps:txbx>
                                                        <wps:bodyPr wrap="square" rtlCol="0" anchor="ctr" anchorCtr="0"/>
                                                      </wps:wsp>
                                                      <wpg:grpSp>
                                                        <wpg:cNvPr id="136" name="Group 136"/>
                                                        <wpg:cNvGrpSpPr/>
                                                        <wpg:grpSpPr>
                                                          <a:xfrm>
                                                            <a:off x="596836" y="317453"/>
                                                            <a:ext cx="2362909" cy="3917589"/>
                                                            <a:chOff x="596836" y="317453"/>
                                                            <a:chExt cx="2362909" cy="3917589"/>
                                                          </a:xfrm>
                                                        </wpg:grpSpPr>
                                                        <wps:wsp>
                                                          <wps:cNvPr id="137" name="Text Box 137"/>
                                                          <wps:cNvSpPr txBox="1"/>
                                                          <wps:spPr>
                                                            <a:xfrm>
                                                              <a:off x="946064" y="3593045"/>
                                                              <a:ext cx="641221" cy="641997"/>
                                                            </a:xfrm>
                                                            <a:prstGeom prst="rect">
                                                              <a:avLst/>
                                                            </a:prstGeom>
                                                            <a:solidFill>
                                                              <a:schemeClr val="tx2"/>
                                                            </a:solid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pPr>
                                                                <w:r>
                                                                  <w:rPr>
                                                                    <w:rFonts w:asciiTheme="minorHAnsi" w:hAnsi="Calibri"/>
                                                                    <w:caps/>
                                                                    <w:color w:val="FFFFFF"/>
                                                                    <w:sz w:val="16"/>
                                                                    <w:szCs w:val="16"/>
                                                                  </w:rPr>
                                                                  <w:t>EXPECTED CCF REVENUE</w:t>
                                                                </w:r>
                                                              </w:p>
                                                            </w:txbxContent>
                                                          </wps:txbx>
                                                          <wps:bodyPr wrap="square" rtlCol="0" anchor="ctr" anchorCtr="0"/>
                                                        </wps:wsp>
                                                        <wpg:grpSp>
                                                          <wpg:cNvPr id="138" name="Group 138"/>
                                                          <wpg:cNvGrpSpPr/>
                                                          <wpg:grpSpPr>
                                                            <a:xfrm>
                                                              <a:off x="596836" y="317453"/>
                                                              <a:ext cx="2362909" cy="3812420"/>
                                                              <a:chOff x="596836" y="317453"/>
                                                              <a:chExt cx="2362909" cy="3812420"/>
                                                            </a:xfrm>
                                                          </wpg:grpSpPr>
                                                          <wps:wsp>
                                                            <wps:cNvPr id="139" name="Straight Arrow Connector 139"/>
                                                            <wps:cNvCnPr/>
                                                            <wps:spPr>
                                                              <a:xfrm>
                                                                <a:off x="774629" y="317453"/>
                                                                <a:ext cx="177785"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0" name="Straight Connector 140"/>
                                                            <wps:cNvCnPr/>
                                                            <wps:spPr>
                                                              <a:xfrm flipH="1">
                                                                <a:off x="596836" y="837880"/>
                                                                <a:ext cx="181198" cy="1"/>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41" name="Straight Connector 141"/>
                                                            <wps:cNvCnPr/>
                                                            <wps:spPr>
                                                              <a:xfrm>
                                                                <a:off x="778033" y="317505"/>
                                                                <a:ext cx="0" cy="952454"/>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43" name="Straight Arrow Connector 143"/>
                                                            <wps:cNvCnPr/>
                                                            <wps:spPr>
                                                              <a:xfrm>
                                                                <a:off x="1663496" y="1269961"/>
                                                                <a:ext cx="1282585"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Straight Arrow Connector 144"/>
                                                            <wps:cNvCnPr/>
                                                            <wps:spPr>
                                                              <a:xfrm>
                                                                <a:off x="2711210" y="3210169"/>
                                                                <a:ext cx="248535"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1835149" y="1854152"/>
                                                                <a:ext cx="177785"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 name="Straight Arrow Connector 146"/>
                                                            <wps:cNvCnPr/>
                                                            <wps:spPr>
                                                              <a:xfrm>
                                                                <a:off x="1834984" y="2742798"/>
                                                                <a:ext cx="203182"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a:off x="1834984" y="2241221"/>
                                                                <a:ext cx="184134"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wps:spPr>
                                                              <a:xfrm>
                                                                <a:off x="1822449" y="3124200"/>
                                                                <a:ext cx="21590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Straight Connector 149"/>
                                                            <wps:cNvCnPr/>
                                                            <wps:spPr>
                                                              <a:xfrm flipH="1">
                                                                <a:off x="1669887" y="2476873"/>
                                                                <a:ext cx="171395" cy="0"/>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50" name="Straight Connector 150"/>
                                                            <wps:cNvCnPr/>
                                                            <wps:spPr>
                                                              <a:xfrm>
                                                                <a:off x="1835149" y="1854200"/>
                                                                <a:ext cx="0" cy="1282700"/>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a:stCxn id="1054" idx="3"/>
                                                            </wps:cNvCnPr>
                                                            <wps:spPr>
                                                              <a:xfrm flipV="1">
                                                                <a:off x="2704859" y="2770583"/>
                                                                <a:ext cx="241272" cy="812"/>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2717799" y="1835150"/>
                                                                <a:ext cx="20955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Straight Arrow Connector 158"/>
                                                            <wps:cNvCnPr/>
                                                            <wps:spPr>
                                                              <a:xfrm>
                                                                <a:off x="1752599" y="3594100"/>
                                                                <a:ext cx="20955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0" name="Straight Connector 160"/>
                                                            <wps:cNvCnPr/>
                                                            <wps:spPr>
                                                              <a:xfrm flipH="1" flipV="1">
                                                                <a:off x="1587328" y="3892217"/>
                                                                <a:ext cx="165081" cy="316"/>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61" name="Straight Connector 161"/>
                                                            <wps:cNvCnPr/>
                                                            <wps:spPr>
                                                              <a:xfrm>
                                                                <a:off x="1758949" y="3592851"/>
                                                                <a:ext cx="0" cy="537022"/>
                                                              </a:xfrm>
                                                              <a:prstGeom prst="line">
                                                                <a:avLst/>
                                                              </a:prstGeom>
                                                              <a:ln w="952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wps:wsp>
                                                            <wps:cNvPr id="162" name="Straight Arrow Connector 162"/>
                                                            <wps:cNvCnPr/>
                                                            <wps:spPr>
                                                              <a:xfrm>
                                                                <a:off x="2711209" y="3710210"/>
                                                                <a:ext cx="234808"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s:wsp>
                                                      <wps:cNvPr id="164" name="Text Box 164"/>
                                                      <wps:cNvSpPr txBox="1"/>
                                                      <wps:spPr>
                                                        <a:xfrm>
                                                          <a:off x="2946820" y="3962212"/>
                                                          <a:ext cx="913560" cy="404244"/>
                                                        </a:xfrm>
                                                        <a:prstGeom prst="rect">
                                                          <a:avLst/>
                                                        </a:prstGeom>
                                                        <a:noFill/>
                                                        <a:ln w="9525" cmpd="sng">
                                                          <a:solidFill>
                                                            <a:schemeClr val="tx2">
                                                              <a:lumMod val="60000"/>
                                                              <a:lumOff val="40000"/>
                                                            </a:schemeClr>
                                                          </a:solidFill>
                                                        </a:ln>
                                                      </wps:spPr>
                                                      <wps:style>
                                                        <a:lnRef idx="0">
                                                          <a:scrgbClr r="0" g="0" b="0"/>
                                                        </a:lnRef>
                                                        <a:fillRef idx="0">
                                                          <a:scrgbClr r="0" g="0" b="0"/>
                                                        </a:fillRef>
                                                        <a:effectRef idx="0">
                                                          <a:scrgbClr r="0" g="0" b="0"/>
                                                        </a:effectRef>
                                                        <a:fontRef idx="minor">
                                                          <a:schemeClr val="dk1"/>
                                                        </a:fontRef>
                                                      </wps:style>
                                                      <wps:txb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VOLUME FORECAST ERROR</w:t>
                                                            </w:r>
                                                          </w:p>
                                                        </w:txbxContent>
                                                      </wps:txbx>
                                                      <wps:bodyPr wrap="square" rtlCol="0" anchor="ctr" anchorCtr="0"/>
                                                    </wps:w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id="Group 167" o:spid="_x0000_s1114" style="position:absolute;left:0;text-align:left;margin-left:42.75pt;margin-top:8.8pt;width:419.1pt;height:285.3pt;z-index:251768832;mso-position-horizontal-relative:text;mso-position-vertical-relative:text" coordorigin="" coordsize="38866,4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">
                <v:shape id="Text Box 1032" o:spid="_x0000_s1115" type="#_x0000_t202" style="position:absolute;left:19614;top:34971;width:7432;height:3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lysUA&#10;AADdAAAADwAAAGRycy9kb3ducmV2LnhtbERPS2vCQBC+F/wPywi9NRu1lZK6ig8K9lDxhdTbmB2T&#10;aHY2Zrca/323UOhtPr7nDEaNKcWValdYVtCJYhDEqdUFZwq2m/enVxDOI2ssLZOCOzkYDVsPA0y0&#10;vfGKrmufiRDCLkEFufdVIqVLczLoIlsRB+5oa4M+wDqTusZbCDel7MZxXxosODTkWNE0p/S8/jYK&#10;3Gk74ct+d3jh589Z83Gxy0XvS6nHdjN+A+Gp8f/iP/dch/lxrwu/34QT5PA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aXKxQAAAN0AAAAPAAAAAAAAAAAAAAAAAJgCAABkcnMv&#10;ZG93bnJldi54bWxQSwUGAAAAAAQABAD1AAAAigMAAAAA&#10;" filled="f" strokecolor="#548dd4 [1951]">
                  <v:textbo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ANNUAL CONTRIBUTION</w:t>
                        </w:r>
                      </w:p>
                    </w:txbxContent>
                  </v:textbox>
                </v:shape>
                <v:group id="Group 1033" o:spid="_x0000_s1116" style="position:absolute;width:38866;height:43664" coordorigin="" coordsize="38866,43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Text Box 1034" o:spid="_x0000_s1117" type="#_x0000_t202" style="position:absolute;left:29461;top:9904;width:9270;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YJcUA&#10;AADdAAAADwAAAGRycy9kb3ducmV2LnhtbERPS2vCQBC+F/wPywi9NRvrg5K6im0p2IPiC6m3MTsm&#10;sdnZmN1q+u9dQehtPr7nDMeNKcWZaldYVtCJYhDEqdUFZwo268+nFxDOI2ssLZOCP3IwHrUehpho&#10;e+ElnVc+EyGEXYIKcu+rREqX5mTQRbYiDtzB1gZ9gHUmdY2XEG5K+RzHA2mw4NCQY0XvOaU/q1+j&#10;wB03b3zabfd97s0+mq+TXcy730o9tpvJKwhPjf8X391THebH3R7cvgknyNE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JglxQAAAN0AAAAPAAAAAAAAAAAAAAAAAJgCAABkcnMv&#10;ZG93bnJldi54bWxQSwUGAAAAAAQABAD1AAAAigMAAAAA&#10;" filled="f"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WEIGHTED AVERAGE VOLUME FORECAST</w:t>
                          </w:r>
                        </w:p>
                      </w:txbxContent>
                    </v:textbox>
                  </v:shape>
                  <v:group id="Group 1035" o:spid="_x0000_s1118" style="position:absolute;width:38866;height:43664" coordorigin="" coordsize="38866,43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Text Box 1036" o:spid="_x0000_s1119" type="#_x0000_t202" style="position:absolute;left:9459;width:7239;height:7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hKsEA&#10;AADdAAAADwAAAGRycy9kb3ducmV2LnhtbERP24rCMBB9F/Yfwiz4pukqiHSNIqsFobDgBZ+HZrap&#10;NpPaRK1/vxEE3+ZwrjNbdLYWN2p95VjB1zABQVw4XXGp4LDPBlMQPiBrrB2Tggd5WMw/ejNMtbvz&#10;lm67UIoYwj5FBSaEJpXSF4Ys+qFriCP351qLIcK2lLrFewy3tRwlyURarDg2GGzox1Bx3l2tgrU3&#10;xeP3lNU55+54yY/+tMqmSvU/u+U3iEBdeItf7o2O85PxBJ7fxBP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QoSrBAAAA3QAAAA8AAAAAAAAAAAAAAAAAmAIAAGRycy9kb3du&#10;cmV2LnhtbFBLBQYAAAAABAAEAPUAAACGAwAAAAA=&#10;" fillcolor="#1f497d [3215]"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FFFFFF"/>
                                <w:sz w:val="16"/>
                                <w:szCs w:val="16"/>
                              </w:rPr>
                              <w:t>EXPECTED DUOS REVENUE FROM LRMC BASED PRICES</w:t>
                            </w:r>
                          </w:p>
                        </w:txbxContent>
                      </v:textbox>
                    </v:shape>
                    <v:group id="Group 1037" o:spid="_x0000_s1120" style="position:absolute;top:3174;width:38866;height:40490" coordorigin=",3174" coordsize="38866,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Text Box 1038" o:spid="_x0000_s1121" type="#_x0000_t202" style="position:absolute;left:9586;top:9388;width:7048;height:5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Qw8UA&#10;AADdAAAADwAAAGRycy9kb3ducmV2LnhtbESPQWvCQBCF7wX/wzJCb3WjhSKpqxQ1IAQKVfE8ZKfZ&#10;2OxszK4a/33nUOhthvfmvW8Wq8G36kZ9bAIbmE4yUMRVsA3XBo6H4mUOKiZki21gMvCgCKvl6GmB&#10;uQ13/qLbPtVKQjjmaMCl1OVax8qRxzgJHbFo36H3mGTta217vEu4b/Usy960x4alwWFHa0fVz/7q&#10;DWyjqx6f56ItuQynS3mK500xN+Z5PHy8g0o0pH/z3/XOCn72Krj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5DDxQAAAN0AAAAPAAAAAAAAAAAAAAAAAJgCAABkcnMv&#10;ZG93bnJldi54bWxQSwUGAAAAAAQABAD1AAAAigMAAAAA&#10;" fillcolor="#1f497d [3215]"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FFFFFF"/>
                                  <w:sz w:val="16"/>
                                  <w:szCs w:val="16"/>
                                </w:rPr>
                                <w:t>EXPECTED RESIDUAL DUOS COST</w:t>
                              </w:r>
                            </w:p>
                          </w:txbxContent>
                        </v:textbox>
                      </v:shape>
                      <v:group id="Group 1039" o:spid="_x0000_s1122" style="position:absolute;top:3174;width:38866;height:40490" coordorigin=",3174" coordsize="38866,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Text Box 1040" o:spid="_x0000_s1123" type="#_x0000_t202" style="position:absolute;top:5010;width:5969;height:67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vuMUA&#10;AADdAAAADwAAAGRycy9kb3ducmV2LnhtbESPQWvCQBCF7wX/wzJCb3WjlCKpqxQ1IAQKVfE8ZKfZ&#10;2OxszK4a/33nUOhthvfmvW8Wq8G36kZ9bAIbmE4yUMRVsA3XBo6H4mUOKiZki21gMvCgCKvl6GmB&#10;uQ13/qLbPtVKQjjmaMCl1OVax8qRxzgJHbFo36H3mGTta217vEu4b/Usy960x4alwWFHa0fVz/7q&#10;DWyjqx6f56ItuQynS3mK500xN+Z5PHy8g0o0pH/z3/XOCn72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4xQAAAN0AAAAPAAAAAAAAAAAAAAAAAJgCAABkcnMv&#10;ZG93bnJldi54bWxQSwUGAAAAAAQABAD1AAAAigMAAAAA&#10;" fillcolor="#1f497d [3215]"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FFFFFF"/>
                                    <w:sz w:val="16"/>
                                    <w:szCs w:val="16"/>
                                  </w:rPr>
                                  <w:t>EXPECTED DUOS REVENUE</w:t>
                                </w:r>
                              </w:p>
                            </w:txbxContent>
                          </v:textbox>
                        </v:shape>
                        <v:group id="Group 1041" o:spid="_x0000_s1124" style="position:absolute;left:5968;top:3174;width:32898;height:40490" coordorigin="5968,3174" coordsize="32897,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Text Box 1042" o:spid="_x0000_s1125" type="#_x0000_t202" style="position:absolute;left:9270;top:17653;width:7493;height:10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UVMEA&#10;AADdAAAADwAAAGRycy9kb3ducmV2LnhtbERP24rCMBB9F/Yfwiz4pumKiHSNIqsFoSB4weehmW2q&#10;zaQ2UevfG2Fh3+ZwrjNbdLYWd2p95VjB1zABQVw4XXGp4HjIBlMQPiBrrB2Tgid5WMw/ejNMtXvw&#10;ju77UIoYwj5FBSaEJpXSF4Ys+qFriCP361qLIcK2lLrFRwy3tRwlyURarDg2GGzox1Bx2d+sgrU3&#10;xXN7zuqcc3e65id/XmVTpfqf3fIbRKAu/Iv/3Bsd5yfjEby/i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Tt1FTBAAAA3QAAAA8AAAAAAAAAAAAAAAAAmAIAAGRycy9kb3du&#10;cmV2LnhtbFBLBQYAAAAABAAEAPUAAACGAwAAAAA=&#10;" fillcolor="#1f497d [3215]"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FFFFFF"/>
                                      <w:sz w:val="16"/>
                                      <w:szCs w:val="16"/>
                                    </w:rPr>
                                    <w:t>EXPECTED PROPOSED DESIGNATED PRICING PROPOSAL CHARGES</w:t>
                                  </w:r>
                                </w:p>
                              </w:txbxContent>
                            </v:textbox>
                          </v:shape>
                          <v:group id="Group 1043" o:spid="_x0000_s1126" style="position:absolute;left:5968;top:3174;width:32898;height:40490" coordorigin="5968,3174" coordsize="32897,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Text Box 1044" o:spid="_x0000_s1127" type="#_x0000_t202" style="position:absolute;left:20256;top:17145;width:6794;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rWMUA&#10;AADdAAAADwAAAGRycy9kb3ducmV2LnhtbERPTWvCQBC9F/oflhG81Y2aFkldpbYI9aC0KmJvY3ZM&#10;otnZmF01/vuuUOhtHu9zhuPGlOJCtSssK+h2IhDEqdUFZwrWq+nTAITzyBpLy6TgRg7Go8eHISba&#10;XvmbLkufiRDCLkEFufdVIqVLczLoOrYiDtze1gZ9gHUmdY3XEG5K2YuiF2mw4NCQY0XvOaXH5dko&#10;cIf1hE8/m90zx/OPZnayX4v+Vql2q3l7BeGp8f/iP/enDvOjOIb7N+EEO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HutYxQAAAN0AAAAPAAAAAAAAAAAAAAAAAJgCAABkcnMv&#10;ZG93bnJldi54bWxQSwUGAAAAAAQABAD1AAAAigMAAAAA&#10;" filled="f" strokecolor="#548dd4 [1951]">
                              <v:textbo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EXIT CHARGE</w:t>
                                    </w:r>
                                  </w:p>
                                </w:txbxContent>
                              </v:textbox>
                            </v:shape>
                            <v:group id="Group 1045" o:spid="_x0000_s1128" style="position:absolute;left:5968;top:3174;width:32898;height:40490" coordorigin="5968,3174" coordsize="32897,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Text Box 1046" o:spid="_x0000_s1129" type="#_x0000_t202" style="position:absolute;left:29400;top:16637;width:9334;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QtMUA&#10;AADdAAAADwAAAGRycy9kb3ducmV2LnhtbERPS2vCQBC+F/wPywi9NRtblZK6im0R7EHxhdTbmB2T&#10;2OxszG41/feuIPQ2H99zBqPGlOJMtSssK+hEMQji1OqCMwWb9eTpFYTzyBpLy6TgjxyMhq2HASba&#10;XnhJ55XPRAhhl6CC3PsqkdKlORl0ka2IA3ewtUEfYJ1JXeMlhJtSPsdxXxosODTkWNFHTunP6tco&#10;cMfNO592232Pu7PP5utkF/OXb6Ue2834DYSnxv+L7+6pDvPjbh9u34QT5PA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NC0xQAAAN0AAAAPAAAAAAAAAAAAAAAAAJgCAABkcnMv&#10;ZG93bnJldi54bWxQSwUGAAAAAAQABAD1AAAAigMAAAAA&#10;" filled="f"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FIXED CHARGE</w:t>
                                      </w:r>
                                    </w:p>
                                  </w:txbxContent>
                                </v:textbox>
                              </v:shape>
                              <v:group id="Group 1047" o:spid="_x0000_s1130" style="position:absolute;left:5968;top:3174;width:32898;height:40490" coordorigin="5968,3174" coordsize="32897,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Text Box 1048" o:spid="_x0000_s1131" type="#_x0000_t202" style="position:absolute;left:20317;top:21018;width:6731;height:4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hXckA&#10;AADdAAAADwAAAGRycy9kb3ducmV2LnhtbESPzU7DQAyE70i8w8pI3OiG/iCUZlNBKyQ4UJVSofbm&#10;Zk0SyHrT7NKGt8eHStxszXjmczbrXaOO1IXas4HbQQKKuPC25tLA5v3p5h5UiMgWG89k4JcCzPLL&#10;iwxT60/8Rsd1LJWEcEjRQBVjm2odioochoFviUX79J3DKGtXatvhScJdo4dJcqcd1iwNFbY0r6j4&#10;Xv84A+Fr88iH3cd+wuPXRf9y8KvlaGvM9VX/MAUVqY//5vP1sxX8ZCy48o2Mo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FPhXckAAADdAAAADwAAAAAAAAAAAAAAAACYAgAA&#10;ZHJzL2Rvd25yZXYueG1sUEsFBgAAAAAEAAQA9QAAAI4DAAAAAA==&#10;" filled="f" strokecolor="#548dd4 [1951]">
                                  <v:textbox>
                                    <w:txbxContent>
                                      <w:p w:rsidR="001B5FF8" w:rsidRPr="000D6076" w:rsidRDefault="001B5FF8" w:rsidP="008725DF">
                                        <w:pPr>
                                          <w:pStyle w:val="NormalWeb"/>
                                          <w:spacing w:before="0" w:beforeAutospacing="0" w:after="0" w:afterAutospacing="0"/>
                                          <w:ind w:right="-129"/>
                                          <w:jc w:val="center"/>
                                          <w:rPr>
                                            <w:sz w:val="15"/>
                                            <w:szCs w:val="15"/>
                                          </w:rPr>
                                        </w:pPr>
                                        <w:r w:rsidRPr="000D6076">
                                          <w:rPr>
                                            <w:rFonts w:asciiTheme="minorHAnsi" w:hAnsi="Calibri"/>
                                            <w:caps/>
                                            <w:color w:val="000000" w:themeColor="text1"/>
                                            <w:sz w:val="15"/>
                                            <w:szCs w:val="15"/>
                                          </w:rPr>
                                          <w:t>NON-LOCATION CHARGE</w:t>
                                        </w:r>
                                      </w:p>
                                    </w:txbxContent>
                                  </v:textbox>
                                </v:shape>
                                <v:group id="Group 1049" o:spid="_x0000_s1132" style="position:absolute;left:5968;top:3174;width:32898;height:40490" coordorigin="5968,3174" coordsize="32897,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Text Box 1050" o:spid="_x0000_s1133" type="#_x0000_t202" style="position:absolute;left:29468;top:21018;width:9398;height:40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hsgA&#10;AADdAAAADwAAAGRycy9kb3ducmV2LnhtbESPQU/CQBCF7yT8h82QeIMtKMQUFoIYEz1oFImB29Ad&#10;2mJ3tnRXqP/eOZhwm8l78943s0XrKnWmJpSeDQwHCSjizNuScwObz6f+PagQkS1WnsnALwVYzLud&#10;GabWX/iDzuuYKwnhkKKBIsY61TpkBTkMA18Ti3bwjcMoa5Nr2+BFwl2lR0ky0Q5LloYCa1oVlH2v&#10;f5yBcNw88Gn3tR/z3etj+3Ly72+3W2Nueu1yCipSG6/m/+tnK/jJWPjlGxlB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HuGyAAAAN0AAAAPAAAAAAAAAAAAAAAAAJgCAABk&#10;cnMvZG93bnJldi54bWxQSwUGAAAAAAQABAD1AAAAjQMAAAAA&#10;" filled="f"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HISTORICAL ENERGY CONSUMPTION</w:t>
                                          </w:r>
                                        </w:p>
                                      </w:txbxContent>
                                    </v:textbox>
                                  </v:shape>
                                  <v:group id="Group 1051" o:spid="_x0000_s1134" style="position:absolute;left:5968;top:3174;width:32766;height:40490" coordorigin="5968,3174" coordsize="32766,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Text Box 1052" o:spid="_x0000_s1135" type="#_x0000_t202" style="position:absolute;left:29463;top:25717;width:927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AasUA&#10;AADdAAAADwAAAGRycy9kb3ducmV2LnhtbERPTWvCQBC9C/6HZYTedKPVItFVakuhHhSrIvY2zY5J&#10;anY2ZldN/31XELzN433OeFqbQlyocrllBd1OBII4sTrnVMF289EegnAeWWNhmRT8kYPppNkYY6zt&#10;lb/osvapCCHsYlSQeV/GUrokI4OuY0viwB1sZdAHWKVSV3gN4aaQvSh6kQZzDg0ZlvSWUXJcn40C&#10;97ud8el79zPg/uK9np/savm8V+qpVb+OQHiq/UN8d3/qMD8a9OD2TTh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kBqxQAAAN0AAAAPAAAAAAAAAAAAAAAAAJgCAABkcnMv&#10;ZG93bnJldi54bWxQSwUGAAAAAAQABAD1AAAAigMAAAAA&#10;" filled="f"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peak deMAnd</w:t>
                                            </w:r>
                                          </w:p>
                                        </w:txbxContent>
                                      </v:textbox>
                                    </v:shape>
                                    <v:group id="Group 1053" o:spid="_x0000_s1136" style="position:absolute;left:5968;top:3174;width:32762;height:40490" coordorigin="5968,3174" coordsize="32762,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Text Box 1054" o:spid="_x0000_s1137" type="#_x0000_t202" style="position:absolute;left:20445;top:25904;width:6603;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9hcUA&#10;AADdAAAADwAAAGRycy9kb3ducmV2LnhtbERPS2vCQBC+C/6HZQRvZtNWpaSuUlsEPVR8Ie1tmp0m&#10;qdnZmF01/ntXKPQ2H99zRpPGlOJMtSssK3iIYhDEqdUFZwp221nvGYTzyBpLy6TgSg4m43ZrhIm2&#10;F17TeeMzEULYJagg975KpHRpTgZdZCviwP3Y2qAPsM6krvESwk0pH+N4KA0WHBpyrOgtp/SwORkF&#10;7nc35ePX/nvA/Y/3ZnG0q+XTp1LdTvP6AsJT4//Ff+65DvPjQR/u34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32FxQAAAN0AAAAPAAAAAAAAAAAAAAAAAJgCAABkcnMv&#10;ZG93bnJldi54bWxQSwUGAAAAAAQABAD1AAAAigMAAAAA&#10;" filled="f" strokecolor="#548dd4 [1951]">
                                        <v:textbo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DEMAND CHARGE</w:t>
                                              </w:r>
                                            </w:p>
                                          </w:txbxContent>
                                        </v:textbox>
                                      </v:shape>
                                      <v:group id="Group 1055" o:spid="_x0000_s1138" style="position:absolute;left:5968;top:3174;width:32762;height:40490" coordorigin="5968,3174" coordsize="32762,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Text Box 128" o:spid="_x0000_s1139" type="#_x0000_t202" style="position:absolute;left:29468;top:30351;width:9262;height:41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WxZccA&#10;AADcAAAADwAAAGRycy9kb3ducmV2LnhtbESPQU/CQBCF7yb8h82QcJMtIMZUFoIQEjxoFInR29gd&#10;2mJ3tnQXqP+eOZB4m8l78943k1nrKnWiJpSeDQz6CSjizNuScwPbj9XtA6gQkS1WnsnAHwWYTTs3&#10;E0ytP/M7nTYxVxLCIUUDRYx1qnXICnIY+r4mFm3nG4dR1ibXtsGzhLtKD5PkXjssWRoKrGlRUPa7&#10;OToDYb994sP358+Y716W7fPBv72Ovozpddv5I6hIbfw3X6/XVvCHQivPyAR6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1sWXHAAAA3AAAAA8AAAAAAAAAAAAAAAAAmAIAAGRy&#10;cy9kb3ducmV2LnhtbFBLBQYAAAAABAAEAPUAAACMAwAAAAA=&#10;" filled="f"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VOLUME FORECAST ERROR</w:t>
                                                </w:r>
                                              </w:p>
                                            </w:txbxContent>
                                          </v:textbox>
                                        </v:shape>
                                        <v:group id="Group 129" o:spid="_x0000_s1140" style="position:absolute;left:5968;top:3174;width:32759;height:40490" coordorigin="5968,3174" coordsize="32758,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Text Box 130" o:spid="_x0000_s1141" type="#_x0000_t202" style="position:absolute;left:20447;top:30035;width:6731;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rvsgA&#10;AADcAAAADwAAAGRycy9kb3ducmV2LnhtbESPT0/CQBDF7yZ8h82QcJMtoMZUFsKfkOBBo0iM3sbu&#10;0Ba6s6W7QP32zMHE20zem/d+M562rlJnakLp2cCgn4AizrwtOTew/VjdPoIKEdli5ZkM/FKA6aRz&#10;M8bU+gu/03kTcyUhHFI0UMRYp1qHrCCHoe9rYtF2vnEYZW1ybRu8SLir9DBJHrTDkqWhwJoWBWWH&#10;zckZCPvtnI/fnz/3fPeybJ+P/u119GVMr9vOnkBFauO/+e96bQV/JPjyjEygJ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miu+yAAAANwAAAAPAAAAAAAAAAAAAAAAAJgCAABk&#10;cnMvZG93bnJldi54bWxQSwUGAAAAAAQABAD1AAAAjQMAAAAA&#10;" filled="f" strokecolor="#548dd4 [1951]">
                                            <v:textbo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Under/OVER RECOVERY</w:t>
                                                  </w:r>
                                                </w:p>
                                              </w:txbxContent>
                                            </v:textbox>
                                          </v:shape>
                                          <v:group id="Group 131" o:spid="_x0000_s1142" style="position:absolute;left:5968;top:3174;width:32759;height:40490" coordorigin="5968,3174" coordsize="32758,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Text Box 132" o:spid="_x0000_s1143" type="#_x0000_t202" style="position:absolute;left:29468;top:35172;width:925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QQUsQA&#10;AADcAAAADwAAAGRycy9kb3ducmV2LnhtbERPS2vCQBC+C/6HZQRvuvFVJLpKHwj1YGlVxN6m2TFJ&#10;m52N2VXTf+8Kgrf5+J4zndemEGeqXG5ZQa8bgSBOrM45VbDdLDpjEM4jaywsk4J/cjCfNRtTjLW9&#10;8Bed1z4VIYRdjAoy78tYSpdkZNB1bUkcuIOtDPoAq1TqCi8h3BSyH0VP0mDOoSHDkl4zSv7WJ6PA&#10;/W5f+Pi9+xnxcPVWL4/282OwV6rdqp8nIDzV/iG+u991mD/ow+2Zc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EFLEAAAA3AAAAA8AAAAAAAAAAAAAAAAAmAIAAGRycy9k&#10;b3ducmV2LnhtbFBLBQYAAAAABAAEAPUAAACJAwAAAAA=&#10;" filled="f"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ENERGY CONSUMPTION</w:t>
                                                    </w:r>
                                                  </w:p>
                                                </w:txbxContent>
                                              </v:textbox>
                                            </v:shape>
                                            <v:group id="Group 133" o:spid="_x0000_s1144" style="position:absolute;left:5968;top:3174;width:32635;height:40490" coordorigin="5968,3174" coordsize="32635,40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group id="Group 134" o:spid="_x0000_s1145" style="position:absolute;left:5968;top:3174;width:23629;height:40490" coordorigin="5968,3174" coordsize="23629,404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Text Box 135" o:spid="_x0000_s1146" type="#_x0000_t202" style="position:absolute;left:19611;top:39496;width:7429;height:4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2IJsUA&#10;AADcAAAADwAAAGRycy9kb3ducmV2LnhtbERPTWvCQBC9C/6HZQRvZmPVUlJXaSuCPShWRdrbNDsm&#10;abOzMbtq/PduQehtHu9zxtPGlOJMtSssK+hHMQji1OqCMwW77bz3BMJ5ZI2lZVJwJQfTSbs1xkTb&#10;C3/QeeMzEULYJagg975KpHRpTgZdZCviwB1sbdAHWGdS13gJ4aaUD3H8KA0WHBpyrOgtp/R3czIK&#10;3M/ulY9f++8RD5ez5v1o16vBp1LdTvPyDMJT4//Fd/dCh/mDEfw9Ey6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YgmxQAAANwAAAAPAAAAAAAAAAAAAAAAAJgCAABkcnMv&#10;ZG93bnJldi54bWxQSwUGAAAAAAQABAD1AAAAigMAAAAA&#10;" filled="f" strokecolor="#548dd4 [1951]">
                                                  <v:textbox>
                                                    <w:txbxContent>
                                                      <w:p w:rsidR="001B5FF8" w:rsidRPr="000D6076" w:rsidRDefault="001B5FF8" w:rsidP="008725DF">
                                                        <w:pPr>
                                                          <w:pStyle w:val="NormalWeb"/>
                                                          <w:spacing w:before="0" w:beforeAutospacing="0" w:after="0" w:afterAutospacing="0"/>
                                                          <w:jc w:val="center"/>
                                                          <w:rPr>
                                                            <w:sz w:val="15"/>
                                                            <w:szCs w:val="15"/>
                                                          </w:rPr>
                                                        </w:pPr>
                                                        <w:r w:rsidRPr="000D6076">
                                                          <w:rPr>
                                                            <w:rFonts w:asciiTheme="minorHAnsi" w:hAnsi="Calibri"/>
                                                            <w:caps/>
                                                            <w:color w:val="000000" w:themeColor="text1"/>
                                                            <w:sz w:val="15"/>
                                                            <w:szCs w:val="15"/>
                                                          </w:rPr>
                                                          <w:t>Under/OVER RECOVERY</w:t>
                                                        </w:r>
                                                      </w:p>
                                                    </w:txbxContent>
                                                  </v:textbox>
                                                </v:shape>
                                                <v:group id="Group 136" o:spid="_x0000_s1147" style="position:absolute;left:5968;top:3174;width:23629;height:39176" coordorigin="5968,3174" coordsize="23629,39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Text Box 137" o:spid="_x0000_s1148" type="#_x0000_t202" style="position:absolute;left:9460;top:35930;width:6412;height:64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q8IA&#10;AADcAAAADwAAAGRycy9kb3ducmV2LnhtbERP32vCMBB+H+x/CDfwbaZT2ErXVMa0MCgI0+Hz0ZxN&#10;tbl0TdT635vBwLf7+H5evhhtJ840+NaxgpdpAoK4drrlRsHPtnxOQfiArLFzTAqu5GFRPD7kmGl3&#10;4W86b0IjYgj7DBWYEPpMSl8bsuinrieO3N4NFkOEQyP1gJcYbjs5S5JXabHl2GCwp09D9XFzsgpW&#10;3tTX9aHsKq7c7rfa+cOyTJWaPI0f7yACjeEu/nd/6Th//gZ/z8QL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O6rwgAAANwAAAAPAAAAAAAAAAAAAAAAAJgCAABkcnMvZG93&#10;bnJldi54bWxQSwUGAAAAAAQABAD1AAAAhwMAAAAA&#10;" fillcolor="#1f497d [3215]" strokecolor="#548dd4 [1951]">
                                                    <v:textbox>
                                                      <w:txbxContent>
                                                        <w:p w:rsidR="001B5FF8" w:rsidRDefault="001B5FF8" w:rsidP="008725DF">
                                                          <w:pPr>
                                                            <w:pStyle w:val="NormalWeb"/>
                                                            <w:spacing w:before="0" w:beforeAutospacing="0" w:after="0" w:afterAutospacing="0"/>
                                                          </w:pPr>
                                                          <w:r>
                                                            <w:rPr>
                                                              <w:rFonts w:asciiTheme="minorHAnsi" w:hAnsi="Calibri"/>
                                                              <w:caps/>
                                                              <w:color w:val="FFFFFF"/>
                                                              <w:sz w:val="16"/>
                                                              <w:szCs w:val="16"/>
                                                            </w:rPr>
                                                            <w:t>EXPECTED CCF REVENUE</w:t>
                                                          </w:r>
                                                        </w:p>
                                                      </w:txbxContent>
                                                    </v:textbox>
                                                  </v:shape>
                                                  <v:group id="Group 138" o:spid="_x0000_s1149" style="position:absolute;left:5968;top:3174;width:23629;height:38124" coordorigin="5968,3174" coordsize="23629,38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Straight Arrow Connector 139" o:spid="_x0000_s1150" type="#_x0000_t32" style="position:absolute;left:7746;top:3174;width:1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ZxdsIAAADcAAAADwAAAGRycy9kb3ducmV2LnhtbERP3WrCMBS+H/gO4Qi7m6kTilajqDAQ&#10;cTA7H+DQHJtqc1KbWLu3N4PB7s7H93sWq97WoqPWV44VjEcJCOLC6YpLBafvj7cpCB+QNdaOScEP&#10;eVgtBy8LzLR78JG6PJQihrDPUIEJocmk9IUhi37kGuLInV1rMUTYllK3+IjhtpbvSZJKixXHBoMN&#10;bQ0V1/xuFXzedunXZbrv9jOdmNvhcsyLdKPU67Bfz0EE6sO/+M+903H+ZAa/z8QL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ZxdsIAAADcAAAADwAAAAAAAAAAAAAA&#10;AAChAgAAZHJzL2Rvd25yZXYueG1sUEsFBgAAAAAEAAQA+QAAAJADAAAAAA==&#10;" strokecolor="#548dd4 [1951]">
                                                      <v:stroke endarrow="block"/>
                                                    </v:shape>
                                                    <v:line id="Straight Connector 140" o:spid="_x0000_s1151" style="position:absolute;flip:x;visibility:visible;mso-wrap-style:square" from="5968,8378" to="7780,8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AhD8cAAADcAAAADwAAAGRycy9kb3ducmV2LnhtbESPQUsDMRCF74L/IYzgzSaKFbs2LaII&#10;gr20lbbehs24Wd1Mdjex3fbXOwfB2wzvzXvfTOdDaNSe+lRHtnA9MqCIy+hqriy8r1+u7kGljOyw&#10;iUwWjpRgPjs/m2Lh4oGXtF/lSkkIpwIt+JzbQutUegqYRrElFu0z9gGzrH2lXY8HCQ+NvjHmTges&#10;WRo8tvTkqfxe/QQLp3X3lncfxmwn3bhadMevjfHP1l5eDI8PoDIN+d/8d/3qBP9W8OUZmUDP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sCEPxwAAANwAAAAPAAAAAAAA&#10;AAAAAAAAAKECAABkcnMvZG93bnJldi54bWxQSwUGAAAAAAQABAD5AAAAlQMAAAAA&#10;" strokecolor="#548dd4 [1951]"/>
                                                    <v:line id="Straight Connector 141" o:spid="_x0000_s1152" style="position:absolute;visibility:visible;mso-wrap-style:square" from="7780,3175" to="7780,1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19GsIAAADcAAAADwAAAGRycy9kb3ducmV2LnhtbERPzWrCQBC+C77DMoVepG6swZboKlYo&#10;FQ+CsQ8wZMdsaHY2Zrcxvr0rCN7m4/udxaq3teio9ZVjBZNxAoK4cLriUsHv8fvtE4QPyBprx6Tg&#10;Sh5Wy+FggZl2Fz5Ql4dSxBD2GSowITSZlL4wZNGPXUMcuZNrLYYI21LqFi8x3NbyPUlm0mLFscFg&#10;QxtDxV/+bxWMjum1/tkZvzl/TWndpduPvXNKvb706zmIQH14ih/urY7z0wncn4kXy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19GsIAAADcAAAADwAAAAAAAAAAAAAA&#10;AAChAgAAZHJzL2Rvd25yZXYueG1sUEsFBgAAAAAEAAQA+QAAAJADAAAAAA==&#10;" strokecolor="#548dd4 [1951]"/>
                                                    <v:shape id="Straight Arrow Connector 143" o:spid="_x0000_s1153" type="#_x0000_t32" style="position:absolute;left:16634;top:12699;width:128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14cMAAADcAAAADwAAAGRycy9kb3ducmV2LnhtbERP3WrCMBS+H/gO4QjezdQ5ilajuMFA&#10;xMGsPsChOTbV5qQ2We3efhEGuzsf3+9Zrntbi45aXzlWMBknIIgLpysuFZyOH88zED4ga6wdk4If&#10;8rBeDZ6WmGl35wN1eShFDGGfoQITQpNJ6QtDFv3YNcSRO7vWYoiwLaVu8R7DbS1fkiSVFiuODQYb&#10;ejdUXPNvq+Dztk2/LrNdt5vrxNz2l0NepG9KjYb9ZgEiUB/+xX/urY7zX6fweC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oNeHDAAAA3AAAAA8AAAAAAAAAAAAA&#10;AAAAoQIAAGRycy9kb3ducmV2LnhtbFBLBQYAAAAABAAEAPkAAACRAwAAAAA=&#10;" strokecolor="#548dd4 [1951]">
                                                      <v:stroke endarrow="block"/>
                                                    </v:shape>
                                                    <v:shape id="Straight Arrow Connector 144" o:spid="_x0000_s1154" type="#_x0000_t32" style="position:absolute;left:27112;top:32101;width:2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GtlcMAAADcAAAADwAAAGRycy9kb3ducmV2LnhtbERP3WrCMBS+H/gO4Qi7m6lDilZTmYOB&#10;iIPZ7QEOzbFp15zUJqvd25vBwLvz8f2ezXa0rRio97VjBfNZAoK4dLrmSsHX59vTEoQPyBpbx6Tg&#10;lzxs88nDBjPtrnyioQiViCHsM1RgQugyKX1pyKKfuY44cmfXWwwR9pXUPV5juG3lc5Kk0mLNscFg&#10;R6+Gyu/ixyp4v+zTj2Z5GA4rnZjLsTkVZbpT6nE6vqxBBBrDXfzv3us4f7GAv2fiB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BrZXDAAAA3AAAAA8AAAAAAAAAAAAA&#10;AAAAoQIAAGRycy9kb3ducmV2LnhtbFBLBQYAAAAABAAEAPkAAACRAwAAAAA=&#10;" strokecolor="#548dd4 [1951]">
                                                      <v:stroke endarrow="block"/>
                                                    </v:shape>
                                                    <v:shape id="Straight Arrow Connector 145" o:spid="_x0000_s1155" type="#_x0000_t32" style="position:absolute;left:18351;top:18541;width:17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0IDsMAAADcAAAADwAAAGRycy9kb3ducmV2LnhtbERP3WrCMBS+H/gO4QjezdThilajuMFA&#10;xMGsPsChOTbV5qQ2We3efhEGuzsf3+9Zrntbi45aXzlWMBknIIgLpysuFZyOH88zED4ga6wdk4If&#10;8rBeDZ6WmGl35wN1eShFDGGfoQITQpNJ6QtDFv3YNcSRO7vWYoiwLaVu8R7DbS1fkiSVFiuODQYb&#10;ejdUXPNvq+Dztk2/LrNdt5vrxNz2l0NepG9KjYb9ZgEiUB/+xX/urY7zp6/weC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NCA7DAAAA3AAAAA8AAAAAAAAAAAAA&#10;AAAAoQIAAGRycy9kb3ducmV2LnhtbFBLBQYAAAAABAAEAPkAAACRAwAAAAA=&#10;" strokecolor="#548dd4 [1951]">
                                                      <v:stroke endarrow="block"/>
                                                    </v:shape>
                                                    <v:shape id="Straight Arrow Connector 146" o:spid="_x0000_s1156" type="#_x0000_t32" style="position:absolute;left:18349;top:27427;width:20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ecIAAADcAAAADwAAAGRycy9kb3ducmV2LnhtbERP3WrCMBS+H/gO4Qi7m6ljFK1GUWEg&#10;4mBWH+DQHJtqc1KbrHZvbwYD787H93vmy97WoqPWV44VjEcJCOLC6YpLBafj59sEhA/IGmvHpOCX&#10;PCwXg5c5Ztrd+UBdHkoRQ9hnqMCE0GRS+sKQRT9yDXHkzq61GCJsS6lbvMdwW8v3JEmlxYpjg8GG&#10;NoaKa/5jFXzdtun3ZbLrdlOdmNv+csiLdK3U67BfzUAE6sNT/O/e6jj/I4W/Z+IF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WecIAAADcAAAADwAAAAAAAAAAAAAA&#10;AAChAgAAZHJzL2Rvd25yZXYueG1sUEsFBgAAAAAEAAQA+QAAAJADAAAAAA==&#10;" strokecolor="#548dd4 [1951]">
                                                      <v:stroke endarrow="block"/>
                                                    </v:shape>
                                                    <v:shape id="Straight Arrow Connector 147" o:spid="_x0000_s1157" type="#_x0000_t32" style="position:absolute;left:18349;top:22412;width:18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z4sMAAADcAAAADwAAAGRycy9kb3ducmV2LnhtbERP3WrCMBS+H/gO4Qi7m6kyqqtG0cFA&#10;ZAPtfIBDc9bUNSe1ibW+/TIQvDsf3+9ZrHpbi45aXzlWMB4lIIgLpysuFRy/P15mIHxA1lg7JgU3&#10;8rBaDp4WmGl35QN1eShFDGGfoQITQpNJ6QtDFv3INcSR+3GtxRBhW0rd4jWG21pOkiSVFiuODQYb&#10;ejdU/OYXq+DrvE33p9mu273pxJw/T4e8SDdKPQ/79RxEoD48xHf3Vsf5r1P4fyZe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TM+LDAAAA3AAAAA8AAAAAAAAAAAAA&#10;AAAAoQIAAGRycy9kb3ducmV2LnhtbFBLBQYAAAAABAAEAPkAAACRAwAAAAA=&#10;" strokecolor="#548dd4 [1951]">
                                                      <v:stroke endarrow="block"/>
                                                    </v:shape>
                                                    <v:shape id="Straight Arrow Connector 148" o:spid="_x0000_s1158" type="#_x0000_t32" style="position:absolute;left:18224;top:31242;width:215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ynkMUAAADcAAAADwAAAGRycy9kb3ducmV2LnhtbESP0UrDQBBF3wX/YRnBN7tRJNTYTVFB&#10;KEWhiX7AkB2zidnZNLum8e+dB6FvM9w7957ZbBc/qJmm2AU2cLvKQBE3wXbcGvj8eL1Zg4oJ2eIQ&#10;mAz8UoRteXmxwcKGE1c016lVEsKxQAMupbHQOjaOPMZVGIlF+wqTxyTr1Go74UnC/aDvsizXHjuW&#10;BocjvThqvusfb+D9uMsP/Xo/7x9s5o5vfVU3+bMx11fL0yOoREs6m/+vd1bw74VWnpEJdP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ynkMUAAADcAAAADwAAAAAAAAAA&#10;AAAAAAChAgAAZHJzL2Rvd25yZXYueG1sUEsFBgAAAAAEAAQA+QAAAJMDAAAAAA==&#10;" strokecolor="#548dd4 [1951]">
                                                      <v:stroke endarrow="block"/>
                                                    </v:shape>
                                                    <v:line id="Straight Connector 149" o:spid="_x0000_s1159" style="position:absolute;flip:x;visibility:visible;mso-wrap-style:square" from="16698,24768" to="18412,2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IksUAAADcAAAADwAAAGRycy9kb3ducmV2LnhtbERPTWsCMRC9F/wPYYTeaqJYqVujlIpQ&#10;aC9qqfY2bKabrZvJ7ibV1V/fCIXe5vE+Z7boXCWO1IbSs4bhQIEgzr0pudDwvl3dPYAIEdlg5Zk0&#10;nCnAYt67mWFm/InXdNzEQqQQDhlqsDHWmZQht+QwDHxNnLgv3zqMCbaFNC2eUrir5EipiXRYcmqw&#10;WNOzpfyw+XEaLtvmNe4/ldpNm/virTl/fyi71Pq23z09gojUxX/xn/vFpPnjKVyfSRfI+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qIksUAAADcAAAADwAAAAAAAAAA&#10;AAAAAAChAgAAZHJzL2Rvd25yZXYueG1sUEsFBgAAAAAEAAQA+QAAAJMDAAAAAA==&#10;" strokecolor="#548dd4 [1951]"/>
                                                    <v:line id="Straight Connector 150" o:spid="_x0000_s1160" style="position:absolute;visibility:visible;mso-wrap-style:square" from="18351,18542" to="18351,3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hOXMYAAADcAAAADwAAAGRycy9kb3ducmV2LnhtbESPQWvCQBCF74L/YRmhl1I3ttpKdBUr&#10;lEoPBbU/YMiO2WB2Nma3Mf77zqHgbYb35r1vluve16qjNlaBDUzGGSjiItiKSwM/x4+nOaiYkC3W&#10;gcnAjSKsV8PBEnMbrryn7pBKJSEcczTgUmpyrWPhyGMch4ZYtFNoPSZZ21LbFq8S7mv9nGWv2mPF&#10;0uCwoa2j4nz49QYej9Nb/fnl4vby/kKbbrp7+w7BmIdRv1mAStSnu/n/emcFfyb48ox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4TlzGAAAA3AAAAA8AAAAAAAAA&#10;AAAAAAAAoQIAAGRycy9kb3ducmV2LnhtbFBLBQYAAAAABAAEAPkAAACUAwAAAAA=&#10;" strokecolor="#548dd4 [1951]"/>
                                                    <v:shape id="Straight Arrow Connector 151" o:spid="_x0000_s1161" type="#_x0000_t32" style="position:absolute;left:27048;top:27705;width:2413;height: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eYcsUAAADcAAAADwAAAGRycy9kb3ducmV2LnhtbESPQW/CMAyF75P4D5GRdhspGwzUNUVs&#10;0jSOUKC7Wo3XdjRO1WRQ+PUECWk3W9/ze8/JojeNOFLnassKxqMIBHFhdc2lgt3282kOwnlkjY1l&#10;UnAmB4t08JBgrO2JN3TMfCmCCbsYFVTet7GUrqjIoBvZljiwH9sZ9GHtSqk7PAVz08jnKHqVBmsO&#10;CRW29FFRccj+jIL9bwDZjuwlzyfTfP31/V7OXpR6HPbLNxCeev8vvl+vdKg/HcPtmTCBT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eYcsUAAADcAAAADwAAAAAAAAAA&#10;AAAAAAChAgAAZHJzL2Rvd25yZXYueG1sUEsFBgAAAAAEAAQA+QAAAJMDAAAAAA==&#10;" strokecolor="#548dd4 [1951]">
                                                      <v:stroke endarrow="block"/>
                                                    </v:shape>
                                                    <v:shape id="Straight Arrow Connector 153" o:spid="_x0000_s1162" type="#_x0000_t32" style="position:absolute;left:27177;top:18351;width:2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GjPMMAAADcAAAADwAAAGRycy9kb3ducmV2LnhtbERP3WrCMBS+H/gO4QjezdTJilajuMFA&#10;xMGsPsChOTbV5qQ2We3efhEGuzsf3+9Zrntbi45aXzlWMBknIIgLpysuFZyOH88zED4ga6wdk4If&#10;8rBeDZ6WmGl35wN1eShFDGGfoQITQpNJ6QtDFv3YNcSRO7vWYoiwLaVu8R7DbS1fkiSVFiuODQYb&#10;ejdUXPNvq+Dztk2/LrNdt5vrxNz2l0NepG9KjYb9ZgEiUB/+xX/urY7zX6fweCZe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xozzDAAAA3AAAAA8AAAAAAAAAAAAA&#10;AAAAoQIAAGRycy9kb3ducmV2LnhtbFBLBQYAAAAABAAEAPkAAACRAwAAAAA=&#10;" strokecolor="#548dd4 [1951]">
                                                      <v:stroke endarrow="block"/>
                                                    </v:shape>
                                                    <v:shape id="Straight Arrow Connector 158" o:spid="_x0000_s1163" type="#_x0000_t32" style="position:absolute;left:17525;top:35941;width:209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UxTcUAAADcAAAADwAAAGRycy9kb3ducmV2LnhtbESP0UrDQBBF3wX/YRnBN7tRMNTYTVFB&#10;KEWhiX7AkB2zidnZNLum8e+dB6FvM9w7957ZbBc/qJmm2AU2cLvKQBE3wXbcGvj8eL1Zg4oJ2eIQ&#10;mAz8UoRteXmxwcKGE1c016lVEsKxQAMupbHQOjaOPMZVGIlF+wqTxyTr1Go74UnC/aDvsizXHjuW&#10;BocjvThqvusfb+D9uMsP/Xo/7x9s5o5vfVU3+bMx11fL0yOoREs6m/+vd1bw74VWnpEJdP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UxTcUAAADcAAAADwAAAAAAAAAA&#10;AAAAAAChAgAAZHJzL2Rvd25yZXYueG1sUEsFBgAAAAAEAAQA+QAAAJMDAAAAAA==&#10;" strokecolor="#548dd4 [1951]">
                                                      <v:stroke endarrow="block"/>
                                                    </v:shape>
                                                    <v:line id="Straight Connector 160" o:spid="_x0000_s1164" style="position:absolute;flip:x y;visibility:visible;mso-wrap-style:square" from="15873,38922" to="17524,38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gicUAAADcAAAADwAAAGRycy9kb3ducmV2LnhtbESPQW/CMAyF75P4D5GRdplGyg5oKgRU&#10;kBDTThvwA0zjtYXEKU2Awq+fD5N2s/We3/s8W/TeqSt1sQlsYDzKQBGXwTZcGdjv1q/voGJCtugC&#10;k4E7RVjMB08zzG248Tddt6lSEsIxRwN1Sm2udSxr8hhHoSUW7Sd0HpOsXaVthzcJ906/ZdlEe2xY&#10;GmpsaVVTedpevIHHOfuy7vO4WbrCjpeHx8u9OJIxz8O+mIJK1Kd/89/1hxX8ieDLMzKBn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6gicUAAADcAAAADwAAAAAAAAAA&#10;AAAAAAChAgAAZHJzL2Rvd25yZXYueG1sUEsFBgAAAAAEAAQA+QAAAJMDAAAAAA==&#10;" strokecolor="#548dd4 [1951]"/>
                                                    <v:line id="Straight Connector 161" o:spid="_x0000_s1165" style="position:absolute;visibility:visible;mso-wrap-style:square" from="17589,35928" to="17589,4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ghesMAAADcAAAADwAAAGRycy9kb3ducmV2LnhtbERP22rCQBB9L/gPywh9Kc3GVqykrmIF&#10;UfpQqPEDhuw0G8zOxuw2l7/vCkLf5nCus9oMthYdtb5yrGCWpCCIC6crLhWc8/3zEoQPyBprx6Rg&#10;JA+b9eRhhZl2PX9TdwqliCHsM1RgQmgyKX1hyKJPXEMcuR/XWgwRtqXULfYx3NbyJU0X0mLFscFg&#10;QztDxeX0axU85fOxPnwav7t+vNK2mx/fvpxT6nE6bN9BBBrCv/juPuo4fzGD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YIXrDAAAA3AAAAA8AAAAAAAAAAAAA&#10;AAAAoQIAAGRycy9kb3ducmV2LnhtbFBLBQYAAAAABAAEAPkAAACRAwAAAAA=&#10;" strokecolor="#548dd4 [1951]"/>
                                                    <v:shape id="Straight Arrow Connector 162" o:spid="_x0000_s1166" type="#_x0000_t32" style="position:absolute;left:27112;top:37102;width:23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HMGsMAAADcAAAADwAAAGRycy9kb3ducmV2LnhtbERPzWrCQBC+C77DMkJvujGHoKmrqFAQ&#10;aaHGPsCQnWZjs7NJdhvTt+8WCt7m4/udzW60jRio97VjBctFAoK4dLrmSsHH9WW+AuEDssbGMSn4&#10;IQ+77XSywVy7O19oKEIlYgj7HBWYENpcSl8asugXriWO3KfrLYYI+0rqHu8x3DYyTZJMWqw5Nhhs&#10;6Wio/Cq+rYK37pS931bn4bzWieleb5eizA5KPc3G/TOIQGN4iP/dJx3nZyn8PRMv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RzBrDAAAA3AAAAA8AAAAAAAAAAAAA&#10;AAAAoQIAAGRycy9kb3ducmV2LnhtbFBLBQYAAAAABAAEAPkAAACRAwAAAAA=&#10;" strokecolor="#548dd4 [1951]">
                                                      <v:stroke endarrow="block"/>
                                                    </v:shape>
                                                  </v:group>
                                                </v:group>
                                              </v:group>
                                              <v:shape id="Text Box 164" o:spid="_x0000_s1167" type="#_x0000_t202" style="position:absolute;left:29468;top:39622;width:9135;height:40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CoMUA&#10;AADcAAAADwAAAGRycy9kb3ducmV2LnhtbERPS2vCQBC+F/wPywi9NRtblZK6im0R7EHxhdTbmB2T&#10;2OxszG41/feuIPQ2H99zBqPGlOJMtSssK+hEMQji1OqCMwWb9eTpFYTzyBpLy6TgjxyMhq2HASba&#10;XnhJ55XPRAhhl6CC3PsqkdKlORl0ka2IA3ewtUEfYJ1JXeMlhJtSPsdxXxosODTkWNFHTunP6tco&#10;cMfNO592232Pu7PP5utkF/OXb6Ue2834DYSnxv+L7+6pDvP7Xbg9Ey6Qw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gKgxQAAANwAAAAPAAAAAAAAAAAAAAAAAJgCAABkcnMv&#10;ZG93bnJldi54bWxQSwUGAAAAAAQABAD1AAAAigMAAAAA&#10;" filled="f" strokecolor="#548dd4 [1951]">
                                                <v:textbox>
                                                  <w:txbxContent>
                                                    <w:p w:rsidR="001B5FF8" w:rsidRDefault="001B5FF8" w:rsidP="008725DF">
                                                      <w:pPr>
                                                        <w:pStyle w:val="NormalWeb"/>
                                                        <w:spacing w:before="0" w:beforeAutospacing="0" w:after="0" w:afterAutospacing="0"/>
                                                        <w:jc w:val="center"/>
                                                      </w:pPr>
                                                      <w:r>
                                                        <w:rPr>
                                                          <w:rFonts w:asciiTheme="minorHAnsi" w:hAnsi="Calibri"/>
                                                          <w:caps/>
                                                          <w:color w:val="000000" w:themeColor="text1"/>
                                                          <w:sz w:val="16"/>
                                                          <w:szCs w:val="16"/>
                                                        </w:rPr>
                                                        <w:t>VOLUME FORECAST ERROR</w:t>
                                                      </w:r>
                                                    </w:p>
                                                  </w:txbxContent>
                                                </v:textbox>
                                              </v:shape>
                                            </v:group>
                                          </v:group>
                                        </v:group>
                                      </v:group>
                                    </v:group>
                                  </v:group>
                                </v:group>
                              </v:group>
                            </v:group>
                          </v:group>
                        </v:group>
                      </v:group>
                    </v:group>
                  </v:group>
                </v:group>
              </v:group>
            </w:pict>
          </mc:Fallback>
        </mc:AlternateContent>
      </w:r>
    </w:p>
    <w:p w:rsidR="008725DF" w:rsidRDefault="008725DF" w:rsidP="007D0321">
      <w:pPr>
        <w:pStyle w:val="BodyText"/>
      </w:pPr>
    </w:p>
    <w:p w:rsidR="008725DF" w:rsidRDefault="008725DF">
      <w:pPr>
        <w:pStyle w:val="BodyText"/>
      </w:pPr>
    </w:p>
    <w:p w:rsidR="008725DF" w:rsidRDefault="008725DF">
      <w:pPr>
        <w:pStyle w:val="BodyText"/>
      </w:pPr>
    </w:p>
    <w:p w:rsidR="008725DF" w:rsidRDefault="009B364B">
      <w:pPr>
        <w:pStyle w:val="BodyText"/>
      </w:pPr>
      <w:r>
        <mc:AlternateContent>
          <mc:Choice Requires="wps">
            <w:drawing>
              <wp:anchor distT="0" distB="0" distL="114300" distR="114300" simplePos="0" relativeHeight="251786240" behindDoc="0" locked="0" layoutInCell="1" allowOverlap="1" wp14:anchorId="5BBEBF32" wp14:editId="1A70CA71">
                <wp:simplePos x="0" y="0"/>
                <wp:positionH relativeFrom="column">
                  <wp:posOffset>1606550</wp:posOffset>
                </wp:positionH>
                <wp:positionV relativeFrom="paragraph">
                  <wp:posOffset>96520</wp:posOffset>
                </wp:positionV>
                <wp:extent cx="243205" cy="0"/>
                <wp:effectExtent l="0" t="76200" r="23495" b="95250"/>
                <wp:wrapNone/>
                <wp:docPr id="29" name="Straight Arrow Connector 29"/>
                <wp:cNvGraphicFramePr/>
                <a:graphic xmlns:a="http://schemas.openxmlformats.org/drawingml/2006/main">
                  <a:graphicData uri="http://schemas.microsoft.com/office/word/2010/wordprocessingShape">
                    <wps:wsp>
                      <wps:cNvCnPr/>
                      <wps:spPr>
                        <a:xfrm>
                          <a:off x="0" y="0"/>
                          <a:ext cx="243205"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9" o:spid="_x0000_s1026" type="#_x0000_t32" style="position:absolute;margin-left:126.5pt;margin-top:7.6pt;width:19.15pt;height:0;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" strokecolor="#548dd4 [1951]">
                <v:stroke endarrow="block"/>
              </v:shape>
            </w:pict>
          </mc:Fallback>
        </mc:AlternateContent>
      </w:r>
    </w:p>
    <w:p w:rsidR="008725DF" w:rsidRDefault="008725DF">
      <w:pPr>
        <w:pStyle w:val="BodyText"/>
      </w:pPr>
    </w:p>
    <w:p w:rsidR="008725DF" w:rsidRDefault="008725DF">
      <w:pPr>
        <w:pStyle w:val="BodyText"/>
      </w:pPr>
    </w:p>
    <w:p w:rsidR="008725DF" w:rsidRDefault="00C72A54">
      <w:pPr>
        <w:pStyle w:val="BodyText"/>
      </w:pPr>
      <w:r>
        <mc:AlternateContent>
          <mc:Choice Requires="wps">
            <w:drawing>
              <wp:anchor distT="0" distB="0" distL="114300" distR="114300" simplePos="0" relativeHeight="251784192" behindDoc="0" locked="0" layoutInCell="1" allowOverlap="1" wp14:anchorId="0BA95EFE" wp14:editId="18BC173A">
                <wp:simplePos x="0" y="0"/>
                <wp:positionH relativeFrom="column">
                  <wp:posOffset>4246245</wp:posOffset>
                </wp:positionH>
                <wp:positionV relativeFrom="paragraph">
                  <wp:posOffset>162560</wp:posOffset>
                </wp:positionV>
                <wp:extent cx="330200" cy="635"/>
                <wp:effectExtent l="0" t="76200" r="12700" b="94615"/>
                <wp:wrapNone/>
                <wp:docPr id="27" name="Straight Arrow Connector 27"/>
                <wp:cNvGraphicFramePr/>
                <a:graphic xmlns:a="http://schemas.openxmlformats.org/drawingml/2006/main">
                  <a:graphicData uri="http://schemas.microsoft.com/office/word/2010/wordprocessingShape">
                    <wps:wsp>
                      <wps:cNvCnPr/>
                      <wps:spPr>
                        <a:xfrm flipV="1">
                          <a:off x="0" y="0"/>
                          <a:ext cx="330200" cy="635"/>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7" o:spid="_x0000_s1026" type="#_x0000_t32" style="position:absolute;margin-left:334.35pt;margin-top:12.8pt;width:26pt;height:.05pt;flip:y;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" strokecolor="#548dd4 [1951]">
                <v:stroke endarrow="block"/>
              </v:shape>
            </w:pict>
          </mc:Fallback>
        </mc:AlternateContent>
      </w:r>
    </w:p>
    <w:p w:rsidR="008725DF" w:rsidRDefault="008725DF">
      <w:pPr>
        <w:pStyle w:val="BodyText"/>
      </w:pPr>
    </w:p>
    <w:p w:rsidR="008725DF" w:rsidRDefault="008725DF">
      <w:pPr>
        <w:pStyle w:val="BodyText"/>
      </w:pPr>
    </w:p>
    <w:p w:rsidR="008725DF" w:rsidRDefault="008725DF">
      <w:pPr>
        <w:pStyle w:val="BodyText"/>
      </w:pPr>
    </w:p>
    <w:p w:rsidR="008725DF" w:rsidRDefault="008725DF">
      <w:pPr>
        <w:pStyle w:val="BodyText"/>
      </w:pPr>
    </w:p>
    <w:p w:rsidR="008725DF" w:rsidRDefault="008725DF">
      <w:pPr>
        <w:pStyle w:val="BodyText"/>
      </w:pPr>
    </w:p>
    <w:p w:rsidR="008725DF" w:rsidRDefault="00A351FD">
      <w:pPr>
        <w:pStyle w:val="BodyText"/>
      </w:pPr>
      <w:r>
        <mc:AlternateContent>
          <mc:Choice Requires="wps">
            <w:drawing>
              <wp:anchor distT="0" distB="0" distL="114300" distR="114300" simplePos="0" relativeHeight="251800576" behindDoc="0" locked="0" layoutInCell="1" allowOverlap="1" wp14:anchorId="2E1CA40C" wp14:editId="1ECA938A">
                <wp:simplePos x="0" y="0"/>
                <wp:positionH relativeFrom="column">
                  <wp:posOffset>2948305</wp:posOffset>
                </wp:positionH>
                <wp:positionV relativeFrom="paragraph">
                  <wp:posOffset>71763</wp:posOffset>
                </wp:positionV>
                <wp:extent cx="286385" cy="0"/>
                <wp:effectExtent l="0" t="76200" r="18415" b="95250"/>
                <wp:wrapNone/>
                <wp:docPr id="4648" name="Straight Arrow Connector 4648"/>
                <wp:cNvGraphicFramePr/>
                <a:graphic xmlns:a="http://schemas.openxmlformats.org/drawingml/2006/main">
                  <a:graphicData uri="http://schemas.microsoft.com/office/word/2010/wordprocessingShape">
                    <wps:wsp>
                      <wps:cNvCnPr/>
                      <wps:spPr>
                        <a:xfrm>
                          <a:off x="0" y="0"/>
                          <a:ext cx="286385"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48" o:spid="_x0000_s1026" type="#_x0000_t32" style="position:absolute;margin-left:232.15pt;margin-top:5.65pt;width:22.55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" strokecolor="#548dd4 [1951]">
                <v:stroke endarrow="block"/>
              </v:shape>
            </w:pict>
          </mc:Fallback>
        </mc:AlternateContent>
      </w:r>
      <w:r>
        <mc:AlternateContent>
          <mc:Choice Requires="wps">
            <w:drawing>
              <wp:anchor distT="0" distB="0" distL="114300" distR="114300" simplePos="0" relativeHeight="251798528" behindDoc="0" locked="0" layoutInCell="1" allowOverlap="1" wp14:anchorId="019C2D2B" wp14:editId="237779B0">
                <wp:simplePos x="0" y="0"/>
                <wp:positionH relativeFrom="column">
                  <wp:posOffset>4243070</wp:posOffset>
                </wp:positionH>
                <wp:positionV relativeFrom="paragraph">
                  <wp:posOffset>73660</wp:posOffset>
                </wp:positionV>
                <wp:extent cx="321310" cy="0"/>
                <wp:effectExtent l="0" t="76200" r="21590" b="95250"/>
                <wp:wrapNone/>
                <wp:docPr id="4647" name="Straight Arrow Connector 4647"/>
                <wp:cNvGraphicFramePr/>
                <a:graphic xmlns:a="http://schemas.openxmlformats.org/drawingml/2006/main">
                  <a:graphicData uri="http://schemas.microsoft.com/office/word/2010/wordprocessingShape">
                    <wps:wsp>
                      <wps:cNvCnPr/>
                      <wps:spPr>
                        <a:xfrm>
                          <a:off x="0" y="0"/>
                          <a:ext cx="321310" cy="0"/>
                        </a:xfrm>
                        <a:prstGeom prst="straightConnector1">
                          <a:avLst/>
                        </a:prstGeom>
                        <a:ln w="9525">
                          <a:solidFill>
                            <a:schemeClr val="tx2">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647" o:spid="_x0000_s1026" type="#_x0000_t32" style="position:absolute;margin-left:334.1pt;margin-top:5.8pt;width:25.3pt;height:0;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" strokecolor="#548dd4 [1951]">
                <v:stroke endarrow="block"/>
              </v:shape>
            </w:pict>
          </mc:Fallback>
        </mc:AlternateContent>
      </w:r>
    </w:p>
    <w:p w:rsidR="008725DF" w:rsidRDefault="008725DF">
      <w:pPr>
        <w:pStyle w:val="BodyText"/>
      </w:pPr>
    </w:p>
    <w:p w:rsidR="00FB1BC8" w:rsidRPr="00722C30" w:rsidRDefault="007346D3">
      <w:pPr>
        <w:pStyle w:val="BodyText"/>
        <w:rPr>
          <w:rStyle w:val="AERbody"/>
        </w:rPr>
      </w:pPr>
      <w:r w:rsidRPr="00722C30">
        <w:rPr>
          <w:rStyle w:val="AERbody"/>
        </w:rPr>
        <w:t>The allocation of residual DUOS costs to tariffs by reference to a weighted average volume forecast is an important element of Ausgrid’s TSS</w:t>
      </w:r>
      <w:r w:rsidR="00AD041A" w:rsidRPr="00722C30">
        <w:rPr>
          <w:rStyle w:val="AERbody"/>
        </w:rPr>
        <w:t xml:space="preserve"> that</w:t>
      </w:r>
      <w:r w:rsidRPr="00722C30">
        <w:rPr>
          <w:rStyle w:val="AERbody"/>
        </w:rPr>
        <w:t xml:space="preserve"> plays a significant role in the promotion of price stability. This approach and the benefits of its application are explained in detail in </w:t>
      </w:r>
      <w:r w:rsidR="005E314D" w:rsidRPr="00722C30">
        <w:rPr>
          <w:rStyle w:val="AERbody"/>
        </w:rPr>
        <w:t>Appendix A</w:t>
      </w:r>
      <w:r w:rsidRPr="00722C30">
        <w:rPr>
          <w:rStyle w:val="AERbody"/>
        </w:rPr>
        <w:t>.</w:t>
      </w:r>
    </w:p>
    <w:p w:rsidR="00AD041A" w:rsidRPr="00722C30" w:rsidRDefault="00AD041A">
      <w:pPr>
        <w:pStyle w:val="BodyText"/>
        <w:rPr>
          <w:rStyle w:val="AERbody"/>
        </w:rPr>
      </w:pPr>
      <w:r w:rsidRPr="00722C30">
        <w:rPr>
          <w:rStyle w:val="AERbody"/>
        </w:rPr>
        <w:t xml:space="preserve">An indicative allocation of residual costs to each tariff for the remainder of the current regulatory control period is presented in </w:t>
      </w:r>
      <w:r w:rsidR="005E314D" w:rsidRPr="00722C30">
        <w:rPr>
          <w:rStyle w:val="AERbody"/>
        </w:rPr>
        <w:t>Appendix A</w:t>
      </w:r>
      <w:r w:rsidRPr="00722C30">
        <w:rPr>
          <w:rStyle w:val="AERbody"/>
        </w:rPr>
        <w:t>.</w:t>
      </w:r>
    </w:p>
    <w:p w:rsidR="0085717B" w:rsidRDefault="000A3022">
      <w:pPr>
        <w:pStyle w:val="Heading2"/>
      </w:pPr>
      <w:bookmarkStart w:id="470" w:name="_Toc475527434"/>
      <w:r>
        <w:t xml:space="preserve">Allocating residual costs to </w:t>
      </w:r>
      <w:r w:rsidR="009C6462">
        <w:t>charging parameters</w:t>
      </w:r>
      <w:bookmarkEnd w:id="470"/>
    </w:p>
    <w:p w:rsidR="007C45F3" w:rsidRPr="00722C30" w:rsidRDefault="007C45F3" w:rsidP="00BD7A0B">
      <w:pPr>
        <w:pStyle w:val="BodyText"/>
        <w:rPr>
          <w:rStyle w:val="AERbody"/>
        </w:rPr>
      </w:pPr>
      <w:r w:rsidRPr="00722C30">
        <w:rPr>
          <w:rStyle w:val="AERbody"/>
        </w:rPr>
        <w:t xml:space="preserve">The promotion of the long-term interests of our customers necessitates that our approach to the recovery of residual costs strikes an appropriate balance between the objectives of economic efficiency, fairness and gradualism. The need to achieve a balanced outcome is highlighted by the design of our theoretically ‘efficient’ reference tariff. While this tariff is economically efficient in the sense that the recovery of residual costs </w:t>
      </w:r>
      <w:r w:rsidR="00775B9E" w:rsidRPr="00722C30">
        <w:rPr>
          <w:rStyle w:val="AERbody"/>
        </w:rPr>
        <w:t xml:space="preserve">minimises any distortion to the </w:t>
      </w:r>
      <w:r w:rsidRPr="00722C30">
        <w:rPr>
          <w:rStyle w:val="AERbody"/>
        </w:rPr>
        <w:t>LRMC</w:t>
      </w:r>
      <w:r w:rsidR="00775B9E" w:rsidRPr="00722C30">
        <w:rPr>
          <w:rStyle w:val="AERbody"/>
        </w:rPr>
        <w:t>-based</w:t>
      </w:r>
      <w:r w:rsidRPr="00722C30">
        <w:rPr>
          <w:rStyle w:val="AERbody"/>
        </w:rPr>
        <w:t xml:space="preserve"> peak price signal, the resulting high fixed charge is problematic from a fairness and gradualism perspective. </w:t>
      </w:r>
    </w:p>
    <w:p w:rsidR="000A61D7" w:rsidRPr="00722C30" w:rsidRDefault="007C45F3" w:rsidP="007D0321">
      <w:pPr>
        <w:pStyle w:val="BodyText"/>
        <w:rPr>
          <w:rStyle w:val="AERbody"/>
        </w:rPr>
      </w:pPr>
      <w:r w:rsidRPr="00722C30">
        <w:rPr>
          <w:rStyle w:val="AERbody"/>
        </w:rPr>
        <w:t>It is for this reason that Ausgrid’s methodology aims to recover residual costs in a manner that minimises economic distortions</w:t>
      </w:r>
      <w:r w:rsidR="000A61D7" w:rsidRPr="00722C30">
        <w:rPr>
          <w:rStyle w:val="AERbody"/>
        </w:rPr>
        <w:t>,</w:t>
      </w:r>
      <w:r w:rsidRPr="00722C30">
        <w:rPr>
          <w:rStyle w:val="AERbody"/>
        </w:rPr>
        <w:t xml:space="preserve"> without relying predominantly on unacceptably high fixed charges to recover these costs. </w:t>
      </w:r>
      <w:r w:rsidR="000A61D7" w:rsidRPr="00722C30">
        <w:rPr>
          <w:rStyle w:val="AERbody"/>
        </w:rPr>
        <w:t>Ausgrid proposes to achieve this by means of a rebalancing constraint – discussed in section</w:t>
      </w:r>
      <w:r w:rsidR="009E5AFB" w:rsidRPr="00722C30">
        <w:rPr>
          <w:rStyle w:val="AERbody"/>
        </w:rPr>
        <w:t xml:space="preserve"> </w:t>
      </w:r>
      <w:r w:rsidR="009E5AFB" w:rsidRPr="00722C30">
        <w:rPr>
          <w:rStyle w:val="AERbody"/>
        </w:rPr>
        <w:fldChar w:fldCharType="begin"/>
      </w:r>
      <w:r w:rsidR="009E5AFB" w:rsidRPr="00722C30">
        <w:rPr>
          <w:rStyle w:val="AERbody"/>
        </w:rPr>
        <w:instrText xml:space="preserve"> REF _Ref462042836 \r \h </w:instrText>
      </w:r>
      <w:r w:rsidR="009E5AFB" w:rsidRPr="00722C30">
        <w:rPr>
          <w:rStyle w:val="AERbody"/>
        </w:rPr>
      </w:r>
      <w:r w:rsidR="009E5AFB" w:rsidRPr="00722C30">
        <w:rPr>
          <w:rStyle w:val="AERbody"/>
        </w:rPr>
        <w:fldChar w:fldCharType="separate"/>
      </w:r>
      <w:r w:rsidR="00BE0834">
        <w:rPr>
          <w:rStyle w:val="AERbody"/>
        </w:rPr>
        <w:t>8.3.2</w:t>
      </w:r>
      <w:r w:rsidR="009E5AFB" w:rsidRPr="00722C30">
        <w:rPr>
          <w:rStyle w:val="AERbody"/>
        </w:rPr>
        <w:fldChar w:fldCharType="end"/>
      </w:r>
      <w:r w:rsidR="009E5AFB" w:rsidRPr="00722C30">
        <w:rPr>
          <w:rStyle w:val="AERbody"/>
        </w:rPr>
        <w:t xml:space="preserve"> </w:t>
      </w:r>
      <w:r w:rsidR="000A61D7" w:rsidRPr="00722C30">
        <w:rPr>
          <w:rStyle w:val="AERbody"/>
        </w:rPr>
        <w:t xml:space="preserve">– and by allocating residual costs to charging parameters on the basis of </w:t>
      </w:r>
      <w:r w:rsidRPr="00722C30">
        <w:rPr>
          <w:rStyle w:val="AERbody"/>
        </w:rPr>
        <w:t>relative forecast volume growth</w:t>
      </w:r>
      <w:r w:rsidR="000A61D7" w:rsidRPr="00722C30">
        <w:rPr>
          <w:rStyle w:val="AERbody"/>
        </w:rPr>
        <w:t>/</w:t>
      </w:r>
      <w:r w:rsidRPr="00722C30">
        <w:rPr>
          <w:rStyle w:val="AERbody"/>
        </w:rPr>
        <w:t xml:space="preserve">risk. Ausgrid </w:t>
      </w:r>
      <w:r w:rsidR="000A61D7" w:rsidRPr="00722C30">
        <w:rPr>
          <w:rStyle w:val="AERbody"/>
        </w:rPr>
        <w:t>considers</w:t>
      </w:r>
      <w:r w:rsidRPr="00722C30">
        <w:rPr>
          <w:rStyle w:val="AERbody"/>
        </w:rPr>
        <w:t xml:space="preserve"> </w:t>
      </w:r>
      <w:r w:rsidR="000A61D7" w:rsidRPr="00722C30">
        <w:rPr>
          <w:rStyle w:val="AERbody"/>
        </w:rPr>
        <w:t xml:space="preserve">relative </w:t>
      </w:r>
      <w:r w:rsidR="000A61D7" w:rsidRPr="00722C30">
        <w:rPr>
          <w:rStyle w:val="AERbody"/>
        </w:rPr>
        <w:lastRenderedPageBreak/>
        <w:t>volume growth/</w:t>
      </w:r>
      <w:r w:rsidRPr="00722C30">
        <w:rPr>
          <w:rStyle w:val="AERbody"/>
        </w:rPr>
        <w:t xml:space="preserve">risk at the </w:t>
      </w:r>
      <w:r w:rsidR="000A61D7" w:rsidRPr="00722C30">
        <w:rPr>
          <w:rStyle w:val="AERbody"/>
        </w:rPr>
        <w:t>charging parameter level to be a</w:t>
      </w:r>
      <w:r w:rsidRPr="00722C30">
        <w:rPr>
          <w:rStyle w:val="AERbody"/>
        </w:rPr>
        <w:t xml:space="preserve"> reasonable prox</w:t>
      </w:r>
      <w:r w:rsidR="000A61D7" w:rsidRPr="00722C30">
        <w:rPr>
          <w:rStyle w:val="AERbody"/>
        </w:rPr>
        <w:t>y</w:t>
      </w:r>
      <w:r w:rsidRPr="00722C30">
        <w:rPr>
          <w:rStyle w:val="AERbody"/>
        </w:rPr>
        <w:t xml:space="preserve"> for the likely responsiveness of network usage to changes in the price levels. </w:t>
      </w:r>
    </w:p>
    <w:p w:rsidR="0085717B" w:rsidRPr="00722C30" w:rsidRDefault="000A61D7" w:rsidP="007D0321">
      <w:pPr>
        <w:pStyle w:val="BodyText"/>
        <w:rPr>
          <w:rStyle w:val="AERbody"/>
        </w:rPr>
      </w:pPr>
      <w:r w:rsidRPr="00722C30">
        <w:rPr>
          <w:rStyle w:val="AERbody"/>
        </w:rPr>
        <w:t>Specifically, Ausgrid allocate</w:t>
      </w:r>
      <w:r w:rsidR="000D5A0D" w:rsidRPr="00722C30">
        <w:rPr>
          <w:rStyle w:val="AERbody"/>
        </w:rPr>
        <w:t>s</w:t>
      </w:r>
      <w:r w:rsidRPr="00722C30">
        <w:rPr>
          <w:rStyle w:val="AERbody"/>
        </w:rPr>
        <w:t xml:space="preserve"> relatively more residual costs to charging parameters that are forecast to have </w:t>
      </w:r>
      <w:r w:rsidR="007C45F3" w:rsidRPr="00722C30">
        <w:rPr>
          <w:rStyle w:val="AERbody"/>
        </w:rPr>
        <w:t>strong volume growth and/or stable volume</w:t>
      </w:r>
      <w:r w:rsidRPr="00722C30">
        <w:rPr>
          <w:rStyle w:val="AERbody"/>
        </w:rPr>
        <w:t>s.</w:t>
      </w:r>
      <w:r w:rsidR="007C45F3" w:rsidRPr="00722C30">
        <w:rPr>
          <w:rStyle w:val="AERbody"/>
        </w:rPr>
        <w:t xml:space="preserve"> </w:t>
      </w:r>
      <w:r w:rsidRPr="00722C30">
        <w:rPr>
          <w:rStyle w:val="AERbody"/>
        </w:rPr>
        <w:t>Conversely</w:t>
      </w:r>
      <w:r w:rsidR="007C45F3" w:rsidRPr="00722C30">
        <w:rPr>
          <w:rStyle w:val="AERbody"/>
        </w:rPr>
        <w:t xml:space="preserve">, </w:t>
      </w:r>
      <w:r w:rsidRPr="00722C30">
        <w:rPr>
          <w:rStyle w:val="AERbody"/>
        </w:rPr>
        <w:t xml:space="preserve">relatively less residual costs </w:t>
      </w:r>
      <w:r w:rsidR="000D5A0D" w:rsidRPr="00722C30">
        <w:rPr>
          <w:rStyle w:val="AERbody"/>
        </w:rPr>
        <w:t>are</w:t>
      </w:r>
      <w:r w:rsidRPr="00722C30">
        <w:rPr>
          <w:rStyle w:val="AERbody"/>
        </w:rPr>
        <w:t xml:space="preserve"> allocated to charging parameters that are expected to have</w:t>
      </w:r>
      <w:r w:rsidR="007C45F3" w:rsidRPr="00722C30">
        <w:rPr>
          <w:rStyle w:val="AERbody"/>
        </w:rPr>
        <w:t xml:space="preserve"> lower growth and/or less stable volumes</w:t>
      </w:r>
      <w:r w:rsidRPr="00722C30">
        <w:rPr>
          <w:rStyle w:val="AERbody"/>
        </w:rPr>
        <w:t>. This approach is designed to minimise distortions to</w:t>
      </w:r>
      <w:r w:rsidR="007C45F3" w:rsidRPr="00722C30">
        <w:rPr>
          <w:rStyle w:val="AERbody"/>
        </w:rPr>
        <w:t xml:space="preserve"> network use </w:t>
      </w:r>
      <w:r w:rsidRPr="00722C30">
        <w:rPr>
          <w:rStyle w:val="AERbody"/>
        </w:rPr>
        <w:t xml:space="preserve">and avoid unacceptable fixed charge increases, along with the corresponding adverse customer impacts. </w:t>
      </w:r>
    </w:p>
    <w:p w:rsidR="00775B9E" w:rsidRPr="00722C30" w:rsidRDefault="00775B9E">
      <w:pPr>
        <w:pStyle w:val="BodyText"/>
        <w:rPr>
          <w:rStyle w:val="AERbody"/>
        </w:rPr>
      </w:pPr>
      <w:r w:rsidRPr="00722C30">
        <w:rPr>
          <w:rStyle w:val="AERbody"/>
        </w:rPr>
        <w:t>An illustrative example of the allocation of residual costs across charging parameters for the residential TOU tariff is presented in section</w:t>
      </w:r>
      <w:r w:rsidR="00347193" w:rsidRPr="00722C30">
        <w:rPr>
          <w:rStyle w:val="AERbody"/>
        </w:rPr>
        <w:t xml:space="preserve"> </w:t>
      </w:r>
      <w:r w:rsidR="00347193" w:rsidRPr="00722C30">
        <w:rPr>
          <w:rStyle w:val="AERbody"/>
          <w:highlight w:val="yellow"/>
        </w:rPr>
        <w:fldChar w:fldCharType="begin"/>
      </w:r>
      <w:r w:rsidR="00347193" w:rsidRPr="00722C30">
        <w:rPr>
          <w:rStyle w:val="AERbody"/>
        </w:rPr>
        <w:instrText xml:space="preserve"> REF _Ref462042500 \r \h </w:instrText>
      </w:r>
      <w:r w:rsidR="00347193" w:rsidRPr="00722C30">
        <w:rPr>
          <w:rStyle w:val="AERbody"/>
          <w:highlight w:val="yellow"/>
        </w:rPr>
      </w:r>
      <w:r w:rsidR="00347193" w:rsidRPr="00722C30">
        <w:rPr>
          <w:rStyle w:val="AERbody"/>
          <w:highlight w:val="yellow"/>
        </w:rPr>
        <w:fldChar w:fldCharType="separate"/>
      </w:r>
      <w:r w:rsidR="00BE0834">
        <w:rPr>
          <w:rStyle w:val="AERbody"/>
        </w:rPr>
        <w:t>8.3.4</w:t>
      </w:r>
      <w:r w:rsidR="00347193" w:rsidRPr="00722C30">
        <w:rPr>
          <w:rStyle w:val="AERbody"/>
          <w:highlight w:val="yellow"/>
        </w:rPr>
        <w:fldChar w:fldCharType="end"/>
      </w:r>
      <w:r w:rsidRPr="00722C30">
        <w:rPr>
          <w:rStyle w:val="AERbody"/>
        </w:rPr>
        <w:t xml:space="preserve">.  </w:t>
      </w:r>
    </w:p>
    <w:tbl>
      <w:tblPr>
        <w:tblStyle w:val="TableGrid"/>
        <w:tblW w:w="0" w:type="auto"/>
        <w:tblInd w:w="-34" w:type="dxa"/>
        <w:tblLook w:val="04A0" w:firstRow="1" w:lastRow="0" w:firstColumn="1" w:lastColumn="0" w:noHBand="0" w:noVBand="1"/>
      </w:tblPr>
      <w:tblGrid>
        <w:gridCol w:w="9583"/>
      </w:tblGrid>
      <w:tr w:rsidR="002B4373" w:rsidTr="00F93A72">
        <w:tc>
          <w:tcPr>
            <w:tcW w:w="9583" w:type="dxa"/>
            <w:tcBorders>
              <w:top w:val="nil"/>
              <w:left w:val="nil"/>
              <w:bottom w:val="nil"/>
              <w:right w:val="nil"/>
            </w:tcBorders>
            <w:shd w:val="clear" w:color="auto" w:fill="C6D9F1"/>
          </w:tcPr>
          <w:p w:rsidR="002B4373" w:rsidRPr="00F93A72" w:rsidRDefault="00F572F3" w:rsidP="009C556D">
            <w:pPr>
              <w:ind w:left="885"/>
              <w:rPr>
                <w:b/>
                <w:i/>
                <w:color w:val="002060"/>
                <w:sz w:val="20"/>
              </w:rPr>
            </w:pPr>
            <w:r>
              <w:rPr>
                <w:b/>
                <w:i/>
              </w:rPr>
              <w:br/>
            </w:r>
            <w:r w:rsidR="002B4373" w:rsidRPr="00F93A72">
              <w:rPr>
                <w:b/>
                <w:i/>
                <w:color w:val="002060"/>
                <w:sz w:val="20"/>
              </w:rPr>
              <w:t>The use of shoulder and off-peak charging parameters to recover residual costs</w:t>
            </w:r>
          </w:p>
          <w:p w:rsidR="00ED3577" w:rsidRPr="00F93A72" w:rsidRDefault="00ED3577" w:rsidP="009C556D">
            <w:pPr>
              <w:spacing w:before="120" w:after="240" w:line="240" w:lineRule="exact"/>
              <w:ind w:left="885"/>
              <w:rPr>
                <w:color w:val="002060"/>
                <w:sz w:val="20"/>
              </w:rPr>
            </w:pPr>
            <w:r w:rsidRPr="00F93A72">
              <w:rPr>
                <w:color w:val="002060"/>
                <w:sz w:val="20"/>
              </w:rPr>
              <w:t xml:space="preserve">We explain </w:t>
            </w:r>
            <w:r w:rsidR="007C7FCE">
              <w:rPr>
                <w:color w:val="002060"/>
                <w:sz w:val="20"/>
              </w:rPr>
              <w:t xml:space="preserve">later </w:t>
            </w:r>
            <w:r w:rsidRPr="00F93A72">
              <w:rPr>
                <w:color w:val="002060"/>
                <w:sz w:val="20"/>
              </w:rPr>
              <w:t xml:space="preserve">in section </w:t>
            </w:r>
            <w:r w:rsidRPr="00F93A72">
              <w:rPr>
                <w:color w:val="002060"/>
                <w:sz w:val="20"/>
              </w:rPr>
              <w:fldChar w:fldCharType="begin"/>
            </w:r>
            <w:r w:rsidRPr="00F93A72">
              <w:rPr>
                <w:color w:val="002060"/>
                <w:sz w:val="20"/>
              </w:rPr>
              <w:instrText xml:space="preserve"> REF _Ref462042568 \r \h </w:instrText>
            </w:r>
            <w:r w:rsidR="00F572F3" w:rsidRPr="00F93A72">
              <w:rPr>
                <w:color w:val="002060"/>
                <w:sz w:val="20"/>
              </w:rPr>
              <w:instrText xml:space="preserve"> \* MERGEFORMAT </w:instrText>
            </w:r>
            <w:r w:rsidRPr="00F93A72">
              <w:rPr>
                <w:color w:val="002060"/>
                <w:sz w:val="20"/>
              </w:rPr>
            </w:r>
            <w:r w:rsidRPr="00F93A72">
              <w:rPr>
                <w:color w:val="002060"/>
                <w:sz w:val="20"/>
              </w:rPr>
              <w:fldChar w:fldCharType="separate"/>
            </w:r>
            <w:r w:rsidR="00BE0834">
              <w:rPr>
                <w:color w:val="002060"/>
                <w:sz w:val="20"/>
              </w:rPr>
              <w:t>8.1</w:t>
            </w:r>
            <w:r w:rsidRPr="00F93A72">
              <w:rPr>
                <w:color w:val="002060"/>
                <w:sz w:val="20"/>
              </w:rPr>
              <w:fldChar w:fldCharType="end"/>
            </w:r>
            <w:r w:rsidRPr="00F93A72">
              <w:rPr>
                <w:color w:val="002060"/>
                <w:sz w:val="20"/>
              </w:rPr>
              <w:t xml:space="preserve"> that, from a strictly economic perspective, the recovery of residual costs from only fixed charges </w:t>
            </w:r>
            <w:proofErr w:type="spellStart"/>
            <w:r w:rsidRPr="00F93A72">
              <w:rPr>
                <w:color w:val="002060"/>
                <w:sz w:val="20"/>
              </w:rPr>
              <w:t>minimises</w:t>
            </w:r>
            <w:proofErr w:type="spellEnd"/>
            <w:r w:rsidRPr="00F93A72">
              <w:rPr>
                <w:color w:val="002060"/>
                <w:sz w:val="20"/>
              </w:rPr>
              <w:t xml:space="preserve"> distortions to the efficient price signals arising from LRMC-based peak prices. Therefore, a key question addressed by </w:t>
            </w:r>
            <w:proofErr w:type="spellStart"/>
            <w:r w:rsidRPr="00F93A72">
              <w:rPr>
                <w:color w:val="002060"/>
                <w:sz w:val="20"/>
              </w:rPr>
              <w:t>Ausgrid</w:t>
            </w:r>
            <w:proofErr w:type="spellEnd"/>
            <w:r w:rsidRPr="00F93A72">
              <w:rPr>
                <w:color w:val="002060"/>
                <w:sz w:val="20"/>
              </w:rPr>
              <w:t xml:space="preserve"> in developing this TSS was the extent to which we should depart from relying on fixed charges to efficiently recover residual costs in order to satisfy the customer impact principle in the NER.</w:t>
            </w:r>
          </w:p>
          <w:p w:rsidR="00ED3577" w:rsidRPr="00F93A72" w:rsidRDefault="00ED3577" w:rsidP="009C556D">
            <w:pPr>
              <w:spacing w:before="120" w:after="240" w:line="240" w:lineRule="exact"/>
              <w:ind w:left="885"/>
              <w:rPr>
                <w:color w:val="002060"/>
                <w:sz w:val="20"/>
              </w:rPr>
            </w:pPr>
            <w:r w:rsidRPr="00F93A72">
              <w:rPr>
                <w:color w:val="002060"/>
                <w:sz w:val="20"/>
              </w:rPr>
              <w:t xml:space="preserve">While it is clear that the recovery of residual costs from non-peak energy charges will be less efficient than recovering these costs through an increase in the fixed charge, </w:t>
            </w:r>
            <w:proofErr w:type="spellStart"/>
            <w:r w:rsidRPr="00F93A72">
              <w:rPr>
                <w:color w:val="002060"/>
                <w:sz w:val="20"/>
              </w:rPr>
              <w:t>Ausgrid</w:t>
            </w:r>
            <w:proofErr w:type="spellEnd"/>
            <w:r w:rsidRPr="00F93A72">
              <w:rPr>
                <w:color w:val="002060"/>
                <w:sz w:val="20"/>
              </w:rPr>
              <w:t xml:space="preserve"> considers that to increase fixed charges in this manner, particularly in the short time frame covered by our proposed, TSS will result </w:t>
            </w:r>
            <w:r w:rsidR="007C7FCE">
              <w:rPr>
                <w:color w:val="002060"/>
                <w:sz w:val="20"/>
              </w:rPr>
              <w:t xml:space="preserve">in </w:t>
            </w:r>
            <w:r w:rsidRPr="00F93A72">
              <w:rPr>
                <w:color w:val="002060"/>
                <w:sz w:val="20"/>
              </w:rPr>
              <w:t xml:space="preserve">unacceptable customer bill impacts. Therefore, so as to comply with the customer impact principle in the NER, </w:t>
            </w:r>
            <w:proofErr w:type="spellStart"/>
            <w:r w:rsidRPr="00F93A72">
              <w:rPr>
                <w:color w:val="002060"/>
                <w:sz w:val="20"/>
              </w:rPr>
              <w:t>Ausgrid</w:t>
            </w:r>
            <w:proofErr w:type="spellEnd"/>
            <w:r w:rsidRPr="00F93A72">
              <w:rPr>
                <w:color w:val="002060"/>
                <w:sz w:val="20"/>
              </w:rPr>
              <w:t xml:space="preserve"> will continue to recover a significant proportion of residual costs allocated to TOU tariffs from the shoulder and off-peak energy charges. An illustrative example of the allocation of residual costs across charging parameters for the residential TOU tariff is presented in section </w:t>
            </w:r>
            <w:r w:rsidRPr="00F93A72">
              <w:rPr>
                <w:color w:val="002060"/>
                <w:sz w:val="20"/>
              </w:rPr>
              <w:fldChar w:fldCharType="begin"/>
            </w:r>
            <w:r w:rsidRPr="00F93A72">
              <w:rPr>
                <w:color w:val="002060"/>
                <w:sz w:val="20"/>
              </w:rPr>
              <w:instrText xml:space="preserve"> REF _Ref462042500 \r \h </w:instrText>
            </w:r>
            <w:r w:rsidR="00F572F3" w:rsidRPr="00F93A72">
              <w:rPr>
                <w:color w:val="002060"/>
                <w:sz w:val="20"/>
              </w:rPr>
              <w:instrText xml:space="preserve"> \* MERGEFORMAT </w:instrText>
            </w:r>
            <w:r w:rsidRPr="00F93A72">
              <w:rPr>
                <w:color w:val="002060"/>
                <w:sz w:val="20"/>
              </w:rPr>
            </w:r>
            <w:r w:rsidRPr="00F93A72">
              <w:rPr>
                <w:color w:val="002060"/>
                <w:sz w:val="20"/>
              </w:rPr>
              <w:fldChar w:fldCharType="separate"/>
            </w:r>
            <w:r w:rsidR="00BE0834">
              <w:rPr>
                <w:color w:val="002060"/>
                <w:sz w:val="20"/>
              </w:rPr>
              <w:t>8.3.4</w:t>
            </w:r>
            <w:r w:rsidRPr="00F93A72">
              <w:rPr>
                <w:color w:val="002060"/>
                <w:sz w:val="20"/>
              </w:rPr>
              <w:fldChar w:fldCharType="end"/>
            </w:r>
            <w:r w:rsidRPr="00F93A72">
              <w:rPr>
                <w:color w:val="002060"/>
                <w:sz w:val="20"/>
              </w:rPr>
              <w:t>.</w:t>
            </w:r>
          </w:p>
          <w:p w:rsidR="00ED3577" w:rsidRPr="00F93A72" w:rsidRDefault="00ED3577" w:rsidP="009C556D">
            <w:pPr>
              <w:spacing w:before="120" w:after="240" w:line="240" w:lineRule="exact"/>
              <w:ind w:left="885"/>
              <w:rPr>
                <w:color w:val="002060"/>
                <w:sz w:val="20"/>
              </w:rPr>
            </w:pPr>
            <w:proofErr w:type="spellStart"/>
            <w:r w:rsidRPr="00F93A72">
              <w:rPr>
                <w:color w:val="002060"/>
                <w:sz w:val="20"/>
              </w:rPr>
              <w:t>Ausgrid</w:t>
            </w:r>
            <w:proofErr w:type="spellEnd"/>
            <w:r w:rsidRPr="00F93A72">
              <w:rPr>
                <w:color w:val="002060"/>
                <w:sz w:val="20"/>
              </w:rPr>
              <w:t xml:space="preserve"> considers that the long-term interests of our customers are best served by delaying any decision on the future level of the fixed charge until a comprehensive review of the structure of our TOU tariffs is completed as part of the next TSS process. It is likely that the most appropriate transition path to the ‘efficient’ reference tariff is likely to involve a change to the structure of our TOU tariffs in order to </w:t>
            </w:r>
            <w:proofErr w:type="spellStart"/>
            <w:r w:rsidRPr="00F93A72">
              <w:rPr>
                <w:color w:val="002060"/>
                <w:sz w:val="20"/>
              </w:rPr>
              <w:t>minimise</w:t>
            </w:r>
            <w:proofErr w:type="spellEnd"/>
            <w:r w:rsidRPr="00F93A72">
              <w:rPr>
                <w:color w:val="002060"/>
                <w:sz w:val="20"/>
              </w:rPr>
              <w:t xml:space="preserve"> our reliance on the fixed charge to efficiently recover our residual costs. </w:t>
            </w:r>
          </w:p>
          <w:p w:rsidR="00ED3577" w:rsidRPr="002B4373" w:rsidRDefault="00ED3577" w:rsidP="009C556D">
            <w:pPr>
              <w:spacing w:before="120" w:after="240" w:line="240" w:lineRule="exact"/>
              <w:ind w:left="885"/>
            </w:pPr>
            <w:r w:rsidRPr="00F93A72">
              <w:rPr>
                <w:color w:val="002060"/>
                <w:sz w:val="20"/>
              </w:rPr>
              <w:t xml:space="preserve">Transitional options for the recovery of fixed charges are discussed in more detail in section </w:t>
            </w:r>
            <w:r w:rsidRPr="00F93A72">
              <w:rPr>
                <w:color w:val="002060"/>
                <w:sz w:val="20"/>
              </w:rPr>
              <w:fldChar w:fldCharType="begin"/>
            </w:r>
            <w:r w:rsidRPr="00F93A72">
              <w:rPr>
                <w:color w:val="002060"/>
                <w:sz w:val="20"/>
              </w:rPr>
              <w:instrText xml:space="preserve"> REF _Ref462153889 \r \h </w:instrText>
            </w:r>
            <w:r w:rsidR="00F572F3" w:rsidRPr="00F93A72">
              <w:rPr>
                <w:color w:val="002060"/>
                <w:sz w:val="20"/>
              </w:rPr>
              <w:instrText xml:space="preserve"> \* MERGEFORMAT </w:instrText>
            </w:r>
            <w:r w:rsidRPr="00F93A72">
              <w:rPr>
                <w:color w:val="002060"/>
                <w:sz w:val="20"/>
              </w:rPr>
            </w:r>
            <w:r w:rsidRPr="00F93A72">
              <w:rPr>
                <w:color w:val="002060"/>
                <w:sz w:val="20"/>
              </w:rPr>
              <w:fldChar w:fldCharType="separate"/>
            </w:r>
            <w:r w:rsidR="00BE0834">
              <w:rPr>
                <w:color w:val="002060"/>
                <w:sz w:val="20"/>
              </w:rPr>
              <w:t>8.2</w:t>
            </w:r>
            <w:r w:rsidRPr="00F93A72">
              <w:rPr>
                <w:color w:val="002060"/>
                <w:sz w:val="20"/>
              </w:rPr>
              <w:fldChar w:fldCharType="end"/>
            </w:r>
            <w:r w:rsidRPr="00F93A72">
              <w:rPr>
                <w:color w:val="002060"/>
                <w:sz w:val="20"/>
              </w:rPr>
              <w:t xml:space="preserve">. Further, the definitions of </w:t>
            </w:r>
            <w:proofErr w:type="spellStart"/>
            <w:r w:rsidRPr="00F93A72">
              <w:rPr>
                <w:color w:val="002060"/>
                <w:sz w:val="20"/>
              </w:rPr>
              <w:t>Ausgrid’s</w:t>
            </w:r>
            <w:proofErr w:type="spellEnd"/>
            <w:r w:rsidRPr="00F93A72">
              <w:rPr>
                <w:color w:val="002060"/>
                <w:sz w:val="20"/>
              </w:rPr>
              <w:t xml:space="preserve"> shoulder and off-peak periods are presented in section </w:t>
            </w:r>
            <w:r w:rsidRPr="00F93A72">
              <w:rPr>
                <w:color w:val="002060"/>
                <w:sz w:val="20"/>
              </w:rPr>
              <w:fldChar w:fldCharType="begin"/>
            </w:r>
            <w:r w:rsidRPr="00F93A72">
              <w:rPr>
                <w:color w:val="002060"/>
                <w:sz w:val="20"/>
              </w:rPr>
              <w:instrText xml:space="preserve"> REF _Ref462151305 \r \h  \* MERGEFORMAT </w:instrText>
            </w:r>
            <w:r w:rsidRPr="00F93A72">
              <w:rPr>
                <w:color w:val="002060"/>
                <w:sz w:val="20"/>
              </w:rPr>
            </w:r>
            <w:r w:rsidRPr="00F93A72">
              <w:rPr>
                <w:color w:val="002060"/>
                <w:sz w:val="20"/>
              </w:rPr>
              <w:fldChar w:fldCharType="separate"/>
            </w:r>
            <w:r w:rsidR="00BE0834">
              <w:rPr>
                <w:color w:val="002060"/>
                <w:sz w:val="20"/>
              </w:rPr>
              <w:t>6.4</w:t>
            </w:r>
            <w:r w:rsidRPr="00F93A72">
              <w:rPr>
                <w:color w:val="002060"/>
                <w:sz w:val="20"/>
              </w:rPr>
              <w:fldChar w:fldCharType="end"/>
            </w:r>
            <w:r w:rsidRPr="00F93A72">
              <w:rPr>
                <w:color w:val="002060"/>
                <w:sz w:val="20"/>
              </w:rPr>
              <w:t>.</w:t>
            </w:r>
          </w:p>
        </w:tc>
      </w:tr>
    </w:tbl>
    <w:p w:rsidR="002A0CE4" w:rsidRPr="00722C30" w:rsidRDefault="002A0CE4" w:rsidP="00722C30">
      <w:pPr>
        <w:rPr>
          <w:rStyle w:val="AERbody"/>
        </w:rPr>
      </w:pPr>
    </w:p>
    <w:bookmarkEnd w:id="464"/>
    <w:p w:rsidR="003857D7" w:rsidRPr="00F572F3" w:rsidRDefault="003857D7"/>
    <w:p w:rsidR="009A2399" w:rsidRPr="00F572F3" w:rsidRDefault="009A2399" w:rsidP="00722C30">
      <w:pPr>
        <w:pStyle w:val="Heading1"/>
      </w:pPr>
      <w:bookmarkStart w:id="471" w:name="_Toc461724665"/>
      <w:bookmarkStart w:id="472" w:name="_Toc461724672"/>
      <w:bookmarkStart w:id="473" w:name="_Toc461724674"/>
      <w:bookmarkStart w:id="474" w:name="_Toc461724679"/>
      <w:bookmarkStart w:id="475" w:name="_Toc461724681"/>
      <w:bookmarkStart w:id="476" w:name="_Toc461724682"/>
      <w:bookmarkStart w:id="477" w:name="_Toc461724683"/>
      <w:bookmarkStart w:id="478" w:name="_Toc461724687"/>
      <w:bookmarkStart w:id="479" w:name="_Toc461724689"/>
      <w:bookmarkStart w:id="480" w:name="_Toc461724690"/>
      <w:bookmarkStart w:id="481" w:name="_Toc461724691"/>
      <w:bookmarkStart w:id="482" w:name="_Toc461724692"/>
      <w:bookmarkStart w:id="483" w:name="_Toc461724695"/>
      <w:bookmarkStart w:id="484" w:name="_Toc461724696"/>
      <w:bookmarkStart w:id="485" w:name="_Toc461724698"/>
      <w:bookmarkStart w:id="486" w:name="_Toc461724700"/>
      <w:bookmarkStart w:id="487" w:name="_Toc461724701"/>
      <w:bookmarkStart w:id="488" w:name="_Toc461724712"/>
      <w:bookmarkStart w:id="489" w:name="_Toc461724722"/>
      <w:bookmarkStart w:id="490" w:name="_Toc461724723"/>
      <w:bookmarkStart w:id="491" w:name="_Toc461724726"/>
      <w:bookmarkStart w:id="492" w:name="_Toc461724727"/>
      <w:bookmarkStart w:id="493" w:name="_Toc435554557"/>
      <w:bookmarkStart w:id="494" w:name="_Toc435555087"/>
      <w:bookmarkStart w:id="495" w:name="_Toc435605694"/>
      <w:bookmarkStart w:id="496" w:name="_Toc435606227"/>
      <w:bookmarkStart w:id="497" w:name="_Toc435607823"/>
      <w:bookmarkStart w:id="498" w:name="_Toc435624779"/>
      <w:bookmarkStart w:id="499" w:name="_Toc435632016"/>
      <w:bookmarkStart w:id="500" w:name="_Toc435646430"/>
      <w:bookmarkStart w:id="501" w:name="_Toc435554558"/>
      <w:bookmarkStart w:id="502" w:name="_Toc435555088"/>
      <w:bookmarkStart w:id="503" w:name="_Toc435605695"/>
      <w:bookmarkStart w:id="504" w:name="_Toc435606228"/>
      <w:bookmarkStart w:id="505" w:name="_Toc435607824"/>
      <w:bookmarkStart w:id="506" w:name="_Toc435624780"/>
      <w:bookmarkStart w:id="507" w:name="_Toc435632017"/>
      <w:bookmarkStart w:id="508" w:name="_Toc435646431"/>
      <w:bookmarkStart w:id="509" w:name="_Toc435554559"/>
      <w:bookmarkStart w:id="510" w:name="_Toc435555089"/>
      <w:bookmarkStart w:id="511" w:name="_Toc435605696"/>
      <w:bookmarkStart w:id="512" w:name="_Toc435606229"/>
      <w:bookmarkStart w:id="513" w:name="_Toc435607825"/>
      <w:bookmarkStart w:id="514" w:name="_Toc435624781"/>
      <w:bookmarkStart w:id="515" w:name="_Toc435632018"/>
      <w:bookmarkStart w:id="516" w:name="_Toc435646432"/>
      <w:bookmarkStart w:id="517" w:name="_Toc435554560"/>
      <w:bookmarkStart w:id="518" w:name="_Toc435555090"/>
      <w:bookmarkStart w:id="519" w:name="_Toc435605697"/>
      <w:bookmarkStart w:id="520" w:name="_Toc435606230"/>
      <w:bookmarkStart w:id="521" w:name="_Toc435607826"/>
      <w:bookmarkStart w:id="522" w:name="_Toc435624782"/>
      <w:bookmarkStart w:id="523" w:name="_Toc435632019"/>
      <w:bookmarkStart w:id="524" w:name="_Toc435646433"/>
      <w:bookmarkStart w:id="525" w:name="_Toc435554561"/>
      <w:bookmarkStart w:id="526" w:name="_Toc435555091"/>
      <w:bookmarkStart w:id="527" w:name="_Toc435605698"/>
      <w:bookmarkStart w:id="528" w:name="_Toc435606231"/>
      <w:bookmarkStart w:id="529" w:name="_Toc435607827"/>
      <w:bookmarkStart w:id="530" w:name="_Toc435624783"/>
      <w:bookmarkStart w:id="531" w:name="_Toc435632020"/>
      <w:bookmarkStart w:id="532" w:name="_Toc435646434"/>
      <w:bookmarkStart w:id="533" w:name="_Toc435554562"/>
      <w:bookmarkStart w:id="534" w:name="_Toc435555092"/>
      <w:bookmarkStart w:id="535" w:name="_Toc435605699"/>
      <w:bookmarkStart w:id="536" w:name="_Toc435606232"/>
      <w:bookmarkStart w:id="537" w:name="_Toc435607828"/>
      <w:bookmarkStart w:id="538" w:name="_Toc435624784"/>
      <w:bookmarkStart w:id="539" w:name="_Toc435632021"/>
      <w:bookmarkStart w:id="540" w:name="_Toc435646435"/>
      <w:bookmarkStart w:id="541" w:name="_Toc435554563"/>
      <w:bookmarkStart w:id="542" w:name="_Toc435555093"/>
      <w:bookmarkStart w:id="543" w:name="_Toc435605700"/>
      <w:bookmarkStart w:id="544" w:name="_Toc435606233"/>
      <w:bookmarkStart w:id="545" w:name="_Toc435607829"/>
      <w:bookmarkStart w:id="546" w:name="_Toc435624785"/>
      <w:bookmarkStart w:id="547" w:name="_Toc435632022"/>
      <w:bookmarkStart w:id="548" w:name="_Toc435646436"/>
      <w:bookmarkStart w:id="549" w:name="_Toc435554564"/>
      <w:bookmarkStart w:id="550" w:name="_Toc435555094"/>
      <w:bookmarkStart w:id="551" w:name="_Toc435605701"/>
      <w:bookmarkStart w:id="552" w:name="_Toc435606234"/>
      <w:bookmarkStart w:id="553" w:name="_Toc435607830"/>
      <w:bookmarkStart w:id="554" w:name="_Toc435624786"/>
      <w:bookmarkStart w:id="555" w:name="_Toc435632023"/>
      <w:bookmarkStart w:id="556" w:name="_Toc435646437"/>
      <w:bookmarkStart w:id="557" w:name="_Toc435554565"/>
      <w:bookmarkStart w:id="558" w:name="_Toc435555095"/>
      <w:bookmarkStart w:id="559" w:name="_Toc435605702"/>
      <w:bookmarkStart w:id="560" w:name="_Toc435606235"/>
      <w:bookmarkStart w:id="561" w:name="_Toc435607831"/>
      <w:bookmarkStart w:id="562" w:name="_Toc435624787"/>
      <w:bookmarkStart w:id="563" w:name="_Toc435632024"/>
      <w:bookmarkStart w:id="564" w:name="_Toc435646438"/>
      <w:bookmarkStart w:id="565" w:name="_Toc435554566"/>
      <w:bookmarkStart w:id="566" w:name="_Toc435555096"/>
      <w:bookmarkStart w:id="567" w:name="_Toc435605703"/>
      <w:bookmarkStart w:id="568" w:name="_Toc435606236"/>
      <w:bookmarkStart w:id="569" w:name="_Toc435607832"/>
      <w:bookmarkStart w:id="570" w:name="_Toc435624788"/>
      <w:bookmarkStart w:id="571" w:name="_Toc435632025"/>
      <w:bookmarkStart w:id="572" w:name="_Toc435646439"/>
      <w:bookmarkStart w:id="573" w:name="_Toc435554567"/>
      <w:bookmarkStart w:id="574" w:name="_Toc435555097"/>
      <w:bookmarkStart w:id="575" w:name="_Toc435605704"/>
      <w:bookmarkStart w:id="576" w:name="_Toc435606237"/>
      <w:bookmarkStart w:id="577" w:name="_Toc435607833"/>
      <w:bookmarkStart w:id="578" w:name="_Toc435624789"/>
      <w:bookmarkStart w:id="579" w:name="_Toc435632026"/>
      <w:bookmarkStart w:id="580" w:name="_Toc435646440"/>
      <w:bookmarkStart w:id="581" w:name="_Toc435554568"/>
      <w:bookmarkStart w:id="582" w:name="_Toc435555098"/>
      <w:bookmarkStart w:id="583" w:name="_Toc435605705"/>
      <w:bookmarkStart w:id="584" w:name="_Toc435606238"/>
      <w:bookmarkStart w:id="585" w:name="_Toc435607834"/>
      <w:bookmarkStart w:id="586" w:name="_Toc435624790"/>
      <w:bookmarkStart w:id="587" w:name="_Toc435632027"/>
      <w:bookmarkStart w:id="588" w:name="_Toc435646441"/>
      <w:bookmarkStart w:id="589" w:name="_Toc435554569"/>
      <w:bookmarkStart w:id="590" w:name="_Toc435555099"/>
      <w:bookmarkStart w:id="591" w:name="_Toc435605706"/>
      <w:bookmarkStart w:id="592" w:name="_Toc435606239"/>
      <w:bookmarkStart w:id="593" w:name="_Toc435607835"/>
      <w:bookmarkStart w:id="594" w:name="_Toc435624791"/>
      <w:bookmarkStart w:id="595" w:name="_Toc435632028"/>
      <w:bookmarkStart w:id="596" w:name="_Toc435646442"/>
      <w:bookmarkStart w:id="597" w:name="_Toc435554570"/>
      <w:bookmarkStart w:id="598" w:name="_Toc435555100"/>
      <w:bookmarkStart w:id="599" w:name="_Toc435605707"/>
      <w:bookmarkStart w:id="600" w:name="_Toc435606240"/>
      <w:bookmarkStart w:id="601" w:name="_Toc435607836"/>
      <w:bookmarkStart w:id="602" w:name="_Toc435624792"/>
      <w:bookmarkStart w:id="603" w:name="_Toc435632029"/>
      <w:bookmarkStart w:id="604" w:name="_Toc435646443"/>
      <w:bookmarkStart w:id="605" w:name="_Toc435554571"/>
      <w:bookmarkStart w:id="606" w:name="_Toc435555101"/>
      <w:bookmarkStart w:id="607" w:name="_Toc435605708"/>
      <w:bookmarkStart w:id="608" w:name="_Toc435606241"/>
      <w:bookmarkStart w:id="609" w:name="_Toc435607837"/>
      <w:bookmarkStart w:id="610" w:name="_Toc435624793"/>
      <w:bookmarkStart w:id="611" w:name="_Toc435632030"/>
      <w:bookmarkStart w:id="612" w:name="_Toc435646444"/>
      <w:bookmarkStart w:id="613" w:name="_Toc435554572"/>
      <w:bookmarkStart w:id="614" w:name="_Toc435555102"/>
      <w:bookmarkStart w:id="615" w:name="_Toc435605709"/>
      <w:bookmarkStart w:id="616" w:name="_Toc435606242"/>
      <w:bookmarkStart w:id="617" w:name="_Toc435607838"/>
      <w:bookmarkStart w:id="618" w:name="_Toc435624794"/>
      <w:bookmarkStart w:id="619" w:name="_Toc435632031"/>
      <w:bookmarkStart w:id="620" w:name="_Toc435646445"/>
      <w:bookmarkStart w:id="621" w:name="_Toc435554573"/>
      <w:bookmarkStart w:id="622" w:name="_Toc435555103"/>
      <w:bookmarkStart w:id="623" w:name="_Toc435605710"/>
      <w:bookmarkStart w:id="624" w:name="_Toc435606243"/>
      <w:bookmarkStart w:id="625" w:name="_Toc435607839"/>
      <w:bookmarkStart w:id="626" w:name="_Toc435624795"/>
      <w:bookmarkStart w:id="627" w:name="_Toc435632032"/>
      <w:bookmarkStart w:id="628" w:name="_Toc435646446"/>
      <w:bookmarkStart w:id="629" w:name="_Toc435554574"/>
      <w:bookmarkStart w:id="630" w:name="_Toc435555104"/>
      <w:bookmarkStart w:id="631" w:name="_Toc435605711"/>
      <w:bookmarkStart w:id="632" w:name="_Toc435606244"/>
      <w:bookmarkStart w:id="633" w:name="_Toc435607840"/>
      <w:bookmarkStart w:id="634" w:name="_Toc435624796"/>
      <w:bookmarkStart w:id="635" w:name="_Toc435632033"/>
      <w:bookmarkStart w:id="636" w:name="_Toc435646447"/>
      <w:bookmarkStart w:id="637" w:name="_Toc435554575"/>
      <w:bookmarkStart w:id="638" w:name="_Toc435555105"/>
      <w:bookmarkStart w:id="639" w:name="_Toc435605712"/>
      <w:bookmarkStart w:id="640" w:name="_Toc435606245"/>
      <w:bookmarkStart w:id="641" w:name="_Toc435607841"/>
      <w:bookmarkStart w:id="642" w:name="_Toc435624797"/>
      <w:bookmarkStart w:id="643" w:name="_Toc435632034"/>
      <w:bookmarkStart w:id="644" w:name="_Toc435646448"/>
      <w:bookmarkStart w:id="645" w:name="_Toc435554576"/>
      <w:bookmarkStart w:id="646" w:name="_Toc435555106"/>
      <w:bookmarkStart w:id="647" w:name="_Toc435605713"/>
      <w:bookmarkStart w:id="648" w:name="_Toc435606246"/>
      <w:bookmarkStart w:id="649" w:name="_Toc435607842"/>
      <w:bookmarkStart w:id="650" w:name="_Toc435624798"/>
      <w:bookmarkStart w:id="651" w:name="_Toc435632035"/>
      <w:bookmarkStart w:id="652" w:name="_Toc435646449"/>
      <w:bookmarkStart w:id="653" w:name="_Toc435554577"/>
      <w:bookmarkStart w:id="654" w:name="_Toc435555107"/>
      <w:bookmarkStart w:id="655" w:name="_Toc435605714"/>
      <w:bookmarkStart w:id="656" w:name="_Toc435606247"/>
      <w:bookmarkStart w:id="657" w:name="_Toc435607843"/>
      <w:bookmarkStart w:id="658" w:name="_Toc435624799"/>
      <w:bookmarkStart w:id="659" w:name="_Toc435632036"/>
      <w:bookmarkStart w:id="660" w:name="_Toc435646450"/>
      <w:bookmarkStart w:id="661" w:name="_Toc435554578"/>
      <w:bookmarkStart w:id="662" w:name="_Toc435555108"/>
      <w:bookmarkStart w:id="663" w:name="_Toc435605715"/>
      <w:bookmarkStart w:id="664" w:name="_Toc435606248"/>
      <w:bookmarkStart w:id="665" w:name="_Toc435607844"/>
      <w:bookmarkStart w:id="666" w:name="_Toc435624800"/>
      <w:bookmarkStart w:id="667" w:name="_Toc435632037"/>
      <w:bookmarkStart w:id="668" w:name="_Toc435646451"/>
      <w:bookmarkStart w:id="669" w:name="_Toc435554579"/>
      <w:bookmarkStart w:id="670" w:name="_Toc435555109"/>
      <w:bookmarkStart w:id="671" w:name="_Toc435605716"/>
      <w:bookmarkStart w:id="672" w:name="_Toc435606249"/>
      <w:bookmarkStart w:id="673" w:name="_Toc435607845"/>
      <w:bookmarkStart w:id="674" w:name="_Toc435624801"/>
      <w:bookmarkStart w:id="675" w:name="_Toc435632038"/>
      <w:bookmarkStart w:id="676" w:name="_Toc435646452"/>
      <w:bookmarkStart w:id="677" w:name="_Toc435554580"/>
      <w:bookmarkStart w:id="678" w:name="_Toc435555110"/>
      <w:bookmarkStart w:id="679" w:name="_Toc435605717"/>
      <w:bookmarkStart w:id="680" w:name="_Toc435606250"/>
      <w:bookmarkStart w:id="681" w:name="_Toc435607846"/>
      <w:bookmarkStart w:id="682" w:name="_Toc435624802"/>
      <w:bookmarkStart w:id="683" w:name="_Toc435632039"/>
      <w:bookmarkStart w:id="684" w:name="_Toc435646453"/>
      <w:bookmarkStart w:id="685" w:name="_Toc435554581"/>
      <w:bookmarkStart w:id="686" w:name="_Toc435555111"/>
      <w:bookmarkStart w:id="687" w:name="_Toc435605718"/>
      <w:bookmarkStart w:id="688" w:name="_Toc435606251"/>
      <w:bookmarkStart w:id="689" w:name="_Toc435607847"/>
      <w:bookmarkStart w:id="690" w:name="_Toc435624803"/>
      <w:bookmarkStart w:id="691" w:name="_Toc435632040"/>
      <w:bookmarkStart w:id="692" w:name="_Toc435646454"/>
      <w:bookmarkStart w:id="693" w:name="_Toc435554582"/>
      <w:bookmarkStart w:id="694" w:name="_Toc435555112"/>
      <w:bookmarkStart w:id="695" w:name="_Toc435605719"/>
      <w:bookmarkStart w:id="696" w:name="_Toc435606252"/>
      <w:bookmarkStart w:id="697" w:name="_Toc435607848"/>
      <w:bookmarkStart w:id="698" w:name="_Toc435624804"/>
      <w:bookmarkStart w:id="699" w:name="_Toc435632041"/>
      <w:bookmarkStart w:id="700" w:name="_Toc435646455"/>
      <w:bookmarkStart w:id="701" w:name="_Toc435554583"/>
      <w:bookmarkStart w:id="702" w:name="_Toc435555113"/>
      <w:bookmarkStart w:id="703" w:name="_Toc435605720"/>
      <w:bookmarkStart w:id="704" w:name="_Toc435606253"/>
      <w:bookmarkStart w:id="705" w:name="_Toc435607849"/>
      <w:bookmarkStart w:id="706" w:name="_Toc435624805"/>
      <w:bookmarkStart w:id="707" w:name="_Toc435632042"/>
      <w:bookmarkStart w:id="708" w:name="_Toc435646456"/>
      <w:bookmarkStart w:id="709" w:name="_Toc435554584"/>
      <w:bookmarkStart w:id="710" w:name="_Toc435555114"/>
      <w:bookmarkStart w:id="711" w:name="_Toc435605721"/>
      <w:bookmarkStart w:id="712" w:name="_Toc435606254"/>
      <w:bookmarkStart w:id="713" w:name="_Toc435607850"/>
      <w:bookmarkStart w:id="714" w:name="_Toc435624806"/>
      <w:bookmarkStart w:id="715" w:name="_Toc435632043"/>
      <w:bookmarkStart w:id="716" w:name="_Toc435646457"/>
      <w:bookmarkStart w:id="717" w:name="_Toc435554585"/>
      <w:bookmarkStart w:id="718" w:name="_Toc435555115"/>
      <w:bookmarkStart w:id="719" w:name="_Toc435605722"/>
      <w:bookmarkStart w:id="720" w:name="_Toc435606255"/>
      <w:bookmarkStart w:id="721" w:name="_Toc435607851"/>
      <w:bookmarkStart w:id="722" w:name="_Toc435624807"/>
      <w:bookmarkStart w:id="723" w:name="_Toc435632044"/>
      <w:bookmarkStart w:id="724" w:name="_Toc435646458"/>
      <w:bookmarkStart w:id="725" w:name="_Toc435554586"/>
      <w:bookmarkStart w:id="726" w:name="_Toc435555116"/>
      <w:bookmarkStart w:id="727" w:name="_Toc435605723"/>
      <w:bookmarkStart w:id="728" w:name="_Toc435606256"/>
      <w:bookmarkStart w:id="729" w:name="_Toc435607852"/>
      <w:bookmarkStart w:id="730" w:name="_Toc435624808"/>
      <w:bookmarkStart w:id="731" w:name="_Toc435632045"/>
      <w:bookmarkStart w:id="732" w:name="_Toc435646459"/>
      <w:bookmarkStart w:id="733" w:name="_Toc435554587"/>
      <w:bookmarkStart w:id="734" w:name="_Toc435555117"/>
      <w:bookmarkStart w:id="735" w:name="_Toc435605724"/>
      <w:bookmarkStart w:id="736" w:name="_Toc435606257"/>
      <w:bookmarkStart w:id="737" w:name="_Toc435607853"/>
      <w:bookmarkStart w:id="738" w:name="_Toc435624809"/>
      <w:bookmarkStart w:id="739" w:name="_Toc435632046"/>
      <w:bookmarkStart w:id="740" w:name="_Toc435646460"/>
      <w:bookmarkStart w:id="741" w:name="_Toc435554588"/>
      <w:bookmarkStart w:id="742" w:name="_Toc435555118"/>
      <w:bookmarkStart w:id="743" w:name="_Toc435605725"/>
      <w:bookmarkStart w:id="744" w:name="_Toc435606258"/>
      <w:bookmarkStart w:id="745" w:name="_Toc435607854"/>
      <w:bookmarkStart w:id="746" w:name="_Toc435624810"/>
      <w:bookmarkStart w:id="747" w:name="_Toc435632047"/>
      <w:bookmarkStart w:id="748" w:name="_Toc435646461"/>
      <w:bookmarkStart w:id="749" w:name="_Toc435554589"/>
      <w:bookmarkStart w:id="750" w:name="_Toc435555119"/>
      <w:bookmarkStart w:id="751" w:name="_Toc435605726"/>
      <w:bookmarkStart w:id="752" w:name="_Toc435606259"/>
      <w:bookmarkStart w:id="753" w:name="_Toc435607855"/>
      <w:bookmarkStart w:id="754" w:name="_Toc435624811"/>
      <w:bookmarkStart w:id="755" w:name="_Toc435632048"/>
      <w:bookmarkStart w:id="756" w:name="_Toc435646462"/>
      <w:bookmarkStart w:id="757" w:name="_Toc435554590"/>
      <w:bookmarkStart w:id="758" w:name="_Toc435555120"/>
      <w:bookmarkStart w:id="759" w:name="_Toc435605727"/>
      <w:bookmarkStart w:id="760" w:name="_Toc435606260"/>
      <w:bookmarkStart w:id="761" w:name="_Toc435607856"/>
      <w:bookmarkStart w:id="762" w:name="_Toc435624812"/>
      <w:bookmarkStart w:id="763" w:name="_Toc435632049"/>
      <w:bookmarkStart w:id="764" w:name="_Toc435646463"/>
      <w:bookmarkStart w:id="765" w:name="_Toc435554591"/>
      <w:bookmarkStart w:id="766" w:name="_Toc435555121"/>
      <w:bookmarkStart w:id="767" w:name="_Toc435605728"/>
      <w:bookmarkStart w:id="768" w:name="_Toc435606261"/>
      <w:bookmarkStart w:id="769" w:name="_Toc435607857"/>
      <w:bookmarkStart w:id="770" w:name="_Toc435624813"/>
      <w:bookmarkStart w:id="771" w:name="_Toc435632050"/>
      <w:bookmarkStart w:id="772" w:name="_Toc435646464"/>
      <w:bookmarkStart w:id="773" w:name="_Toc435554592"/>
      <w:bookmarkStart w:id="774" w:name="_Toc435555122"/>
      <w:bookmarkStart w:id="775" w:name="_Toc435605729"/>
      <w:bookmarkStart w:id="776" w:name="_Toc435606262"/>
      <w:bookmarkStart w:id="777" w:name="_Toc435607858"/>
      <w:bookmarkStart w:id="778" w:name="_Toc435624814"/>
      <w:bookmarkStart w:id="779" w:name="_Toc435632051"/>
      <w:bookmarkStart w:id="780" w:name="_Toc435646465"/>
      <w:bookmarkStart w:id="781" w:name="_Toc435554593"/>
      <w:bookmarkStart w:id="782" w:name="_Toc435555123"/>
      <w:bookmarkStart w:id="783" w:name="_Toc435605730"/>
      <w:bookmarkStart w:id="784" w:name="_Toc435606263"/>
      <w:bookmarkStart w:id="785" w:name="_Toc435607859"/>
      <w:bookmarkStart w:id="786" w:name="_Toc435624815"/>
      <w:bookmarkStart w:id="787" w:name="_Toc435632052"/>
      <w:bookmarkStart w:id="788" w:name="_Toc435646466"/>
      <w:bookmarkStart w:id="789" w:name="_Toc435554594"/>
      <w:bookmarkStart w:id="790" w:name="_Toc435555124"/>
      <w:bookmarkStart w:id="791" w:name="_Toc435605731"/>
      <w:bookmarkStart w:id="792" w:name="_Toc435606264"/>
      <w:bookmarkStart w:id="793" w:name="_Toc435607860"/>
      <w:bookmarkStart w:id="794" w:name="_Toc435624816"/>
      <w:bookmarkStart w:id="795" w:name="_Toc435632053"/>
      <w:bookmarkStart w:id="796" w:name="_Toc435646467"/>
      <w:bookmarkStart w:id="797" w:name="_Toc435554595"/>
      <w:bookmarkStart w:id="798" w:name="_Toc435555125"/>
      <w:bookmarkStart w:id="799" w:name="_Toc435605732"/>
      <w:bookmarkStart w:id="800" w:name="_Toc435606265"/>
      <w:bookmarkStart w:id="801" w:name="_Toc435607861"/>
      <w:bookmarkStart w:id="802" w:name="_Toc435624817"/>
      <w:bookmarkStart w:id="803" w:name="_Toc435632054"/>
      <w:bookmarkStart w:id="804" w:name="_Toc435646468"/>
      <w:bookmarkStart w:id="805" w:name="_Toc435554596"/>
      <w:bookmarkStart w:id="806" w:name="_Toc435555126"/>
      <w:bookmarkStart w:id="807" w:name="_Toc435605733"/>
      <w:bookmarkStart w:id="808" w:name="_Toc435606266"/>
      <w:bookmarkStart w:id="809" w:name="_Toc435607862"/>
      <w:bookmarkStart w:id="810" w:name="_Toc435624818"/>
      <w:bookmarkStart w:id="811" w:name="_Toc435632055"/>
      <w:bookmarkStart w:id="812" w:name="_Toc435646469"/>
      <w:bookmarkStart w:id="813" w:name="_Toc435554597"/>
      <w:bookmarkStart w:id="814" w:name="_Toc435555127"/>
      <w:bookmarkStart w:id="815" w:name="_Toc435605734"/>
      <w:bookmarkStart w:id="816" w:name="_Toc435606267"/>
      <w:bookmarkStart w:id="817" w:name="_Toc435607863"/>
      <w:bookmarkStart w:id="818" w:name="_Toc435624819"/>
      <w:bookmarkStart w:id="819" w:name="_Toc435632056"/>
      <w:bookmarkStart w:id="820" w:name="_Toc435646470"/>
      <w:bookmarkStart w:id="821" w:name="_Toc435554598"/>
      <w:bookmarkStart w:id="822" w:name="_Toc435555128"/>
      <w:bookmarkStart w:id="823" w:name="_Toc435605735"/>
      <w:bookmarkStart w:id="824" w:name="_Toc435606268"/>
      <w:bookmarkStart w:id="825" w:name="_Toc435607864"/>
      <w:bookmarkStart w:id="826" w:name="_Toc435624820"/>
      <w:bookmarkStart w:id="827" w:name="_Toc435632057"/>
      <w:bookmarkStart w:id="828" w:name="_Toc435646471"/>
      <w:bookmarkStart w:id="829" w:name="_Toc435554599"/>
      <w:bookmarkStart w:id="830" w:name="_Toc435555129"/>
      <w:bookmarkStart w:id="831" w:name="_Toc435605736"/>
      <w:bookmarkStart w:id="832" w:name="_Toc435606269"/>
      <w:bookmarkStart w:id="833" w:name="_Toc435607865"/>
      <w:bookmarkStart w:id="834" w:name="_Toc435624821"/>
      <w:bookmarkStart w:id="835" w:name="_Toc435632058"/>
      <w:bookmarkStart w:id="836" w:name="_Toc435646472"/>
      <w:bookmarkStart w:id="837" w:name="_Toc435554600"/>
      <w:bookmarkStart w:id="838" w:name="_Toc435555130"/>
      <w:bookmarkStart w:id="839" w:name="_Toc435605737"/>
      <w:bookmarkStart w:id="840" w:name="_Toc435606270"/>
      <w:bookmarkStart w:id="841" w:name="_Toc435607866"/>
      <w:bookmarkStart w:id="842" w:name="_Toc435624822"/>
      <w:bookmarkStart w:id="843" w:name="_Toc435632059"/>
      <w:bookmarkStart w:id="844" w:name="_Toc435646473"/>
      <w:bookmarkStart w:id="845" w:name="_Toc435554601"/>
      <w:bookmarkStart w:id="846" w:name="_Toc435555131"/>
      <w:bookmarkStart w:id="847" w:name="_Toc435605738"/>
      <w:bookmarkStart w:id="848" w:name="_Toc435606271"/>
      <w:bookmarkStart w:id="849" w:name="_Toc435607867"/>
      <w:bookmarkStart w:id="850" w:name="_Toc435624823"/>
      <w:bookmarkStart w:id="851" w:name="_Toc435632060"/>
      <w:bookmarkStart w:id="852" w:name="_Toc435646474"/>
      <w:bookmarkStart w:id="853" w:name="_Toc435554602"/>
      <w:bookmarkStart w:id="854" w:name="_Toc435555132"/>
      <w:bookmarkStart w:id="855" w:name="_Toc435605739"/>
      <w:bookmarkStart w:id="856" w:name="_Toc435606272"/>
      <w:bookmarkStart w:id="857" w:name="_Toc435607868"/>
      <w:bookmarkStart w:id="858" w:name="_Toc435624824"/>
      <w:bookmarkStart w:id="859" w:name="_Toc435632061"/>
      <w:bookmarkStart w:id="860" w:name="_Toc435646475"/>
      <w:bookmarkStart w:id="861" w:name="_Toc435554603"/>
      <w:bookmarkStart w:id="862" w:name="_Toc435555133"/>
      <w:bookmarkStart w:id="863" w:name="_Toc435605740"/>
      <w:bookmarkStart w:id="864" w:name="_Toc435606273"/>
      <w:bookmarkStart w:id="865" w:name="_Toc435607869"/>
      <w:bookmarkStart w:id="866" w:name="_Toc435624825"/>
      <w:bookmarkStart w:id="867" w:name="_Toc435632062"/>
      <w:bookmarkStart w:id="868" w:name="_Toc435646476"/>
      <w:bookmarkStart w:id="869" w:name="_Toc435554604"/>
      <w:bookmarkStart w:id="870" w:name="_Toc435555134"/>
      <w:bookmarkStart w:id="871" w:name="_Toc435605741"/>
      <w:bookmarkStart w:id="872" w:name="_Toc435606274"/>
      <w:bookmarkStart w:id="873" w:name="_Toc435607870"/>
      <w:bookmarkStart w:id="874" w:name="_Toc435624826"/>
      <w:bookmarkStart w:id="875" w:name="_Toc435632063"/>
      <w:bookmarkStart w:id="876" w:name="_Toc435646477"/>
      <w:bookmarkStart w:id="877" w:name="_Toc435554605"/>
      <w:bookmarkStart w:id="878" w:name="_Toc435555135"/>
      <w:bookmarkStart w:id="879" w:name="_Toc435605742"/>
      <w:bookmarkStart w:id="880" w:name="_Toc435606275"/>
      <w:bookmarkStart w:id="881" w:name="_Toc435607871"/>
      <w:bookmarkStart w:id="882" w:name="_Toc435624827"/>
      <w:bookmarkStart w:id="883" w:name="_Toc435632064"/>
      <w:bookmarkStart w:id="884" w:name="_Toc435646478"/>
      <w:bookmarkStart w:id="885" w:name="_Toc435554606"/>
      <w:bookmarkStart w:id="886" w:name="_Toc435555136"/>
      <w:bookmarkStart w:id="887" w:name="_Toc435605743"/>
      <w:bookmarkStart w:id="888" w:name="_Toc435606276"/>
      <w:bookmarkStart w:id="889" w:name="_Toc435607872"/>
      <w:bookmarkStart w:id="890" w:name="_Toc435624828"/>
      <w:bookmarkStart w:id="891" w:name="_Toc435632065"/>
      <w:bookmarkStart w:id="892" w:name="_Toc435646479"/>
      <w:bookmarkStart w:id="893" w:name="_Toc435554607"/>
      <w:bookmarkStart w:id="894" w:name="_Toc435555137"/>
      <w:bookmarkStart w:id="895" w:name="_Toc435605744"/>
      <w:bookmarkStart w:id="896" w:name="_Toc435606277"/>
      <w:bookmarkStart w:id="897" w:name="_Toc435607873"/>
      <w:bookmarkStart w:id="898" w:name="_Toc435624829"/>
      <w:bookmarkStart w:id="899" w:name="_Toc435632066"/>
      <w:bookmarkStart w:id="900" w:name="_Toc435646480"/>
      <w:bookmarkStart w:id="901" w:name="_Toc435554608"/>
      <w:bookmarkStart w:id="902" w:name="_Toc435555138"/>
      <w:bookmarkStart w:id="903" w:name="_Toc435605745"/>
      <w:bookmarkStart w:id="904" w:name="_Toc435606278"/>
      <w:bookmarkStart w:id="905" w:name="_Toc435607874"/>
      <w:bookmarkStart w:id="906" w:name="_Toc435624830"/>
      <w:bookmarkStart w:id="907" w:name="_Toc435632067"/>
      <w:bookmarkStart w:id="908" w:name="_Toc435646481"/>
      <w:bookmarkStart w:id="909" w:name="_Toc435554609"/>
      <w:bookmarkStart w:id="910" w:name="_Toc435555139"/>
      <w:bookmarkStart w:id="911" w:name="_Toc435605746"/>
      <w:bookmarkStart w:id="912" w:name="_Toc435606279"/>
      <w:bookmarkStart w:id="913" w:name="_Toc435607875"/>
      <w:bookmarkStart w:id="914" w:name="_Toc435624831"/>
      <w:bookmarkStart w:id="915" w:name="_Toc435632068"/>
      <w:bookmarkStart w:id="916" w:name="_Toc435646482"/>
      <w:bookmarkStart w:id="917" w:name="_Toc435554610"/>
      <w:bookmarkStart w:id="918" w:name="_Toc435555140"/>
      <w:bookmarkStart w:id="919" w:name="_Toc435605747"/>
      <w:bookmarkStart w:id="920" w:name="_Toc435606280"/>
      <w:bookmarkStart w:id="921" w:name="_Toc435607876"/>
      <w:bookmarkStart w:id="922" w:name="_Toc435624832"/>
      <w:bookmarkStart w:id="923" w:name="_Toc435632069"/>
      <w:bookmarkStart w:id="924" w:name="_Toc435646483"/>
      <w:bookmarkStart w:id="925" w:name="_Toc435554611"/>
      <w:bookmarkStart w:id="926" w:name="_Toc435555141"/>
      <w:bookmarkStart w:id="927" w:name="_Toc435605748"/>
      <w:bookmarkStart w:id="928" w:name="_Toc435606281"/>
      <w:bookmarkStart w:id="929" w:name="_Toc435607877"/>
      <w:bookmarkStart w:id="930" w:name="_Toc435624833"/>
      <w:bookmarkStart w:id="931" w:name="_Toc435632070"/>
      <w:bookmarkStart w:id="932" w:name="_Toc435646484"/>
      <w:bookmarkStart w:id="933" w:name="_Toc435554612"/>
      <w:bookmarkStart w:id="934" w:name="_Toc435555142"/>
      <w:bookmarkStart w:id="935" w:name="_Toc435605749"/>
      <w:bookmarkStart w:id="936" w:name="_Toc435606282"/>
      <w:bookmarkStart w:id="937" w:name="_Toc435607878"/>
      <w:bookmarkStart w:id="938" w:name="_Toc435624834"/>
      <w:bookmarkStart w:id="939" w:name="_Toc435632071"/>
      <w:bookmarkStart w:id="940" w:name="_Toc435646485"/>
      <w:bookmarkStart w:id="941" w:name="_Toc435554613"/>
      <w:bookmarkStart w:id="942" w:name="_Toc435555143"/>
      <w:bookmarkStart w:id="943" w:name="_Toc435605750"/>
      <w:bookmarkStart w:id="944" w:name="_Toc435606283"/>
      <w:bookmarkStart w:id="945" w:name="_Toc435607879"/>
      <w:bookmarkStart w:id="946" w:name="_Toc435624835"/>
      <w:bookmarkStart w:id="947" w:name="_Toc435632072"/>
      <w:bookmarkStart w:id="948" w:name="_Toc435646486"/>
      <w:bookmarkStart w:id="949" w:name="_Toc435554614"/>
      <w:bookmarkStart w:id="950" w:name="_Toc435555144"/>
      <w:bookmarkStart w:id="951" w:name="_Toc435605751"/>
      <w:bookmarkStart w:id="952" w:name="_Toc435606284"/>
      <w:bookmarkStart w:id="953" w:name="_Toc435607880"/>
      <w:bookmarkStart w:id="954" w:name="_Toc435624836"/>
      <w:bookmarkStart w:id="955" w:name="_Toc435632073"/>
      <w:bookmarkStart w:id="956" w:name="_Toc435646487"/>
      <w:bookmarkStart w:id="957" w:name="_Toc435554615"/>
      <w:bookmarkStart w:id="958" w:name="_Toc435555145"/>
      <w:bookmarkStart w:id="959" w:name="_Toc435605752"/>
      <w:bookmarkStart w:id="960" w:name="_Toc435606285"/>
      <w:bookmarkStart w:id="961" w:name="_Toc435607881"/>
      <w:bookmarkStart w:id="962" w:name="_Toc435624837"/>
      <w:bookmarkStart w:id="963" w:name="_Toc435632074"/>
      <w:bookmarkStart w:id="964" w:name="_Toc435646488"/>
      <w:bookmarkStart w:id="965" w:name="_Toc435554616"/>
      <w:bookmarkStart w:id="966" w:name="_Toc435555146"/>
      <w:bookmarkStart w:id="967" w:name="_Toc435605753"/>
      <w:bookmarkStart w:id="968" w:name="_Toc435606286"/>
      <w:bookmarkStart w:id="969" w:name="_Toc435607882"/>
      <w:bookmarkStart w:id="970" w:name="_Toc435624838"/>
      <w:bookmarkStart w:id="971" w:name="_Toc435632075"/>
      <w:bookmarkStart w:id="972" w:name="_Toc435646489"/>
      <w:bookmarkStart w:id="973" w:name="_Toc435554617"/>
      <w:bookmarkStart w:id="974" w:name="_Toc435555147"/>
      <w:bookmarkStart w:id="975" w:name="_Toc435605754"/>
      <w:bookmarkStart w:id="976" w:name="_Toc435606287"/>
      <w:bookmarkStart w:id="977" w:name="_Toc435607883"/>
      <w:bookmarkStart w:id="978" w:name="_Toc435624839"/>
      <w:bookmarkStart w:id="979" w:name="_Toc435632076"/>
      <w:bookmarkStart w:id="980" w:name="_Toc435646490"/>
      <w:bookmarkStart w:id="981" w:name="_Toc435554618"/>
      <w:bookmarkStart w:id="982" w:name="_Toc435555148"/>
      <w:bookmarkStart w:id="983" w:name="_Toc435605755"/>
      <w:bookmarkStart w:id="984" w:name="_Toc435606288"/>
      <w:bookmarkStart w:id="985" w:name="_Toc435607884"/>
      <w:bookmarkStart w:id="986" w:name="_Toc435624840"/>
      <w:bookmarkStart w:id="987" w:name="_Toc435632077"/>
      <w:bookmarkStart w:id="988" w:name="_Toc435646491"/>
      <w:bookmarkStart w:id="989" w:name="_Toc435554619"/>
      <w:bookmarkStart w:id="990" w:name="_Toc435555149"/>
      <w:bookmarkStart w:id="991" w:name="_Toc435605756"/>
      <w:bookmarkStart w:id="992" w:name="_Toc435606289"/>
      <w:bookmarkStart w:id="993" w:name="_Toc435607885"/>
      <w:bookmarkStart w:id="994" w:name="_Toc435624841"/>
      <w:bookmarkStart w:id="995" w:name="_Toc435632078"/>
      <w:bookmarkStart w:id="996" w:name="_Toc435646492"/>
      <w:bookmarkStart w:id="997" w:name="_Toc435554620"/>
      <w:bookmarkStart w:id="998" w:name="_Toc435555150"/>
      <w:bookmarkStart w:id="999" w:name="_Toc435605757"/>
      <w:bookmarkStart w:id="1000" w:name="_Toc435606290"/>
      <w:bookmarkStart w:id="1001" w:name="_Toc435607886"/>
      <w:bookmarkStart w:id="1002" w:name="_Toc435624842"/>
      <w:bookmarkStart w:id="1003" w:name="_Toc435632079"/>
      <w:bookmarkStart w:id="1004" w:name="_Toc435646493"/>
      <w:bookmarkStart w:id="1005" w:name="_Toc435554621"/>
      <w:bookmarkStart w:id="1006" w:name="_Toc435555151"/>
      <w:bookmarkStart w:id="1007" w:name="_Toc435605758"/>
      <w:bookmarkStart w:id="1008" w:name="_Toc435606291"/>
      <w:bookmarkStart w:id="1009" w:name="_Toc435607887"/>
      <w:bookmarkStart w:id="1010" w:name="_Toc435624843"/>
      <w:bookmarkStart w:id="1011" w:name="_Toc435632080"/>
      <w:bookmarkStart w:id="1012" w:name="_Toc435646494"/>
      <w:bookmarkStart w:id="1013" w:name="_Toc435554622"/>
      <w:bookmarkStart w:id="1014" w:name="_Toc435555152"/>
      <w:bookmarkStart w:id="1015" w:name="_Toc435605759"/>
      <w:bookmarkStart w:id="1016" w:name="_Toc435606292"/>
      <w:bookmarkStart w:id="1017" w:name="_Toc435607888"/>
      <w:bookmarkStart w:id="1018" w:name="_Toc435624844"/>
      <w:bookmarkStart w:id="1019" w:name="_Toc435632081"/>
      <w:bookmarkStart w:id="1020" w:name="_Toc435646495"/>
      <w:bookmarkStart w:id="1021" w:name="_Toc435554623"/>
      <w:bookmarkStart w:id="1022" w:name="_Toc435555153"/>
      <w:bookmarkStart w:id="1023" w:name="_Toc435605760"/>
      <w:bookmarkStart w:id="1024" w:name="_Toc435606293"/>
      <w:bookmarkStart w:id="1025" w:name="_Toc435607889"/>
      <w:bookmarkStart w:id="1026" w:name="_Toc435624845"/>
      <w:bookmarkStart w:id="1027" w:name="_Toc435632082"/>
      <w:bookmarkStart w:id="1028" w:name="_Toc435646496"/>
      <w:bookmarkStart w:id="1029" w:name="_Toc435554624"/>
      <w:bookmarkStart w:id="1030" w:name="_Toc435555154"/>
      <w:bookmarkStart w:id="1031" w:name="_Toc435605761"/>
      <w:bookmarkStart w:id="1032" w:name="_Toc435606294"/>
      <w:bookmarkStart w:id="1033" w:name="_Toc435607890"/>
      <w:bookmarkStart w:id="1034" w:name="_Toc435624846"/>
      <w:bookmarkStart w:id="1035" w:name="_Toc435632083"/>
      <w:bookmarkStart w:id="1036" w:name="_Toc435646497"/>
      <w:bookmarkStart w:id="1037" w:name="_Toc435554625"/>
      <w:bookmarkStart w:id="1038" w:name="_Toc435555155"/>
      <w:bookmarkStart w:id="1039" w:name="_Toc435605762"/>
      <w:bookmarkStart w:id="1040" w:name="_Toc435606295"/>
      <w:bookmarkStart w:id="1041" w:name="_Toc435607891"/>
      <w:bookmarkStart w:id="1042" w:name="_Toc435624847"/>
      <w:bookmarkStart w:id="1043" w:name="_Toc435632084"/>
      <w:bookmarkStart w:id="1044" w:name="_Toc435646498"/>
      <w:bookmarkStart w:id="1045" w:name="_Toc435554629"/>
      <w:bookmarkStart w:id="1046" w:name="_Toc435555159"/>
      <w:bookmarkStart w:id="1047" w:name="_Toc435605766"/>
      <w:bookmarkStart w:id="1048" w:name="_Toc435606299"/>
      <w:bookmarkStart w:id="1049" w:name="_Toc435607895"/>
      <w:bookmarkStart w:id="1050" w:name="_Toc435624851"/>
      <w:bookmarkStart w:id="1051" w:name="_Toc435632088"/>
      <w:bookmarkStart w:id="1052" w:name="_Toc435646502"/>
      <w:bookmarkStart w:id="1053" w:name="_Toc435554657"/>
      <w:bookmarkStart w:id="1054" w:name="_Toc435555187"/>
      <w:bookmarkStart w:id="1055" w:name="_Toc435605794"/>
      <w:bookmarkStart w:id="1056" w:name="_Toc435606327"/>
      <w:bookmarkStart w:id="1057" w:name="_Toc435607923"/>
      <w:bookmarkStart w:id="1058" w:name="_Toc435624879"/>
      <w:bookmarkStart w:id="1059" w:name="_Toc435632116"/>
      <w:bookmarkStart w:id="1060" w:name="_Toc435646530"/>
      <w:bookmarkStart w:id="1061" w:name="_Toc435554658"/>
      <w:bookmarkStart w:id="1062" w:name="_Toc435555188"/>
      <w:bookmarkStart w:id="1063" w:name="_Toc435605795"/>
      <w:bookmarkStart w:id="1064" w:name="_Toc435606328"/>
      <w:bookmarkStart w:id="1065" w:name="_Toc435607924"/>
      <w:bookmarkStart w:id="1066" w:name="_Toc435624880"/>
      <w:bookmarkStart w:id="1067" w:name="_Toc435632117"/>
      <w:bookmarkStart w:id="1068" w:name="_Toc435646531"/>
      <w:bookmarkStart w:id="1069" w:name="_Toc435554659"/>
      <w:bookmarkStart w:id="1070" w:name="_Toc435555189"/>
      <w:bookmarkStart w:id="1071" w:name="_Toc435605796"/>
      <w:bookmarkStart w:id="1072" w:name="_Toc435606329"/>
      <w:bookmarkStart w:id="1073" w:name="_Toc435607925"/>
      <w:bookmarkStart w:id="1074" w:name="_Toc435624881"/>
      <w:bookmarkStart w:id="1075" w:name="_Toc435632118"/>
      <w:bookmarkStart w:id="1076" w:name="_Toc435646532"/>
      <w:bookmarkStart w:id="1077" w:name="_Toc435554660"/>
      <w:bookmarkStart w:id="1078" w:name="_Toc435555190"/>
      <w:bookmarkStart w:id="1079" w:name="_Toc435605797"/>
      <w:bookmarkStart w:id="1080" w:name="_Toc435606330"/>
      <w:bookmarkStart w:id="1081" w:name="_Toc435607926"/>
      <w:bookmarkStart w:id="1082" w:name="_Toc435624882"/>
      <w:bookmarkStart w:id="1083" w:name="_Toc435632119"/>
      <w:bookmarkStart w:id="1084" w:name="_Toc435646533"/>
      <w:bookmarkStart w:id="1085" w:name="_Toc435554661"/>
      <w:bookmarkStart w:id="1086" w:name="_Toc435555191"/>
      <w:bookmarkStart w:id="1087" w:name="_Toc435605798"/>
      <w:bookmarkStart w:id="1088" w:name="_Toc435606331"/>
      <w:bookmarkStart w:id="1089" w:name="_Toc435607927"/>
      <w:bookmarkStart w:id="1090" w:name="_Toc435624883"/>
      <w:bookmarkStart w:id="1091" w:name="_Toc435632120"/>
      <w:bookmarkStart w:id="1092" w:name="_Toc435646534"/>
      <w:bookmarkStart w:id="1093" w:name="_Toc435554662"/>
      <w:bookmarkStart w:id="1094" w:name="_Toc435555192"/>
      <w:bookmarkStart w:id="1095" w:name="_Toc435605799"/>
      <w:bookmarkStart w:id="1096" w:name="_Toc435606332"/>
      <w:bookmarkStart w:id="1097" w:name="_Toc435607928"/>
      <w:bookmarkStart w:id="1098" w:name="_Toc435624884"/>
      <w:bookmarkStart w:id="1099" w:name="_Toc435632121"/>
      <w:bookmarkStart w:id="1100" w:name="_Toc435646535"/>
      <w:bookmarkStart w:id="1101" w:name="_Toc435554663"/>
      <w:bookmarkStart w:id="1102" w:name="_Toc435555193"/>
      <w:bookmarkStart w:id="1103" w:name="_Toc435605800"/>
      <w:bookmarkStart w:id="1104" w:name="_Toc435606333"/>
      <w:bookmarkStart w:id="1105" w:name="_Toc435607929"/>
      <w:bookmarkStart w:id="1106" w:name="_Toc435624885"/>
      <w:bookmarkStart w:id="1107" w:name="_Toc435632122"/>
      <w:bookmarkStart w:id="1108" w:name="_Toc435646536"/>
      <w:bookmarkStart w:id="1109" w:name="_Toc435554664"/>
      <w:bookmarkStart w:id="1110" w:name="_Toc435555194"/>
      <w:bookmarkStart w:id="1111" w:name="_Toc435605801"/>
      <w:bookmarkStart w:id="1112" w:name="_Toc435606334"/>
      <w:bookmarkStart w:id="1113" w:name="_Toc435607930"/>
      <w:bookmarkStart w:id="1114" w:name="_Toc435624886"/>
      <w:bookmarkStart w:id="1115" w:name="_Toc435632123"/>
      <w:bookmarkStart w:id="1116" w:name="_Toc435646537"/>
      <w:bookmarkStart w:id="1117" w:name="_Toc435554665"/>
      <w:bookmarkStart w:id="1118" w:name="_Toc435555195"/>
      <w:bookmarkStart w:id="1119" w:name="_Toc435605802"/>
      <w:bookmarkStart w:id="1120" w:name="_Toc435606335"/>
      <w:bookmarkStart w:id="1121" w:name="_Toc435607931"/>
      <w:bookmarkStart w:id="1122" w:name="_Toc435624887"/>
      <w:bookmarkStart w:id="1123" w:name="_Toc435632124"/>
      <w:bookmarkStart w:id="1124" w:name="_Toc435646538"/>
      <w:bookmarkStart w:id="1125" w:name="_Toc435554666"/>
      <w:bookmarkStart w:id="1126" w:name="_Toc435555196"/>
      <w:bookmarkStart w:id="1127" w:name="_Toc435605803"/>
      <w:bookmarkStart w:id="1128" w:name="_Toc435606336"/>
      <w:bookmarkStart w:id="1129" w:name="_Toc435607932"/>
      <w:bookmarkStart w:id="1130" w:name="_Toc435624888"/>
      <w:bookmarkStart w:id="1131" w:name="_Toc435632125"/>
      <w:bookmarkStart w:id="1132" w:name="_Toc435646539"/>
      <w:bookmarkStart w:id="1133" w:name="_Toc435554667"/>
      <w:bookmarkStart w:id="1134" w:name="_Toc435555197"/>
      <w:bookmarkStart w:id="1135" w:name="_Toc435605804"/>
      <w:bookmarkStart w:id="1136" w:name="_Toc435606337"/>
      <w:bookmarkStart w:id="1137" w:name="_Toc435607933"/>
      <w:bookmarkStart w:id="1138" w:name="_Toc435624889"/>
      <w:bookmarkStart w:id="1139" w:name="_Toc435632126"/>
      <w:bookmarkStart w:id="1140" w:name="_Toc435646540"/>
      <w:bookmarkStart w:id="1141" w:name="_Toc435554668"/>
      <w:bookmarkStart w:id="1142" w:name="_Toc435555198"/>
      <w:bookmarkStart w:id="1143" w:name="_Toc435605805"/>
      <w:bookmarkStart w:id="1144" w:name="_Toc435606338"/>
      <w:bookmarkStart w:id="1145" w:name="_Toc435607934"/>
      <w:bookmarkStart w:id="1146" w:name="_Toc435624890"/>
      <w:bookmarkStart w:id="1147" w:name="_Toc435632127"/>
      <w:bookmarkStart w:id="1148" w:name="_Toc435646541"/>
      <w:bookmarkStart w:id="1149" w:name="_Toc435554669"/>
      <w:bookmarkStart w:id="1150" w:name="_Toc435555199"/>
      <w:bookmarkStart w:id="1151" w:name="_Toc435605806"/>
      <w:bookmarkStart w:id="1152" w:name="_Toc435606339"/>
      <w:bookmarkStart w:id="1153" w:name="_Toc435607935"/>
      <w:bookmarkStart w:id="1154" w:name="_Toc435624891"/>
      <w:bookmarkStart w:id="1155" w:name="_Toc435632128"/>
      <w:bookmarkStart w:id="1156" w:name="_Toc435646542"/>
      <w:bookmarkStart w:id="1157" w:name="_Toc435554670"/>
      <w:bookmarkStart w:id="1158" w:name="_Toc435555200"/>
      <w:bookmarkStart w:id="1159" w:name="_Toc435605807"/>
      <w:bookmarkStart w:id="1160" w:name="_Toc435606340"/>
      <w:bookmarkStart w:id="1161" w:name="_Toc435607936"/>
      <w:bookmarkStart w:id="1162" w:name="_Toc435624892"/>
      <w:bookmarkStart w:id="1163" w:name="_Toc435632129"/>
      <w:bookmarkStart w:id="1164" w:name="_Toc435646543"/>
      <w:bookmarkStart w:id="1165" w:name="_Toc435554671"/>
      <w:bookmarkStart w:id="1166" w:name="_Toc435555201"/>
      <w:bookmarkStart w:id="1167" w:name="_Toc435605808"/>
      <w:bookmarkStart w:id="1168" w:name="_Toc435606341"/>
      <w:bookmarkStart w:id="1169" w:name="_Toc435607937"/>
      <w:bookmarkStart w:id="1170" w:name="_Toc435624893"/>
      <w:bookmarkStart w:id="1171" w:name="_Toc435632130"/>
      <w:bookmarkStart w:id="1172" w:name="_Toc435646544"/>
      <w:bookmarkStart w:id="1173" w:name="_Toc435554672"/>
      <w:bookmarkStart w:id="1174" w:name="_Toc435555202"/>
      <w:bookmarkStart w:id="1175" w:name="_Toc435605809"/>
      <w:bookmarkStart w:id="1176" w:name="_Toc435606342"/>
      <w:bookmarkStart w:id="1177" w:name="_Toc435607938"/>
      <w:bookmarkStart w:id="1178" w:name="_Toc435624894"/>
      <w:bookmarkStart w:id="1179" w:name="_Toc435632131"/>
      <w:bookmarkStart w:id="1180" w:name="_Toc435646545"/>
      <w:bookmarkStart w:id="1181" w:name="_Toc435554673"/>
      <w:bookmarkStart w:id="1182" w:name="_Toc435555203"/>
      <w:bookmarkStart w:id="1183" w:name="_Toc435605810"/>
      <w:bookmarkStart w:id="1184" w:name="_Toc435606343"/>
      <w:bookmarkStart w:id="1185" w:name="_Toc435607939"/>
      <w:bookmarkStart w:id="1186" w:name="_Toc435624895"/>
      <w:bookmarkStart w:id="1187" w:name="_Toc435632132"/>
      <w:bookmarkStart w:id="1188" w:name="_Toc435646546"/>
      <w:bookmarkStart w:id="1189" w:name="_Toc435554674"/>
      <w:bookmarkStart w:id="1190" w:name="_Toc435555204"/>
      <w:bookmarkStart w:id="1191" w:name="_Toc435605811"/>
      <w:bookmarkStart w:id="1192" w:name="_Toc435606344"/>
      <w:bookmarkStart w:id="1193" w:name="_Toc435607940"/>
      <w:bookmarkStart w:id="1194" w:name="_Toc435624896"/>
      <w:bookmarkStart w:id="1195" w:name="_Toc435632133"/>
      <w:bookmarkStart w:id="1196" w:name="_Toc435646547"/>
      <w:bookmarkStart w:id="1197" w:name="_Toc435554675"/>
      <w:bookmarkStart w:id="1198" w:name="_Toc435555205"/>
      <w:bookmarkStart w:id="1199" w:name="_Toc435605812"/>
      <w:bookmarkStart w:id="1200" w:name="_Toc435606345"/>
      <w:bookmarkStart w:id="1201" w:name="_Toc435607941"/>
      <w:bookmarkStart w:id="1202" w:name="_Toc435624897"/>
      <w:bookmarkStart w:id="1203" w:name="_Toc435632134"/>
      <w:bookmarkStart w:id="1204" w:name="_Toc435646548"/>
      <w:bookmarkStart w:id="1205" w:name="_Toc435554676"/>
      <w:bookmarkStart w:id="1206" w:name="_Toc435555206"/>
      <w:bookmarkStart w:id="1207" w:name="_Toc435605813"/>
      <w:bookmarkStart w:id="1208" w:name="_Toc435606346"/>
      <w:bookmarkStart w:id="1209" w:name="_Toc435607942"/>
      <w:bookmarkStart w:id="1210" w:name="_Toc435624898"/>
      <w:bookmarkStart w:id="1211" w:name="_Toc435632135"/>
      <w:bookmarkStart w:id="1212" w:name="_Toc435646549"/>
      <w:bookmarkStart w:id="1213" w:name="_Toc435554677"/>
      <w:bookmarkStart w:id="1214" w:name="_Toc435555207"/>
      <w:bookmarkStart w:id="1215" w:name="_Toc435605814"/>
      <w:bookmarkStart w:id="1216" w:name="_Toc435606347"/>
      <w:bookmarkStart w:id="1217" w:name="_Toc435607943"/>
      <w:bookmarkStart w:id="1218" w:name="_Toc435624899"/>
      <w:bookmarkStart w:id="1219" w:name="_Toc435632136"/>
      <w:bookmarkStart w:id="1220" w:name="_Toc435646550"/>
      <w:bookmarkStart w:id="1221" w:name="_Toc435554678"/>
      <w:bookmarkStart w:id="1222" w:name="_Toc435555208"/>
      <w:bookmarkStart w:id="1223" w:name="_Toc435605815"/>
      <w:bookmarkStart w:id="1224" w:name="_Toc435606348"/>
      <w:bookmarkStart w:id="1225" w:name="_Toc435607944"/>
      <w:bookmarkStart w:id="1226" w:name="_Toc435624900"/>
      <w:bookmarkStart w:id="1227" w:name="_Toc435632137"/>
      <w:bookmarkStart w:id="1228" w:name="_Toc435646551"/>
      <w:bookmarkStart w:id="1229" w:name="_Toc435554679"/>
      <w:bookmarkStart w:id="1230" w:name="_Toc435555209"/>
      <w:bookmarkStart w:id="1231" w:name="_Toc435605816"/>
      <w:bookmarkStart w:id="1232" w:name="_Toc435606349"/>
      <w:bookmarkStart w:id="1233" w:name="_Toc435607945"/>
      <w:bookmarkStart w:id="1234" w:name="_Toc435624901"/>
      <w:bookmarkStart w:id="1235" w:name="_Toc435632138"/>
      <w:bookmarkStart w:id="1236" w:name="_Toc435646552"/>
      <w:bookmarkStart w:id="1237" w:name="_Toc435554680"/>
      <w:bookmarkStart w:id="1238" w:name="_Toc435555210"/>
      <w:bookmarkStart w:id="1239" w:name="_Toc435605817"/>
      <w:bookmarkStart w:id="1240" w:name="_Toc435606350"/>
      <w:bookmarkStart w:id="1241" w:name="_Toc435607946"/>
      <w:bookmarkStart w:id="1242" w:name="_Toc435624902"/>
      <w:bookmarkStart w:id="1243" w:name="_Toc435632139"/>
      <w:bookmarkStart w:id="1244" w:name="_Toc435646553"/>
      <w:bookmarkStart w:id="1245" w:name="_Toc435554681"/>
      <w:bookmarkStart w:id="1246" w:name="_Toc435555211"/>
      <w:bookmarkStart w:id="1247" w:name="_Toc435605818"/>
      <w:bookmarkStart w:id="1248" w:name="_Toc435606351"/>
      <w:bookmarkStart w:id="1249" w:name="_Toc435607947"/>
      <w:bookmarkStart w:id="1250" w:name="_Toc435624903"/>
      <w:bookmarkStart w:id="1251" w:name="_Toc435632140"/>
      <w:bookmarkStart w:id="1252" w:name="_Toc435646554"/>
      <w:bookmarkStart w:id="1253" w:name="_Toc435554682"/>
      <w:bookmarkStart w:id="1254" w:name="_Toc435555212"/>
      <w:bookmarkStart w:id="1255" w:name="_Toc435605819"/>
      <w:bookmarkStart w:id="1256" w:name="_Toc435606352"/>
      <w:bookmarkStart w:id="1257" w:name="_Toc435607948"/>
      <w:bookmarkStart w:id="1258" w:name="_Toc435624904"/>
      <w:bookmarkStart w:id="1259" w:name="_Toc435632141"/>
      <w:bookmarkStart w:id="1260" w:name="_Toc435646555"/>
      <w:bookmarkStart w:id="1261" w:name="_Toc435554683"/>
      <w:bookmarkStart w:id="1262" w:name="_Toc435555213"/>
      <w:bookmarkStart w:id="1263" w:name="_Toc435605820"/>
      <w:bookmarkStart w:id="1264" w:name="_Toc435606353"/>
      <w:bookmarkStart w:id="1265" w:name="_Toc435607949"/>
      <w:bookmarkStart w:id="1266" w:name="_Toc435624905"/>
      <w:bookmarkStart w:id="1267" w:name="_Toc435632142"/>
      <w:bookmarkStart w:id="1268" w:name="_Toc435646556"/>
      <w:bookmarkStart w:id="1269" w:name="_Toc435554684"/>
      <w:bookmarkStart w:id="1270" w:name="_Toc435555214"/>
      <w:bookmarkStart w:id="1271" w:name="_Toc435605821"/>
      <w:bookmarkStart w:id="1272" w:name="_Toc435606354"/>
      <w:bookmarkStart w:id="1273" w:name="_Toc435607950"/>
      <w:bookmarkStart w:id="1274" w:name="_Toc435624906"/>
      <w:bookmarkStart w:id="1275" w:name="_Toc435632143"/>
      <w:bookmarkStart w:id="1276" w:name="_Toc435646557"/>
      <w:bookmarkStart w:id="1277" w:name="_Toc435554685"/>
      <w:bookmarkStart w:id="1278" w:name="_Toc435555215"/>
      <w:bookmarkStart w:id="1279" w:name="_Toc435605822"/>
      <w:bookmarkStart w:id="1280" w:name="_Toc435606355"/>
      <w:bookmarkStart w:id="1281" w:name="_Toc435607951"/>
      <w:bookmarkStart w:id="1282" w:name="_Toc435624907"/>
      <w:bookmarkStart w:id="1283" w:name="_Toc435632144"/>
      <w:bookmarkStart w:id="1284" w:name="_Toc435646558"/>
      <w:bookmarkStart w:id="1285" w:name="_Toc435554686"/>
      <w:bookmarkStart w:id="1286" w:name="_Toc435555216"/>
      <w:bookmarkStart w:id="1287" w:name="_Toc435605823"/>
      <w:bookmarkStart w:id="1288" w:name="_Toc435606356"/>
      <w:bookmarkStart w:id="1289" w:name="_Toc435607952"/>
      <w:bookmarkStart w:id="1290" w:name="_Toc435624908"/>
      <w:bookmarkStart w:id="1291" w:name="_Toc435632145"/>
      <w:bookmarkStart w:id="1292" w:name="_Toc435646559"/>
      <w:bookmarkStart w:id="1293" w:name="_Toc435554687"/>
      <w:bookmarkStart w:id="1294" w:name="_Toc435555217"/>
      <w:bookmarkStart w:id="1295" w:name="_Toc435605824"/>
      <w:bookmarkStart w:id="1296" w:name="_Toc435606357"/>
      <w:bookmarkStart w:id="1297" w:name="_Toc435607953"/>
      <w:bookmarkStart w:id="1298" w:name="_Toc435624909"/>
      <w:bookmarkStart w:id="1299" w:name="_Toc435632146"/>
      <w:bookmarkStart w:id="1300" w:name="_Toc435646560"/>
      <w:bookmarkStart w:id="1301" w:name="_Toc435554688"/>
      <w:bookmarkStart w:id="1302" w:name="_Toc435555218"/>
      <w:bookmarkStart w:id="1303" w:name="_Toc435605825"/>
      <w:bookmarkStart w:id="1304" w:name="_Toc435606358"/>
      <w:bookmarkStart w:id="1305" w:name="_Toc435607954"/>
      <w:bookmarkStart w:id="1306" w:name="_Toc435624910"/>
      <w:bookmarkStart w:id="1307" w:name="_Toc435632147"/>
      <w:bookmarkStart w:id="1308" w:name="_Toc435646561"/>
      <w:bookmarkStart w:id="1309" w:name="_Toc435554698"/>
      <w:bookmarkStart w:id="1310" w:name="_Toc435555228"/>
      <w:bookmarkStart w:id="1311" w:name="_Toc435605835"/>
      <w:bookmarkStart w:id="1312" w:name="_Toc435606368"/>
      <w:bookmarkStart w:id="1313" w:name="_Toc435607964"/>
      <w:bookmarkStart w:id="1314" w:name="_Toc435624920"/>
      <w:bookmarkStart w:id="1315" w:name="_Toc435632157"/>
      <w:bookmarkStart w:id="1316" w:name="_Toc435646571"/>
      <w:bookmarkStart w:id="1317" w:name="_Toc435554699"/>
      <w:bookmarkStart w:id="1318" w:name="_Toc435555229"/>
      <w:bookmarkStart w:id="1319" w:name="_Toc435605836"/>
      <w:bookmarkStart w:id="1320" w:name="_Toc435606369"/>
      <w:bookmarkStart w:id="1321" w:name="_Toc435607965"/>
      <w:bookmarkStart w:id="1322" w:name="_Toc435624921"/>
      <w:bookmarkStart w:id="1323" w:name="_Toc435632158"/>
      <w:bookmarkStart w:id="1324" w:name="_Toc435646572"/>
      <w:bookmarkStart w:id="1325" w:name="_Toc435554700"/>
      <w:bookmarkStart w:id="1326" w:name="_Toc435555230"/>
      <w:bookmarkStart w:id="1327" w:name="_Toc435605837"/>
      <w:bookmarkStart w:id="1328" w:name="_Toc435606370"/>
      <w:bookmarkStart w:id="1329" w:name="_Toc435607966"/>
      <w:bookmarkStart w:id="1330" w:name="_Toc435624922"/>
      <w:bookmarkStart w:id="1331" w:name="_Toc435632159"/>
      <w:bookmarkStart w:id="1332" w:name="_Toc435646573"/>
      <w:bookmarkStart w:id="1333" w:name="_Toc435554701"/>
      <w:bookmarkStart w:id="1334" w:name="_Toc435555231"/>
      <w:bookmarkStart w:id="1335" w:name="_Toc435605838"/>
      <w:bookmarkStart w:id="1336" w:name="_Toc435606371"/>
      <w:bookmarkStart w:id="1337" w:name="_Toc435607967"/>
      <w:bookmarkStart w:id="1338" w:name="_Toc435624923"/>
      <w:bookmarkStart w:id="1339" w:name="_Toc435632160"/>
      <w:bookmarkStart w:id="1340" w:name="_Toc435646574"/>
      <w:bookmarkStart w:id="1341" w:name="_Toc435554702"/>
      <w:bookmarkStart w:id="1342" w:name="_Toc435555232"/>
      <w:bookmarkStart w:id="1343" w:name="_Toc435605839"/>
      <w:bookmarkStart w:id="1344" w:name="_Toc435606372"/>
      <w:bookmarkStart w:id="1345" w:name="_Toc435607968"/>
      <w:bookmarkStart w:id="1346" w:name="_Toc435624924"/>
      <w:bookmarkStart w:id="1347" w:name="_Toc435632161"/>
      <w:bookmarkStart w:id="1348" w:name="_Toc435646575"/>
      <w:bookmarkStart w:id="1349" w:name="_Toc435554712"/>
      <w:bookmarkStart w:id="1350" w:name="_Toc435555242"/>
      <w:bookmarkStart w:id="1351" w:name="_Toc435605849"/>
      <w:bookmarkStart w:id="1352" w:name="_Toc435606382"/>
      <w:bookmarkStart w:id="1353" w:name="_Toc435607978"/>
      <w:bookmarkStart w:id="1354" w:name="_Toc435624934"/>
      <w:bookmarkStart w:id="1355" w:name="_Toc435632171"/>
      <w:bookmarkStart w:id="1356" w:name="_Toc435646585"/>
      <w:bookmarkStart w:id="1357" w:name="_Toc435554713"/>
      <w:bookmarkStart w:id="1358" w:name="_Toc435555243"/>
      <w:bookmarkStart w:id="1359" w:name="_Toc435605850"/>
      <w:bookmarkStart w:id="1360" w:name="_Toc435606383"/>
      <w:bookmarkStart w:id="1361" w:name="_Toc435607979"/>
      <w:bookmarkStart w:id="1362" w:name="_Toc435624935"/>
      <w:bookmarkStart w:id="1363" w:name="_Toc435632172"/>
      <w:bookmarkStart w:id="1364" w:name="_Toc435646586"/>
      <w:bookmarkStart w:id="1365" w:name="_Toc435554714"/>
      <w:bookmarkStart w:id="1366" w:name="_Toc435555244"/>
      <w:bookmarkStart w:id="1367" w:name="_Toc435605851"/>
      <w:bookmarkStart w:id="1368" w:name="_Toc435606384"/>
      <w:bookmarkStart w:id="1369" w:name="_Toc435607980"/>
      <w:bookmarkStart w:id="1370" w:name="_Toc435624936"/>
      <w:bookmarkStart w:id="1371" w:name="_Toc435632173"/>
      <w:bookmarkStart w:id="1372" w:name="_Toc435646587"/>
      <w:bookmarkStart w:id="1373" w:name="_Toc435554715"/>
      <w:bookmarkStart w:id="1374" w:name="_Toc435555245"/>
      <w:bookmarkStart w:id="1375" w:name="_Toc435605852"/>
      <w:bookmarkStart w:id="1376" w:name="_Toc435606385"/>
      <w:bookmarkStart w:id="1377" w:name="_Toc435607981"/>
      <w:bookmarkStart w:id="1378" w:name="_Toc435624937"/>
      <w:bookmarkStart w:id="1379" w:name="_Toc435632174"/>
      <w:bookmarkStart w:id="1380" w:name="_Toc435646588"/>
      <w:bookmarkStart w:id="1381" w:name="_Toc435554716"/>
      <w:bookmarkStart w:id="1382" w:name="_Toc435555246"/>
      <w:bookmarkStart w:id="1383" w:name="_Toc435605853"/>
      <w:bookmarkStart w:id="1384" w:name="_Toc435606386"/>
      <w:bookmarkStart w:id="1385" w:name="_Toc435607982"/>
      <w:bookmarkStart w:id="1386" w:name="_Toc435624938"/>
      <w:bookmarkStart w:id="1387" w:name="_Toc435632175"/>
      <w:bookmarkStart w:id="1388" w:name="_Toc435646589"/>
      <w:bookmarkStart w:id="1389" w:name="_Toc435554732"/>
      <w:bookmarkStart w:id="1390" w:name="_Toc435555262"/>
      <w:bookmarkStart w:id="1391" w:name="_Toc435605869"/>
      <w:bookmarkStart w:id="1392" w:name="_Toc435606402"/>
      <w:bookmarkStart w:id="1393" w:name="_Toc435607998"/>
      <w:bookmarkStart w:id="1394" w:name="_Toc435624954"/>
      <w:bookmarkStart w:id="1395" w:name="_Toc435632191"/>
      <w:bookmarkStart w:id="1396" w:name="_Toc435646605"/>
      <w:bookmarkStart w:id="1397" w:name="_Toc435554733"/>
      <w:bookmarkStart w:id="1398" w:name="_Toc435555263"/>
      <w:bookmarkStart w:id="1399" w:name="_Toc435605870"/>
      <w:bookmarkStart w:id="1400" w:name="_Toc435606403"/>
      <w:bookmarkStart w:id="1401" w:name="_Toc435607999"/>
      <w:bookmarkStart w:id="1402" w:name="_Toc435624955"/>
      <w:bookmarkStart w:id="1403" w:name="_Toc435632192"/>
      <w:bookmarkStart w:id="1404" w:name="_Toc435646606"/>
      <w:bookmarkStart w:id="1405" w:name="_Toc435554734"/>
      <w:bookmarkStart w:id="1406" w:name="_Toc435555264"/>
      <w:bookmarkStart w:id="1407" w:name="_Toc435605871"/>
      <w:bookmarkStart w:id="1408" w:name="_Toc435606404"/>
      <w:bookmarkStart w:id="1409" w:name="_Toc435608000"/>
      <w:bookmarkStart w:id="1410" w:name="_Toc435624956"/>
      <w:bookmarkStart w:id="1411" w:name="_Toc435632193"/>
      <w:bookmarkStart w:id="1412" w:name="_Toc435646607"/>
      <w:bookmarkStart w:id="1413" w:name="_Toc435554735"/>
      <w:bookmarkStart w:id="1414" w:name="_Toc435555265"/>
      <w:bookmarkStart w:id="1415" w:name="_Toc435605872"/>
      <w:bookmarkStart w:id="1416" w:name="_Toc435606405"/>
      <w:bookmarkStart w:id="1417" w:name="_Toc435608001"/>
      <w:bookmarkStart w:id="1418" w:name="_Toc435624957"/>
      <w:bookmarkStart w:id="1419" w:name="_Toc435632194"/>
      <w:bookmarkStart w:id="1420" w:name="_Toc435646608"/>
      <w:bookmarkStart w:id="1421" w:name="_Toc435554736"/>
      <w:bookmarkStart w:id="1422" w:name="_Toc435555266"/>
      <w:bookmarkStart w:id="1423" w:name="_Toc435605873"/>
      <w:bookmarkStart w:id="1424" w:name="_Toc435606406"/>
      <w:bookmarkStart w:id="1425" w:name="_Toc435608002"/>
      <w:bookmarkStart w:id="1426" w:name="_Toc435624958"/>
      <w:bookmarkStart w:id="1427" w:name="_Toc435632195"/>
      <w:bookmarkStart w:id="1428" w:name="_Toc435646609"/>
      <w:bookmarkStart w:id="1429" w:name="_Toc435554737"/>
      <w:bookmarkStart w:id="1430" w:name="_Toc435555267"/>
      <w:bookmarkStart w:id="1431" w:name="_Toc435605874"/>
      <w:bookmarkStart w:id="1432" w:name="_Toc435606407"/>
      <w:bookmarkStart w:id="1433" w:name="_Toc435608003"/>
      <w:bookmarkStart w:id="1434" w:name="_Toc435624959"/>
      <w:bookmarkStart w:id="1435" w:name="_Toc435632196"/>
      <w:bookmarkStart w:id="1436" w:name="_Toc435646610"/>
      <w:bookmarkStart w:id="1437" w:name="_Toc435554738"/>
      <w:bookmarkStart w:id="1438" w:name="_Toc435555268"/>
      <w:bookmarkStart w:id="1439" w:name="_Toc435605875"/>
      <w:bookmarkStart w:id="1440" w:name="_Toc435606408"/>
      <w:bookmarkStart w:id="1441" w:name="_Toc435608004"/>
      <w:bookmarkStart w:id="1442" w:name="_Toc435624960"/>
      <w:bookmarkStart w:id="1443" w:name="_Toc435632197"/>
      <w:bookmarkStart w:id="1444" w:name="_Toc435646611"/>
      <w:bookmarkStart w:id="1445" w:name="_Toc435554739"/>
      <w:bookmarkStart w:id="1446" w:name="_Toc435555269"/>
      <w:bookmarkStart w:id="1447" w:name="_Toc435605876"/>
      <w:bookmarkStart w:id="1448" w:name="_Toc435606409"/>
      <w:bookmarkStart w:id="1449" w:name="_Toc435608005"/>
      <w:bookmarkStart w:id="1450" w:name="_Toc435624961"/>
      <w:bookmarkStart w:id="1451" w:name="_Toc435632198"/>
      <w:bookmarkStart w:id="1452" w:name="_Toc435646612"/>
      <w:bookmarkStart w:id="1453" w:name="_Toc435554740"/>
      <w:bookmarkStart w:id="1454" w:name="_Toc435555270"/>
      <w:bookmarkStart w:id="1455" w:name="_Toc435605877"/>
      <w:bookmarkStart w:id="1456" w:name="_Toc435606410"/>
      <w:bookmarkStart w:id="1457" w:name="_Toc435608006"/>
      <w:bookmarkStart w:id="1458" w:name="_Toc435624962"/>
      <w:bookmarkStart w:id="1459" w:name="_Toc435632199"/>
      <w:bookmarkStart w:id="1460" w:name="_Toc435646613"/>
      <w:bookmarkStart w:id="1461" w:name="_Toc435554741"/>
      <w:bookmarkStart w:id="1462" w:name="_Toc435555271"/>
      <w:bookmarkStart w:id="1463" w:name="_Toc435605878"/>
      <w:bookmarkStart w:id="1464" w:name="_Toc435606411"/>
      <w:bookmarkStart w:id="1465" w:name="_Toc435608007"/>
      <w:bookmarkStart w:id="1466" w:name="_Toc435624963"/>
      <w:bookmarkStart w:id="1467" w:name="_Toc435632200"/>
      <w:bookmarkStart w:id="1468" w:name="_Toc435646614"/>
      <w:bookmarkStart w:id="1469" w:name="_Toc435554742"/>
      <w:bookmarkStart w:id="1470" w:name="_Toc435555272"/>
      <w:bookmarkStart w:id="1471" w:name="_Toc435605879"/>
      <w:bookmarkStart w:id="1472" w:name="_Toc435606412"/>
      <w:bookmarkStart w:id="1473" w:name="_Toc435608008"/>
      <w:bookmarkStart w:id="1474" w:name="_Toc435624964"/>
      <w:bookmarkStart w:id="1475" w:name="_Toc435632201"/>
      <w:bookmarkStart w:id="1476" w:name="_Toc435646615"/>
      <w:bookmarkStart w:id="1477" w:name="_Toc435554743"/>
      <w:bookmarkStart w:id="1478" w:name="_Toc435555273"/>
      <w:bookmarkStart w:id="1479" w:name="_Toc435605880"/>
      <w:bookmarkStart w:id="1480" w:name="_Toc435606413"/>
      <w:bookmarkStart w:id="1481" w:name="_Toc435608009"/>
      <w:bookmarkStart w:id="1482" w:name="_Toc435624965"/>
      <w:bookmarkStart w:id="1483" w:name="_Toc435632202"/>
      <w:bookmarkStart w:id="1484" w:name="_Toc435646616"/>
      <w:bookmarkStart w:id="1485" w:name="_Toc435554744"/>
      <w:bookmarkStart w:id="1486" w:name="_Toc435555274"/>
      <w:bookmarkStart w:id="1487" w:name="_Toc435605881"/>
      <w:bookmarkStart w:id="1488" w:name="_Toc435606414"/>
      <w:bookmarkStart w:id="1489" w:name="_Toc435608010"/>
      <w:bookmarkStart w:id="1490" w:name="_Toc435624966"/>
      <w:bookmarkStart w:id="1491" w:name="_Toc435632203"/>
      <w:bookmarkStart w:id="1492" w:name="_Toc435646617"/>
      <w:bookmarkStart w:id="1493" w:name="_Toc435554745"/>
      <w:bookmarkStart w:id="1494" w:name="_Toc435555275"/>
      <w:bookmarkStart w:id="1495" w:name="_Toc435605882"/>
      <w:bookmarkStart w:id="1496" w:name="_Toc435606415"/>
      <w:bookmarkStart w:id="1497" w:name="_Toc435608011"/>
      <w:bookmarkStart w:id="1498" w:name="_Toc435624967"/>
      <w:bookmarkStart w:id="1499" w:name="_Toc435632204"/>
      <w:bookmarkStart w:id="1500" w:name="_Toc435646618"/>
      <w:bookmarkStart w:id="1501" w:name="_Toc435554746"/>
      <w:bookmarkStart w:id="1502" w:name="_Toc435555276"/>
      <w:bookmarkStart w:id="1503" w:name="_Toc435605883"/>
      <w:bookmarkStart w:id="1504" w:name="_Toc435606416"/>
      <w:bookmarkStart w:id="1505" w:name="_Toc435608012"/>
      <w:bookmarkStart w:id="1506" w:name="_Toc435624968"/>
      <w:bookmarkStart w:id="1507" w:name="_Toc435632205"/>
      <w:bookmarkStart w:id="1508" w:name="_Toc435646619"/>
      <w:bookmarkStart w:id="1509" w:name="_Toc435554747"/>
      <w:bookmarkStart w:id="1510" w:name="_Toc435555277"/>
      <w:bookmarkStart w:id="1511" w:name="_Toc435605884"/>
      <w:bookmarkStart w:id="1512" w:name="_Toc435606417"/>
      <w:bookmarkStart w:id="1513" w:name="_Toc435608013"/>
      <w:bookmarkStart w:id="1514" w:name="_Toc435624969"/>
      <w:bookmarkStart w:id="1515" w:name="_Toc435632206"/>
      <w:bookmarkStart w:id="1516" w:name="_Toc435646620"/>
      <w:bookmarkStart w:id="1517" w:name="_Toc435554748"/>
      <w:bookmarkStart w:id="1518" w:name="_Toc435555278"/>
      <w:bookmarkStart w:id="1519" w:name="_Toc435605885"/>
      <w:bookmarkStart w:id="1520" w:name="_Toc435606418"/>
      <w:bookmarkStart w:id="1521" w:name="_Toc435608014"/>
      <w:bookmarkStart w:id="1522" w:name="_Toc435624970"/>
      <w:bookmarkStart w:id="1523" w:name="_Toc435632207"/>
      <w:bookmarkStart w:id="1524" w:name="_Toc435646621"/>
      <w:bookmarkStart w:id="1525" w:name="_Toc435554749"/>
      <w:bookmarkStart w:id="1526" w:name="_Toc435555279"/>
      <w:bookmarkStart w:id="1527" w:name="_Toc435605886"/>
      <w:bookmarkStart w:id="1528" w:name="_Toc435606419"/>
      <w:bookmarkStart w:id="1529" w:name="_Toc435608015"/>
      <w:bookmarkStart w:id="1530" w:name="_Toc435624971"/>
      <w:bookmarkStart w:id="1531" w:name="_Toc435632208"/>
      <w:bookmarkStart w:id="1532" w:name="_Toc435646622"/>
      <w:bookmarkStart w:id="1533" w:name="_Toc435554750"/>
      <w:bookmarkStart w:id="1534" w:name="_Toc435555280"/>
      <w:bookmarkStart w:id="1535" w:name="_Toc435605887"/>
      <w:bookmarkStart w:id="1536" w:name="_Toc435606420"/>
      <w:bookmarkStart w:id="1537" w:name="_Toc435608016"/>
      <w:bookmarkStart w:id="1538" w:name="_Toc435624972"/>
      <w:bookmarkStart w:id="1539" w:name="_Toc435632209"/>
      <w:bookmarkStart w:id="1540" w:name="_Toc435646623"/>
      <w:bookmarkStart w:id="1541" w:name="_Toc435554751"/>
      <w:bookmarkStart w:id="1542" w:name="_Toc435555281"/>
      <w:bookmarkStart w:id="1543" w:name="_Toc435605888"/>
      <w:bookmarkStart w:id="1544" w:name="_Toc435606421"/>
      <w:bookmarkStart w:id="1545" w:name="_Toc435608017"/>
      <w:bookmarkStart w:id="1546" w:name="_Toc435624973"/>
      <w:bookmarkStart w:id="1547" w:name="_Toc435632210"/>
      <w:bookmarkStart w:id="1548" w:name="_Toc435646624"/>
      <w:bookmarkStart w:id="1549" w:name="_Toc435554752"/>
      <w:bookmarkStart w:id="1550" w:name="_Toc435555282"/>
      <w:bookmarkStart w:id="1551" w:name="_Toc435605889"/>
      <w:bookmarkStart w:id="1552" w:name="_Toc435606422"/>
      <w:bookmarkStart w:id="1553" w:name="_Toc435608018"/>
      <w:bookmarkStart w:id="1554" w:name="_Toc435624974"/>
      <w:bookmarkStart w:id="1555" w:name="_Toc435632211"/>
      <w:bookmarkStart w:id="1556" w:name="_Toc435646625"/>
      <w:bookmarkStart w:id="1557" w:name="_Toc435554753"/>
      <w:bookmarkStart w:id="1558" w:name="_Toc435555283"/>
      <w:bookmarkStart w:id="1559" w:name="_Toc435605890"/>
      <w:bookmarkStart w:id="1560" w:name="_Toc435606423"/>
      <w:bookmarkStart w:id="1561" w:name="_Toc435608019"/>
      <w:bookmarkStart w:id="1562" w:name="_Toc435624975"/>
      <w:bookmarkStart w:id="1563" w:name="_Toc435632212"/>
      <w:bookmarkStart w:id="1564" w:name="_Toc435646626"/>
      <w:bookmarkStart w:id="1565" w:name="_Toc435554754"/>
      <w:bookmarkStart w:id="1566" w:name="_Toc435555284"/>
      <w:bookmarkStart w:id="1567" w:name="_Toc435605891"/>
      <w:bookmarkStart w:id="1568" w:name="_Toc435606424"/>
      <w:bookmarkStart w:id="1569" w:name="_Toc435608020"/>
      <w:bookmarkStart w:id="1570" w:name="_Toc435624976"/>
      <w:bookmarkStart w:id="1571" w:name="_Toc435632213"/>
      <w:bookmarkStart w:id="1572" w:name="_Toc435646627"/>
      <w:bookmarkStart w:id="1573" w:name="_Toc435554755"/>
      <w:bookmarkStart w:id="1574" w:name="_Toc435555285"/>
      <w:bookmarkStart w:id="1575" w:name="_Toc435605892"/>
      <w:bookmarkStart w:id="1576" w:name="_Toc435606425"/>
      <w:bookmarkStart w:id="1577" w:name="_Toc435608021"/>
      <w:bookmarkStart w:id="1578" w:name="_Toc435624977"/>
      <w:bookmarkStart w:id="1579" w:name="_Toc435632214"/>
      <w:bookmarkStart w:id="1580" w:name="_Toc435646628"/>
      <w:bookmarkStart w:id="1581" w:name="_Toc435554756"/>
      <w:bookmarkStart w:id="1582" w:name="_Toc435555286"/>
      <w:bookmarkStart w:id="1583" w:name="_Toc435605893"/>
      <w:bookmarkStart w:id="1584" w:name="_Toc435606426"/>
      <w:bookmarkStart w:id="1585" w:name="_Toc435608022"/>
      <w:bookmarkStart w:id="1586" w:name="_Toc435624978"/>
      <w:bookmarkStart w:id="1587" w:name="_Toc435632215"/>
      <w:bookmarkStart w:id="1588" w:name="_Toc435646629"/>
      <w:bookmarkStart w:id="1589" w:name="_Toc435554757"/>
      <w:bookmarkStart w:id="1590" w:name="_Toc435555287"/>
      <w:bookmarkStart w:id="1591" w:name="_Toc435605894"/>
      <w:bookmarkStart w:id="1592" w:name="_Toc435606427"/>
      <w:bookmarkStart w:id="1593" w:name="_Toc435608023"/>
      <w:bookmarkStart w:id="1594" w:name="_Toc435624979"/>
      <w:bookmarkStart w:id="1595" w:name="_Toc435632216"/>
      <w:bookmarkStart w:id="1596" w:name="_Toc435646630"/>
      <w:bookmarkStart w:id="1597" w:name="_Toc435554758"/>
      <w:bookmarkStart w:id="1598" w:name="_Toc435555288"/>
      <w:bookmarkStart w:id="1599" w:name="_Toc435605895"/>
      <w:bookmarkStart w:id="1600" w:name="_Toc435606428"/>
      <w:bookmarkStart w:id="1601" w:name="_Toc435608024"/>
      <w:bookmarkStart w:id="1602" w:name="_Toc435624980"/>
      <w:bookmarkStart w:id="1603" w:name="_Toc435632217"/>
      <w:bookmarkStart w:id="1604" w:name="_Toc435646631"/>
      <w:bookmarkStart w:id="1605" w:name="_Toc435554759"/>
      <w:bookmarkStart w:id="1606" w:name="_Toc435555289"/>
      <w:bookmarkStart w:id="1607" w:name="_Toc435605896"/>
      <w:bookmarkStart w:id="1608" w:name="_Toc435606429"/>
      <w:bookmarkStart w:id="1609" w:name="_Toc435608025"/>
      <w:bookmarkStart w:id="1610" w:name="_Toc435624981"/>
      <w:bookmarkStart w:id="1611" w:name="_Toc435632218"/>
      <w:bookmarkStart w:id="1612" w:name="_Toc435646632"/>
      <w:bookmarkStart w:id="1613" w:name="_Toc435554760"/>
      <w:bookmarkStart w:id="1614" w:name="_Toc435555290"/>
      <w:bookmarkStart w:id="1615" w:name="_Toc435605897"/>
      <w:bookmarkStart w:id="1616" w:name="_Toc435606430"/>
      <w:bookmarkStart w:id="1617" w:name="_Toc435608026"/>
      <w:bookmarkStart w:id="1618" w:name="_Toc435624982"/>
      <w:bookmarkStart w:id="1619" w:name="_Toc435632219"/>
      <w:bookmarkStart w:id="1620" w:name="_Toc435646633"/>
      <w:bookmarkStart w:id="1621" w:name="_Toc435554761"/>
      <w:bookmarkStart w:id="1622" w:name="_Toc435555291"/>
      <w:bookmarkStart w:id="1623" w:name="_Toc435605898"/>
      <w:bookmarkStart w:id="1624" w:name="_Toc435606431"/>
      <w:bookmarkStart w:id="1625" w:name="_Toc435608027"/>
      <w:bookmarkStart w:id="1626" w:name="_Toc435624983"/>
      <w:bookmarkStart w:id="1627" w:name="_Toc435632220"/>
      <w:bookmarkStart w:id="1628" w:name="_Toc435646634"/>
      <w:bookmarkStart w:id="1629" w:name="_Toc435554762"/>
      <w:bookmarkStart w:id="1630" w:name="_Toc435555292"/>
      <w:bookmarkStart w:id="1631" w:name="_Toc435605899"/>
      <w:bookmarkStart w:id="1632" w:name="_Toc435606432"/>
      <w:bookmarkStart w:id="1633" w:name="_Toc435608028"/>
      <w:bookmarkStart w:id="1634" w:name="_Toc435624984"/>
      <w:bookmarkStart w:id="1635" w:name="_Toc435632221"/>
      <w:bookmarkStart w:id="1636" w:name="_Toc435646635"/>
      <w:bookmarkStart w:id="1637" w:name="_Toc435554763"/>
      <w:bookmarkStart w:id="1638" w:name="_Toc435555293"/>
      <w:bookmarkStart w:id="1639" w:name="_Toc435605900"/>
      <w:bookmarkStart w:id="1640" w:name="_Toc435606433"/>
      <w:bookmarkStart w:id="1641" w:name="_Toc435608029"/>
      <w:bookmarkStart w:id="1642" w:name="_Toc435624985"/>
      <w:bookmarkStart w:id="1643" w:name="_Toc435632222"/>
      <w:bookmarkStart w:id="1644" w:name="_Toc435646636"/>
      <w:bookmarkStart w:id="1645" w:name="_Toc435554764"/>
      <w:bookmarkStart w:id="1646" w:name="_Toc435555294"/>
      <w:bookmarkStart w:id="1647" w:name="_Toc435605901"/>
      <w:bookmarkStart w:id="1648" w:name="_Toc435606434"/>
      <w:bookmarkStart w:id="1649" w:name="_Toc435608030"/>
      <w:bookmarkStart w:id="1650" w:name="_Toc435624986"/>
      <w:bookmarkStart w:id="1651" w:name="_Toc435632223"/>
      <w:bookmarkStart w:id="1652" w:name="_Toc435646637"/>
      <w:bookmarkStart w:id="1653" w:name="_Toc435554765"/>
      <w:bookmarkStart w:id="1654" w:name="_Toc435555295"/>
      <w:bookmarkStart w:id="1655" w:name="_Toc435605902"/>
      <w:bookmarkStart w:id="1656" w:name="_Toc435606435"/>
      <w:bookmarkStart w:id="1657" w:name="_Toc435608031"/>
      <w:bookmarkStart w:id="1658" w:name="_Toc435624987"/>
      <w:bookmarkStart w:id="1659" w:name="_Toc435632224"/>
      <w:bookmarkStart w:id="1660" w:name="_Toc435646638"/>
      <w:bookmarkStart w:id="1661" w:name="_Toc435554766"/>
      <w:bookmarkStart w:id="1662" w:name="_Toc435555296"/>
      <w:bookmarkStart w:id="1663" w:name="_Toc435605903"/>
      <w:bookmarkStart w:id="1664" w:name="_Toc435606436"/>
      <w:bookmarkStart w:id="1665" w:name="_Toc435608032"/>
      <w:bookmarkStart w:id="1666" w:name="_Toc435624988"/>
      <w:bookmarkStart w:id="1667" w:name="_Toc435632225"/>
      <w:bookmarkStart w:id="1668" w:name="_Toc435646639"/>
      <w:bookmarkStart w:id="1669" w:name="_Toc435554767"/>
      <w:bookmarkStart w:id="1670" w:name="_Toc435555297"/>
      <w:bookmarkStart w:id="1671" w:name="_Toc435605904"/>
      <w:bookmarkStart w:id="1672" w:name="_Toc435606437"/>
      <w:bookmarkStart w:id="1673" w:name="_Toc435608033"/>
      <w:bookmarkStart w:id="1674" w:name="_Toc435624989"/>
      <w:bookmarkStart w:id="1675" w:name="_Toc435632226"/>
      <w:bookmarkStart w:id="1676" w:name="_Toc435646640"/>
      <w:bookmarkStart w:id="1677" w:name="_Toc435554768"/>
      <w:bookmarkStart w:id="1678" w:name="_Toc435555298"/>
      <w:bookmarkStart w:id="1679" w:name="_Toc435605905"/>
      <w:bookmarkStart w:id="1680" w:name="_Toc435606438"/>
      <w:bookmarkStart w:id="1681" w:name="_Toc435608034"/>
      <w:bookmarkStart w:id="1682" w:name="_Toc435624990"/>
      <w:bookmarkStart w:id="1683" w:name="_Toc435632227"/>
      <w:bookmarkStart w:id="1684" w:name="_Toc435646641"/>
      <w:bookmarkStart w:id="1685" w:name="_Toc435554769"/>
      <w:bookmarkStart w:id="1686" w:name="_Toc435555299"/>
      <w:bookmarkStart w:id="1687" w:name="_Toc435605906"/>
      <w:bookmarkStart w:id="1688" w:name="_Toc435606439"/>
      <w:bookmarkStart w:id="1689" w:name="_Toc435608035"/>
      <w:bookmarkStart w:id="1690" w:name="_Toc435624991"/>
      <w:bookmarkStart w:id="1691" w:name="_Toc435632228"/>
      <w:bookmarkStart w:id="1692" w:name="_Toc435646642"/>
      <w:bookmarkStart w:id="1693" w:name="_Toc435554770"/>
      <w:bookmarkStart w:id="1694" w:name="_Toc435555300"/>
      <w:bookmarkStart w:id="1695" w:name="_Toc435605907"/>
      <w:bookmarkStart w:id="1696" w:name="_Toc435606440"/>
      <w:bookmarkStart w:id="1697" w:name="_Toc435608036"/>
      <w:bookmarkStart w:id="1698" w:name="_Toc435624992"/>
      <w:bookmarkStart w:id="1699" w:name="_Toc435632229"/>
      <w:bookmarkStart w:id="1700" w:name="_Toc435646643"/>
      <w:bookmarkStart w:id="1701" w:name="_Toc435554771"/>
      <w:bookmarkStart w:id="1702" w:name="_Toc435555301"/>
      <w:bookmarkStart w:id="1703" w:name="_Toc435605908"/>
      <w:bookmarkStart w:id="1704" w:name="_Toc435606441"/>
      <w:bookmarkStart w:id="1705" w:name="_Toc435608037"/>
      <w:bookmarkStart w:id="1706" w:name="_Toc435624993"/>
      <w:bookmarkStart w:id="1707" w:name="_Toc435632230"/>
      <w:bookmarkStart w:id="1708" w:name="_Toc435646644"/>
      <w:bookmarkStart w:id="1709" w:name="_Toc435554772"/>
      <w:bookmarkStart w:id="1710" w:name="_Toc435555302"/>
      <w:bookmarkStart w:id="1711" w:name="_Toc435605909"/>
      <w:bookmarkStart w:id="1712" w:name="_Toc435606442"/>
      <w:bookmarkStart w:id="1713" w:name="_Toc435608038"/>
      <w:bookmarkStart w:id="1714" w:name="_Toc435624994"/>
      <w:bookmarkStart w:id="1715" w:name="_Toc435632231"/>
      <w:bookmarkStart w:id="1716" w:name="_Toc435646645"/>
      <w:bookmarkStart w:id="1717" w:name="_Toc435554773"/>
      <w:bookmarkStart w:id="1718" w:name="_Toc435555303"/>
      <w:bookmarkStart w:id="1719" w:name="_Toc435605910"/>
      <w:bookmarkStart w:id="1720" w:name="_Toc435606443"/>
      <w:bookmarkStart w:id="1721" w:name="_Toc435608039"/>
      <w:bookmarkStart w:id="1722" w:name="_Toc435624995"/>
      <w:bookmarkStart w:id="1723" w:name="_Toc435632232"/>
      <w:bookmarkStart w:id="1724" w:name="_Toc435646646"/>
      <w:bookmarkStart w:id="1725" w:name="_Toc435554774"/>
      <w:bookmarkStart w:id="1726" w:name="_Toc435555304"/>
      <w:bookmarkStart w:id="1727" w:name="_Toc435605911"/>
      <w:bookmarkStart w:id="1728" w:name="_Toc435606444"/>
      <w:bookmarkStart w:id="1729" w:name="_Toc435608040"/>
      <w:bookmarkStart w:id="1730" w:name="_Toc435624996"/>
      <w:bookmarkStart w:id="1731" w:name="_Toc435632233"/>
      <w:bookmarkStart w:id="1732" w:name="_Toc435646647"/>
      <w:bookmarkStart w:id="1733" w:name="_Toc435554775"/>
      <w:bookmarkStart w:id="1734" w:name="_Toc435555305"/>
      <w:bookmarkStart w:id="1735" w:name="_Toc435605912"/>
      <w:bookmarkStart w:id="1736" w:name="_Toc435606445"/>
      <w:bookmarkStart w:id="1737" w:name="_Toc435608041"/>
      <w:bookmarkStart w:id="1738" w:name="_Toc435624997"/>
      <w:bookmarkStart w:id="1739" w:name="_Toc435632234"/>
      <w:bookmarkStart w:id="1740" w:name="_Toc435646648"/>
      <w:bookmarkStart w:id="1741" w:name="_Toc435554776"/>
      <w:bookmarkStart w:id="1742" w:name="_Toc435555306"/>
      <w:bookmarkStart w:id="1743" w:name="_Toc435605913"/>
      <w:bookmarkStart w:id="1744" w:name="_Toc435606446"/>
      <w:bookmarkStart w:id="1745" w:name="_Toc435608042"/>
      <w:bookmarkStart w:id="1746" w:name="_Toc435624998"/>
      <w:bookmarkStart w:id="1747" w:name="_Toc435632235"/>
      <w:bookmarkStart w:id="1748" w:name="_Toc435646649"/>
      <w:bookmarkStart w:id="1749" w:name="_Toc435554777"/>
      <w:bookmarkStart w:id="1750" w:name="_Toc435555307"/>
      <w:bookmarkStart w:id="1751" w:name="_Toc435605914"/>
      <w:bookmarkStart w:id="1752" w:name="_Toc435606447"/>
      <w:bookmarkStart w:id="1753" w:name="_Toc435608043"/>
      <w:bookmarkStart w:id="1754" w:name="_Toc435624999"/>
      <w:bookmarkStart w:id="1755" w:name="_Toc435632236"/>
      <w:bookmarkStart w:id="1756" w:name="_Toc435646650"/>
      <w:bookmarkStart w:id="1757" w:name="_Toc435554778"/>
      <w:bookmarkStart w:id="1758" w:name="_Toc435555308"/>
      <w:bookmarkStart w:id="1759" w:name="_Toc435605915"/>
      <w:bookmarkStart w:id="1760" w:name="_Toc435606448"/>
      <w:bookmarkStart w:id="1761" w:name="_Toc435608044"/>
      <w:bookmarkStart w:id="1762" w:name="_Toc435625000"/>
      <w:bookmarkStart w:id="1763" w:name="_Toc435632237"/>
      <w:bookmarkStart w:id="1764" w:name="_Toc435646651"/>
      <w:bookmarkStart w:id="1765" w:name="_Toc435554779"/>
      <w:bookmarkStart w:id="1766" w:name="_Toc435555309"/>
      <w:bookmarkStart w:id="1767" w:name="_Toc435605916"/>
      <w:bookmarkStart w:id="1768" w:name="_Toc435606449"/>
      <w:bookmarkStart w:id="1769" w:name="_Toc435608045"/>
      <w:bookmarkStart w:id="1770" w:name="_Toc435625001"/>
      <w:bookmarkStart w:id="1771" w:name="_Toc435632238"/>
      <w:bookmarkStart w:id="1772" w:name="_Toc435646652"/>
      <w:bookmarkStart w:id="1773" w:name="_Toc435554780"/>
      <w:bookmarkStart w:id="1774" w:name="_Toc435555310"/>
      <w:bookmarkStart w:id="1775" w:name="_Toc435605917"/>
      <w:bookmarkStart w:id="1776" w:name="_Toc435606450"/>
      <w:bookmarkStart w:id="1777" w:name="_Toc435608046"/>
      <w:bookmarkStart w:id="1778" w:name="_Toc435625002"/>
      <w:bookmarkStart w:id="1779" w:name="_Toc435632239"/>
      <w:bookmarkStart w:id="1780" w:name="_Toc435646653"/>
      <w:bookmarkStart w:id="1781" w:name="_Toc435554781"/>
      <w:bookmarkStart w:id="1782" w:name="_Toc435555311"/>
      <w:bookmarkStart w:id="1783" w:name="_Toc435605918"/>
      <w:bookmarkStart w:id="1784" w:name="_Toc435606451"/>
      <w:bookmarkStart w:id="1785" w:name="_Toc435608047"/>
      <w:bookmarkStart w:id="1786" w:name="_Toc435625003"/>
      <w:bookmarkStart w:id="1787" w:name="_Toc435632240"/>
      <w:bookmarkStart w:id="1788" w:name="_Toc435646654"/>
      <w:bookmarkStart w:id="1789" w:name="_Toc435554782"/>
      <w:bookmarkStart w:id="1790" w:name="_Toc435555312"/>
      <w:bookmarkStart w:id="1791" w:name="_Toc435605919"/>
      <w:bookmarkStart w:id="1792" w:name="_Toc435606452"/>
      <w:bookmarkStart w:id="1793" w:name="_Toc435608048"/>
      <w:bookmarkStart w:id="1794" w:name="_Toc435625004"/>
      <w:bookmarkStart w:id="1795" w:name="_Toc435632241"/>
      <w:bookmarkStart w:id="1796" w:name="_Toc435646655"/>
      <w:bookmarkStart w:id="1797" w:name="_Toc435554783"/>
      <w:bookmarkStart w:id="1798" w:name="_Toc435555313"/>
      <w:bookmarkStart w:id="1799" w:name="_Toc435605920"/>
      <w:bookmarkStart w:id="1800" w:name="_Toc435606453"/>
      <w:bookmarkStart w:id="1801" w:name="_Toc435608049"/>
      <w:bookmarkStart w:id="1802" w:name="_Toc435625005"/>
      <w:bookmarkStart w:id="1803" w:name="_Toc435632242"/>
      <w:bookmarkStart w:id="1804" w:name="_Toc435646656"/>
      <w:bookmarkStart w:id="1805" w:name="_Toc435554784"/>
      <w:bookmarkStart w:id="1806" w:name="_Toc435555314"/>
      <w:bookmarkStart w:id="1807" w:name="_Toc435605921"/>
      <w:bookmarkStart w:id="1808" w:name="_Toc435606454"/>
      <w:bookmarkStart w:id="1809" w:name="_Toc435608050"/>
      <w:bookmarkStart w:id="1810" w:name="_Toc435625006"/>
      <w:bookmarkStart w:id="1811" w:name="_Toc435632243"/>
      <w:bookmarkStart w:id="1812" w:name="_Toc435646657"/>
      <w:bookmarkStart w:id="1813" w:name="_Toc435554785"/>
      <w:bookmarkStart w:id="1814" w:name="_Toc435555315"/>
      <w:bookmarkStart w:id="1815" w:name="_Toc435605922"/>
      <w:bookmarkStart w:id="1816" w:name="_Toc435606455"/>
      <w:bookmarkStart w:id="1817" w:name="_Toc435608051"/>
      <w:bookmarkStart w:id="1818" w:name="_Toc435625007"/>
      <w:bookmarkStart w:id="1819" w:name="_Toc435632244"/>
      <w:bookmarkStart w:id="1820" w:name="_Toc435646658"/>
      <w:bookmarkStart w:id="1821" w:name="_Toc435554786"/>
      <w:bookmarkStart w:id="1822" w:name="_Toc435555316"/>
      <w:bookmarkStart w:id="1823" w:name="_Toc435605923"/>
      <w:bookmarkStart w:id="1824" w:name="_Toc435606456"/>
      <w:bookmarkStart w:id="1825" w:name="_Toc435608052"/>
      <w:bookmarkStart w:id="1826" w:name="_Toc435625008"/>
      <w:bookmarkStart w:id="1827" w:name="_Toc435632245"/>
      <w:bookmarkStart w:id="1828" w:name="_Toc435646659"/>
      <w:bookmarkStart w:id="1829" w:name="_Toc435554787"/>
      <w:bookmarkStart w:id="1830" w:name="_Toc435555317"/>
      <w:bookmarkStart w:id="1831" w:name="_Toc435605924"/>
      <w:bookmarkStart w:id="1832" w:name="_Toc435606457"/>
      <w:bookmarkStart w:id="1833" w:name="_Toc435608053"/>
      <w:bookmarkStart w:id="1834" w:name="_Toc435625009"/>
      <w:bookmarkStart w:id="1835" w:name="_Toc435632246"/>
      <w:bookmarkStart w:id="1836" w:name="_Toc435646660"/>
      <w:bookmarkStart w:id="1837" w:name="_Toc435554788"/>
      <w:bookmarkStart w:id="1838" w:name="_Toc435555318"/>
      <w:bookmarkStart w:id="1839" w:name="_Toc435605925"/>
      <w:bookmarkStart w:id="1840" w:name="_Toc435606458"/>
      <w:bookmarkStart w:id="1841" w:name="_Toc435608054"/>
      <w:bookmarkStart w:id="1842" w:name="_Toc435625010"/>
      <w:bookmarkStart w:id="1843" w:name="_Toc435632247"/>
      <w:bookmarkStart w:id="1844" w:name="_Toc435646661"/>
      <w:bookmarkStart w:id="1845" w:name="_Toc435554789"/>
      <w:bookmarkStart w:id="1846" w:name="_Toc435555319"/>
      <w:bookmarkStart w:id="1847" w:name="_Toc435605926"/>
      <w:bookmarkStart w:id="1848" w:name="_Toc435606459"/>
      <w:bookmarkStart w:id="1849" w:name="_Toc435608055"/>
      <w:bookmarkStart w:id="1850" w:name="_Toc435625011"/>
      <w:bookmarkStart w:id="1851" w:name="_Toc435632248"/>
      <w:bookmarkStart w:id="1852" w:name="_Toc435646662"/>
      <w:bookmarkStart w:id="1853" w:name="_Toc435554790"/>
      <w:bookmarkStart w:id="1854" w:name="_Toc435555320"/>
      <w:bookmarkStart w:id="1855" w:name="_Toc435605927"/>
      <w:bookmarkStart w:id="1856" w:name="_Toc435606460"/>
      <w:bookmarkStart w:id="1857" w:name="_Toc435608056"/>
      <w:bookmarkStart w:id="1858" w:name="_Toc435625012"/>
      <w:bookmarkStart w:id="1859" w:name="_Toc435632249"/>
      <w:bookmarkStart w:id="1860" w:name="_Toc435646663"/>
      <w:bookmarkStart w:id="1861" w:name="_Toc435554791"/>
      <w:bookmarkStart w:id="1862" w:name="_Toc435555321"/>
      <w:bookmarkStart w:id="1863" w:name="_Toc435605928"/>
      <w:bookmarkStart w:id="1864" w:name="_Toc435606461"/>
      <w:bookmarkStart w:id="1865" w:name="_Toc435608057"/>
      <w:bookmarkStart w:id="1866" w:name="_Toc435625013"/>
      <w:bookmarkStart w:id="1867" w:name="_Toc435632250"/>
      <w:bookmarkStart w:id="1868" w:name="_Toc435646664"/>
      <w:bookmarkStart w:id="1869" w:name="_Toc435554792"/>
      <w:bookmarkStart w:id="1870" w:name="_Toc435555322"/>
      <w:bookmarkStart w:id="1871" w:name="_Toc435605929"/>
      <w:bookmarkStart w:id="1872" w:name="_Toc435606462"/>
      <w:bookmarkStart w:id="1873" w:name="_Toc435608058"/>
      <w:bookmarkStart w:id="1874" w:name="_Toc435625014"/>
      <w:bookmarkStart w:id="1875" w:name="_Toc435632251"/>
      <w:bookmarkStart w:id="1876" w:name="_Toc435646665"/>
      <w:bookmarkStart w:id="1877" w:name="_Toc435554793"/>
      <w:bookmarkStart w:id="1878" w:name="_Toc435555323"/>
      <w:bookmarkStart w:id="1879" w:name="_Toc435605930"/>
      <w:bookmarkStart w:id="1880" w:name="_Toc435606463"/>
      <w:bookmarkStart w:id="1881" w:name="_Toc435608059"/>
      <w:bookmarkStart w:id="1882" w:name="_Toc435625015"/>
      <w:bookmarkStart w:id="1883" w:name="_Toc435632252"/>
      <w:bookmarkStart w:id="1884" w:name="_Toc435646666"/>
      <w:bookmarkStart w:id="1885" w:name="_Toc435554794"/>
      <w:bookmarkStart w:id="1886" w:name="_Toc435555324"/>
      <w:bookmarkStart w:id="1887" w:name="_Toc435605931"/>
      <w:bookmarkStart w:id="1888" w:name="_Toc435606464"/>
      <w:bookmarkStart w:id="1889" w:name="_Toc435608060"/>
      <w:bookmarkStart w:id="1890" w:name="_Toc435625016"/>
      <w:bookmarkStart w:id="1891" w:name="_Toc435632253"/>
      <w:bookmarkStart w:id="1892" w:name="_Toc435646667"/>
      <w:bookmarkStart w:id="1893" w:name="_Toc435554795"/>
      <w:bookmarkStart w:id="1894" w:name="_Toc435555325"/>
      <w:bookmarkStart w:id="1895" w:name="_Toc435605932"/>
      <w:bookmarkStart w:id="1896" w:name="_Toc435606465"/>
      <w:bookmarkStart w:id="1897" w:name="_Toc435608061"/>
      <w:bookmarkStart w:id="1898" w:name="_Toc435625017"/>
      <w:bookmarkStart w:id="1899" w:name="_Toc435632254"/>
      <w:bookmarkStart w:id="1900" w:name="_Toc435646668"/>
      <w:bookmarkStart w:id="1901" w:name="_Toc435554796"/>
      <w:bookmarkStart w:id="1902" w:name="_Toc435555326"/>
      <w:bookmarkStart w:id="1903" w:name="_Toc435605933"/>
      <w:bookmarkStart w:id="1904" w:name="_Toc435606466"/>
      <w:bookmarkStart w:id="1905" w:name="_Toc435608062"/>
      <w:bookmarkStart w:id="1906" w:name="_Toc435625018"/>
      <w:bookmarkStart w:id="1907" w:name="_Toc435632255"/>
      <w:bookmarkStart w:id="1908" w:name="_Toc435646669"/>
      <w:bookmarkStart w:id="1909" w:name="_Toc435554797"/>
      <w:bookmarkStart w:id="1910" w:name="_Toc435555327"/>
      <w:bookmarkStart w:id="1911" w:name="_Toc435605934"/>
      <w:bookmarkStart w:id="1912" w:name="_Toc435606467"/>
      <w:bookmarkStart w:id="1913" w:name="_Toc435608063"/>
      <w:bookmarkStart w:id="1914" w:name="_Toc435625019"/>
      <w:bookmarkStart w:id="1915" w:name="_Toc435632256"/>
      <w:bookmarkStart w:id="1916" w:name="_Toc435646670"/>
      <w:bookmarkStart w:id="1917" w:name="_Toc435554798"/>
      <w:bookmarkStart w:id="1918" w:name="_Toc435555328"/>
      <w:bookmarkStart w:id="1919" w:name="_Toc435605935"/>
      <w:bookmarkStart w:id="1920" w:name="_Toc435606468"/>
      <w:bookmarkStart w:id="1921" w:name="_Toc435608064"/>
      <w:bookmarkStart w:id="1922" w:name="_Toc435625020"/>
      <w:bookmarkStart w:id="1923" w:name="_Toc435632257"/>
      <w:bookmarkStart w:id="1924" w:name="_Toc435646671"/>
      <w:bookmarkStart w:id="1925" w:name="_Toc435554799"/>
      <w:bookmarkStart w:id="1926" w:name="_Toc435555329"/>
      <w:bookmarkStart w:id="1927" w:name="_Toc435605936"/>
      <w:bookmarkStart w:id="1928" w:name="_Toc435606469"/>
      <w:bookmarkStart w:id="1929" w:name="_Toc435608065"/>
      <w:bookmarkStart w:id="1930" w:name="_Toc435625021"/>
      <w:bookmarkStart w:id="1931" w:name="_Toc435632258"/>
      <w:bookmarkStart w:id="1932" w:name="_Toc435646672"/>
      <w:bookmarkStart w:id="1933" w:name="_Toc435554800"/>
      <w:bookmarkStart w:id="1934" w:name="_Toc435555330"/>
      <w:bookmarkStart w:id="1935" w:name="_Toc435605937"/>
      <w:bookmarkStart w:id="1936" w:name="_Toc435606470"/>
      <w:bookmarkStart w:id="1937" w:name="_Toc435608066"/>
      <w:bookmarkStart w:id="1938" w:name="_Toc435625022"/>
      <w:bookmarkStart w:id="1939" w:name="_Toc435632259"/>
      <w:bookmarkStart w:id="1940" w:name="_Toc435646673"/>
      <w:bookmarkStart w:id="1941" w:name="_Toc435554806"/>
      <w:bookmarkStart w:id="1942" w:name="_Toc435555336"/>
      <w:bookmarkStart w:id="1943" w:name="_Toc435605943"/>
      <w:bookmarkStart w:id="1944" w:name="_Toc435606476"/>
      <w:bookmarkStart w:id="1945" w:name="_Toc435608072"/>
      <w:bookmarkStart w:id="1946" w:name="_Toc435625028"/>
      <w:bookmarkStart w:id="1947" w:name="_Toc435632265"/>
      <w:bookmarkStart w:id="1948" w:name="_Toc435646679"/>
      <w:bookmarkStart w:id="1949" w:name="_Toc429068825"/>
      <w:bookmarkStart w:id="1950" w:name="_Ref462995651"/>
      <w:bookmarkStart w:id="1951" w:name="_Ref462995663"/>
      <w:bookmarkStart w:id="1952" w:name="_Toc475527435"/>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r w:rsidRPr="00F572F3">
        <w:lastRenderedPageBreak/>
        <w:t xml:space="preserve">Departure from </w:t>
      </w:r>
      <w:r w:rsidR="00D37DAD" w:rsidRPr="00F572F3">
        <w:t xml:space="preserve">Efficient </w:t>
      </w:r>
      <w:r w:rsidRPr="00F572F3">
        <w:t>Pri</w:t>
      </w:r>
      <w:r w:rsidR="007220B3" w:rsidRPr="00F572F3">
        <w:t>c</w:t>
      </w:r>
      <w:r w:rsidR="00785CE9" w:rsidRPr="00F572F3">
        <w:t>ing Principles</w:t>
      </w:r>
      <w:bookmarkEnd w:id="1949"/>
      <w:bookmarkEnd w:id="1950"/>
      <w:bookmarkEnd w:id="1951"/>
      <w:bookmarkEnd w:id="1952"/>
    </w:p>
    <w:p w:rsidR="00775B9E" w:rsidRPr="00722C30" w:rsidRDefault="00FA1754" w:rsidP="00BD7A0B">
      <w:pPr>
        <w:pStyle w:val="BodyText"/>
        <w:rPr>
          <w:rStyle w:val="AERbody"/>
        </w:rPr>
      </w:pPr>
      <w:bookmarkStart w:id="1953" w:name="_Toc428372823"/>
      <w:bookmarkStart w:id="1954" w:name="_Toc429068826"/>
      <w:r w:rsidRPr="00722C30">
        <w:rPr>
          <w:rStyle w:val="AERbody"/>
        </w:rPr>
        <w:t>Broadly, t</w:t>
      </w:r>
      <w:r w:rsidR="00593146" w:rsidRPr="00722C30">
        <w:rPr>
          <w:rStyle w:val="AERbody"/>
        </w:rPr>
        <w:t xml:space="preserve">he framework established by the NER necessitates the development of </w:t>
      </w:r>
      <w:r w:rsidR="00775B9E" w:rsidRPr="00722C30">
        <w:rPr>
          <w:rStyle w:val="AERbody"/>
        </w:rPr>
        <w:t xml:space="preserve">a </w:t>
      </w:r>
      <w:r w:rsidR="00593146" w:rsidRPr="00722C30">
        <w:rPr>
          <w:rStyle w:val="AERbody"/>
        </w:rPr>
        <w:t xml:space="preserve">theoretically efficient tariff, and then, </w:t>
      </w:r>
      <w:r w:rsidRPr="00722C30">
        <w:rPr>
          <w:rStyle w:val="AERbody"/>
        </w:rPr>
        <w:t>an assessment of</w:t>
      </w:r>
      <w:r w:rsidR="00593146" w:rsidRPr="00722C30">
        <w:rPr>
          <w:rStyle w:val="AERbody"/>
        </w:rPr>
        <w:t xml:space="preserve"> whether there exists a need to transition to those ‘efficient’ tariffs over a period of one or more regulatory control periods.</w:t>
      </w:r>
      <w:r w:rsidR="00775B9E" w:rsidRPr="00722C30">
        <w:rPr>
          <w:rStyle w:val="AERbody"/>
        </w:rPr>
        <w:t xml:space="preserve"> </w:t>
      </w:r>
    </w:p>
    <w:p w:rsidR="00FA1754" w:rsidRPr="00722C30" w:rsidRDefault="00FA1754" w:rsidP="007D0321">
      <w:pPr>
        <w:pStyle w:val="BodyText"/>
        <w:rPr>
          <w:rStyle w:val="AERbody"/>
        </w:rPr>
      </w:pPr>
      <w:r w:rsidRPr="00722C30">
        <w:rPr>
          <w:rStyle w:val="AERbody"/>
        </w:rPr>
        <w:t>Specifically, the NER requires Ausgrid to consider the impact on retail customers of changes in tariff</w:t>
      </w:r>
      <w:r w:rsidR="007C7FCE">
        <w:rPr>
          <w:rStyle w:val="AERbody"/>
        </w:rPr>
        <w:t>s</w:t>
      </w:r>
      <w:r w:rsidRPr="00722C30">
        <w:rPr>
          <w:rStyle w:val="AERbody"/>
        </w:rPr>
        <w:t xml:space="preserve"> from one year to the next</w:t>
      </w:r>
      <w:r w:rsidR="007C7FCE">
        <w:rPr>
          <w:rStyle w:val="AERbody"/>
        </w:rPr>
        <w:t>,</w:t>
      </w:r>
      <w:r w:rsidRPr="00722C30">
        <w:rPr>
          <w:rStyle w:val="AERbody"/>
        </w:rPr>
        <w:t xml:space="preserve"> and permits it to vary tariffs from the theoretically efficient construction having regard to:</w:t>
      </w:r>
    </w:p>
    <w:p w:rsidR="00FA1754" w:rsidRDefault="00BC0898" w:rsidP="00722C30">
      <w:pPr>
        <w:pStyle w:val="Bulletedtext"/>
      </w:pPr>
      <w:r>
        <w:t>t</w:t>
      </w:r>
      <w:r w:rsidR="00FA1754">
        <w:t>he desirability for tariffs to comply with the pricing principles, albeit after a reasonable period of transition (which may extend over more than one regulatory control period);</w:t>
      </w:r>
    </w:p>
    <w:p w:rsidR="00FA1754" w:rsidRDefault="00BC0898" w:rsidP="00722C30">
      <w:pPr>
        <w:pStyle w:val="Bulletedtext"/>
      </w:pPr>
      <w:r>
        <w:t>t</w:t>
      </w:r>
      <w:r w:rsidR="00FA1754">
        <w:t>he extent to which retail customers can choose the tariff to which they are assigned; and</w:t>
      </w:r>
    </w:p>
    <w:p w:rsidR="00FA1754" w:rsidRDefault="00BC0898" w:rsidP="00722C30">
      <w:pPr>
        <w:pStyle w:val="Bulletedtext"/>
      </w:pPr>
      <w:proofErr w:type="gramStart"/>
      <w:r>
        <w:t>t</w:t>
      </w:r>
      <w:r w:rsidR="00FA1754">
        <w:t>he</w:t>
      </w:r>
      <w:proofErr w:type="gramEnd"/>
      <w:r w:rsidR="00FA1754">
        <w:t xml:space="preserve"> extent to which retail customers are able to mitigate the impact of changes in tariffs through their usage decisions.</w:t>
      </w:r>
    </w:p>
    <w:p w:rsidR="003857D7" w:rsidRPr="00722C30" w:rsidRDefault="00FA1754" w:rsidP="00BD7A0B">
      <w:pPr>
        <w:pStyle w:val="BodyText"/>
        <w:rPr>
          <w:rStyle w:val="AERbody"/>
        </w:rPr>
      </w:pPr>
      <w:r w:rsidRPr="00722C30">
        <w:rPr>
          <w:rStyle w:val="AERbody"/>
        </w:rPr>
        <w:t>In this regard, the AEMC explained that</w:t>
      </w:r>
      <w:r w:rsidR="00593146" w:rsidRPr="00722C30">
        <w:rPr>
          <w:rStyle w:val="AERbody"/>
        </w:rPr>
        <w:t>:</w:t>
      </w:r>
      <w:r w:rsidRPr="00025BDF">
        <w:rPr>
          <w:rStyle w:val="AERbody"/>
          <w:vertAlign w:val="superscript"/>
        </w:rPr>
        <w:footnoteReference w:id="27"/>
      </w:r>
    </w:p>
    <w:p w:rsidR="00593146" w:rsidRPr="00722C30" w:rsidRDefault="00593146" w:rsidP="00025BDF">
      <w:pPr>
        <w:pStyle w:val="BodyText"/>
        <w:ind w:left="1440"/>
        <w:rPr>
          <w:rStyle w:val="AERbody"/>
          <w:rFonts w:cs="Times New Roman"/>
          <w:i/>
          <w:noProof w:val="0"/>
          <w:szCs w:val="24"/>
          <w:lang w:val="en-US" w:eastAsia="en-US"/>
        </w:rPr>
      </w:pPr>
      <w:r w:rsidRPr="00722C30">
        <w:rPr>
          <w:rStyle w:val="AERbody"/>
          <w:i/>
        </w:rPr>
        <w:t>“DNSPs must manage the impact of annual changes in network prices on consumers, eg by transitioning consumers to new network prices over one or more regulatory periods</w:t>
      </w:r>
      <w:r w:rsidR="007C7FCE">
        <w:rPr>
          <w:rStyle w:val="AERbody"/>
          <w:i/>
        </w:rPr>
        <w:t>.</w:t>
      </w:r>
      <w:r w:rsidRPr="00722C30">
        <w:rPr>
          <w:rStyle w:val="AERbody"/>
          <w:i/>
        </w:rPr>
        <w:t>”</w:t>
      </w:r>
    </w:p>
    <w:p w:rsidR="003857D7" w:rsidRDefault="00FA1754" w:rsidP="00722C30">
      <w:pPr>
        <w:pStyle w:val="Heading2"/>
      </w:pPr>
      <w:bookmarkStart w:id="1955" w:name="_Ref462042568"/>
      <w:bookmarkStart w:id="1956" w:name="_Toc475527436"/>
      <w:r>
        <w:t xml:space="preserve">The </w:t>
      </w:r>
      <w:r w:rsidR="00B23148">
        <w:t xml:space="preserve">strictly </w:t>
      </w:r>
      <w:r>
        <w:t>‘efficient’ tariff</w:t>
      </w:r>
      <w:bookmarkEnd w:id="1955"/>
      <w:bookmarkEnd w:id="1956"/>
    </w:p>
    <w:p w:rsidR="000D5A0D" w:rsidRPr="00722C30" w:rsidRDefault="000D5A0D" w:rsidP="00BD7A0B">
      <w:pPr>
        <w:pStyle w:val="BodyText"/>
        <w:rPr>
          <w:rStyle w:val="AERbody"/>
        </w:rPr>
      </w:pPr>
      <w:r w:rsidRPr="00722C30">
        <w:rPr>
          <w:rStyle w:val="AERbody"/>
        </w:rPr>
        <w:t xml:space="preserve">Ausgrid examined empirical evidence and concluded that, from a strictly economic perspective, the theoretically efficient reference tariff that complies with paragraphs 6.18.5(e) to (g) of the NER is likely to be dynamic (ie, changes over time depending on the demand and capacity circumstances) and localised in nature. </w:t>
      </w:r>
    </w:p>
    <w:p w:rsidR="00FA1754" w:rsidRPr="00722C30" w:rsidRDefault="00FA1754" w:rsidP="007D0321">
      <w:pPr>
        <w:pStyle w:val="BodyText"/>
        <w:rPr>
          <w:rStyle w:val="AERbody"/>
        </w:rPr>
      </w:pPr>
      <w:r w:rsidRPr="00722C30">
        <w:rPr>
          <w:rStyle w:val="AERbody"/>
        </w:rPr>
        <w:t>This means that a dynamic peak price is set equal to LRMC and applied only to customers in areas facing critical network congestion. Importantly the dynamic peak price is only applied to energy consumption that is closely aligned to times when there is a very high probability of that area of the electricity network being critical</w:t>
      </w:r>
      <w:r w:rsidR="00BC0898" w:rsidRPr="00722C30">
        <w:rPr>
          <w:rStyle w:val="AERbody"/>
        </w:rPr>
        <w:t>ly</w:t>
      </w:r>
      <w:r w:rsidRPr="00722C30">
        <w:rPr>
          <w:rStyle w:val="AERbody"/>
        </w:rPr>
        <w:t xml:space="preserve"> congested i.e on extreme hot days in summer peaking parts of the electricity network and extreme cold winter afternoons/evenings in winter peaking parts of the electricity network</w:t>
      </w:r>
      <w:r w:rsidR="00B23148" w:rsidRPr="00722C30">
        <w:rPr>
          <w:rStyle w:val="AERbody"/>
        </w:rPr>
        <w:t>.</w:t>
      </w:r>
    </w:p>
    <w:p w:rsidR="00B23148" w:rsidRPr="00722C30" w:rsidRDefault="00B23148">
      <w:pPr>
        <w:pStyle w:val="BodyText"/>
        <w:rPr>
          <w:rStyle w:val="AERbody"/>
        </w:rPr>
      </w:pPr>
      <w:r w:rsidRPr="00722C30">
        <w:rPr>
          <w:rStyle w:val="AERbody"/>
        </w:rPr>
        <w:t xml:space="preserve">Moreover, from a strictly economic perspective, </w:t>
      </w:r>
      <w:r w:rsidR="000D5A0D" w:rsidRPr="00722C30">
        <w:rPr>
          <w:rStyle w:val="AERbody"/>
        </w:rPr>
        <w:t xml:space="preserve">minimising </w:t>
      </w:r>
      <w:r w:rsidRPr="00722C30">
        <w:rPr>
          <w:rStyle w:val="AERbody"/>
        </w:rPr>
        <w:t>distortion</w:t>
      </w:r>
      <w:r w:rsidR="000D5A0D" w:rsidRPr="00722C30">
        <w:rPr>
          <w:rStyle w:val="AERbody"/>
        </w:rPr>
        <w:t>s</w:t>
      </w:r>
      <w:r w:rsidRPr="00722C30">
        <w:rPr>
          <w:rStyle w:val="AERbody"/>
        </w:rPr>
        <w:t xml:space="preserve"> to efficient price signals arising from this dynamic and localised peak price would involve recovering costs from fixed charges only.</w:t>
      </w:r>
    </w:p>
    <w:p w:rsidR="00B23148" w:rsidRPr="00687326" w:rsidRDefault="00B23148" w:rsidP="00722C30">
      <w:pPr>
        <w:pStyle w:val="Heading4"/>
      </w:pPr>
      <w:r w:rsidRPr="00BC0898">
        <w:t xml:space="preserve">The </w:t>
      </w:r>
      <w:r w:rsidR="002B3B96" w:rsidRPr="00687326">
        <w:t>impact</w:t>
      </w:r>
      <w:r w:rsidR="002B3B96">
        <w:t xml:space="preserve"> on customers </w:t>
      </w:r>
      <w:r w:rsidRPr="00BC0898">
        <w:t>of the strictly efficient tariff would b</w:t>
      </w:r>
      <w:r w:rsidRPr="00687326">
        <w:t>e unacceptable</w:t>
      </w:r>
    </w:p>
    <w:p w:rsidR="00557D57" w:rsidRPr="00722C30" w:rsidRDefault="00557D57" w:rsidP="00BD7A0B">
      <w:pPr>
        <w:pStyle w:val="BodyText"/>
        <w:rPr>
          <w:rStyle w:val="AERbody"/>
        </w:rPr>
      </w:pPr>
      <w:r w:rsidRPr="00722C30">
        <w:rPr>
          <w:rStyle w:val="AERbody"/>
        </w:rPr>
        <w:t xml:space="preserve">The pricing principles explicitly require us to consider the impact </w:t>
      </w:r>
      <w:r w:rsidR="00B17C8B">
        <w:rPr>
          <w:rStyle w:val="AERbody"/>
        </w:rPr>
        <w:t>on</w:t>
      </w:r>
      <w:r w:rsidR="00B17C8B" w:rsidRPr="00722C30">
        <w:rPr>
          <w:rStyle w:val="AERbody"/>
        </w:rPr>
        <w:t xml:space="preserve"> </w:t>
      </w:r>
      <w:r w:rsidRPr="00722C30">
        <w:rPr>
          <w:rStyle w:val="AERbody"/>
        </w:rPr>
        <w:t xml:space="preserve">customers from moving to efficient </w:t>
      </w:r>
      <w:r w:rsidR="002375DC" w:rsidRPr="00722C30">
        <w:rPr>
          <w:rStyle w:val="AERbody"/>
        </w:rPr>
        <w:t>tariffs relative</w:t>
      </w:r>
      <w:r w:rsidRPr="00722C30">
        <w:rPr>
          <w:rStyle w:val="AERbody"/>
        </w:rPr>
        <w:t xml:space="preserve"> to the tariffs customers faced in the previous regulatory year. We must vary our efficient prices to the extent that we reasonably consider necessary. </w:t>
      </w:r>
    </w:p>
    <w:p w:rsidR="00B23148" w:rsidRPr="00722C30" w:rsidRDefault="00B23148" w:rsidP="007D0321">
      <w:pPr>
        <w:pStyle w:val="BodyText"/>
        <w:rPr>
          <w:rStyle w:val="AERbody"/>
        </w:rPr>
      </w:pPr>
      <w:r w:rsidRPr="00722C30">
        <w:rPr>
          <w:rStyle w:val="AERbody"/>
        </w:rPr>
        <w:t xml:space="preserve">Ausgrid carefully examined the impact on retail customers of the implementation of strictly efficient tariffs in the current regulatory control period and concluded that the resultant customer bill impacts </w:t>
      </w:r>
      <w:r w:rsidR="00775B9E" w:rsidRPr="00722C30">
        <w:rPr>
          <w:rStyle w:val="AERbody"/>
        </w:rPr>
        <w:t>are</w:t>
      </w:r>
      <w:r w:rsidRPr="00722C30">
        <w:rPr>
          <w:rStyle w:val="AERbody"/>
        </w:rPr>
        <w:t xml:space="preserve"> unacceptable. The results of this analysis are presented in </w:t>
      </w:r>
      <w:r w:rsidR="007A0695" w:rsidRPr="00722C30">
        <w:rPr>
          <w:rStyle w:val="AERbody"/>
        </w:rPr>
        <w:t>Appendix A</w:t>
      </w:r>
      <w:r w:rsidRPr="00722C30">
        <w:rPr>
          <w:rStyle w:val="AERbody"/>
        </w:rPr>
        <w:t>.</w:t>
      </w:r>
    </w:p>
    <w:p w:rsidR="00F929DE" w:rsidRPr="00722C30" w:rsidRDefault="00F929DE">
      <w:pPr>
        <w:pStyle w:val="BodyText"/>
        <w:rPr>
          <w:rStyle w:val="AERbody"/>
        </w:rPr>
      </w:pPr>
      <w:r w:rsidRPr="00722C30">
        <w:rPr>
          <w:rStyle w:val="AERbody"/>
        </w:rPr>
        <w:t>On the basis of this customer impact analysis Ausgrid concluded that:</w:t>
      </w:r>
    </w:p>
    <w:p w:rsidR="00F929DE" w:rsidRPr="00CD7E99" w:rsidRDefault="00BC0898" w:rsidP="00722C30">
      <w:pPr>
        <w:pStyle w:val="Bulletedtext"/>
      </w:pPr>
      <w:r>
        <w:lastRenderedPageBreak/>
        <w:t>r</w:t>
      </w:r>
      <w:r w:rsidR="00F929DE">
        <w:t xml:space="preserve">ecovering </w:t>
      </w:r>
      <w:r w:rsidR="00F929DE" w:rsidRPr="00CD7E99">
        <w:t>residual costs from fixed charge</w:t>
      </w:r>
      <w:r w:rsidR="00F929DE">
        <w:t>s</w:t>
      </w:r>
      <w:r w:rsidR="00F929DE" w:rsidRPr="00CD7E99">
        <w:t xml:space="preserve"> </w:t>
      </w:r>
      <w:r>
        <w:t>necessities</w:t>
      </w:r>
      <w:r w:rsidR="00F929DE" w:rsidRPr="00CD7E99">
        <w:t xml:space="preserve"> a significant re-balancing of </w:t>
      </w:r>
      <w:r w:rsidR="00F929DE" w:rsidRPr="009F2B91">
        <w:rPr>
          <w:rFonts w:cs="Arial"/>
        </w:rPr>
        <w:t>residual</w:t>
      </w:r>
      <w:r w:rsidR="00F929DE" w:rsidRPr="00CD7E99">
        <w:t xml:space="preserve"> cost recovery from relatively larger energy users to relatively small energy users </w:t>
      </w:r>
      <w:r w:rsidR="00F929DE">
        <w:t>at the individual tariff level; and</w:t>
      </w:r>
    </w:p>
    <w:p w:rsidR="00F929DE" w:rsidRDefault="00BC0898" w:rsidP="00722C30">
      <w:pPr>
        <w:pStyle w:val="Bulletedtext"/>
      </w:pPr>
      <w:proofErr w:type="gramStart"/>
      <w:r>
        <w:t>s</w:t>
      </w:r>
      <w:r w:rsidR="00F929DE" w:rsidRPr="00CD7E99">
        <w:t>etting</w:t>
      </w:r>
      <w:proofErr w:type="gramEnd"/>
      <w:r w:rsidR="00F929DE" w:rsidRPr="00CD7E99">
        <w:t xml:space="preserve"> </w:t>
      </w:r>
      <w:r>
        <w:t>t</w:t>
      </w:r>
      <w:r w:rsidR="00F929DE" w:rsidRPr="00CD7E99">
        <w:t xml:space="preserve">he peak price </w:t>
      </w:r>
      <w:r w:rsidR="00F929DE" w:rsidRPr="009F2B91">
        <w:rPr>
          <w:rFonts w:cs="Arial"/>
        </w:rPr>
        <w:t>equal</w:t>
      </w:r>
      <w:r w:rsidR="00F929DE" w:rsidRPr="00CD7E99">
        <w:t xml:space="preserve"> to LRMC under an efficient dynamic peak period results in </w:t>
      </w:r>
      <w:r w:rsidR="00F929DE">
        <w:t>large bill increases</w:t>
      </w:r>
      <w:r w:rsidR="00F929DE" w:rsidRPr="00CD7E99">
        <w:t xml:space="preserve"> for customers that are either unwilling or unable to respond to dynamic peak price signals by reducing energy consump</w:t>
      </w:r>
      <w:r w:rsidR="00F929DE">
        <w:t>tion during dynamic peak events.</w:t>
      </w:r>
    </w:p>
    <w:p w:rsidR="002B3B96" w:rsidRPr="00722C30" w:rsidRDefault="000D5A0D" w:rsidP="00BD7A0B">
      <w:pPr>
        <w:pStyle w:val="BodyText"/>
        <w:rPr>
          <w:rStyle w:val="AERbody"/>
        </w:rPr>
      </w:pPr>
      <w:r w:rsidRPr="00722C30">
        <w:rPr>
          <w:rStyle w:val="AERbody"/>
        </w:rPr>
        <w:t>Ausgrid considers that these impacts on retail customers are contrary to the customer impact principle embodied in the NER. As such, Ausgrid will transition to more efficient tariff structures over a period of time that is sufficient to mitigate the associated customer impacts.</w:t>
      </w:r>
    </w:p>
    <w:p w:rsidR="00B23148" w:rsidRDefault="002B3B96" w:rsidP="00722C30">
      <w:pPr>
        <w:pStyle w:val="Heading2"/>
      </w:pPr>
      <w:bookmarkStart w:id="1957" w:name="_Ref462153889"/>
      <w:bookmarkStart w:id="1958" w:name="_Toc475527437"/>
      <w:r>
        <w:t>Ausgrid’s transition to efficient tariffs</w:t>
      </w:r>
      <w:bookmarkEnd w:id="1957"/>
      <w:bookmarkEnd w:id="1958"/>
    </w:p>
    <w:p w:rsidR="002B3B96" w:rsidRPr="00722C30" w:rsidRDefault="002B3B96" w:rsidP="00BD7A0B">
      <w:pPr>
        <w:pStyle w:val="BodyText"/>
        <w:rPr>
          <w:rStyle w:val="AERbody"/>
        </w:rPr>
      </w:pPr>
      <w:r w:rsidRPr="00722C30">
        <w:rPr>
          <w:rStyle w:val="AERbody"/>
        </w:rPr>
        <w:t>Bearing in mind the impacts on customers arising from the implementation of strictly efficient tariffs, there is a clear need for Ausgrid to transition to efficient tariffs and to achieve this progress in a manner that does not undermine the needs of our stakeholders.</w:t>
      </w:r>
      <w:r w:rsidR="00B05C60" w:rsidRPr="00722C30">
        <w:rPr>
          <w:rStyle w:val="AERbody"/>
        </w:rPr>
        <w:t xml:space="preserve"> </w:t>
      </w:r>
      <w:r w:rsidRPr="00722C30">
        <w:rPr>
          <w:rStyle w:val="AERbody"/>
        </w:rPr>
        <w:t xml:space="preserve">A number of </w:t>
      </w:r>
      <w:r w:rsidR="00B05C60" w:rsidRPr="00722C30">
        <w:rPr>
          <w:rStyle w:val="AERbody"/>
        </w:rPr>
        <w:t xml:space="preserve">our </w:t>
      </w:r>
      <w:r w:rsidRPr="00722C30">
        <w:rPr>
          <w:rStyle w:val="AERbody"/>
        </w:rPr>
        <w:t>stakeholders indicated a preference for understanding the likely duration of Ausgrid’s transition to efficient tariffs. Indeed, this is a difficult question to answer with a sufficient degree of reliability.</w:t>
      </w:r>
    </w:p>
    <w:p w:rsidR="004A55B8" w:rsidRPr="00722C30" w:rsidRDefault="004A55B8" w:rsidP="007D0321">
      <w:pPr>
        <w:pStyle w:val="BodyText"/>
        <w:rPr>
          <w:rStyle w:val="AERbody"/>
        </w:rPr>
      </w:pPr>
      <w:r w:rsidRPr="00722C30">
        <w:rPr>
          <w:rStyle w:val="AERbody"/>
        </w:rPr>
        <w:t>It is important to note that the efficient pricing outcome is constantly changing and cannot be objectively determined. Our customers</w:t>
      </w:r>
      <w:r w:rsidR="00BC0898" w:rsidRPr="00722C30">
        <w:rPr>
          <w:rStyle w:val="AERbody"/>
        </w:rPr>
        <w:t>’</w:t>
      </w:r>
      <w:r w:rsidRPr="00722C30">
        <w:rPr>
          <w:rStyle w:val="AERbody"/>
        </w:rPr>
        <w:t xml:space="preserve"> preferences and technology </w:t>
      </w:r>
      <w:r w:rsidR="00B05C60" w:rsidRPr="00722C30">
        <w:rPr>
          <w:rStyle w:val="AERbody"/>
        </w:rPr>
        <w:t xml:space="preserve">are </w:t>
      </w:r>
      <w:r w:rsidRPr="00722C30">
        <w:rPr>
          <w:rStyle w:val="AERbody"/>
        </w:rPr>
        <w:t xml:space="preserve">changing, thereby altering the way our customers use our network, the costs imposed on our network and the most efficient means of providing the services our customers demand. In practical terms, tariff efficiency is an objective that Ausgrid may be constantly working towards, without every achieving in full, since the efficient frontier is itself always moving. </w:t>
      </w:r>
    </w:p>
    <w:p w:rsidR="005538BC" w:rsidRPr="00722C30" w:rsidRDefault="005538BC">
      <w:pPr>
        <w:pStyle w:val="BodyText"/>
        <w:rPr>
          <w:rStyle w:val="AERbody"/>
        </w:rPr>
      </w:pPr>
      <w:r w:rsidRPr="00722C30">
        <w:rPr>
          <w:rStyle w:val="AERbody"/>
        </w:rPr>
        <w:t>Against this backdrop, even holding constant customer preferences and technology, the likely form and speed of Ausgrid’s transition to efficient tariffs is uncertain. There</w:t>
      </w:r>
      <w:r w:rsidR="00FD5970" w:rsidRPr="00722C30">
        <w:rPr>
          <w:rStyle w:val="AERbody"/>
        </w:rPr>
        <w:t xml:space="preserve"> </w:t>
      </w:r>
      <w:r w:rsidRPr="00722C30">
        <w:rPr>
          <w:rStyle w:val="AERbody"/>
        </w:rPr>
        <w:t xml:space="preserve">stands before Ausgrid a process of learning how customers respond to changes in the structure and level of tariffs, </w:t>
      </w:r>
      <w:r w:rsidR="00BC0898" w:rsidRPr="00722C30">
        <w:rPr>
          <w:rStyle w:val="AERbody"/>
        </w:rPr>
        <w:t xml:space="preserve">the results of which will guide the </w:t>
      </w:r>
      <w:r w:rsidRPr="00722C30">
        <w:rPr>
          <w:rStyle w:val="AERbody"/>
        </w:rPr>
        <w:t xml:space="preserve">speed and nature of transition </w:t>
      </w:r>
      <w:r w:rsidR="001B7FC1" w:rsidRPr="00722C30">
        <w:rPr>
          <w:rStyle w:val="AERbody"/>
        </w:rPr>
        <w:t xml:space="preserve">to efficient tariffs. Similarly, </w:t>
      </w:r>
      <w:r w:rsidR="00BC0898" w:rsidRPr="00722C30">
        <w:rPr>
          <w:rStyle w:val="AERbody"/>
        </w:rPr>
        <w:t xml:space="preserve">customers require time to understand potential new tariff structures and how tariff reform enables them to take control of their network bills. </w:t>
      </w:r>
    </w:p>
    <w:p w:rsidR="00F72166" w:rsidRPr="00722C30" w:rsidRDefault="00F72166">
      <w:pPr>
        <w:pStyle w:val="BodyText"/>
        <w:rPr>
          <w:rStyle w:val="AERbody"/>
        </w:rPr>
      </w:pPr>
      <w:r w:rsidRPr="00722C30">
        <w:rPr>
          <w:rStyle w:val="AERbody"/>
        </w:rPr>
        <w:t xml:space="preserve">By way of context, Ausgrid estimates that transitioning the fixed charge for residential customers to a strictly efficient level over a period of 15 years would necessitate year-on-year increase in fixed charges of </w:t>
      </w:r>
      <w:r w:rsidR="00B05C60" w:rsidRPr="00722C30">
        <w:rPr>
          <w:rStyle w:val="AERbody"/>
        </w:rPr>
        <w:t xml:space="preserve">approximately </w:t>
      </w:r>
      <w:r w:rsidRPr="00722C30">
        <w:rPr>
          <w:rStyle w:val="AERbody"/>
        </w:rPr>
        <w:t xml:space="preserve">11 per cent. It is clear that the customer impacts of a transition of this speed would lead </w:t>
      </w:r>
      <w:r w:rsidR="007C7FCE">
        <w:rPr>
          <w:rStyle w:val="AERbody"/>
        </w:rPr>
        <w:t>to</w:t>
      </w:r>
      <w:r w:rsidR="007C7FCE" w:rsidRPr="00722C30">
        <w:rPr>
          <w:rStyle w:val="AERbody"/>
        </w:rPr>
        <w:t xml:space="preserve"> </w:t>
      </w:r>
      <w:r w:rsidRPr="00722C30">
        <w:rPr>
          <w:rStyle w:val="AERbody"/>
        </w:rPr>
        <w:t>unacceptable bill impacts for our customers.</w:t>
      </w:r>
      <w:r w:rsidR="007A5922" w:rsidRPr="00722C30">
        <w:rPr>
          <w:rStyle w:val="AERbody"/>
        </w:rPr>
        <w:t xml:space="preserve"> Whilst these increases in fixed charges would be somewhat offset by lower LRMC-based variable charges, there is a significant number of customers – particularly low energy users – that would be impacted by such changes.</w:t>
      </w:r>
    </w:p>
    <w:p w:rsidR="00DE0CE0" w:rsidRPr="00722C30" w:rsidRDefault="005538BC">
      <w:pPr>
        <w:pStyle w:val="BodyText"/>
        <w:rPr>
          <w:rStyle w:val="AERbody"/>
        </w:rPr>
      </w:pPr>
      <w:r w:rsidRPr="00722C30">
        <w:rPr>
          <w:rStyle w:val="AERbody"/>
        </w:rPr>
        <w:t>Nevertheless, it may be helpful to stakeholders to set out</w:t>
      </w:r>
      <w:r w:rsidR="00B05C60" w:rsidRPr="00722C30">
        <w:rPr>
          <w:rStyle w:val="AERbody"/>
        </w:rPr>
        <w:t>,</w:t>
      </w:r>
      <w:r w:rsidRPr="00722C30">
        <w:rPr>
          <w:rStyle w:val="AERbody"/>
        </w:rPr>
        <w:t xml:space="preserve"> at a high level</w:t>
      </w:r>
      <w:r w:rsidR="00B05C60" w:rsidRPr="00722C30">
        <w:rPr>
          <w:rStyle w:val="AERbody"/>
        </w:rPr>
        <w:t>,</w:t>
      </w:r>
      <w:r w:rsidRPr="00722C30">
        <w:rPr>
          <w:rStyle w:val="AERbody"/>
        </w:rPr>
        <w:t xml:space="preserve"> Ausgrid’s current take on </w:t>
      </w:r>
      <w:r w:rsidR="00BC0898" w:rsidRPr="00722C30">
        <w:rPr>
          <w:rStyle w:val="AERbody"/>
        </w:rPr>
        <w:t>the</w:t>
      </w:r>
      <w:r w:rsidRPr="00722C30">
        <w:rPr>
          <w:rStyle w:val="AERbody"/>
        </w:rPr>
        <w:t xml:space="preserve"> potential form of its transition-path</w:t>
      </w:r>
      <w:r w:rsidR="00DE0CE0" w:rsidRPr="00722C30">
        <w:rPr>
          <w:rStyle w:val="AERbody"/>
        </w:rPr>
        <w:t xml:space="preserve"> and the considerations that led to the selection of the proposed reforms discussed in section</w:t>
      </w:r>
      <w:r w:rsidR="00B05C60" w:rsidRPr="00722C30">
        <w:rPr>
          <w:rStyle w:val="AERbody"/>
        </w:rPr>
        <w:t xml:space="preserve"> </w:t>
      </w:r>
      <w:r w:rsidR="00B05C60" w:rsidRPr="00722C30">
        <w:rPr>
          <w:rStyle w:val="AERbody"/>
        </w:rPr>
        <w:fldChar w:fldCharType="begin"/>
      </w:r>
      <w:r w:rsidR="00B05C60" w:rsidRPr="00722C30">
        <w:rPr>
          <w:rStyle w:val="AERbody"/>
        </w:rPr>
        <w:instrText xml:space="preserve"> REF _Ref461802681 \r \h </w:instrText>
      </w:r>
      <w:r w:rsidR="00B05C60" w:rsidRPr="00722C30">
        <w:rPr>
          <w:rStyle w:val="AERbody"/>
        </w:rPr>
      </w:r>
      <w:r w:rsidR="00B05C60" w:rsidRPr="00722C30">
        <w:rPr>
          <w:rStyle w:val="AERbody"/>
        </w:rPr>
        <w:fldChar w:fldCharType="separate"/>
      </w:r>
      <w:r w:rsidR="00BE0834">
        <w:rPr>
          <w:rStyle w:val="AERbody"/>
        </w:rPr>
        <w:t>8.3</w:t>
      </w:r>
      <w:r w:rsidR="00B05C60" w:rsidRPr="00722C30">
        <w:rPr>
          <w:rStyle w:val="AERbody"/>
        </w:rPr>
        <w:fldChar w:fldCharType="end"/>
      </w:r>
      <w:r w:rsidRPr="00722C30">
        <w:rPr>
          <w:rStyle w:val="AERbody"/>
        </w:rPr>
        <w:t>.</w:t>
      </w:r>
      <w:r w:rsidR="00BC0898" w:rsidRPr="00722C30">
        <w:rPr>
          <w:rStyle w:val="AERbody"/>
        </w:rPr>
        <w:t xml:space="preserve"> </w:t>
      </w:r>
    </w:p>
    <w:p w:rsidR="00DE0CE0" w:rsidRPr="00722C30" w:rsidRDefault="00DE0CE0" w:rsidP="00722C30">
      <w:pPr>
        <w:pStyle w:val="Heading3"/>
        <w:rPr>
          <w:rStyle w:val="AERbody"/>
        </w:rPr>
      </w:pPr>
      <w:r w:rsidRPr="00722C30">
        <w:rPr>
          <w:rStyle w:val="AERbody"/>
        </w:rPr>
        <w:t>Key elements of Ausgrid’s proposed transition</w:t>
      </w:r>
    </w:p>
    <w:p w:rsidR="00DE0CE0" w:rsidRDefault="00DE0CE0" w:rsidP="00BD7A0B">
      <w:pPr>
        <w:pStyle w:val="BodyText"/>
      </w:pPr>
      <w:r>
        <w:t>Ausgrid identified a range of potential reforms for improving the efficiency of the price signals faced by our customers, as illustrated in the following figure.</w:t>
      </w:r>
    </w:p>
    <w:p w:rsidR="00F572F3" w:rsidRDefault="00F572F3">
      <w:pPr>
        <w:spacing w:after="0"/>
        <w:rPr>
          <w:rFonts w:ascii="Arial Bold" w:hAnsi="Arial Bold"/>
          <w:b/>
          <w:szCs w:val="18"/>
          <w:lang w:val="en-AU" w:eastAsia="en-AU"/>
        </w:rPr>
      </w:pPr>
      <w:r>
        <w:br w:type="page"/>
      </w:r>
    </w:p>
    <w:p w:rsidR="004A55B8" w:rsidRPr="00D54FEB" w:rsidRDefault="00347193" w:rsidP="00722C30">
      <w:pPr>
        <w:pStyle w:val="Caption"/>
        <w:rPr>
          <w:rFonts w:ascii="Arial" w:hAnsi="Arial" w:cs="Arial"/>
        </w:rPr>
      </w:pPr>
      <w:r w:rsidRPr="00D54FEB">
        <w:lastRenderedPageBreak/>
        <w:t xml:space="preserve">Figure </w:t>
      </w:r>
      <w:fldSimple w:instr=" SEQ Figure \* ARABIC ">
        <w:r w:rsidR="00BE0834">
          <w:rPr>
            <w:noProof/>
          </w:rPr>
          <w:t>12</w:t>
        </w:r>
      </w:fldSimple>
      <w:r w:rsidRPr="00D54FEB">
        <w:t xml:space="preserve"> – </w:t>
      </w:r>
      <w:r w:rsidR="00DE0CE0" w:rsidRPr="00D54FEB">
        <w:t>Illustrative transition path – Level and Structure of Efficient Peak Price</w:t>
      </w:r>
    </w:p>
    <w:p w:rsidR="005538BC" w:rsidRDefault="00BC0898" w:rsidP="000D6076">
      <w:pPr>
        <w:ind w:left="851"/>
      </w:pPr>
      <w:r w:rsidRPr="00BA49FA">
        <w:rPr>
          <w:noProof/>
          <w:lang w:val="en-AU" w:eastAsia="en-AU"/>
        </w:rPr>
        <w:drawing>
          <wp:inline distT="0" distB="0" distL="0" distR="0" wp14:anchorId="31E49C11" wp14:editId="2A440B6C">
            <wp:extent cx="4972050" cy="4025327"/>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88830" cy="4038912"/>
                    </a:xfrm>
                    <a:prstGeom prst="rect">
                      <a:avLst/>
                    </a:prstGeom>
                    <a:noFill/>
                    <a:ln>
                      <a:noFill/>
                    </a:ln>
                  </pic:spPr>
                </pic:pic>
              </a:graphicData>
            </a:graphic>
          </wp:inline>
        </w:drawing>
      </w:r>
    </w:p>
    <w:p w:rsidR="00F72166" w:rsidRPr="00722C30" w:rsidRDefault="00DE0CE0" w:rsidP="00BD7A0B">
      <w:pPr>
        <w:pStyle w:val="BodyText"/>
        <w:rPr>
          <w:rStyle w:val="AERbody"/>
        </w:rPr>
      </w:pPr>
      <w:r w:rsidRPr="00722C30">
        <w:rPr>
          <w:rStyle w:val="AERbody"/>
        </w:rPr>
        <w:t>Each of these reform options are likely to differ in terms of the resultant implications on economic welfare</w:t>
      </w:r>
      <w:r w:rsidR="00B05C60" w:rsidRPr="00722C30">
        <w:rPr>
          <w:rStyle w:val="AERbody"/>
        </w:rPr>
        <w:t xml:space="preserve"> and customer bills</w:t>
      </w:r>
      <w:r w:rsidRPr="00722C30">
        <w:rPr>
          <w:rStyle w:val="AERbody"/>
        </w:rPr>
        <w:t xml:space="preserve">, where the least and most efficient signals </w:t>
      </w:r>
      <w:r w:rsidR="00F72166" w:rsidRPr="00722C30">
        <w:rPr>
          <w:rStyle w:val="AERbody"/>
        </w:rPr>
        <w:t xml:space="preserve">are likely to </w:t>
      </w:r>
      <w:r w:rsidRPr="00722C30">
        <w:rPr>
          <w:rStyle w:val="AERbody"/>
        </w:rPr>
        <w:t xml:space="preserve">arise, respectively, under a flat tariff structure and </w:t>
      </w:r>
      <w:r w:rsidR="00F72166" w:rsidRPr="00722C30">
        <w:rPr>
          <w:rStyle w:val="AERbody"/>
        </w:rPr>
        <w:t>a localised peak price.</w:t>
      </w:r>
      <w:r w:rsidR="005B08FA" w:rsidRPr="00722C30">
        <w:rPr>
          <w:rStyle w:val="AERbody"/>
        </w:rPr>
        <w:t xml:space="preserve"> </w:t>
      </w:r>
      <w:r w:rsidR="00F72166" w:rsidRPr="00722C30">
        <w:rPr>
          <w:rStyle w:val="AERbody"/>
        </w:rPr>
        <w:t xml:space="preserve">Of some relevance to the task at hand, the limitations of Ausgrid’s existing basic accumulation </w:t>
      </w:r>
      <w:r w:rsidR="005B08FA" w:rsidRPr="00722C30">
        <w:rPr>
          <w:rStyle w:val="AERbody"/>
        </w:rPr>
        <w:t>metering fleet means that there are substantial barriers to improving the efficiency of price signals faced by some customers.</w:t>
      </w:r>
    </w:p>
    <w:p w:rsidR="002B3B96" w:rsidRPr="00722C30" w:rsidRDefault="005B08FA" w:rsidP="007D0321">
      <w:pPr>
        <w:pStyle w:val="BodyText"/>
        <w:rPr>
          <w:rStyle w:val="AERbody"/>
        </w:rPr>
      </w:pPr>
      <w:r w:rsidRPr="00722C30">
        <w:rPr>
          <w:rStyle w:val="AERbody"/>
        </w:rPr>
        <w:t>The key reforms to the peak price signals arising under Ausgrid’s TOU tariffs are discussed in</w:t>
      </w:r>
      <w:r w:rsidR="00AC47ED">
        <w:rPr>
          <w:rStyle w:val="AERbody"/>
        </w:rPr>
        <w:t xml:space="preserve"> sections </w:t>
      </w:r>
      <w:r w:rsidR="00AC47ED">
        <w:rPr>
          <w:rStyle w:val="AERbody"/>
        </w:rPr>
        <w:fldChar w:fldCharType="begin"/>
      </w:r>
      <w:r w:rsidR="00AC47ED">
        <w:rPr>
          <w:rStyle w:val="AERbody"/>
        </w:rPr>
        <w:instrText xml:space="preserve"> REF _Ref461802674 \r \h </w:instrText>
      </w:r>
      <w:r w:rsidR="00AC47ED">
        <w:rPr>
          <w:rStyle w:val="AERbody"/>
        </w:rPr>
      </w:r>
      <w:r w:rsidR="00AC47ED">
        <w:rPr>
          <w:rStyle w:val="AERbody"/>
        </w:rPr>
        <w:fldChar w:fldCharType="separate"/>
      </w:r>
      <w:r w:rsidR="00BE0834">
        <w:rPr>
          <w:rStyle w:val="AERbody"/>
        </w:rPr>
        <w:t>6</w:t>
      </w:r>
      <w:r w:rsidR="00AC47ED">
        <w:rPr>
          <w:rStyle w:val="AERbody"/>
        </w:rPr>
        <w:fldChar w:fldCharType="end"/>
      </w:r>
      <w:r w:rsidR="00AC47ED">
        <w:rPr>
          <w:rStyle w:val="AERbody"/>
        </w:rPr>
        <w:t xml:space="preserve"> and </w:t>
      </w:r>
      <w:r w:rsidR="00AC47ED">
        <w:rPr>
          <w:rStyle w:val="AERbody"/>
        </w:rPr>
        <w:fldChar w:fldCharType="begin"/>
      </w:r>
      <w:r w:rsidR="00AC47ED">
        <w:rPr>
          <w:rStyle w:val="AERbody"/>
        </w:rPr>
        <w:instrText xml:space="preserve"> REF _Ref461802681 \r \h </w:instrText>
      </w:r>
      <w:r w:rsidR="00AC47ED">
        <w:rPr>
          <w:rStyle w:val="AERbody"/>
        </w:rPr>
      </w:r>
      <w:r w:rsidR="00AC47ED">
        <w:rPr>
          <w:rStyle w:val="AERbody"/>
        </w:rPr>
        <w:fldChar w:fldCharType="separate"/>
      </w:r>
      <w:r w:rsidR="00BE0834">
        <w:rPr>
          <w:rStyle w:val="AERbody"/>
        </w:rPr>
        <w:t>8.3</w:t>
      </w:r>
      <w:r w:rsidR="00AC47ED">
        <w:rPr>
          <w:rStyle w:val="AERbody"/>
        </w:rPr>
        <w:fldChar w:fldCharType="end"/>
      </w:r>
      <w:r w:rsidRPr="00722C30">
        <w:rPr>
          <w:rStyle w:val="AERbody"/>
        </w:rPr>
        <w:t>.</w:t>
      </w:r>
    </w:p>
    <w:p w:rsidR="005B08FA" w:rsidRPr="00722C30" w:rsidRDefault="005B08FA">
      <w:pPr>
        <w:pStyle w:val="BodyText"/>
        <w:rPr>
          <w:rStyle w:val="AERbody"/>
        </w:rPr>
      </w:pPr>
      <w:r w:rsidRPr="00722C30">
        <w:rPr>
          <w:rStyle w:val="AERbody"/>
        </w:rPr>
        <w:t xml:space="preserve">Another key question addressed by Ausgrid in developing </w:t>
      </w:r>
      <w:r w:rsidR="009E2663" w:rsidRPr="00722C30">
        <w:rPr>
          <w:rStyle w:val="AERbody"/>
        </w:rPr>
        <w:t>this TSS</w:t>
      </w:r>
      <w:r w:rsidRPr="00722C30">
        <w:rPr>
          <w:rStyle w:val="AERbody"/>
        </w:rPr>
        <w:t xml:space="preserve"> was the extent to which residual costs should be recovered from fixed charges</w:t>
      </w:r>
      <w:r w:rsidR="009E2663" w:rsidRPr="00722C30">
        <w:rPr>
          <w:rStyle w:val="AERbody"/>
        </w:rPr>
        <w:t>. Relevantly, the introduction of seasonality and the narrowing of the winter peak act to increase the level of residual costs.</w:t>
      </w:r>
    </w:p>
    <w:p w:rsidR="009E2663" w:rsidRPr="00722C30" w:rsidRDefault="009E2663">
      <w:pPr>
        <w:pStyle w:val="BodyText"/>
        <w:rPr>
          <w:rStyle w:val="AERbody"/>
        </w:rPr>
      </w:pPr>
      <w:r w:rsidRPr="00722C30">
        <w:rPr>
          <w:rStyle w:val="AERbody"/>
        </w:rPr>
        <w:t xml:space="preserve">Against this backdrop, Ausgrid proposes to apply off-peak and shoulder charging parameters </w:t>
      </w:r>
      <w:r w:rsidR="00A0492D" w:rsidRPr="00722C30">
        <w:rPr>
          <w:rStyle w:val="AERbody"/>
        </w:rPr>
        <w:t xml:space="preserve">for TOU tariffs </w:t>
      </w:r>
      <w:r w:rsidRPr="00722C30">
        <w:rPr>
          <w:rStyle w:val="AERbody"/>
        </w:rPr>
        <w:t>to assist in the recovery of residual costs, as well as by recovering a proportion of residual costs by means of a modest mark-up to the peak price. Importantly, Ausgrid is also proposing to impose a constraint on the extent to which fixed charges can increase from year-to-year, as discussed in section</w:t>
      </w:r>
      <w:r w:rsidR="009E5AFB" w:rsidRPr="00722C30">
        <w:rPr>
          <w:rStyle w:val="AERbody"/>
        </w:rPr>
        <w:t xml:space="preserve"> </w:t>
      </w:r>
      <w:r w:rsidR="009E5AFB" w:rsidRPr="00722C30">
        <w:rPr>
          <w:rStyle w:val="AERbody"/>
        </w:rPr>
        <w:fldChar w:fldCharType="begin"/>
      </w:r>
      <w:r w:rsidR="009E5AFB" w:rsidRPr="00722C30">
        <w:rPr>
          <w:rStyle w:val="AERbody"/>
        </w:rPr>
        <w:instrText xml:space="preserve"> REF _Ref462042836 \r \h </w:instrText>
      </w:r>
      <w:r w:rsidR="009E5AFB" w:rsidRPr="00722C30">
        <w:rPr>
          <w:rStyle w:val="AERbody"/>
        </w:rPr>
      </w:r>
      <w:r w:rsidR="009E5AFB" w:rsidRPr="00722C30">
        <w:rPr>
          <w:rStyle w:val="AERbody"/>
        </w:rPr>
        <w:fldChar w:fldCharType="separate"/>
      </w:r>
      <w:r w:rsidR="00BE0834">
        <w:rPr>
          <w:rStyle w:val="AERbody"/>
        </w:rPr>
        <w:t>8.3.2</w:t>
      </w:r>
      <w:r w:rsidR="009E5AFB" w:rsidRPr="00722C30">
        <w:rPr>
          <w:rStyle w:val="AERbody"/>
        </w:rPr>
        <w:fldChar w:fldCharType="end"/>
      </w:r>
      <w:r w:rsidRPr="00722C30">
        <w:rPr>
          <w:rStyle w:val="AERbody"/>
        </w:rPr>
        <w:t>.</w:t>
      </w:r>
    </w:p>
    <w:p w:rsidR="00E174D7" w:rsidRDefault="00E174D7">
      <w:pPr>
        <w:pStyle w:val="BodyText"/>
        <w:rPr>
          <w:rStyle w:val="AERbody"/>
        </w:rPr>
      </w:pPr>
      <w:r w:rsidRPr="00722C30">
        <w:rPr>
          <w:rStyle w:val="AERbody"/>
        </w:rPr>
        <w:t xml:space="preserve">An illustrative transition path for the recovery of fixed costs is presented in </w:t>
      </w:r>
      <w:r w:rsidR="009E5AFB" w:rsidRPr="00722C30">
        <w:rPr>
          <w:rStyle w:val="AERbody"/>
        </w:rPr>
        <w:fldChar w:fldCharType="begin"/>
      </w:r>
      <w:r w:rsidR="009E5AFB" w:rsidRPr="00722C30">
        <w:rPr>
          <w:rStyle w:val="AERbody"/>
        </w:rPr>
        <w:instrText xml:space="preserve"> REF _Ref462042880 \h  \* MERGEFORMAT </w:instrText>
      </w:r>
      <w:r w:rsidR="009E5AFB" w:rsidRPr="00722C30">
        <w:rPr>
          <w:rStyle w:val="AERbody"/>
        </w:rPr>
      </w:r>
      <w:r w:rsidR="009E5AFB" w:rsidRPr="00722C30">
        <w:rPr>
          <w:rStyle w:val="AERbody"/>
        </w:rPr>
        <w:fldChar w:fldCharType="separate"/>
      </w:r>
      <w:r w:rsidR="00BE0834" w:rsidRPr="00BE0834">
        <w:rPr>
          <w:rStyle w:val="AERbody"/>
        </w:rPr>
        <w:t>Figure 13</w:t>
      </w:r>
      <w:r w:rsidR="009E5AFB" w:rsidRPr="00722C30">
        <w:rPr>
          <w:rStyle w:val="AERbody"/>
        </w:rPr>
        <w:fldChar w:fldCharType="end"/>
      </w:r>
      <w:r w:rsidRPr="00722C30">
        <w:rPr>
          <w:rStyle w:val="AERbody"/>
        </w:rPr>
        <w:t>.</w:t>
      </w:r>
    </w:p>
    <w:p w:rsidR="00D54FEB" w:rsidRDefault="00D54FEB">
      <w:pPr>
        <w:pStyle w:val="BodyText"/>
        <w:rPr>
          <w:rStyle w:val="AERbody"/>
        </w:rPr>
      </w:pPr>
    </w:p>
    <w:p w:rsidR="00D54FEB" w:rsidRDefault="00D54FEB">
      <w:pPr>
        <w:pStyle w:val="BodyText"/>
        <w:rPr>
          <w:rStyle w:val="AERbody"/>
        </w:rPr>
      </w:pPr>
    </w:p>
    <w:p w:rsidR="00D54FEB" w:rsidRDefault="00D54FEB">
      <w:pPr>
        <w:pStyle w:val="BodyText"/>
        <w:rPr>
          <w:rStyle w:val="AERbody"/>
        </w:rPr>
      </w:pPr>
    </w:p>
    <w:p w:rsidR="00D54FEB" w:rsidRPr="00722C30" w:rsidRDefault="00D54FEB">
      <w:pPr>
        <w:pStyle w:val="BodyText"/>
        <w:rPr>
          <w:rStyle w:val="AERbody"/>
        </w:rPr>
      </w:pPr>
    </w:p>
    <w:p w:rsidR="00E174D7" w:rsidRPr="00D54FEB" w:rsidRDefault="00347193" w:rsidP="00D54FEB">
      <w:pPr>
        <w:pStyle w:val="Caption"/>
        <w:rPr>
          <w:rFonts w:cs="Arial"/>
          <w:b w:val="0"/>
        </w:rPr>
      </w:pPr>
      <w:bookmarkStart w:id="1959" w:name="_Ref462042880"/>
      <w:r w:rsidRPr="00D54FEB">
        <w:lastRenderedPageBreak/>
        <w:t xml:space="preserve">Figure </w:t>
      </w:r>
      <w:fldSimple w:instr=" SEQ Figure \* ARABIC ">
        <w:r w:rsidR="00BE0834">
          <w:rPr>
            <w:noProof/>
          </w:rPr>
          <w:t>13</w:t>
        </w:r>
      </w:fldSimple>
      <w:bookmarkEnd w:id="1959"/>
      <w:r w:rsidRPr="00D54FEB">
        <w:t xml:space="preserve"> – </w:t>
      </w:r>
      <w:r w:rsidR="00E174D7" w:rsidRPr="00D54FEB">
        <w:t>Illustrative Transition Path – Recovery of Residual Costs</w:t>
      </w:r>
    </w:p>
    <w:p w:rsidR="00E174D7" w:rsidRPr="00BA49FA" w:rsidRDefault="00E174D7" w:rsidP="00E174D7">
      <w:pPr>
        <w:ind w:left="709"/>
        <w:rPr>
          <w:rFonts w:cs="Arial"/>
          <w:sz w:val="20"/>
          <w:szCs w:val="20"/>
        </w:rPr>
      </w:pPr>
      <w:r w:rsidRPr="00BA49FA">
        <w:rPr>
          <w:rFonts w:cs="Arial"/>
          <w:noProof/>
          <w:sz w:val="20"/>
          <w:szCs w:val="20"/>
          <w:lang w:val="en-AU" w:eastAsia="en-AU"/>
        </w:rPr>
        <w:drawing>
          <wp:inline distT="0" distB="0" distL="0" distR="0" wp14:anchorId="0F770082" wp14:editId="635B3FA2">
            <wp:extent cx="5086350" cy="3822544"/>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7748" cy="3853656"/>
                    </a:xfrm>
                    <a:prstGeom prst="rect">
                      <a:avLst/>
                    </a:prstGeom>
                    <a:noFill/>
                  </pic:spPr>
                </pic:pic>
              </a:graphicData>
            </a:graphic>
          </wp:inline>
        </w:drawing>
      </w:r>
    </w:p>
    <w:p w:rsidR="00FA1754" w:rsidRPr="00722C30" w:rsidRDefault="00B547B1" w:rsidP="00BD7A0B">
      <w:pPr>
        <w:pStyle w:val="BodyText"/>
        <w:rPr>
          <w:rStyle w:val="AERbody"/>
        </w:rPr>
      </w:pPr>
      <w:r w:rsidRPr="00722C30">
        <w:rPr>
          <w:rStyle w:val="AERbody"/>
        </w:rPr>
        <w:t>The key tariff reforms to be implemented by Ausgrid in this TSS are discussed below.</w:t>
      </w:r>
    </w:p>
    <w:p w:rsidR="00FA1754" w:rsidRPr="00F572F3" w:rsidRDefault="00E174D7" w:rsidP="00722C30">
      <w:pPr>
        <w:pStyle w:val="Heading2"/>
      </w:pPr>
      <w:bookmarkStart w:id="1960" w:name="_Ref461802681"/>
      <w:bookmarkStart w:id="1961" w:name="_Toc475527438"/>
      <w:r w:rsidRPr="00F572F3">
        <w:t>Key reforms proposed by Ausgrid</w:t>
      </w:r>
      <w:bookmarkEnd w:id="1960"/>
      <w:bookmarkEnd w:id="1961"/>
    </w:p>
    <w:p w:rsidR="00E174D7" w:rsidRPr="00722C30" w:rsidRDefault="00B547B1" w:rsidP="00BD7A0B">
      <w:pPr>
        <w:pStyle w:val="BodyText"/>
        <w:rPr>
          <w:rStyle w:val="AERbody"/>
        </w:rPr>
      </w:pPr>
      <w:r w:rsidRPr="00722C30">
        <w:rPr>
          <w:rStyle w:val="AERbody"/>
        </w:rPr>
        <w:t xml:space="preserve">Ausgrid will be implementing a number of reforms in the current regulatory control period that are directed </w:t>
      </w:r>
      <w:r w:rsidR="00B17C8B">
        <w:rPr>
          <w:rStyle w:val="AERbody"/>
        </w:rPr>
        <w:t xml:space="preserve">at </w:t>
      </w:r>
      <w:r w:rsidRPr="00722C30">
        <w:rPr>
          <w:rStyle w:val="AERbody"/>
        </w:rPr>
        <w:t>transitioning to efficient tariffs without imposing on customers unacceptable bill impacts. The key proposed reforms include:</w:t>
      </w:r>
    </w:p>
    <w:p w:rsidR="00F108B2" w:rsidRDefault="00F108B2" w:rsidP="00722C30">
      <w:pPr>
        <w:pStyle w:val="Bulletedtext"/>
      </w:pPr>
      <w:r>
        <w:t>replacing the declining block tariff with a flat tariff</w:t>
      </w:r>
      <w:r w:rsidR="0023321A">
        <w:t>;</w:t>
      </w:r>
    </w:p>
    <w:p w:rsidR="00F108B2" w:rsidRDefault="00A0492D" w:rsidP="00722C30">
      <w:pPr>
        <w:pStyle w:val="Bulletedtext"/>
      </w:pPr>
      <w:r>
        <w:t xml:space="preserve">voluntarily </w:t>
      </w:r>
      <w:r w:rsidR="00F108B2">
        <w:t>applying a re-balancing constraint to limit increases in fixed charges;</w:t>
      </w:r>
    </w:p>
    <w:p w:rsidR="00F108B2" w:rsidRDefault="00F108B2" w:rsidP="00722C30">
      <w:pPr>
        <w:pStyle w:val="Bulletedtext"/>
      </w:pPr>
      <w:r>
        <w:t>introducing seasonality into TOU tariffs;</w:t>
      </w:r>
    </w:p>
    <w:p w:rsidR="00F108B2" w:rsidRDefault="00F108B2" w:rsidP="00722C30">
      <w:pPr>
        <w:pStyle w:val="Bulletedtext"/>
      </w:pPr>
      <w:r>
        <w:t>reforming the winter peak period for residential customers;</w:t>
      </w:r>
    </w:p>
    <w:p w:rsidR="00F108B2" w:rsidRDefault="0023321A" w:rsidP="00722C30">
      <w:pPr>
        <w:pStyle w:val="Bulletedtext"/>
      </w:pPr>
      <w:r>
        <w:t>changing the assignment and reassignment process;</w:t>
      </w:r>
    </w:p>
    <w:p w:rsidR="0023321A" w:rsidRDefault="0023321A" w:rsidP="00722C30">
      <w:pPr>
        <w:pStyle w:val="Bulletedtext"/>
      </w:pPr>
      <w:r>
        <w:t>introducing new transitional tariffs to prevent unacceptable customer impacts;</w:t>
      </w:r>
    </w:p>
    <w:p w:rsidR="00F108B2" w:rsidRDefault="00F108B2" w:rsidP="00722C30">
      <w:pPr>
        <w:pStyle w:val="Bulletedtext"/>
      </w:pPr>
      <w:r>
        <w:t>removing the shoulder period on weekends for small business customers;</w:t>
      </w:r>
      <w:r w:rsidR="007A0695">
        <w:t xml:space="preserve"> and</w:t>
      </w:r>
    </w:p>
    <w:p w:rsidR="00F108B2" w:rsidRDefault="00F108B2" w:rsidP="00722C30">
      <w:pPr>
        <w:pStyle w:val="Bulletedtext"/>
      </w:pPr>
      <w:proofErr w:type="gramStart"/>
      <w:r>
        <w:t>introducing</w:t>
      </w:r>
      <w:proofErr w:type="gramEnd"/>
      <w:r>
        <w:t xml:space="preserve"> a new tariff for transmission-connected customers</w:t>
      </w:r>
      <w:r w:rsidR="007A0695">
        <w:t>.</w:t>
      </w:r>
    </w:p>
    <w:p w:rsidR="00E059BF" w:rsidRPr="00722C30" w:rsidRDefault="00F108B2" w:rsidP="00BD7A0B">
      <w:pPr>
        <w:pStyle w:val="BodyText"/>
        <w:rPr>
          <w:rStyle w:val="AERbody"/>
        </w:rPr>
      </w:pPr>
      <w:r w:rsidRPr="00722C30">
        <w:rPr>
          <w:rStyle w:val="AERbody"/>
        </w:rPr>
        <w:t xml:space="preserve">Each of </w:t>
      </w:r>
      <w:r w:rsidR="00E059BF" w:rsidRPr="00722C30">
        <w:rPr>
          <w:rStyle w:val="AERbody"/>
        </w:rPr>
        <w:t xml:space="preserve">the abovementioned </w:t>
      </w:r>
      <w:r w:rsidRPr="00722C30">
        <w:rPr>
          <w:rStyle w:val="AERbody"/>
        </w:rPr>
        <w:t>reforms is discussed briefly below</w:t>
      </w:r>
      <w:r w:rsidR="00E059BF" w:rsidRPr="00722C30">
        <w:rPr>
          <w:rStyle w:val="AERbody"/>
        </w:rPr>
        <w:t>,</w:t>
      </w:r>
      <w:r w:rsidRPr="00722C30">
        <w:rPr>
          <w:rStyle w:val="AERbody"/>
        </w:rPr>
        <w:t xml:space="preserve"> and </w:t>
      </w:r>
      <w:r w:rsidR="00E059BF" w:rsidRPr="00722C30">
        <w:rPr>
          <w:rStyle w:val="AERbody"/>
        </w:rPr>
        <w:t>further detail is provided in Appendix A</w:t>
      </w:r>
      <w:r w:rsidRPr="00722C30">
        <w:rPr>
          <w:rStyle w:val="AERbody"/>
        </w:rPr>
        <w:t>.</w:t>
      </w:r>
      <w:r w:rsidR="00E059BF" w:rsidRPr="00722C30">
        <w:rPr>
          <w:rStyle w:val="AERbody"/>
        </w:rPr>
        <w:t xml:space="preserve"> However, first, the box below sets out the basis for Ausgrid’s decision to delay until the next TSS further consideration of tariff eligibility criteria based on the size of the electrical connection.</w:t>
      </w:r>
    </w:p>
    <w:tbl>
      <w:tblPr>
        <w:tblStyle w:val="TableGrid"/>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blLook w:val="04A0" w:firstRow="1" w:lastRow="0" w:firstColumn="1" w:lastColumn="0" w:noHBand="0" w:noVBand="1"/>
      </w:tblPr>
      <w:tblGrid>
        <w:gridCol w:w="8698"/>
      </w:tblGrid>
      <w:tr w:rsidR="00E059BF" w:rsidTr="00722C30">
        <w:trPr>
          <w:trHeight w:val="6124"/>
        </w:trPr>
        <w:tc>
          <w:tcPr>
            <w:tcW w:w="9549" w:type="dxa"/>
            <w:shd w:val="clear" w:color="auto" w:fill="C6D9F1"/>
          </w:tcPr>
          <w:p w:rsidR="00E059BF" w:rsidRPr="00722C30" w:rsidRDefault="00E059BF" w:rsidP="00722C30">
            <w:pPr>
              <w:spacing w:before="120" w:after="240" w:line="240" w:lineRule="exact"/>
              <w:ind w:left="850"/>
              <w:rPr>
                <w:b/>
                <w:color w:val="002060"/>
                <w:sz w:val="20"/>
                <w:lang w:val="en-AU"/>
              </w:rPr>
            </w:pPr>
            <w:r w:rsidRPr="00722C30">
              <w:rPr>
                <w:b/>
                <w:color w:val="002060"/>
                <w:sz w:val="20"/>
                <w:lang w:val="en-AU"/>
              </w:rPr>
              <w:lastRenderedPageBreak/>
              <w:t>Consideration of eligibility criteria based on size of the electrical connection</w:t>
            </w:r>
          </w:p>
          <w:p w:rsidR="00E059BF" w:rsidRPr="00722C30" w:rsidRDefault="00E059BF" w:rsidP="00BD7A0B">
            <w:pPr>
              <w:pStyle w:val="BodyText"/>
              <w:rPr>
                <w:rStyle w:val="AERbody"/>
                <w:color w:val="002060"/>
              </w:rPr>
            </w:pPr>
            <w:r w:rsidRPr="00722C30">
              <w:rPr>
                <w:rStyle w:val="AERbody"/>
                <w:color w:val="002060"/>
              </w:rPr>
              <w:t>Ausgrid’s initial TSS contained a proposal to introduce eligibility criteria</w:t>
            </w:r>
            <w:r w:rsidRPr="00025BDF">
              <w:rPr>
                <w:rStyle w:val="AERbody"/>
                <w:color w:val="002060"/>
                <w:vertAlign w:val="superscript"/>
              </w:rPr>
              <w:footnoteReference w:id="28"/>
            </w:r>
            <w:r w:rsidRPr="00025BDF">
              <w:rPr>
                <w:rStyle w:val="AERbody"/>
                <w:color w:val="002060"/>
                <w:vertAlign w:val="superscript"/>
              </w:rPr>
              <w:t xml:space="preserve"> </w:t>
            </w:r>
            <w:r w:rsidRPr="00722C30">
              <w:rPr>
                <w:rStyle w:val="AERbody"/>
                <w:color w:val="002060"/>
              </w:rPr>
              <w:t xml:space="preserve">based on the size of the electrical connection, ie: single phase (&lt;100 Amps); three Phase (&lt;100 Amps); three Phase (100-400 Amps); three phase (400 Amps – 1600 Amps); three Phase (&gt;1600 Amps). </w:t>
            </w:r>
          </w:p>
          <w:p w:rsidR="00E059BF" w:rsidRPr="00722C30" w:rsidRDefault="00E059BF" w:rsidP="007D0321">
            <w:pPr>
              <w:pStyle w:val="BodyText"/>
              <w:rPr>
                <w:rStyle w:val="AERbody"/>
                <w:color w:val="002060"/>
              </w:rPr>
            </w:pPr>
            <w:r w:rsidRPr="00722C30">
              <w:rPr>
                <w:rStyle w:val="AERbody"/>
                <w:color w:val="002060"/>
              </w:rPr>
              <w:t>These criteria were selected because they each have different impacts on the size of the network required to support such a connection.</w:t>
            </w:r>
            <w:r w:rsidRPr="00025BDF">
              <w:rPr>
                <w:rStyle w:val="AERbody"/>
                <w:color w:val="002060"/>
                <w:vertAlign w:val="superscript"/>
              </w:rPr>
              <w:footnoteReference w:id="29"/>
            </w:r>
            <w:r w:rsidRPr="00025BDF">
              <w:rPr>
                <w:rStyle w:val="AERbody"/>
                <w:color w:val="002060"/>
                <w:vertAlign w:val="superscript"/>
              </w:rPr>
              <w:t xml:space="preserve"> </w:t>
            </w:r>
            <w:r w:rsidRPr="00722C30">
              <w:rPr>
                <w:rStyle w:val="AERbody"/>
                <w:color w:val="002060"/>
              </w:rPr>
              <w:t>Ausgrid intended to implement all of the above eligibility criteria as a package, since the rationale for their implementation is the same and they give effect to consistent and compatible eligibility criteria across the low voltage tariff class.</w:t>
            </w:r>
          </w:p>
          <w:p w:rsidR="00E059BF" w:rsidRPr="00722C30" w:rsidRDefault="00E059BF">
            <w:pPr>
              <w:pStyle w:val="BodyText"/>
              <w:rPr>
                <w:rStyle w:val="AERbody"/>
                <w:rFonts w:cs="Times New Roman"/>
                <w:noProof w:val="0"/>
                <w:color w:val="002060"/>
                <w:szCs w:val="24"/>
                <w:lang w:val="en-US" w:eastAsia="en-US"/>
              </w:rPr>
            </w:pPr>
            <w:r w:rsidRPr="00722C30">
              <w:rPr>
                <w:rStyle w:val="AERbody"/>
                <w:color w:val="002060"/>
              </w:rPr>
              <w:t>The AER was not satisfied that the latter of the three abovementioned criteria complied with the rules, and requested further justification from Ausgrid.</w:t>
            </w:r>
            <w:r w:rsidRPr="00025BDF">
              <w:rPr>
                <w:rStyle w:val="AERbody"/>
                <w:color w:val="002060"/>
                <w:vertAlign w:val="superscript"/>
              </w:rPr>
              <w:footnoteReference w:id="30"/>
            </w:r>
            <w:r w:rsidRPr="00722C30">
              <w:rPr>
                <w:rStyle w:val="AERbody"/>
                <w:color w:val="002060"/>
              </w:rPr>
              <w:t xml:space="preserve"> However, the AER viewed favourably a single phase and three phase distinction in eligibility criteria (without any reference to current rating in Amps).</w:t>
            </w:r>
            <w:r w:rsidRPr="00025BDF">
              <w:rPr>
                <w:rStyle w:val="AERbody"/>
                <w:color w:val="002060"/>
                <w:vertAlign w:val="superscript"/>
              </w:rPr>
              <w:footnoteReference w:id="31"/>
            </w:r>
          </w:p>
          <w:p w:rsidR="00E059BF" w:rsidRPr="00722C30" w:rsidRDefault="00E059BF">
            <w:pPr>
              <w:pStyle w:val="BodyText"/>
              <w:rPr>
                <w:rStyle w:val="AERbody"/>
                <w:rFonts w:cs="Times New Roman"/>
                <w:noProof w:val="0"/>
                <w:color w:val="002060"/>
                <w:szCs w:val="24"/>
                <w:lang w:val="en-US" w:eastAsia="en-US"/>
              </w:rPr>
            </w:pPr>
            <w:r w:rsidRPr="00722C30">
              <w:rPr>
                <w:rStyle w:val="AERbody"/>
                <w:color w:val="002060"/>
              </w:rPr>
              <w:t xml:space="preserve">Upon further reflection, Ausgrid identified that the available timeframe was not sufficient to undertake the supporting analysis requested by the AER, and so </w:t>
            </w:r>
            <w:r w:rsidR="007C7FCE">
              <w:rPr>
                <w:rStyle w:val="AERbody"/>
                <w:color w:val="002060"/>
              </w:rPr>
              <w:t xml:space="preserve">it </w:t>
            </w:r>
            <w:r w:rsidRPr="00722C30">
              <w:rPr>
                <w:rStyle w:val="AERbody"/>
                <w:color w:val="002060"/>
              </w:rPr>
              <w:t>will delay further consideration of eligibility criteria based on the size of the electrical connection until the next TSS. In the meantime, Ausgrid will continue the application of usage-based eligibility criteria.</w:t>
            </w:r>
          </w:p>
          <w:p w:rsidR="00E059BF" w:rsidRPr="00722C30" w:rsidRDefault="00E059BF">
            <w:pPr>
              <w:pStyle w:val="BodyText"/>
              <w:rPr>
                <w:rStyle w:val="AERbody"/>
                <w:color w:val="002060"/>
              </w:rPr>
            </w:pPr>
            <w:r w:rsidRPr="00722C30">
              <w:rPr>
                <w:rStyle w:val="AERbody"/>
                <w:color w:val="002060"/>
              </w:rPr>
              <w:t>It</w:t>
            </w:r>
            <w:r w:rsidR="00FF0EB2">
              <w:rPr>
                <w:rStyle w:val="AERbody"/>
                <w:color w:val="002060"/>
              </w:rPr>
              <w:t xml:space="preserve"> is important to note that part-</w:t>
            </w:r>
            <w:r w:rsidRPr="00722C30">
              <w:rPr>
                <w:rStyle w:val="AERbody"/>
                <w:color w:val="002060"/>
              </w:rPr>
              <w:t>implementation of these eligibility criteria would give rise to internal inconsistency across the tariff eligibility criteria for the low voltage tariff class. For example, a customer may satisfy the three phase (&lt;100 Amps) tariff eligibility criteria, yet their usage of the network may meet the usage-based eligibility criteria of another tariff, say, EA302.</w:t>
            </w:r>
          </w:p>
          <w:p w:rsidR="00E059BF" w:rsidRPr="00722C30" w:rsidRDefault="00FF0EB2">
            <w:pPr>
              <w:pStyle w:val="BodyText"/>
              <w:rPr>
                <w:rStyle w:val="AERbody"/>
                <w:color w:val="002060"/>
              </w:rPr>
            </w:pPr>
            <w:r>
              <w:rPr>
                <w:rStyle w:val="AERbody"/>
                <w:color w:val="002060"/>
              </w:rPr>
              <w:t>Moreover, part-</w:t>
            </w:r>
            <w:r w:rsidR="00E059BF" w:rsidRPr="00722C30">
              <w:rPr>
                <w:rStyle w:val="AERbody"/>
                <w:color w:val="002060"/>
              </w:rPr>
              <w:t>implementation of these reforms may result in unecesary change</w:t>
            </w:r>
            <w:r w:rsidR="007C7FCE">
              <w:rPr>
                <w:rStyle w:val="AERbody"/>
                <w:color w:val="002060"/>
              </w:rPr>
              <w:t>s</w:t>
            </w:r>
            <w:r w:rsidR="00E059BF" w:rsidRPr="00722C30">
              <w:rPr>
                <w:rStyle w:val="AERbody"/>
                <w:color w:val="002060"/>
              </w:rPr>
              <w:t xml:space="preserve"> </w:t>
            </w:r>
            <w:r w:rsidR="007C7FCE" w:rsidRPr="00722C30">
              <w:rPr>
                <w:rStyle w:val="AERbody"/>
                <w:color w:val="002060"/>
              </w:rPr>
              <w:t>i</w:t>
            </w:r>
            <w:r w:rsidR="007C7FCE">
              <w:rPr>
                <w:rStyle w:val="AERbody"/>
                <w:color w:val="002060"/>
              </w:rPr>
              <w:t>f</w:t>
            </w:r>
            <w:r w:rsidR="007C7FCE" w:rsidRPr="00722C30">
              <w:rPr>
                <w:rStyle w:val="AERbody"/>
                <w:color w:val="002060"/>
              </w:rPr>
              <w:t xml:space="preserve"> </w:t>
            </w:r>
            <w:r w:rsidR="00E059BF" w:rsidRPr="00722C30">
              <w:rPr>
                <w:rStyle w:val="AERbody"/>
                <w:color w:val="002060"/>
              </w:rPr>
              <w:t>the analysis to be undertaken as part of the next TSS indicates an alternative criteria is more appropriate.</w:t>
            </w:r>
          </w:p>
          <w:p w:rsidR="00E059BF" w:rsidRPr="00722C30" w:rsidRDefault="00E059BF">
            <w:pPr>
              <w:pStyle w:val="BodyText"/>
              <w:rPr>
                <w:rStyle w:val="AERbody"/>
                <w:color w:val="002060"/>
              </w:rPr>
            </w:pPr>
            <w:r w:rsidRPr="00722C30">
              <w:rPr>
                <w:rStyle w:val="AERbody"/>
                <w:color w:val="002060"/>
              </w:rPr>
              <w:t xml:space="preserve">Finally, implementing these reforms necessitates a detailed audit of our customer data and working with Metering Providers to set up procedures for procuring the requisite site information. This will be a costly and time-consuming process. Therefore, the part-implementation of these criteria prior to undertaking further analysis risks duplication in costs, or even unnecessary costs if our analysis identifies alternative criteria are more appropriate. </w:t>
            </w:r>
          </w:p>
          <w:p w:rsidR="00E059BF" w:rsidRPr="00722C30" w:rsidRDefault="00E059BF">
            <w:pPr>
              <w:pStyle w:val="BodyText"/>
              <w:rPr>
                <w:rStyle w:val="AERbody"/>
                <w:color w:val="002060"/>
              </w:rPr>
            </w:pPr>
            <w:r w:rsidRPr="00722C30">
              <w:rPr>
                <w:rStyle w:val="AERbody"/>
                <w:color w:val="002060"/>
              </w:rPr>
              <w:t>For these reasons, Ausgrid will delay further consideration of eligibility criteria based on the size of the electrical connection until the next TSS.</w:t>
            </w:r>
          </w:p>
          <w:p w:rsidR="00F572F3" w:rsidRPr="00722C30" w:rsidRDefault="00F572F3" w:rsidP="00B50A16">
            <w:pPr>
              <w:autoSpaceDE w:val="0"/>
              <w:autoSpaceDN w:val="0"/>
              <w:adjustRightInd w:val="0"/>
              <w:spacing w:after="0"/>
              <w:rPr>
                <w:color w:val="002060"/>
                <w:lang w:val="en-AU"/>
              </w:rPr>
            </w:pPr>
          </w:p>
        </w:tc>
      </w:tr>
    </w:tbl>
    <w:p w:rsidR="00921AC1" w:rsidRDefault="00921AC1" w:rsidP="00BD7A0B">
      <w:pPr>
        <w:pStyle w:val="BodyText"/>
      </w:pPr>
    </w:p>
    <w:p w:rsidR="00921AC1" w:rsidRPr="00722C30" w:rsidRDefault="00921AC1" w:rsidP="007D0321">
      <w:pPr>
        <w:pStyle w:val="BodyText"/>
      </w:pPr>
      <w:r w:rsidRPr="00722C30">
        <w:br w:type="page"/>
      </w:r>
    </w:p>
    <w:p w:rsidR="00F108B2" w:rsidRDefault="00F108B2" w:rsidP="00722C30">
      <w:pPr>
        <w:pStyle w:val="Heading3"/>
      </w:pPr>
      <w:r w:rsidRPr="00687326">
        <w:lastRenderedPageBreak/>
        <w:t>Replacing the DBT with a flat tariff</w:t>
      </w:r>
    </w:p>
    <w:p w:rsidR="000D1D64" w:rsidRPr="00722C30" w:rsidRDefault="009F3073" w:rsidP="00BD7A0B">
      <w:pPr>
        <w:pStyle w:val="BodyText"/>
        <w:rPr>
          <w:rStyle w:val="AERbody"/>
        </w:rPr>
      </w:pPr>
      <w:r w:rsidRPr="00722C30">
        <w:rPr>
          <w:rStyle w:val="AERbody"/>
        </w:rPr>
        <w:t xml:space="preserve">The lack of interval meters for </w:t>
      </w:r>
      <w:r w:rsidR="001A7AF2" w:rsidRPr="00722C30">
        <w:rPr>
          <w:rStyle w:val="AERbody"/>
        </w:rPr>
        <w:t xml:space="preserve">some </w:t>
      </w:r>
      <w:r w:rsidRPr="00722C30">
        <w:rPr>
          <w:rStyle w:val="AERbody"/>
        </w:rPr>
        <w:t xml:space="preserve">residential and small business customers </w:t>
      </w:r>
      <w:r w:rsidR="001A7AF2" w:rsidRPr="00722C30">
        <w:rPr>
          <w:rStyle w:val="AERbody"/>
        </w:rPr>
        <w:t>is a substantial impediment to the provision of efficient price signals to these customers. In the absence of interval meters and the corresponding ability to provide time-variant price signals, Ausgrid is restricted to implementing some form of block or flat tariff.</w:t>
      </w:r>
    </w:p>
    <w:p w:rsidR="000E578D" w:rsidRPr="00722C30" w:rsidRDefault="000E578D" w:rsidP="007D0321">
      <w:pPr>
        <w:pStyle w:val="BodyText"/>
        <w:rPr>
          <w:rStyle w:val="AERbody"/>
        </w:rPr>
      </w:pPr>
      <w:r w:rsidRPr="00722C30">
        <w:rPr>
          <w:rStyle w:val="AERbody"/>
        </w:rPr>
        <w:t>One approach to avoiding increases in fixed charges is to implement a block tariff where relatively more residual costs are allocated to the first block, which has inherently stable volumes. Ausgrid considers that this approach has the potential to improve the efficiency properties of the non-TOU tariff, without unacceptable increases in fixed charges.</w:t>
      </w:r>
    </w:p>
    <w:p w:rsidR="00B547B1" w:rsidRDefault="00B547B1">
      <w:pPr>
        <w:pStyle w:val="BodyText"/>
      </w:pPr>
      <w:r w:rsidRPr="00722C30">
        <w:rPr>
          <w:rStyle w:val="AERbody"/>
        </w:rPr>
        <w:t>However, a number of stakeholders noted concerns with Ausgrid’s existing declining block tariff (DBT),</w:t>
      </w:r>
      <w:r w:rsidRPr="00025BDF">
        <w:rPr>
          <w:rStyle w:val="AERbody"/>
          <w:vertAlign w:val="superscript"/>
        </w:rPr>
        <w:footnoteReference w:id="32"/>
      </w:r>
      <w:r w:rsidRPr="00722C30">
        <w:rPr>
          <w:rStyle w:val="AERbody"/>
        </w:rPr>
        <w:t xml:space="preserve"> namely in relation to the resultant effects on low energy users and incentives to increase use of the</w:t>
      </w:r>
      <w:r>
        <w:t xml:space="preserve"> network. The AER also indicated in its draft decision that it believed a flat tariff struck a better balance between promoting more efficient use of the network and customer impacts.</w:t>
      </w:r>
    </w:p>
    <w:p w:rsidR="00B547B1" w:rsidRPr="00722C30" w:rsidRDefault="00B547B1">
      <w:pPr>
        <w:pStyle w:val="BodyText"/>
        <w:rPr>
          <w:rStyle w:val="AERbody"/>
          <w:rFonts w:cs="Times New Roman"/>
          <w:noProof w:val="0"/>
          <w:szCs w:val="24"/>
          <w:lang w:val="en-US" w:eastAsia="en-US"/>
        </w:rPr>
      </w:pPr>
      <w:r w:rsidRPr="00722C30">
        <w:rPr>
          <w:rStyle w:val="AERbody"/>
        </w:rPr>
        <w:t>In light of this stakeholder feedback and the absence of supporting empirical evidence on price elasticity across consumption blocks, Ausgrid will replace the DBT with a flat tariff</w:t>
      </w:r>
      <w:r w:rsidR="00D368EF">
        <w:rPr>
          <w:rStyle w:val="AERbody"/>
        </w:rPr>
        <w:t xml:space="preserve"> from 1 July 2017</w:t>
      </w:r>
      <w:r w:rsidRPr="00722C30">
        <w:rPr>
          <w:rStyle w:val="AERbody"/>
        </w:rPr>
        <w:t xml:space="preserve">. </w:t>
      </w:r>
    </w:p>
    <w:p w:rsidR="001A7AF2" w:rsidRPr="00722C30" w:rsidRDefault="00B547B1">
      <w:pPr>
        <w:pStyle w:val="BodyText"/>
        <w:rPr>
          <w:rStyle w:val="AERbody"/>
        </w:rPr>
      </w:pPr>
      <w:r w:rsidRPr="00722C30">
        <w:rPr>
          <w:rStyle w:val="AERbody"/>
        </w:rPr>
        <w:t xml:space="preserve">In the absence of this supporting empirical evidence, Ausgrid is attracted to the neutrality of a flat tariff. A flat tariff recovers residual costs from all customers in a constant proportion to their energy use, as compared with the disproportionate allocation arising under a block tariff. </w:t>
      </w:r>
    </w:p>
    <w:p w:rsidR="005D2998" w:rsidRDefault="005D2998" w:rsidP="00722C30">
      <w:pPr>
        <w:pStyle w:val="Heading3"/>
      </w:pPr>
      <w:bookmarkStart w:id="1962" w:name="_Ref462042836"/>
      <w:r>
        <w:t>The rebalancing constraint</w:t>
      </w:r>
      <w:bookmarkEnd w:id="1962"/>
    </w:p>
    <w:p w:rsidR="0080276F" w:rsidRPr="00722C30" w:rsidRDefault="0080276F" w:rsidP="00BD7A0B">
      <w:pPr>
        <w:pStyle w:val="BodyText"/>
        <w:rPr>
          <w:rStyle w:val="AERbody"/>
        </w:rPr>
      </w:pPr>
      <w:r>
        <w:t xml:space="preserve">Ausgrid’s proposal to apply a rebalancing constraint for fixed charges in the current regulatory control </w:t>
      </w:r>
      <w:r w:rsidRPr="00722C30">
        <w:rPr>
          <w:rStyle w:val="AERbody"/>
        </w:rPr>
        <w:t>period is a central component of this TSS, and one of the principal means by which Ausgrid is able to avoid adverse bill impacts and provide certainty to customers.</w:t>
      </w:r>
    </w:p>
    <w:p w:rsidR="006A4FD9" w:rsidRPr="00722C30" w:rsidRDefault="0080276F" w:rsidP="007D0321">
      <w:pPr>
        <w:pStyle w:val="BodyText"/>
        <w:rPr>
          <w:rStyle w:val="AERbody"/>
        </w:rPr>
      </w:pPr>
      <w:r w:rsidRPr="00722C30">
        <w:rPr>
          <w:rStyle w:val="AERbody"/>
        </w:rPr>
        <w:t xml:space="preserve">The NER requires Ausgrid to transition to more cost reflective tariffs, which necessitates some degree of rebalancing away from inefficient charges </w:t>
      </w:r>
      <w:r w:rsidR="00A0492D" w:rsidRPr="00722C30">
        <w:rPr>
          <w:rStyle w:val="AERbody"/>
        </w:rPr>
        <w:t xml:space="preserve">and </w:t>
      </w:r>
      <w:r w:rsidRPr="00722C30">
        <w:rPr>
          <w:rStyle w:val="AERbody"/>
        </w:rPr>
        <w:t xml:space="preserve">towards more efficient fixed charges (or similar charging parameters). </w:t>
      </w:r>
    </w:p>
    <w:p w:rsidR="0080276F" w:rsidRPr="00722C30" w:rsidRDefault="0080276F">
      <w:pPr>
        <w:pStyle w:val="BodyText"/>
        <w:rPr>
          <w:rStyle w:val="AERbody"/>
        </w:rPr>
      </w:pPr>
      <w:r w:rsidRPr="00722C30">
        <w:rPr>
          <w:rStyle w:val="AERbody"/>
        </w:rPr>
        <w:t>Ausgrid is concerned that a rebalancing towards fixed charges has the potential to impose on some customers adverse bill impacts. For this reason, Ausgrid has voluntarily elected to provide certainty and comfort to customers by imposing on itself a rebalancing constraint that limit</w:t>
      </w:r>
      <w:r w:rsidR="005F019B">
        <w:rPr>
          <w:rStyle w:val="AERbody"/>
        </w:rPr>
        <w:t>s</w:t>
      </w:r>
      <w:r w:rsidRPr="00722C30">
        <w:rPr>
          <w:rStyle w:val="AERbody"/>
        </w:rPr>
        <w:t xml:space="preserve"> the extent to which fixed charges may increase from year-to-year during this regulatory control period. </w:t>
      </w:r>
    </w:p>
    <w:p w:rsidR="00C82F3D" w:rsidRPr="00722C30" w:rsidRDefault="0080276F">
      <w:pPr>
        <w:pStyle w:val="BodyText"/>
        <w:rPr>
          <w:rStyle w:val="AERbody"/>
        </w:rPr>
      </w:pPr>
      <w:r w:rsidRPr="00722C30">
        <w:rPr>
          <w:rStyle w:val="AERbody"/>
        </w:rPr>
        <w:t xml:space="preserve">In essence, the rebalancing constraint acts to limit the annual change in fixed charges to the greater of consumer price inflation </w:t>
      </w:r>
      <w:r w:rsidR="00C82F3D" w:rsidRPr="00722C30">
        <w:rPr>
          <w:rStyle w:val="AERbody"/>
        </w:rPr>
        <w:t xml:space="preserve">or the annual change in </w:t>
      </w:r>
      <w:r w:rsidR="00A61B54">
        <w:rPr>
          <w:rStyle w:val="AERbody"/>
        </w:rPr>
        <w:t xml:space="preserve">network costs </w:t>
      </w:r>
      <w:r w:rsidR="00C82F3D" w:rsidRPr="00722C30">
        <w:rPr>
          <w:rStyle w:val="AERbody"/>
        </w:rPr>
        <w:t>in that year.</w:t>
      </w:r>
      <w:r w:rsidR="006A4FD9" w:rsidRPr="00722C30">
        <w:rPr>
          <w:rStyle w:val="AERbody"/>
        </w:rPr>
        <w:t xml:space="preserve"> </w:t>
      </w:r>
      <w:r w:rsidR="00C82F3D" w:rsidRPr="00722C30">
        <w:rPr>
          <w:rStyle w:val="AERbody"/>
        </w:rPr>
        <w:t xml:space="preserve">Ausgrid considers that, in a stable volume environment, the application of this rebalancing constraint is in the </w:t>
      </w:r>
      <w:r w:rsidR="00D368EF" w:rsidRPr="00722C30">
        <w:rPr>
          <w:rStyle w:val="AERbody"/>
        </w:rPr>
        <w:t>long</w:t>
      </w:r>
      <w:r w:rsidR="00D368EF">
        <w:rPr>
          <w:rStyle w:val="AERbody"/>
        </w:rPr>
        <w:t>-</w:t>
      </w:r>
      <w:r w:rsidR="00C82F3D" w:rsidRPr="00722C30">
        <w:rPr>
          <w:rStyle w:val="AERbody"/>
        </w:rPr>
        <w:t>term interests of consumers.</w:t>
      </w:r>
    </w:p>
    <w:p w:rsidR="00B55D6C" w:rsidRPr="009D3596" w:rsidRDefault="00B55D6C" w:rsidP="00BE0834">
      <w:pPr>
        <w:pStyle w:val="BodyText"/>
      </w:pPr>
      <w:r w:rsidRPr="00BE0834">
        <w:rPr>
          <w:rStyle w:val="AERbody"/>
        </w:rPr>
        <w:t xml:space="preserve">Specifically, in each year of the remainder of the current regulatory control period </w:t>
      </w:r>
      <w:r w:rsidR="00C04946" w:rsidRPr="00BE0834">
        <w:rPr>
          <w:rStyle w:val="AERbody"/>
        </w:rPr>
        <w:t xml:space="preserve">the </w:t>
      </w:r>
      <w:r w:rsidR="00467187">
        <w:rPr>
          <w:rStyle w:val="AERbody"/>
        </w:rPr>
        <w:t xml:space="preserve">NUOS </w:t>
      </w:r>
      <w:r w:rsidR="00C04946" w:rsidRPr="00BE0834">
        <w:rPr>
          <w:rStyle w:val="AERbody"/>
        </w:rPr>
        <w:t xml:space="preserve">fixed charge component of each tariff </w:t>
      </w:r>
      <w:r w:rsidRPr="00BE0834">
        <w:rPr>
          <w:rStyle w:val="AERbody"/>
        </w:rPr>
        <w:t xml:space="preserve">will </w:t>
      </w:r>
      <w:r w:rsidR="00C04946">
        <w:rPr>
          <w:rStyle w:val="AERbody"/>
        </w:rPr>
        <w:t xml:space="preserve">be </w:t>
      </w:r>
      <w:r w:rsidRPr="00BE0834">
        <w:rPr>
          <w:rStyle w:val="AERbody"/>
        </w:rPr>
        <w:t>limit</w:t>
      </w:r>
      <w:r w:rsidR="00C04946">
        <w:rPr>
          <w:rStyle w:val="AERbody"/>
        </w:rPr>
        <w:t>ed by</w:t>
      </w:r>
      <w:r w:rsidRPr="00BE0834">
        <w:rPr>
          <w:rStyle w:val="AERbody"/>
        </w:rPr>
        <w:t xml:space="preserve"> </w:t>
      </w:r>
      <w:r w:rsidR="00C04946">
        <w:rPr>
          <w:rStyle w:val="AERbody"/>
        </w:rPr>
        <w:t xml:space="preserve">the changes in the </w:t>
      </w:r>
      <w:r w:rsidR="00467187">
        <w:rPr>
          <w:rStyle w:val="AERbody"/>
        </w:rPr>
        <w:t xml:space="preserve">NUOS </w:t>
      </w:r>
      <w:r w:rsidR="00C04946">
        <w:rPr>
          <w:rStyle w:val="AERbody"/>
        </w:rPr>
        <w:t xml:space="preserve">revenue allocated to that tariff. Ausgrid will limit the increase in the </w:t>
      </w:r>
      <w:r w:rsidR="00467187">
        <w:rPr>
          <w:rStyle w:val="AERbody"/>
        </w:rPr>
        <w:t xml:space="preserve">NUOS </w:t>
      </w:r>
      <w:r w:rsidR="00C04946">
        <w:rPr>
          <w:rStyle w:val="AERbody"/>
        </w:rPr>
        <w:t>revenue allocated to each tariff by</w:t>
      </w:r>
      <w:r w:rsidRPr="00BE0834">
        <w:rPr>
          <w:rStyle w:val="AERbody"/>
        </w:rPr>
        <w:t>:</w:t>
      </w:r>
    </w:p>
    <w:p w:rsidR="00B55D6C" w:rsidRPr="009D3596" w:rsidRDefault="001B5FF8" w:rsidP="00B55D6C">
      <w:pPr>
        <w:spacing w:before="120" w:after="120"/>
        <w:ind w:left="851"/>
        <w:rPr>
          <w:rFonts w:ascii="Albertus Medium" w:hAnsi="Albertus Medium"/>
          <w:sz w:val="22"/>
          <w:szCs w:val="22"/>
          <w:lang w:val="en-AU"/>
        </w:rPr>
      </w:pPr>
      <m:oMathPara>
        <m:oMath>
          <m:sSub>
            <m:sSubPr>
              <m:ctrlPr>
                <w:rPr>
                  <w:rFonts w:ascii="Cambria Math" w:hAnsi="Cambria Math"/>
                  <w:sz w:val="22"/>
                  <w:szCs w:val="22"/>
                  <w:lang w:val="en-AU"/>
                </w:rPr>
              </m:ctrlPr>
            </m:sSubPr>
            <m:e>
              <m:r>
                <m:rPr>
                  <m:sty m:val="p"/>
                </m:rPr>
                <w:rPr>
                  <w:rFonts w:ascii="Cambria Math" w:hAnsi="Cambria Math"/>
                  <w:sz w:val="22"/>
                  <w:szCs w:val="22"/>
                  <w:lang w:val="en-AU"/>
                </w:rPr>
                <m:t>the greater of  %∆</m:t>
              </m:r>
              <m:sSub>
                <m:sSubPr>
                  <m:ctrlPr>
                    <w:rPr>
                      <w:rFonts w:ascii="Cambria Math" w:hAnsi="Cambria Math"/>
                      <w:sz w:val="22"/>
                      <w:szCs w:val="22"/>
                      <w:lang w:val="en-AU"/>
                    </w:rPr>
                  </m:ctrlPr>
                </m:sSubPr>
                <m:e>
                  <m:r>
                    <m:rPr>
                      <m:sty m:val="p"/>
                    </m:rPr>
                    <w:rPr>
                      <w:rFonts w:ascii="Cambria Math" w:hAnsi="Cambria Math"/>
                      <w:sz w:val="22"/>
                      <w:szCs w:val="22"/>
                      <w:lang w:val="en-AU"/>
                    </w:rPr>
                    <m:t>CPI</m:t>
                  </m:r>
                </m:e>
                <m:sub>
                  <m:r>
                    <w:rPr>
                      <w:rFonts w:ascii="Cambria Math" w:hAnsi="Cambria Math"/>
                      <w:sz w:val="22"/>
                      <w:szCs w:val="22"/>
                      <w:lang w:val="en-AU"/>
                    </w:rPr>
                    <m:t>t</m:t>
                  </m:r>
                </m:sub>
              </m:sSub>
              <m:r>
                <m:rPr>
                  <m:sty m:val="p"/>
                </m:rPr>
                <w:rPr>
                  <w:rFonts w:ascii="Cambria Math" w:hAnsi="Cambria Math"/>
                  <w:sz w:val="22"/>
                  <w:szCs w:val="22"/>
                  <w:lang w:val="en-AU"/>
                </w:rPr>
                <m:t xml:space="preserve">  or  %∆P</m:t>
              </m:r>
            </m:e>
            <m:sub>
              <m:r>
                <w:rPr>
                  <w:rFonts w:ascii="Cambria Math" w:hAnsi="Cambria Math"/>
                  <w:sz w:val="22"/>
                  <w:szCs w:val="22"/>
                  <w:lang w:val="en-AU"/>
                </w:rPr>
                <m:t>tk</m:t>
              </m:r>
            </m:sub>
          </m:sSub>
        </m:oMath>
      </m:oMathPara>
    </w:p>
    <w:p w:rsidR="00B55D6C" w:rsidRPr="00BE0834" w:rsidRDefault="00B55D6C" w:rsidP="00B55D6C">
      <w:pPr>
        <w:spacing w:before="240"/>
        <w:ind w:left="131" w:firstLine="720"/>
        <w:rPr>
          <w:rFonts w:cs="Arial"/>
          <w:sz w:val="20"/>
          <w:szCs w:val="20"/>
          <w:lang w:val="en-AU"/>
        </w:rPr>
      </w:pPr>
      <w:r w:rsidRPr="00BE0834">
        <w:rPr>
          <w:rFonts w:cs="Arial"/>
          <w:sz w:val="20"/>
          <w:szCs w:val="20"/>
          <w:lang w:val="en-AU"/>
        </w:rPr>
        <w:t>Where:</w:t>
      </w:r>
    </w:p>
    <w:p w:rsidR="00B55D6C" w:rsidRPr="00BE0834" w:rsidRDefault="001B5FF8" w:rsidP="00B55D6C">
      <w:pPr>
        <w:ind w:left="851"/>
        <w:rPr>
          <w:rFonts w:cs="Arial"/>
          <w:sz w:val="20"/>
          <w:szCs w:val="20"/>
          <w:lang w:val="en-AU"/>
        </w:rPr>
      </w:pPr>
      <m:oMathPara>
        <m:oMathParaPr>
          <m:jc m:val="left"/>
        </m:oMathParaPr>
        <m:oMath>
          <m:sSub>
            <m:sSubPr>
              <m:ctrlPr>
                <w:rPr>
                  <w:rFonts w:ascii="Cambria Math" w:hAnsi="Cambria Math" w:cs="Arial"/>
                  <w:sz w:val="20"/>
                  <w:szCs w:val="20"/>
                  <w:lang w:val="en-AU"/>
                </w:rPr>
              </m:ctrlPr>
            </m:sSubPr>
            <m:e>
              <m:r>
                <m:rPr>
                  <m:sty m:val="p"/>
                </m:rPr>
                <w:rPr>
                  <w:rFonts w:ascii="Cambria Math" w:hAnsi="Cambria Math" w:cs="Arial"/>
                  <w:sz w:val="20"/>
                  <w:szCs w:val="20"/>
                  <w:lang w:val="en-AU"/>
                </w:rPr>
                <m:t>%∆P</m:t>
              </m:r>
            </m:e>
            <m:sub>
              <m:r>
                <m:rPr>
                  <m:sty m:val="p"/>
                </m:rPr>
                <w:rPr>
                  <w:rFonts w:ascii="Cambria Math" w:hAnsi="Cambria Math" w:cs="Arial"/>
                  <w:sz w:val="20"/>
                  <w:szCs w:val="20"/>
                  <w:lang w:val="en-AU"/>
                </w:rPr>
                <m:t>tk</m:t>
              </m:r>
            </m:sub>
          </m:sSub>
          <m:r>
            <m:rPr>
              <m:sty m:val="p"/>
            </m:rPr>
            <w:rPr>
              <w:rFonts w:ascii="Cambria Math" w:hAnsi="Cambria Math" w:cs="Arial"/>
              <w:sz w:val="20"/>
              <w:szCs w:val="20"/>
              <w:lang w:val="en-AU"/>
            </w:rPr>
            <m:t>=</m:t>
          </m:r>
          <m:sSub>
            <m:sSubPr>
              <m:ctrlPr>
                <w:rPr>
                  <w:rFonts w:ascii="Cambria Math" w:hAnsi="Cambria Math" w:cs="Arial"/>
                  <w:sz w:val="20"/>
                  <w:szCs w:val="20"/>
                  <w:lang w:val="en-AU"/>
                </w:rPr>
              </m:ctrlPr>
            </m:sSubPr>
            <m:e>
              <m:r>
                <m:rPr>
                  <m:sty m:val="p"/>
                </m:rPr>
                <w:rPr>
                  <w:rFonts w:ascii="Cambria Math" w:hAnsi="Cambria Math" w:cs="Arial"/>
                  <w:sz w:val="20"/>
                  <w:szCs w:val="20"/>
                  <w:lang w:val="en-AU"/>
                </w:rPr>
                <m:t>%∆DUOS</m:t>
              </m:r>
            </m:e>
            <m:sub>
              <m:r>
                <m:rPr>
                  <m:sty m:val="p"/>
                </m:rPr>
                <w:rPr>
                  <w:rFonts w:ascii="Cambria Math" w:hAnsi="Cambria Math" w:cs="Arial"/>
                  <w:sz w:val="20"/>
                  <w:szCs w:val="20"/>
                  <w:lang w:val="en-AU"/>
                </w:rPr>
                <m:t>tk</m:t>
              </m:r>
            </m:sub>
          </m:sSub>
          <m:r>
            <m:rPr>
              <m:sty m:val="p"/>
            </m:rPr>
            <w:rPr>
              <w:rFonts w:ascii="Cambria Math" w:hAnsi="Cambria Math" w:cs="Arial"/>
              <w:sz w:val="20"/>
              <w:szCs w:val="20"/>
              <w:lang w:val="en-AU"/>
            </w:rPr>
            <m:t xml:space="preserve">+ </m:t>
          </m:r>
          <m:sSub>
            <m:sSubPr>
              <m:ctrlPr>
                <w:rPr>
                  <w:rFonts w:ascii="Cambria Math" w:hAnsi="Cambria Math" w:cs="Arial"/>
                  <w:sz w:val="20"/>
                  <w:szCs w:val="20"/>
                  <w:lang w:val="en-AU"/>
                </w:rPr>
              </m:ctrlPr>
            </m:sSubPr>
            <m:e>
              <m:r>
                <m:rPr>
                  <m:sty m:val="p"/>
                </m:rPr>
                <w:rPr>
                  <w:rFonts w:ascii="Cambria Math" w:hAnsi="Cambria Math" w:cs="Arial"/>
                  <w:sz w:val="20"/>
                  <w:szCs w:val="20"/>
                  <w:lang w:val="en-AU"/>
                </w:rPr>
                <m:t xml:space="preserve"> %∆TUOS</m:t>
              </m:r>
            </m:e>
            <m:sub>
              <m:r>
                <m:rPr>
                  <m:sty m:val="p"/>
                </m:rPr>
                <w:rPr>
                  <w:rFonts w:ascii="Cambria Math" w:hAnsi="Cambria Math" w:cs="Arial"/>
                  <w:sz w:val="20"/>
                  <w:szCs w:val="20"/>
                  <w:lang w:val="en-AU"/>
                </w:rPr>
                <m:t>tk</m:t>
              </m:r>
            </m:sub>
          </m:sSub>
          <m:r>
            <m:rPr>
              <m:sty m:val="p"/>
            </m:rPr>
            <w:rPr>
              <w:rFonts w:ascii="Cambria Math" w:hAnsi="Cambria Math" w:cs="Arial"/>
              <w:sz w:val="20"/>
              <w:szCs w:val="20"/>
              <w:lang w:val="en-AU"/>
            </w:rPr>
            <m:t>+</m:t>
          </m:r>
          <m:sSub>
            <m:sSubPr>
              <m:ctrlPr>
                <w:rPr>
                  <w:rFonts w:ascii="Cambria Math" w:hAnsi="Cambria Math" w:cs="Arial"/>
                  <w:sz w:val="20"/>
                  <w:szCs w:val="20"/>
                  <w:lang w:val="en-AU"/>
                </w:rPr>
              </m:ctrlPr>
            </m:sSubPr>
            <m:e>
              <m:r>
                <m:rPr>
                  <m:sty m:val="p"/>
                </m:rPr>
                <w:rPr>
                  <w:rFonts w:ascii="Cambria Math" w:hAnsi="Cambria Math" w:cs="Arial"/>
                  <w:sz w:val="20"/>
                  <w:szCs w:val="20"/>
                  <w:lang w:val="en-AU"/>
                </w:rPr>
                <m:t xml:space="preserve"> %∆CCF</m:t>
              </m:r>
            </m:e>
            <m:sub>
              <m:r>
                <m:rPr>
                  <m:sty m:val="p"/>
                </m:rPr>
                <w:rPr>
                  <w:rFonts w:ascii="Cambria Math" w:hAnsi="Cambria Math" w:cs="Arial"/>
                  <w:sz w:val="20"/>
                  <w:szCs w:val="20"/>
                  <w:lang w:val="en-AU"/>
                </w:rPr>
                <m:t>tk</m:t>
              </m:r>
            </m:sub>
          </m:sSub>
        </m:oMath>
      </m:oMathPara>
    </w:p>
    <w:p w:rsidR="00B55D6C" w:rsidRPr="00BE0834" w:rsidRDefault="00B55D6C" w:rsidP="00B55D6C">
      <w:pPr>
        <w:ind w:left="1276"/>
        <w:rPr>
          <w:rFonts w:cs="Arial"/>
          <w:sz w:val="20"/>
          <w:szCs w:val="20"/>
          <w:lang w:val="en-AU"/>
        </w:rPr>
      </w:pPr>
    </w:p>
    <w:p w:rsidR="00B55D6C" w:rsidRPr="00386B6B" w:rsidRDefault="001B5FF8" w:rsidP="00C2436E">
      <w:pPr>
        <w:pStyle w:val="BodyText"/>
        <w:ind w:left="2835" w:hanging="1984"/>
      </w:pPr>
      <m:oMath>
        <m:sSub>
          <m:sSubPr>
            <m:ctrlPr>
              <w:rPr>
                <w:rFonts w:ascii="Cambria Math" w:hAnsi="Cambria Math"/>
              </w:rPr>
            </m:ctrlPr>
          </m:sSubPr>
          <m:e>
            <m:r>
              <m:rPr>
                <m:sty m:val="p"/>
              </m:rPr>
              <w:rPr>
                <w:rFonts w:ascii="Cambria Math" w:hAnsi="Cambria Math"/>
              </w:rPr>
              <m:t>%∆DUOS</m:t>
            </m:r>
          </m:e>
          <m:sub>
            <m:r>
              <m:rPr>
                <m:sty m:val="p"/>
              </m:rPr>
              <w:rPr>
                <w:rFonts w:ascii="Cambria Math" w:hAnsi="Cambria Math"/>
              </w:rPr>
              <m:t>tk</m:t>
            </m:r>
          </m:sub>
        </m:sSub>
      </m:oMath>
      <w:r w:rsidR="00B55D6C" w:rsidRPr="00386B6B">
        <w:tab/>
        <w:t>is the % change in allowed DUOS revenue allocated to tariff k in year t, including approved pass through amounts</w:t>
      </w:r>
      <w:r w:rsidR="008A0F95">
        <w:t xml:space="preserve"> and unders and overs</w:t>
      </w:r>
    </w:p>
    <w:p w:rsidR="00B55D6C" w:rsidRPr="00386B6B" w:rsidRDefault="001B5FF8" w:rsidP="00C2436E">
      <w:pPr>
        <w:pStyle w:val="BodyText"/>
        <w:ind w:left="2835" w:hanging="1984"/>
      </w:pPr>
      <m:oMath>
        <m:sSub>
          <m:sSubPr>
            <m:ctrlPr>
              <w:rPr>
                <w:rFonts w:ascii="Cambria Math" w:hAnsi="Cambria Math"/>
              </w:rPr>
            </m:ctrlPr>
          </m:sSubPr>
          <m:e>
            <m:r>
              <m:rPr>
                <m:sty m:val="p"/>
              </m:rPr>
              <w:rPr>
                <w:rFonts w:ascii="Cambria Math" w:hAnsi="Cambria Math"/>
              </w:rPr>
              <m:t>%∆TUOS</m:t>
            </m:r>
          </m:e>
          <m:sub>
            <m:r>
              <m:rPr>
                <m:sty m:val="p"/>
              </m:rPr>
              <w:rPr>
                <w:rFonts w:ascii="Cambria Math" w:hAnsi="Cambria Math"/>
              </w:rPr>
              <m:t>tk</m:t>
            </m:r>
          </m:sub>
        </m:sSub>
      </m:oMath>
      <w:r w:rsidR="00B55D6C" w:rsidRPr="00386B6B">
        <w:tab/>
        <w:t xml:space="preserve">is the % change in TUOS costs allocated to tariff k in year t, including </w:t>
      </w:r>
      <w:r w:rsidR="008A0F95">
        <w:t>unders and overs</w:t>
      </w:r>
    </w:p>
    <w:p w:rsidR="00B55D6C" w:rsidRPr="00386B6B" w:rsidRDefault="001B5FF8" w:rsidP="00C2436E">
      <w:pPr>
        <w:pStyle w:val="BodyText"/>
        <w:ind w:left="2835" w:hanging="1984"/>
      </w:pPr>
      <m:oMath>
        <m:sSub>
          <m:sSubPr>
            <m:ctrlPr>
              <w:rPr>
                <w:rFonts w:ascii="Cambria Math" w:hAnsi="Cambria Math"/>
              </w:rPr>
            </m:ctrlPr>
          </m:sSubPr>
          <m:e>
            <m:r>
              <m:rPr>
                <m:sty m:val="p"/>
              </m:rPr>
              <w:rPr>
                <w:rFonts w:ascii="Cambria Math" w:hAnsi="Cambria Math"/>
              </w:rPr>
              <m:t>%∆CCF</m:t>
            </m:r>
          </m:e>
          <m:sub>
            <m:r>
              <m:rPr>
                <m:sty m:val="p"/>
              </m:rPr>
              <w:rPr>
                <w:rFonts w:ascii="Cambria Math" w:hAnsi="Cambria Math"/>
              </w:rPr>
              <m:t>tk</m:t>
            </m:r>
          </m:sub>
        </m:sSub>
      </m:oMath>
      <w:r w:rsidR="00B55D6C" w:rsidRPr="00386B6B">
        <w:tab/>
        <w:t>is the % change in CCF costs allocated to tariff k in year t, including unders and overs</w:t>
      </w:r>
    </w:p>
    <w:p w:rsidR="00B55D6C" w:rsidRPr="00386B6B" w:rsidRDefault="001B5FF8" w:rsidP="00BE0834">
      <w:pPr>
        <w:pStyle w:val="BodyText"/>
        <w:ind w:left="2835" w:hanging="1984"/>
      </w:pPr>
      <m:oMath>
        <m:sSub>
          <m:sSubPr>
            <m:ctrlPr>
              <w:rPr>
                <w:rFonts w:ascii="Cambria Math" w:hAnsi="Cambria Math"/>
              </w:rPr>
            </m:ctrlPr>
          </m:sSubPr>
          <m:e>
            <m:r>
              <m:rPr>
                <m:sty m:val="p"/>
              </m:rPr>
              <w:rPr>
                <w:rFonts w:ascii="Cambria Math" w:hAnsi="Cambria Math"/>
              </w:rPr>
              <m:t>CCF</m:t>
            </m:r>
          </m:e>
          <m:sub>
            <m:r>
              <m:rPr>
                <m:sty m:val="p"/>
              </m:rPr>
              <w:rPr>
                <w:rFonts w:ascii="Cambria Math" w:hAnsi="Cambria Math"/>
              </w:rPr>
              <m:t>tk</m:t>
            </m:r>
          </m:sub>
        </m:sSub>
      </m:oMath>
      <w:r w:rsidR="00B55D6C" w:rsidRPr="00386B6B">
        <w:tab/>
        <w:t>Ausgrid’s contribution to the NSW Government Climate Change Fund in year t</w:t>
      </w:r>
      <w:r w:rsidR="000B1E59">
        <w:t xml:space="preserve"> </w:t>
      </w:r>
      <w:r w:rsidR="000B1E59" w:rsidRPr="00386B6B">
        <w:t>including unders and overs</w:t>
      </w:r>
    </w:p>
    <w:p w:rsidR="00386B6B" w:rsidRDefault="00386B6B" w:rsidP="00BE0834">
      <w:pPr>
        <w:pStyle w:val="BodyText"/>
        <w:ind w:left="2835"/>
      </w:pPr>
    </w:p>
    <w:p w:rsidR="007E4482" w:rsidRPr="00A005F7" w:rsidRDefault="001B5FF8" w:rsidP="00E62133">
      <w:pPr>
        <w:tabs>
          <w:tab w:val="left" w:pos="2835"/>
        </w:tabs>
        <w:ind w:left="851"/>
        <w:rPr>
          <w:rFonts w:cs="Arial"/>
          <w:sz w:val="20"/>
          <w:szCs w:val="20"/>
          <w:lang w:val="en-AU"/>
        </w:rPr>
      </w:pPr>
      <m:oMath>
        <m:sSub>
          <m:sSubPr>
            <m:ctrlPr>
              <w:rPr>
                <w:rFonts w:ascii="Cambria Math" w:hAnsi="Cambria Math"/>
              </w:rPr>
            </m:ctrlPr>
          </m:sSubPr>
          <m:e>
            <m:r>
              <w:rPr>
                <w:rFonts w:ascii="Cambria Math" w:hAnsi="Cambria Math"/>
              </w:rPr>
              <m:t>%∆CPI</m:t>
            </m:r>
          </m:e>
          <m:sub>
            <m:r>
              <w:rPr>
                <w:rFonts w:ascii="Cambria Math" w:hAnsi="Cambria Math"/>
              </w:rPr>
              <m:t>t</m:t>
            </m:r>
          </m:sub>
        </m:sSub>
      </m:oMath>
      <w:r w:rsidR="00B55D6C" w:rsidRPr="00386B6B">
        <w:tab/>
      </w:r>
      <m:oMath>
        <m:sSub>
          <m:sSubPr>
            <m:ctrlPr>
              <w:rPr>
                <w:rFonts w:ascii="Cambria Math" w:hAnsi="Cambria Math" w:cs="Arial"/>
                <w:sz w:val="20"/>
                <w:szCs w:val="20"/>
                <w:lang w:val="en-AU"/>
              </w:rPr>
            </m:ctrlPr>
          </m:sSubPr>
          <m:e>
            <m:r>
              <m:rPr>
                <m:sty m:val="p"/>
              </m:rPr>
              <w:rPr>
                <w:rFonts w:ascii="Cambria Math" w:hAnsi="Cambria Math" w:cs="Arial"/>
                <w:sz w:val="20"/>
                <w:szCs w:val="20"/>
                <w:lang w:val="en-AU"/>
              </w:rPr>
              <m:t>∆CPI</m:t>
            </m:r>
          </m:e>
          <m:sub>
            <m:r>
              <m:rPr>
                <m:sty m:val="p"/>
              </m:rPr>
              <w:rPr>
                <w:rFonts w:ascii="Cambria Math" w:hAnsi="Cambria Math" w:cs="Arial"/>
                <w:sz w:val="20"/>
                <w:szCs w:val="20"/>
                <w:lang w:val="en-AU"/>
              </w:rPr>
              <m:t>t</m:t>
            </m:r>
          </m:sub>
        </m:sSub>
        <m:r>
          <m:rPr>
            <m:sty m:val="p"/>
          </m:rPr>
          <w:rPr>
            <w:rFonts w:ascii="Cambria Math" w:hAnsi="Cambria Math" w:cs="Arial"/>
            <w:sz w:val="20"/>
            <w:szCs w:val="20"/>
            <w:lang w:val="en-AU"/>
          </w:rPr>
          <m:t>=</m:t>
        </m:r>
        <m:d>
          <m:dPr>
            <m:begChr m:val="["/>
            <m:endChr m:val="]"/>
            <m:ctrlPr>
              <w:rPr>
                <w:rFonts w:ascii="Cambria Math" w:hAnsi="Cambria Math" w:cs="Arial"/>
                <w:sz w:val="20"/>
                <w:szCs w:val="20"/>
                <w:lang w:val="en-AU"/>
              </w:rPr>
            </m:ctrlPr>
          </m:dPr>
          <m:e>
            <m:f>
              <m:fPr>
                <m:ctrlPr>
                  <w:rPr>
                    <w:rFonts w:ascii="Cambria Math" w:hAnsi="Cambria Math" w:cs="Arial"/>
                    <w:sz w:val="20"/>
                    <w:szCs w:val="20"/>
                    <w:lang w:val="en-AU"/>
                  </w:rPr>
                </m:ctrlPr>
              </m:fPr>
              <m:num>
                <m:sSub>
                  <m:sSubPr>
                    <m:ctrlPr>
                      <w:rPr>
                        <w:rFonts w:ascii="Cambria Math" w:hAnsi="Cambria Math" w:cs="Arial"/>
                        <w:sz w:val="20"/>
                        <w:szCs w:val="20"/>
                        <w:lang w:val="en-AU"/>
                      </w:rPr>
                    </m:ctrlPr>
                  </m:sSubPr>
                  <m:e>
                    <m:r>
                      <m:rPr>
                        <m:sty m:val="p"/>
                      </m:rPr>
                      <w:rPr>
                        <w:rFonts w:ascii="Cambria Math" w:hAnsi="Cambria Math" w:cs="Arial"/>
                        <w:sz w:val="20"/>
                        <w:szCs w:val="20"/>
                        <w:lang w:val="en-AU"/>
                      </w:rPr>
                      <m:t>∆CPI</m:t>
                    </m:r>
                  </m:e>
                  <m:sub>
                    <m:r>
                      <m:rPr>
                        <m:sty m:val="p"/>
                      </m:rPr>
                      <w:rPr>
                        <w:rFonts w:ascii="Cambria Math" w:hAnsi="Cambria Math" w:cs="Arial"/>
                        <w:sz w:val="20"/>
                        <w:szCs w:val="20"/>
                        <w:lang w:val="en-AU"/>
                      </w:rPr>
                      <m:t>Mar,t-2</m:t>
                    </m:r>
                  </m:sub>
                </m:sSub>
                <m:r>
                  <m:rPr>
                    <m:sty m:val="p"/>
                  </m:rPr>
                  <w:rPr>
                    <w:rFonts w:ascii="Cambria Math" w:hAnsi="Cambria Math" w:cs="Arial"/>
                    <w:sz w:val="20"/>
                    <w:szCs w:val="20"/>
                    <w:lang w:val="en-AU"/>
                  </w:rPr>
                  <m:t xml:space="preserve">+ </m:t>
                </m:r>
                <m:sSub>
                  <m:sSubPr>
                    <m:ctrlPr>
                      <w:rPr>
                        <w:rFonts w:ascii="Cambria Math" w:hAnsi="Cambria Math" w:cs="Arial"/>
                        <w:sz w:val="20"/>
                        <w:szCs w:val="20"/>
                        <w:lang w:val="en-AU"/>
                      </w:rPr>
                    </m:ctrlPr>
                  </m:sSubPr>
                  <m:e>
                    <m:r>
                      <m:rPr>
                        <m:sty m:val="p"/>
                      </m:rPr>
                      <w:rPr>
                        <w:rFonts w:ascii="Cambria Math" w:hAnsi="Cambria Math" w:cs="Arial"/>
                        <w:sz w:val="20"/>
                        <w:szCs w:val="20"/>
                        <w:lang w:val="en-AU"/>
                      </w:rPr>
                      <m:t>∆CPI</m:t>
                    </m:r>
                  </m:e>
                  <m:sub>
                    <m:r>
                      <m:rPr>
                        <m:sty m:val="p"/>
                      </m:rPr>
                      <w:rPr>
                        <w:rFonts w:ascii="Cambria Math" w:hAnsi="Cambria Math" w:cs="Arial"/>
                        <w:sz w:val="20"/>
                        <w:szCs w:val="20"/>
                        <w:lang w:val="en-AU"/>
                      </w:rPr>
                      <m:t>Jun,t-2</m:t>
                    </m:r>
                  </m:sub>
                </m:sSub>
                <m:r>
                  <m:rPr>
                    <m:sty m:val="p"/>
                  </m:rPr>
                  <w:rPr>
                    <w:rFonts w:ascii="Cambria Math" w:hAnsi="Cambria Math" w:cs="Arial"/>
                    <w:sz w:val="20"/>
                    <w:szCs w:val="20"/>
                    <w:lang w:val="en-AU"/>
                  </w:rPr>
                  <m:t>+</m:t>
                </m:r>
                <m:sSub>
                  <m:sSubPr>
                    <m:ctrlPr>
                      <w:rPr>
                        <w:rFonts w:ascii="Cambria Math" w:hAnsi="Cambria Math" w:cs="Arial"/>
                        <w:sz w:val="20"/>
                        <w:szCs w:val="20"/>
                        <w:lang w:val="en-AU"/>
                      </w:rPr>
                    </m:ctrlPr>
                  </m:sSubPr>
                  <m:e>
                    <m:r>
                      <m:rPr>
                        <m:sty m:val="p"/>
                      </m:rPr>
                      <w:rPr>
                        <w:rFonts w:ascii="Cambria Math" w:hAnsi="Cambria Math" w:cs="Arial"/>
                        <w:sz w:val="20"/>
                        <w:szCs w:val="20"/>
                        <w:lang w:val="en-AU"/>
                      </w:rPr>
                      <m:t>∆CPI</m:t>
                    </m:r>
                  </m:e>
                  <m:sub>
                    <m:r>
                      <m:rPr>
                        <m:sty m:val="p"/>
                      </m:rPr>
                      <w:rPr>
                        <w:rFonts w:ascii="Cambria Math" w:hAnsi="Cambria Math" w:cs="Arial"/>
                        <w:sz w:val="20"/>
                        <w:szCs w:val="20"/>
                        <w:lang w:val="en-AU"/>
                      </w:rPr>
                      <m:t>Sep,t-1</m:t>
                    </m:r>
                  </m:sub>
                </m:sSub>
                <m:r>
                  <m:rPr>
                    <m:sty m:val="p"/>
                  </m:rPr>
                  <w:rPr>
                    <w:rFonts w:ascii="Cambria Math" w:hAnsi="Cambria Math" w:cs="Arial"/>
                    <w:sz w:val="20"/>
                    <w:szCs w:val="20"/>
                    <w:lang w:val="en-AU"/>
                  </w:rPr>
                  <m:t>+</m:t>
                </m:r>
                <m:sSub>
                  <m:sSubPr>
                    <m:ctrlPr>
                      <w:rPr>
                        <w:rFonts w:ascii="Cambria Math" w:hAnsi="Cambria Math" w:cs="Arial"/>
                        <w:sz w:val="20"/>
                        <w:szCs w:val="20"/>
                        <w:lang w:val="en-AU"/>
                      </w:rPr>
                    </m:ctrlPr>
                  </m:sSubPr>
                  <m:e>
                    <m:r>
                      <m:rPr>
                        <m:sty m:val="p"/>
                      </m:rPr>
                      <w:rPr>
                        <w:rFonts w:ascii="Cambria Math" w:hAnsi="Cambria Math" w:cs="Arial"/>
                        <w:sz w:val="20"/>
                        <w:szCs w:val="20"/>
                        <w:lang w:val="en-AU"/>
                      </w:rPr>
                      <m:t>∆CPI</m:t>
                    </m:r>
                  </m:e>
                  <m:sub>
                    <m:r>
                      <w:rPr>
                        <w:rFonts w:ascii="Cambria Math" w:hAnsi="Cambria Math" w:cs="Arial"/>
                        <w:sz w:val="20"/>
                        <w:szCs w:val="20"/>
                        <w:lang w:val="en-AU"/>
                      </w:rPr>
                      <m:t>Dec</m:t>
                    </m:r>
                    <m:r>
                      <m:rPr>
                        <m:sty m:val="p"/>
                      </m:rPr>
                      <w:rPr>
                        <w:rFonts w:ascii="Cambria Math" w:hAnsi="Cambria Math" w:cs="Arial"/>
                        <w:sz w:val="20"/>
                        <w:szCs w:val="20"/>
                        <w:lang w:val="en-AU"/>
                      </w:rPr>
                      <m:t>,t-1</m:t>
                    </m:r>
                  </m:sub>
                </m:sSub>
              </m:num>
              <m:den>
                <m:sSub>
                  <m:sSubPr>
                    <m:ctrlPr>
                      <w:rPr>
                        <w:rFonts w:ascii="Cambria Math" w:hAnsi="Cambria Math" w:cs="Arial"/>
                        <w:sz w:val="20"/>
                        <w:szCs w:val="20"/>
                        <w:lang w:val="en-AU"/>
                      </w:rPr>
                    </m:ctrlPr>
                  </m:sSubPr>
                  <m:e>
                    <m:r>
                      <m:rPr>
                        <m:sty m:val="p"/>
                      </m:rPr>
                      <w:rPr>
                        <w:rFonts w:ascii="Cambria Math" w:hAnsi="Cambria Math" w:cs="Arial"/>
                        <w:sz w:val="20"/>
                        <w:szCs w:val="20"/>
                        <w:lang w:val="en-AU"/>
                      </w:rPr>
                      <m:t>∆CPI</m:t>
                    </m:r>
                  </m:e>
                  <m:sub>
                    <m:r>
                      <m:rPr>
                        <m:sty m:val="p"/>
                      </m:rPr>
                      <w:rPr>
                        <w:rFonts w:ascii="Cambria Math" w:hAnsi="Cambria Math" w:cs="Arial"/>
                        <w:sz w:val="20"/>
                        <w:szCs w:val="20"/>
                        <w:lang w:val="en-AU"/>
                      </w:rPr>
                      <m:t>Mar,t-3</m:t>
                    </m:r>
                  </m:sub>
                </m:sSub>
                <m:r>
                  <m:rPr>
                    <m:sty m:val="p"/>
                  </m:rPr>
                  <w:rPr>
                    <w:rFonts w:ascii="Cambria Math" w:hAnsi="Cambria Math" w:cs="Arial"/>
                    <w:sz w:val="20"/>
                    <w:szCs w:val="20"/>
                    <w:lang w:val="en-AU"/>
                  </w:rPr>
                  <m:t xml:space="preserve">+ </m:t>
                </m:r>
                <m:sSub>
                  <m:sSubPr>
                    <m:ctrlPr>
                      <w:rPr>
                        <w:rFonts w:ascii="Cambria Math" w:hAnsi="Cambria Math" w:cs="Arial"/>
                        <w:sz w:val="20"/>
                        <w:szCs w:val="20"/>
                        <w:lang w:val="en-AU"/>
                      </w:rPr>
                    </m:ctrlPr>
                  </m:sSubPr>
                  <m:e>
                    <m:r>
                      <m:rPr>
                        <m:sty m:val="p"/>
                      </m:rPr>
                      <w:rPr>
                        <w:rFonts w:ascii="Cambria Math" w:hAnsi="Cambria Math" w:cs="Arial"/>
                        <w:sz w:val="20"/>
                        <w:szCs w:val="20"/>
                        <w:lang w:val="en-AU"/>
                      </w:rPr>
                      <m:t>∆CPI</m:t>
                    </m:r>
                  </m:e>
                  <m:sub>
                    <m:r>
                      <m:rPr>
                        <m:sty m:val="p"/>
                      </m:rPr>
                      <w:rPr>
                        <w:rFonts w:ascii="Cambria Math" w:hAnsi="Cambria Math" w:cs="Arial"/>
                        <w:sz w:val="20"/>
                        <w:szCs w:val="20"/>
                        <w:lang w:val="en-AU"/>
                      </w:rPr>
                      <m:t>Jun,t-3</m:t>
                    </m:r>
                  </m:sub>
                </m:sSub>
                <m:r>
                  <m:rPr>
                    <m:sty m:val="p"/>
                  </m:rPr>
                  <w:rPr>
                    <w:rFonts w:ascii="Cambria Math" w:hAnsi="Cambria Math" w:cs="Arial"/>
                    <w:sz w:val="20"/>
                    <w:szCs w:val="20"/>
                    <w:lang w:val="en-AU"/>
                  </w:rPr>
                  <m:t>+</m:t>
                </m:r>
                <m:sSub>
                  <m:sSubPr>
                    <m:ctrlPr>
                      <w:rPr>
                        <w:rFonts w:ascii="Cambria Math" w:hAnsi="Cambria Math" w:cs="Arial"/>
                        <w:sz w:val="20"/>
                        <w:szCs w:val="20"/>
                        <w:lang w:val="en-AU"/>
                      </w:rPr>
                    </m:ctrlPr>
                  </m:sSubPr>
                  <m:e>
                    <m:r>
                      <m:rPr>
                        <m:sty m:val="p"/>
                      </m:rPr>
                      <w:rPr>
                        <w:rFonts w:ascii="Cambria Math" w:hAnsi="Cambria Math" w:cs="Arial"/>
                        <w:sz w:val="20"/>
                        <w:szCs w:val="20"/>
                        <w:lang w:val="en-AU"/>
                      </w:rPr>
                      <m:t>∆CPI</m:t>
                    </m:r>
                  </m:e>
                  <m:sub>
                    <m:r>
                      <m:rPr>
                        <m:sty m:val="p"/>
                      </m:rPr>
                      <w:rPr>
                        <w:rFonts w:ascii="Cambria Math" w:hAnsi="Cambria Math" w:cs="Arial"/>
                        <w:sz w:val="20"/>
                        <w:szCs w:val="20"/>
                        <w:lang w:val="en-AU"/>
                      </w:rPr>
                      <m:t>Sep,t-2</m:t>
                    </m:r>
                  </m:sub>
                </m:sSub>
                <m:r>
                  <m:rPr>
                    <m:sty m:val="p"/>
                  </m:rPr>
                  <w:rPr>
                    <w:rFonts w:ascii="Cambria Math" w:hAnsi="Cambria Math" w:cs="Arial"/>
                    <w:sz w:val="20"/>
                    <w:szCs w:val="20"/>
                    <w:lang w:val="en-AU"/>
                  </w:rPr>
                  <m:t>+</m:t>
                </m:r>
                <m:sSub>
                  <m:sSubPr>
                    <m:ctrlPr>
                      <w:rPr>
                        <w:rFonts w:ascii="Cambria Math" w:hAnsi="Cambria Math" w:cs="Arial"/>
                        <w:sz w:val="20"/>
                        <w:szCs w:val="20"/>
                        <w:lang w:val="en-AU"/>
                      </w:rPr>
                    </m:ctrlPr>
                  </m:sSubPr>
                  <m:e>
                    <m:r>
                      <m:rPr>
                        <m:sty m:val="p"/>
                      </m:rPr>
                      <w:rPr>
                        <w:rFonts w:ascii="Cambria Math" w:hAnsi="Cambria Math" w:cs="Arial"/>
                        <w:sz w:val="20"/>
                        <w:szCs w:val="20"/>
                        <w:lang w:val="en-AU"/>
                      </w:rPr>
                      <m:t>∆CPI</m:t>
                    </m:r>
                  </m:e>
                  <m:sub>
                    <m:r>
                      <w:rPr>
                        <w:rFonts w:ascii="Cambria Math" w:hAnsi="Cambria Math" w:cs="Arial"/>
                        <w:sz w:val="20"/>
                        <w:szCs w:val="20"/>
                        <w:lang w:val="en-AU"/>
                      </w:rPr>
                      <m:t>Dec</m:t>
                    </m:r>
                    <m:r>
                      <m:rPr>
                        <m:sty m:val="p"/>
                      </m:rPr>
                      <w:rPr>
                        <w:rFonts w:ascii="Cambria Math" w:hAnsi="Cambria Math" w:cs="Arial"/>
                        <w:sz w:val="20"/>
                        <w:szCs w:val="20"/>
                        <w:lang w:val="en-AU"/>
                      </w:rPr>
                      <m:t>,t-2</m:t>
                    </m:r>
                  </m:sub>
                </m:sSub>
              </m:den>
            </m:f>
          </m:e>
        </m:d>
        <m:r>
          <w:rPr>
            <w:rFonts w:ascii="Cambria Math" w:hAnsi="Cambria Math" w:cs="Arial"/>
            <w:sz w:val="20"/>
            <w:szCs w:val="20"/>
            <w:lang w:val="en-AU"/>
          </w:rPr>
          <m:t>-1</m:t>
        </m:r>
      </m:oMath>
    </w:p>
    <w:p w:rsidR="00B55D6C" w:rsidRPr="00386B6B" w:rsidRDefault="00B55D6C" w:rsidP="00386B6B">
      <w:pPr>
        <w:pStyle w:val="BodyText"/>
        <w:tabs>
          <w:tab w:val="clear" w:pos="2835"/>
          <w:tab w:val="left" w:pos="3119"/>
        </w:tabs>
        <w:ind w:left="2835" w:hanging="1984"/>
      </w:pPr>
    </w:p>
    <w:p w:rsidR="00921AC1" w:rsidRDefault="001B5FF8" w:rsidP="00BE0834">
      <w:pPr>
        <w:tabs>
          <w:tab w:val="left" w:pos="2835"/>
        </w:tabs>
        <w:spacing w:after="0"/>
        <w:ind w:left="2835" w:hanging="1984"/>
        <w:rPr>
          <w:rFonts w:eastAsia="Cambria"/>
          <w:b/>
          <w:noProof/>
          <w:color w:val="0065A6"/>
          <w:sz w:val="22"/>
          <w:szCs w:val="26"/>
          <w:lang w:val="en-AU" w:eastAsia="en-AU"/>
        </w:rPr>
      </w:pPr>
      <m:oMath>
        <m:sSub>
          <m:sSubPr>
            <m:ctrlPr>
              <w:rPr>
                <w:rFonts w:ascii="Cambria Math" w:hAnsi="Cambria Math"/>
              </w:rPr>
            </m:ctrlPr>
          </m:sSubPr>
          <m:e>
            <m:r>
              <m:rPr>
                <m:sty m:val="p"/>
              </m:rPr>
              <w:rPr>
                <w:rFonts w:ascii="Cambria Math" w:hAnsi="Cambria Math"/>
              </w:rPr>
              <m:t>CPI</m:t>
            </m:r>
          </m:e>
          <m:sub>
            <m:r>
              <m:rPr>
                <m:sty m:val="p"/>
              </m:rPr>
              <w:rPr>
                <w:rFonts w:ascii="Cambria Math" w:hAnsi="Cambria Math"/>
              </w:rPr>
              <m:t>t</m:t>
            </m:r>
          </m:sub>
        </m:sSub>
      </m:oMath>
      <w:r w:rsidR="00B55D6C" w:rsidRPr="00386B6B">
        <w:tab/>
      </w:r>
      <w:proofErr w:type="gramStart"/>
      <w:r w:rsidR="00B55D6C" w:rsidRPr="00386B6B">
        <w:t>means</w:t>
      </w:r>
      <w:proofErr w:type="gramEnd"/>
      <w:r w:rsidR="00B55D6C" w:rsidRPr="00386B6B">
        <w:t xml:space="preserve"> the all groups index number for the weighted average of eight capital cities as published by the ABS, or if the ABS does not or ceases to publish the index, then CPI will mean an index which the AER considers is the best estimate of the index.</w:t>
      </w:r>
      <w:r w:rsidR="00921AC1">
        <w:br w:type="page"/>
      </w:r>
    </w:p>
    <w:p w:rsidR="00F108B2" w:rsidRDefault="00F108B2" w:rsidP="00722C30">
      <w:pPr>
        <w:pStyle w:val="Heading3"/>
      </w:pPr>
      <w:r w:rsidRPr="000D6076">
        <w:lastRenderedPageBreak/>
        <w:t>Seasonality in TOU tariffs</w:t>
      </w:r>
    </w:p>
    <w:p w:rsidR="00854D3C" w:rsidRPr="00722C30" w:rsidRDefault="00854D3C" w:rsidP="00BD7A0B">
      <w:pPr>
        <w:pStyle w:val="BodyText"/>
        <w:rPr>
          <w:rStyle w:val="AERbody"/>
        </w:rPr>
      </w:pPr>
      <w:r w:rsidRPr="00722C30">
        <w:rPr>
          <w:rStyle w:val="AERbody"/>
        </w:rPr>
        <w:t>Owing to the temperature-driven nature of peak demand on Ausgrid’s network and the corresponding seasonal pattern of peak demand, Ausgrid proposes to apply a peak period in only the summer and winter months of the year. Specifically, from 1 July 2018, peak prices will apply only on working weekdays:</w:t>
      </w:r>
    </w:p>
    <w:p w:rsidR="00854D3C" w:rsidRPr="00794D5A" w:rsidRDefault="00854D3C" w:rsidP="00722C30">
      <w:pPr>
        <w:pStyle w:val="Bulletedtext"/>
      </w:pPr>
      <w:r>
        <w:t xml:space="preserve">in summer, from </w:t>
      </w:r>
      <w:r>
        <w:rPr>
          <w:w w:val="101"/>
        </w:rPr>
        <w:t>1 November and 31 March (inclusive); and</w:t>
      </w:r>
    </w:p>
    <w:p w:rsidR="00854D3C" w:rsidRDefault="00854D3C" w:rsidP="00722C30">
      <w:pPr>
        <w:pStyle w:val="Bulletedtext"/>
      </w:pPr>
      <w:proofErr w:type="gramStart"/>
      <w:r>
        <w:rPr>
          <w:w w:val="101"/>
        </w:rPr>
        <w:t>in</w:t>
      </w:r>
      <w:proofErr w:type="gramEnd"/>
      <w:r>
        <w:rPr>
          <w:w w:val="101"/>
        </w:rPr>
        <w:t xml:space="preserve"> winter, from 1 June to 31 August (inclusive).</w:t>
      </w:r>
    </w:p>
    <w:p w:rsidR="00352B09" w:rsidRPr="00722C30" w:rsidRDefault="00352B09" w:rsidP="00BD7A0B">
      <w:pPr>
        <w:pStyle w:val="BodyText"/>
        <w:rPr>
          <w:rStyle w:val="AERbody"/>
        </w:rPr>
      </w:pPr>
      <w:r w:rsidRPr="00722C30">
        <w:rPr>
          <w:rStyle w:val="AERbody"/>
        </w:rPr>
        <w:t>Changes of this magnitude have the potential to cause significant bill changes in a short period of time. Therefore, Ausgrid proposes to delay the introduction of the seasonal peak period definition until the final year of the current regulatory control period so as to ensure that customers and retailers have sufficient time to prepare for this proposed change in tariff structure.</w:t>
      </w:r>
    </w:p>
    <w:p w:rsidR="00854D3C" w:rsidRPr="00722C30" w:rsidRDefault="00190F6F" w:rsidP="007D0321">
      <w:pPr>
        <w:pStyle w:val="BodyText"/>
        <w:rPr>
          <w:rStyle w:val="AERbody"/>
        </w:rPr>
      </w:pPr>
      <w:r w:rsidRPr="00722C30">
        <w:rPr>
          <w:rStyle w:val="AERbody"/>
        </w:rPr>
        <w:t xml:space="preserve">This reform is discussed in detail in section </w:t>
      </w:r>
      <w:r w:rsidR="00A0492D" w:rsidRPr="00722C30">
        <w:rPr>
          <w:rStyle w:val="AERbody"/>
        </w:rPr>
        <w:fldChar w:fldCharType="begin"/>
      </w:r>
      <w:r w:rsidR="00A0492D" w:rsidRPr="00722C30">
        <w:rPr>
          <w:rStyle w:val="AERbody"/>
        </w:rPr>
        <w:instrText xml:space="preserve"> REF _Ref461110590 \r \h </w:instrText>
      </w:r>
      <w:r w:rsidR="00A0492D" w:rsidRPr="00722C30">
        <w:rPr>
          <w:rStyle w:val="AERbody"/>
        </w:rPr>
      </w:r>
      <w:r w:rsidR="00A0492D" w:rsidRPr="00722C30">
        <w:rPr>
          <w:rStyle w:val="AERbody"/>
        </w:rPr>
        <w:fldChar w:fldCharType="separate"/>
      </w:r>
      <w:r w:rsidR="00BE0834">
        <w:rPr>
          <w:rStyle w:val="AERbody"/>
        </w:rPr>
        <w:t>6.1</w:t>
      </w:r>
      <w:r w:rsidR="00A0492D" w:rsidRPr="00722C30">
        <w:rPr>
          <w:rStyle w:val="AERbody"/>
        </w:rPr>
        <w:fldChar w:fldCharType="end"/>
      </w:r>
      <w:r w:rsidR="00A0492D" w:rsidRPr="00722C30">
        <w:rPr>
          <w:rStyle w:val="AERbody"/>
        </w:rPr>
        <w:t>.</w:t>
      </w:r>
    </w:p>
    <w:p w:rsidR="000D1D64" w:rsidRDefault="000D1D64" w:rsidP="00722C30">
      <w:pPr>
        <w:pStyle w:val="Heading3"/>
      </w:pPr>
      <w:bookmarkStart w:id="1963" w:name="_Ref462042500"/>
      <w:r w:rsidRPr="000D6076">
        <w:t xml:space="preserve">Reforms to </w:t>
      </w:r>
      <w:r w:rsidR="00F108B2" w:rsidRPr="000D6076">
        <w:t xml:space="preserve">the </w:t>
      </w:r>
      <w:r w:rsidRPr="000D6076">
        <w:t>winter peak period for residential customers</w:t>
      </w:r>
      <w:bookmarkEnd w:id="1963"/>
    </w:p>
    <w:p w:rsidR="00B547B1" w:rsidRPr="00722C30" w:rsidRDefault="00B547B1" w:rsidP="00BD7A0B">
      <w:pPr>
        <w:pStyle w:val="BodyText"/>
        <w:rPr>
          <w:rStyle w:val="AERbody"/>
        </w:rPr>
      </w:pPr>
      <w:r>
        <w:t xml:space="preserve">Ausgrid undertook a first-principles analysis of its peak period definitions and identified that, while the </w:t>
      </w:r>
      <w:r w:rsidRPr="00722C30">
        <w:rPr>
          <w:rStyle w:val="AERbody"/>
        </w:rPr>
        <w:t>existing 2pm to 8pm peak period is clearly appropriate in the summer months, (particularly in the absence of more locational specific TOU tariffs), there exists scope to improve the definition of the winter peak period for residential customers.</w:t>
      </w:r>
    </w:p>
    <w:p w:rsidR="00E24470" w:rsidRDefault="00B547B1" w:rsidP="00025BDF">
      <w:pPr>
        <w:pStyle w:val="BodyText"/>
        <w:rPr>
          <w:rStyle w:val="AERbody"/>
          <w:szCs w:val="18"/>
        </w:rPr>
      </w:pPr>
      <w:r w:rsidRPr="00722C30">
        <w:rPr>
          <w:rStyle w:val="AERbody"/>
        </w:rPr>
        <w:t>As such, Ausgrid will implement a 5pm to 9pm peak period in the winter months for residential customers.</w:t>
      </w:r>
      <w:r w:rsidR="00650234">
        <w:rPr>
          <w:rStyle w:val="AERbody"/>
        </w:rPr>
        <w:t xml:space="preserve"> </w:t>
      </w:r>
      <w:r w:rsidRPr="00722C30">
        <w:rPr>
          <w:rStyle w:val="AERbody"/>
        </w:rPr>
        <w:t xml:space="preserve">This reform is discussed in detail in </w:t>
      </w:r>
      <w:r w:rsidR="00190F6F" w:rsidRPr="00722C30">
        <w:rPr>
          <w:rStyle w:val="AERbody"/>
        </w:rPr>
        <w:t xml:space="preserve">section </w:t>
      </w:r>
      <w:r w:rsidR="00A0492D" w:rsidRPr="00722C30">
        <w:rPr>
          <w:rStyle w:val="AERbody"/>
        </w:rPr>
        <w:fldChar w:fldCharType="begin"/>
      </w:r>
      <w:r w:rsidR="00A0492D" w:rsidRPr="00722C30">
        <w:rPr>
          <w:rStyle w:val="AERbody"/>
        </w:rPr>
        <w:instrText xml:space="preserve"> REF _Ref461110590 \r \h </w:instrText>
      </w:r>
      <w:r w:rsidR="00A0492D" w:rsidRPr="00722C30">
        <w:rPr>
          <w:rStyle w:val="AERbody"/>
        </w:rPr>
      </w:r>
      <w:r w:rsidR="00A0492D" w:rsidRPr="00722C30">
        <w:rPr>
          <w:rStyle w:val="AERbody"/>
        </w:rPr>
        <w:fldChar w:fldCharType="separate"/>
      </w:r>
      <w:r w:rsidR="00BE0834">
        <w:rPr>
          <w:rStyle w:val="AERbody"/>
        </w:rPr>
        <w:t>6.1</w:t>
      </w:r>
      <w:r w:rsidR="00A0492D" w:rsidRPr="00722C30">
        <w:rPr>
          <w:rStyle w:val="AERbody"/>
        </w:rPr>
        <w:fldChar w:fldCharType="end"/>
      </w:r>
      <w:r w:rsidR="009B5FCD" w:rsidRPr="00722C30">
        <w:rPr>
          <w:rStyle w:val="AERbody"/>
        </w:rPr>
        <w:t xml:space="preserve">. </w:t>
      </w:r>
    </w:p>
    <w:tbl>
      <w:tblPr>
        <w:tblStyle w:val="TableGrid"/>
        <w:tblW w:w="0" w:type="auto"/>
        <w:tblInd w:w="108" w:type="dxa"/>
        <w:tblLook w:val="04A0" w:firstRow="1" w:lastRow="0" w:firstColumn="1" w:lastColumn="0" w:noHBand="0" w:noVBand="1"/>
      </w:tblPr>
      <w:tblGrid>
        <w:gridCol w:w="9441"/>
      </w:tblGrid>
      <w:tr w:rsidR="00190F6F" w:rsidTr="00722C30">
        <w:tc>
          <w:tcPr>
            <w:tcW w:w="9441" w:type="dxa"/>
            <w:tcBorders>
              <w:top w:val="nil"/>
              <w:left w:val="nil"/>
              <w:bottom w:val="nil"/>
              <w:right w:val="nil"/>
            </w:tcBorders>
            <w:shd w:val="clear" w:color="auto" w:fill="C6D9F1"/>
          </w:tcPr>
          <w:p w:rsidR="00190F6F" w:rsidRPr="00722C30" w:rsidRDefault="00190F6F" w:rsidP="00722C30">
            <w:pPr>
              <w:spacing w:before="120" w:after="120" w:line="260" w:lineRule="exact"/>
              <w:ind w:left="743"/>
              <w:rPr>
                <w:rStyle w:val="AERbody"/>
                <w:b/>
                <w:bCs/>
              </w:rPr>
            </w:pPr>
            <w:r w:rsidRPr="00722C30">
              <w:rPr>
                <w:rStyle w:val="AERbody"/>
                <w:b/>
                <w:bCs/>
                <w:color w:val="002060"/>
              </w:rPr>
              <w:t xml:space="preserve">Implications of </w:t>
            </w:r>
            <w:proofErr w:type="spellStart"/>
            <w:r w:rsidRPr="00722C30">
              <w:rPr>
                <w:rStyle w:val="AERbody"/>
                <w:b/>
                <w:bCs/>
                <w:color w:val="002060"/>
              </w:rPr>
              <w:t>Ausgrid’s</w:t>
            </w:r>
            <w:proofErr w:type="spellEnd"/>
            <w:r w:rsidRPr="00722C30">
              <w:rPr>
                <w:rStyle w:val="AERbody"/>
                <w:b/>
                <w:bCs/>
                <w:color w:val="002060"/>
              </w:rPr>
              <w:t xml:space="preserve"> </w:t>
            </w:r>
            <w:r w:rsidR="009B5FCD" w:rsidRPr="00722C30">
              <w:rPr>
                <w:rStyle w:val="AERbody"/>
                <w:b/>
                <w:bCs/>
                <w:color w:val="002060"/>
              </w:rPr>
              <w:t xml:space="preserve">proposed </w:t>
            </w:r>
            <w:r w:rsidRPr="00722C30">
              <w:rPr>
                <w:rStyle w:val="AERbody"/>
                <w:b/>
                <w:bCs/>
                <w:color w:val="002060"/>
              </w:rPr>
              <w:t xml:space="preserve">reforms to </w:t>
            </w:r>
            <w:r w:rsidR="009B5FCD" w:rsidRPr="00722C30">
              <w:rPr>
                <w:rStyle w:val="AERbody"/>
                <w:b/>
                <w:bCs/>
                <w:color w:val="002060"/>
              </w:rPr>
              <w:t xml:space="preserve">the </w:t>
            </w:r>
            <w:r w:rsidRPr="00722C30">
              <w:rPr>
                <w:rStyle w:val="AERbody"/>
                <w:b/>
                <w:bCs/>
                <w:color w:val="002060"/>
              </w:rPr>
              <w:t xml:space="preserve">residential </w:t>
            </w:r>
            <w:r w:rsidR="009B5FCD" w:rsidRPr="00722C30">
              <w:rPr>
                <w:rStyle w:val="AERbody"/>
                <w:b/>
                <w:bCs/>
                <w:color w:val="002060"/>
              </w:rPr>
              <w:t>TOU tariff</w:t>
            </w:r>
          </w:p>
          <w:p w:rsidR="00B547B1" w:rsidRPr="00F93A72" w:rsidRDefault="00B547B1" w:rsidP="00BD7A0B">
            <w:pPr>
              <w:pStyle w:val="BodyText"/>
              <w:rPr>
                <w:rStyle w:val="AERbody"/>
                <w:color w:val="002060"/>
              </w:rPr>
            </w:pPr>
            <w:r w:rsidRPr="00F93A72">
              <w:rPr>
                <w:rStyle w:val="AERbody"/>
                <w:color w:val="002060"/>
              </w:rPr>
              <w:t xml:space="preserve">The introduction of seasonality in the TOU tariff removes 4 months of the peak period, which acts to increase the LRMC-based peak price as well as the level of residual costs. Further, the narrowing of the peak period in winter for residential customers has the same effects. </w:t>
            </w:r>
          </w:p>
          <w:p w:rsidR="008245B3" w:rsidRPr="00F93A72" w:rsidRDefault="00A0492D" w:rsidP="007D0321">
            <w:pPr>
              <w:pStyle w:val="BodyText"/>
              <w:rPr>
                <w:rStyle w:val="AERbody"/>
                <w:color w:val="002060"/>
              </w:rPr>
            </w:pPr>
            <w:r w:rsidRPr="00F93A72">
              <w:rPr>
                <w:rStyle w:val="AERbody"/>
                <w:color w:val="002060"/>
              </w:rPr>
              <w:t>Importantly</w:t>
            </w:r>
            <w:r w:rsidR="008245B3" w:rsidRPr="00F93A72">
              <w:rPr>
                <w:rStyle w:val="AERbody"/>
                <w:color w:val="002060"/>
              </w:rPr>
              <w:t xml:space="preserve">, </w:t>
            </w:r>
            <w:r w:rsidRPr="00F93A72">
              <w:rPr>
                <w:rStyle w:val="AERbody"/>
                <w:color w:val="002060"/>
              </w:rPr>
              <w:t xml:space="preserve">our </w:t>
            </w:r>
            <w:r w:rsidR="008245B3" w:rsidRPr="00F93A72">
              <w:rPr>
                <w:rStyle w:val="AERbody"/>
                <w:color w:val="002060"/>
              </w:rPr>
              <w:t xml:space="preserve">customers </w:t>
            </w:r>
            <w:r w:rsidRPr="00F93A72">
              <w:rPr>
                <w:rStyle w:val="AERbody"/>
                <w:color w:val="002060"/>
              </w:rPr>
              <w:t xml:space="preserve">on TOU tariffs will </w:t>
            </w:r>
            <w:r w:rsidR="008245B3" w:rsidRPr="00F93A72">
              <w:rPr>
                <w:rStyle w:val="AERbody"/>
                <w:color w:val="002060"/>
              </w:rPr>
              <w:t>benefit from</w:t>
            </w:r>
            <w:r w:rsidRPr="00F93A72">
              <w:rPr>
                <w:rStyle w:val="AERbody"/>
                <w:color w:val="002060"/>
              </w:rPr>
              <w:t xml:space="preserve"> a considerable proportion of</w:t>
            </w:r>
            <w:r w:rsidR="008245B3" w:rsidRPr="00F93A72">
              <w:rPr>
                <w:rStyle w:val="AERbody"/>
                <w:color w:val="002060"/>
              </w:rPr>
              <w:t xml:space="preserve"> the</w:t>
            </w:r>
            <w:r w:rsidRPr="00F93A72">
              <w:rPr>
                <w:rStyle w:val="AERbody"/>
                <w:color w:val="002060"/>
              </w:rPr>
              <w:t xml:space="preserve">ir usage in the </w:t>
            </w:r>
            <w:r w:rsidR="008245B3" w:rsidRPr="00F93A72">
              <w:rPr>
                <w:rStyle w:val="AERbody"/>
                <w:color w:val="002060"/>
              </w:rPr>
              <w:t>non-summer and non-winter months</w:t>
            </w:r>
            <w:r w:rsidRPr="00F93A72">
              <w:rPr>
                <w:rStyle w:val="AERbody"/>
                <w:color w:val="002060"/>
              </w:rPr>
              <w:t xml:space="preserve"> –</w:t>
            </w:r>
            <w:r w:rsidR="008245B3" w:rsidRPr="00F93A72">
              <w:rPr>
                <w:rStyle w:val="AERbody"/>
                <w:color w:val="002060"/>
              </w:rPr>
              <w:t xml:space="preserve"> </w:t>
            </w:r>
            <w:r w:rsidRPr="00F93A72">
              <w:rPr>
                <w:rStyle w:val="AERbody"/>
                <w:color w:val="002060"/>
              </w:rPr>
              <w:t xml:space="preserve">that used to be in a peak period – now </w:t>
            </w:r>
            <w:r w:rsidR="008245B3" w:rsidRPr="00F93A72">
              <w:rPr>
                <w:rStyle w:val="AERbody"/>
                <w:color w:val="002060"/>
              </w:rPr>
              <w:t xml:space="preserve">falling in to a shoulder period, for which the charging parameter is approximately 80 per cent </w:t>
            </w:r>
            <w:r w:rsidRPr="00F93A72">
              <w:rPr>
                <w:rStyle w:val="AERbody"/>
                <w:color w:val="002060"/>
              </w:rPr>
              <w:t>cheaper, as compared with the peak price</w:t>
            </w:r>
            <w:r w:rsidR="008245B3" w:rsidRPr="00F93A72">
              <w:rPr>
                <w:rStyle w:val="AERbody"/>
                <w:color w:val="002060"/>
              </w:rPr>
              <w:t>.</w:t>
            </w:r>
          </w:p>
          <w:p w:rsidR="008245B3" w:rsidRPr="00F93A72" w:rsidRDefault="008245B3">
            <w:pPr>
              <w:pStyle w:val="BodyText"/>
              <w:rPr>
                <w:rStyle w:val="AERbody"/>
                <w:color w:val="002060"/>
              </w:rPr>
            </w:pPr>
            <w:r w:rsidRPr="00F93A72">
              <w:rPr>
                <w:rStyle w:val="AERbody"/>
                <w:color w:val="002060"/>
              </w:rPr>
              <w:t>Ausgrid has carefully structure</w:t>
            </w:r>
            <w:r w:rsidR="00DC1D33" w:rsidRPr="00F93A72">
              <w:rPr>
                <w:rStyle w:val="AERbody"/>
                <w:color w:val="002060"/>
              </w:rPr>
              <w:t>d</w:t>
            </w:r>
            <w:r w:rsidRPr="00F93A72">
              <w:rPr>
                <w:rStyle w:val="AERbody"/>
                <w:color w:val="002060"/>
              </w:rPr>
              <w:t xml:space="preserve"> the allocation of costs across the TOU charging parameters for residential customers so as:</w:t>
            </w:r>
          </w:p>
          <w:p w:rsidR="009B5FCD" w:rsidRPr="00F93A72" w:rsidRDefault="009B5FCD" w:rsidP="00EE08C1">
            <w:pPr>
              <w:pStyle w:val="Bulletedtext"/>
              <w:rPr>
                <w:rStyle w:val="AERbody"/>
                <w:color w:val="002060"/>
              </w:rPr>
            </w:pPr>
            <w:r w:rsidRPr="00F93A72">
              <w:rPr>
                <w:rStyle w:val="AERbody"/>
                <w:color w:val="002060"/>
              </w:rPr>
              <w:t xml:space="preserve">to limit any increase in fixed charges </w:t>
            </w:r>
            <w:r w:rsidR="00A54531">
              <w:rPr>
                <w:rStyle w:val="AERbody"/>
                <w:color w:val="002060"/>
              </w:rPr>
              <w:t>as described in section 8.3.2</w:t>
            </w:r>
            <w:bookmarkStart w:id="1964" w:name="_GoBack"/>
            <w:bookmarkEnd w:id="1964"/>
            <w:r w:rsidR="00D368EF">
              <w:rPr>
                <w:rStyle w:val="AERbody"/>
                <w:color w:val="002060"/>
              </w:rPr>
              <w:t>;</w:t>
            </w:r>
          </w:p>
          <w:p w:rsidR="008245B3" w:rsidRPr="00F93A72" w:rsidRDefault="008245B3" w:rsidP="00722C30">
            <w:pPr>
              <w:pStyle w:val="Bulletedtext"/>
              <w:rPr>
                <w:rStyle w:val="AERbody"/>
                <w:color w:val="002060"/>
              </w:rPr>
            </w:pPr>
            <w:r w:rsidRPr="00F93A72">
              <w:rPr>
                <w:rStyle w:val="AERbody"/>
                <w:color w:val="002060"/>
              </w:rPr>
              <w:t>to mitigate customer bill impacts;</w:t>
            </w:r>
          </w:p>
          <w:p w:rsidR="008245B3" w:rsidRPr="00F93A72" w:rsidRDefault="008245B3" w:rsidP="00722C30">
            <w:pPr>
              <w:pStyle w:val="Bulletedtext"/>
              <w:rPr>
                <w:rStyle w:val="AERbody"/>
                <w:color w:val="002060"/>
              </w:rPr>
            </w:pPr>
            <w:r w:rsidRPr="00F93A72">
              <w:rPr>
                <w:rStyle w:val="AERbody"/>
                <w:color w:val="002060"/>
              </w:rPr>
              <w:t xml:space="preserve">to </w:t>
            </w:r>
            <w:r w:rsidR="009B5FCD" w:rsidRPr="00F93A72">
              <w:rPr>
                <w:rStyle w:val="AERbody"/>
                <w:color w:val="002060"/>
              </w:rPr>
              <w:t>preserve the</w:t>
            </w:r>
            <w:r w:rsidRPr="00F93A72">
              <w:rPr>
                <w:rStyle w:val="AERbody"/>
                <w:color w:val="002060"/>
              </w:rPr>
              <w:t xml:space="preserve"> efficient properties of the peak price signal; and</w:t>
            </w:r>
          </w:p>
          <w:p w:rsidR="008245B3" w:rsidRPr="00F93A72" w:rsidRDefault="008245B3" w:rsidP="00722C30">
            <w:pPr>
              <w:pStyle w:val="Bulletedtext"/>
              <w:rPr>
                <w:rStyle w:val="AERbody"/>
                <w:color w:val="002060"/>
              </w:rPr>
            </w:pPr>
            <w:proofErr w:type="gramStart"/>
            <w:r w:rsidRPr="00F93A72">
              <w:rPr>
                <w:rStyle w:val="AERbody"/>
                <w:color w:val="002060"/>
              </w:rPr>
              <w:t>to</w:t>
            </w:r>
            <w:proofErr w:type="gramEnd"/>
            <w:r w:rsidRPr="00F93A72">
              <w:rPr>
                <w:rStyle w:val="AERbody"/>
                <w:color w:val="002060"/>
              </w:rPr>
              <w:t xml:space="preserve"> provide customers on a non-TOU tariff an incentive to move on to a TOU tariff</w:t>
            </w:r>
            <w:r w:rsidR="009B5FCD" w:rsidRPr="00F93A72">
              <w:rPr>
                <w:rStyle w:val="AERbody"/>
                <w:color w:val="002060"/>
              </w:rPr>
              <w:t>.</w:t>
            </w:r>
          </w:p>
          <w:p w:rsidR="00CC48F3" w:rsidRPr="00F93A72" w:rsidRDefault="009B5FCD" w:rsidP="00BD7A0B">
            <w:pPr>
              <w:pStyle w:val="BodyText"/>
              <w:rPr>
                <w:rStyle w:val="AERbody"/>
                <w:color w:val="002060"/>
              </w:rPr>
            </w:pPr>
            <w:r w:rsidRPr="00F93A72">
              <w:rPr>
                <w:rStyle w:val="AERbody"/>
                <w:color w:val="002060"/>
              </w:rPr>
              <w:t xml:space="preserve">This was a challenging and time-consuming process involving careful analysis and the exercise of Ausgrid’s discretion. Ausgrid’s proposed allocation of residual costs across the TOU charging parameters for residential customers is presented in the figure below. </w:t>
            </w:r>
            <w:r w:rsidR="00921AC1" w:rsidRPr="00F93A72">
              <w:rPr>
                <w:rStyle w:val="AERbody"/>
                <w:color w:val="002060"/>
              </w:rPr>
              <w:br/>
            </w:r>
          </w:p>
          <w:p w:rsidR="00921AC1" w:rsidRPr="00F93A72" w:rsidRDefault="00921AC1" w:rsidP="00025BDF">
            <w:pPr>
              <w:pStyle w:val="Caption"/>
              <w:rPr>
                <w:rStyle w:val="AERbody"/>
                <w:color w:val="002060"/>
                <w:szCs w:val="24"/>
                <w:lang w:val="en-US" w:eastAsia="en-US"/>
              </w:rPr>
            </w:pPr>
            <w:r w:rsidRPr="00722C30">
              <w:rPr>
                <w:rStyle w:val="AERbody"/>
                <w:b w:val="0"/>
                <w:noProof/>
              </w:rPr>
              <w:lastRenderedPageBreak/>
              <w:drawing>
                <wp:inline distT="0" distB="0" distL="0" distR="0" wp14:anchorId="3EA523D6" wp14:editId="605C977D">
                  <wp:extent cx="4619625" cy="2817010"/>
                  <wp:effectExtent l="0" t="0" r="0" b="254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24967" cy="2820267"/>
                          </a:xfrm>
                          <a:prstGeom prst="rect">
                            <a:avLst/>
                          </a:prstGeom>
                          <a:noFill/>
                          <a:ln>
                            <a:noFill/>
                          </a:ln>
                        </pic:spPr>
                      </pic:pic>
                    </a:graphicData>
                  </a:graphic>
                </wp:inline>
              </w:drawing>
            </w:r>
          </w:p>
          <w:p w:rsidR="00E24470" w:rsidRPr="00722C30" w:rsidRDefault="009B5FCD">
            <w:pPr>
              <w:pStyle w:val="BodyText"/>
              <w:rPr>
                <w:rStyle w:val="AERbody"/>
                <w:rFonts w:cs="Times New Roman"/>
                <w:noProof w:val="0"/>
                <w:szCs w:val="24"/>
                <w:lang w:val="en-US" w:eastAsia="en-US"/>
              </w:rPr>
            </w:pPr>
            <w:r w:rsidRPr="00F93A72">
              <w:rPr>
                <w:rStyle w:val="AERbody"/>
                <w:color w:val="002060"/>
              </w:rPr>
              <w:t>The resulting indicative prices are presented in section</w:t>
            </w:r>
            <w:r w:rsidR="009E5AFB" w:rsidRPr="00F93A72">
              <w:rPr>
                <w:rStyle w:val="AERbody"/>
                <w:color w:val="002060"/>
              </w:rPr>
              <w:t xml:space="preserve"> </w:t>
            </w:r>
            <w:r w:rsidR="009E5AFB" w:rsidRPr="00F93A72">
              <w:rPr>
                <w:rStyle w:val="AERbody"/>
                <w:color w:val="002060"/>
              </w:rPr>
              <w:fldChar w:fldCharType="begin"/>
            </w:r>
            <w:r w:rsidR="009E5AFB" w:rsidRPr="00F93A72">
              <w:rPr>
                <w:rStyle w:val="AERbody"/>
                <w:color w:val="002060"/>
              </w:rPr>
              <w:instrText xml:space="preserve"> REF _Ref462042903 \r \h </w:instrText>
            </w:r>
            <w:r w:rsidR="00F572F3" w:rsidRPr="00F93A72">
              <w:rPr>
                <w:rStyle w:val="AERbody"/>
                <w:color w:val="002060"/>
              </w:rPr>
              <w:instrText xml:space="preserve"> \* MERGEFORMAT </w:instrText>
            </w:r>
            <w:r w:rsidR="009E5AFB" w:rsidRPr="00F93A72">
              <w:rPr>
                <w:rStyle w:val="AERbody"/>
                <w:color w:val="002060"/>
              </w:rPr>
            </w:r>
            <w:r w:rsidR="009E5AFB" w:rsidRPr="00F93A72">
              <w:rPr>
                <w:rStyle w:val="AERbody"/>
                <w:color w:val="002060"/>
              </w:rPr>
              <w:fldChar w:fldCharType="separate"/>
            </w:r>
            <w:r w:rsidR="00BE0834">
              <w:rPr>
                <w:rStyle w:val="AERbody"/>
                <w:color w:val="002060"/>
              </w:rPr>
              <w:t>9</w:t>
            </w:r>
            <w:r w:rsidR="009E5AFB" w:rsidRPr="00F93A72">
              <w:rPr>
                <w:rStyle w:val="AERbody"/>
                <w:color w:val="002060"/>
              </w:rPr>
              <w:fldChar w:fldCharType="end"/>
            </w:r>
            <w:r w:rsidRPr="00F93A72">
              <w:rPr>
                <w:rStyle w:val="AERbody"/>
                <w:color w:val="002060"/>
              </w:rPr>
              <w:t xml:space="preserve">. </w:t>
            </w:r>
            <w:r w:rsidR="00A0492D" w:rsidRPr="00F93A72">
              <w:rPr>
                <w:rStyle w:val="AERbody"/>
                <w:color w:val="002060"/>
              </w:rPr>
              <w:t>H</w:t>
            </w:r>
            <w:r w:rsidRPr="00F93A72">
              <w:rPr>
                <w:rStyle w:val="AERbody"/>
                <w:color w:val="002060"/>
              </w:rPr>
              <w:t xml:space="preserve">owever, the bill impact of the reforms to the TOU tariff for residential customers is presented in the figure below. Ausgrid’s customer bill impact analysis shows that, even assuming no demand response, approximately </w:t>
            </w:r>
            <w:r w:rsidR="007C7FCE">
              <w:rPr>
                <w:rStyle w:val="AERbody"/>
                <w:color w:val="002060"/>
              </w:rPr>
              <w:t>60 per cent</w:t>
            </w:r>
            <w:r w:rsidR="007C7FCE" w:rsidRPr="00F93A72">
              <w:rPr>
                <w:rStyle w:val="AERbody"/>
                <w:color w:val="002060"/>
              </w:rPr>
              <w:t xml:space="preserve"> </w:t>
            </w:r>
            <w:r w:rsidRPr="00F93A72">
              <w:rPr>
                <w:rStyle w:val="AERbody"/>
                <w:color w:val="002060"/>
              </w:rPr>
              <w:t xml:space="preserve">of residential TOU customers will receive a bill reduction and, for the remaining customers, </w:t>
            </w:r>
            <w:r w:rsidR="008E293E">
              <w:rPr>
                <w:rStyle w:val="AERbody"/>
                <w:color w:val="002060"/>
              </w:rPr>
              <w:t xml:space="preserve">on average </w:t>
            </w:r>
            <w:r w:rsidRPr="00F93A72">
              <w:rPr>
                <w:rStyle w:val="AERbody"/>
                <w:color w:val="002060"/>
              </w:rPr>
              <w:t xml:space="preserve">the bill changes will be in line with the </w:t>
            </w:r>
            <w:r w:rsidR="00347193" w:rsidRPr="00F93A72">
              <w:rPr>
                <w:rStyle w:val="AERbody"/>
                <w:color w:val="002060"/>
              </w:rPr>
              <w:t xml:space="preserve">RBA’s </w:t>
            </w:r>
            <w:r w:rsidRPr="00F93A72">
              <w:rPr>
                <w:rStyle w:val="AERbody"/>
                <w:color w:val="002060"/>
              </w:rPr>
              <w:t>inflation target of 2 to 3 per cent.</w:t>
            </w:r>
          </w:p>
          <w:p w:rsidR="009B5FCD" w:rsidRPr="00722C30" w:rsidRDefault="0075101A" w:rsidP="00722C30">
            <w:pPr>
              <w:pStyle w:val="Caption"/>
              <w:rPr>
                <w:rStyle w:val="AERbody"/>
              </w:rPr>
            </w:pPr>
            <w:r w:rsidRPr="00722C30">
              <w:rPr>
                <w:rStyle w:val="AERbody"/>
                <w:noProof/>
              </w:rPr>
              <w:drawing>
                <wp:inline distT="0" distB="0" distL="0" distR="0" wp14:anchorId="5B2C92F1" wp14:editId="580DFD0B">
                  <wp:extent cx="4748907" cy="3028950"/>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59995" cy="3036022"/>
                          </a:xfrm>
                          <a:prstGeom prst="rect">
                            <a:avLst/>
                          </a:prstGeom>
                          <a:noFill/>
                          <a:ln>
                            <a:noFill/>
                          </a:ln>
                          <a:effectLst/>
                          <a:extLst/>
                        </pic:spPr>
                      </pic:pic>
                    </a:graphicData>
                  </a:graphic>
                </wp:inline>
              </w:drawing>
            </w:r>
          </w:p>
          <w:p w:rsidR="00A0492D" w:rsidRPr="00D710CC" w:rsidRDefault="009B5FCD" w:rsidP="00BD7A0B">
            <w:pPr>
              <w:pStyle w:val="BodyText"/>
              <w:rPr>
                <w:rStyle w:val="AERbody"/>
                <w:color w:val="002060"/>
              </w:rPr>
            </w:pPr>
            <w:r w:rsidRPr="00D710CC">
              <w:rPr>
                <w:rStyle w:val="AERbody"/>
                <w:color w:val="002060"/>
              </w:rPr>
              <w:t>Further, the TOU reforms and approach to the allocation of residual costs ensures that there exists an incentive for customers on a non-TOU tariff to move onto a TOU tariff, where the strength of this incentive is increasing with consumption. This is illustrated in the figure below</w:t>
            </w:r>
            <w:r w:rsidR="00A0492D" w:rsidRPr="00D710CC">
              <w:rPr>
                <w:rStyle w:val="AERbody"/>
                <w:color w:val="002060"/>
              </w:rPr>
              <w:t>.</w:t>
            </w:r>
          </w:p>
          <w:p w:rsidR="00190F6F" w:rsidRDefault="0075101A" w:rsidP="00722C30">
            <w:pPr>
              <w:pStyle w:val="Caption"/>
              <w:rPr>
                <w:rStyle w:val="AERbody"/>
              </w:rPr>
            </w:pPr>
            <w:r w:rsidRPr="00722C30">
              <w:rPr>
                <w:rStyle w:val="AERbody"/>
                <w:noProof/>
              </w:rPr>
              <w:lastRenderedPageBreak/>
              <w:drawing>
                <wp:inline distT="0" distB="0" distL="0" distR="0" wp14:anchorId="2BB17281" wp14:editId="51827ABB">
                  <wp:extent cx="4635737" cy="2838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49149" cy="2846662"/>
                          </a:xfrm>
                          <a:prstGeom prst="rect">
                            <a:avLst/>
                          </a:prstGeom>
                          <a:noFill/>
                          <a:ln>
                            <a:noFill/>
                          </a:ln>
                        </pic:spPr>
                      </pic:pic>
                    </a:graphicData>
                  </a:graphic>
                </wp:inline>
              </w:drawing>
            </w:r>
            <w:r w:rsidRPr="00722C30" w:rsidDel="0075101A">
              <w:rPr>
                <w:rStyle w:val="AERbody"/>
                <w:highlight w:val="yellow"/>
              </w:rPr>
              <w:t xml:space="preserve"> </w:t>
            </w:r>
          </w:p>
          <w:p w:rsidR="00921AC1" w:rsidRPr="00722C30" w:rsidRDefault="00921AC1" w:rsidP="00722C30">
            <w:pPr>
              <w:rPr>
                <w:lang w:val="en-AU" w:eastAsia="en-AU"/>
              </w:rPr>
            </w:pPr>
          </w:p>
        </w:tc>
      </w:tr>
    </w:tbl>
    <w:p w:rsidR="00E24470" w:rsidRPr="00722C30" w:rsidRDefault="00E24470" w:rsidP="00025BDF">
      <w:pPr>
        <w:pStyle w:val="BodyText"/>
        <w:ind w:left="0"/>
      </w:pPr>
    </w:p>
    <w:p w:rsidR="00D327C1" w:rsidRPr="00687326" w:rsidRDefault="005D2998" w:rsidP="00722C30">
      <w:pPr>
        <w:pStyle w:val="Heading3"/>
      </w:pPr>
      <w:r>
        <w:t>Improving the assign</w:t>
      </w:r>
      <w:r w:rsidR="000B532A">
        <w:t>ment and reassignment of customers</w:t>
      </w:r>
    </w:p>
    <w:p w:rsidR="000B532A" w:rsidRPr="00722C30" w:rsidRDefault="000B532A" w:rsidP="00BD7A0B">
      <w:pPr>
        <w:pStyle w:val="BodyText"/>
        <w:rPr>
          <w:rStyle w:val="AERbody"/>
        </w:rPr>
      </w:pPr>
      <w:r w:rsidRPr="00722C30">
        <w:rPr>
          <w:rStyle w:val="AERbody"/>
        </w:rPr>
        <w:t xml:space="preserve">Consistent with the </w:t>
      </w:r>
      <w:r w:rsidR="00771F8B" w:rsidRPr="00722C30">
        <w:rPr>
          <w:rStyle w:val="AERbody"/>
        </w:rPr>
        <w:t>description of Ausgrid’s approach for assigning and reassigning retail customers in section</w:t>
      </w:r>
      <w:r w:rsidR="009E5AFB" w:rsidRPr="00722C30">
        <w:rPr>
          <w:rStyle w:val="AERbody"/>
        </w:rPr>
        <w:t xml:space="preserve"> </w:t>
      </w:r>
      <w:r w:rsidR="009E5AFB" w:rsidRPr="00722C30">
        <w:rPr>
          <w:rStyle w:val="AERbody"/>
        </w:rPr>
        <w:fldChar w:fldCharType="begin"/>
      </w:r>
      <w:r w:rsidR="009E5AFB" w:rsidRPr="00722C30">
        <w:rPr>
          <w:rStyle w:val="AERbody"/>
        </w:rPr>
        <w:instrText xml:space="preserve"> REF _Ref462042920 \r \h </w:instrText>
      </w:r>
      <w:r w:rsidR="009E5AFB" w:rsidRPr="00722C30">
        <w:rPr>
          <w:rStyle w:val="AERbody"/>
        </w:rPr>
      </w:r>
      <w:r w:rsidR="009E5AFB" w:rsidRPr="00722C30">
        <w:rPr>
          <w:rStyle w:val="AERbody"/>
        </w:rPr>
        <w:fldChar w:fldCharType="separate"/>
      </w:r>
      <w:r w:rsidR="00BE0834">
        <w:rPr>
          <w:rStyle w:val="AERbody"/>
        </w:rPr>
        <w:t>4</w:t>
      </w:r>
      <w:r w:rsidR="009E5AFB" w:rsidRPr="00722C30">
        <w:rPr>
          <w:rStyle w:val="AERbody"/>
        </w:rPr>
        <w:fldChar w:fldCharType="end"/>
      </w:r>
      <w:r w:rsidR="00771F8B" w:rsidRPr="00722C30">
        <w:rPr>
          <w:rStyle w:val="AERbody"/>
        </w:rPr>
        <w:t xml:space="preserve">, Ausgrid </w:t>
      </w:r>
      <w:r w:rsidR="00B547B1" w:rsidRPr="00722C30">
        <w:rPr>
          <w:rStyle w:val="AERbody"/>
        </w:rPr>
        <w:t>will</w:t>
      </w:r>
      <w:r w:rsidR="00771F8B" w:rsidRPr="00722C30">
        <w:rPr>
          <w:rStyle w:val="AERbody"/>
        </w:rPr>
        <w:t>:</w:t>
      </w:r>
    </w:p>
    <w:p w:rsidR="00771F8B" w:rsidRPr="00687326" w:rsidRDefault="00771F8B" w:rsidP="00722C30">
      <w:pPr>
        <w:pStyle w:val="Bulletedtext"/>
      </w:pPr>
      <w:r>
        <w:t>a</w:t>
      </w:r>
      <w:r w:rsidRPr="00687326">
        <w:t>ssign</w:t>
      </w:r>
      <w:r>
        <w:rPr>
          <w:lang w:eastAsia="en-AU"/>
        </w:rPr>
        <w:t xml:space="preserve"> all new residential customers to a cost-reflective TOU tariff, with the option to opt-</w:t>
      </w:r>
      <w:r w:rsidR="008E293E">
        <w:rPr>
          <w:lang w:eastAsia="en-AU"/>
        </w:rPr>
        <w:t xml:space="preserve">in </w:t>
      </w:r>
      <w:r>
        <w:rPr>
          <w:lang w:eastAsia="en-AU"/>
        </w:rPr>
        <w:t xml:space="preserve">to a </w:t>
      </w:r>
      <w:r w:rsidRPr="000D6076">
        <w:rPr>
          <w:lang w:eastAsia="en-AU"/>
        </w:rPr>
        <w:t>transitional TOU tariff; and</w:t>
      </w:r>
    </w:p>
    <w:p w:rsidR="00771F8B" w:rsidRPr="00687326" w:rsidRDefault="00771F8B" w:rsidP="00722C30">
      <w:pPr>
        <w:pStyle w:val="Bulletedtext"/>
      </w:pPr>
      <w:proofErr w:type="gramStart"/>
      <w:r w:rsidRPr="000D6076">
        <w:rPr>
          <w:lang w:eastAsia="en-AU"/>
        </w:rPr>
        <w:t>assign</w:t>
      </w:r>
      <w:proofErr w:type="gramEnd"/>
      <w:r w:rsidRPr="000D6076">
        <w:rPr>
          <w:lang w:eastAsia="en-AU"/>
        </w:rPr>
        <w:t xml:space="preserve"> existing customers with interval meters to a </w:t>
      </w:r>
      <w:r w:rsidRPr="000D6076">
        <w:t xml:space="preserve">transitional </w:t>
      </w:r>
      <w:r>
        <w:t xml:space="preserve">TOU </w:t>
      </w:r>
      <w:r w:rsidRPr="000D6076">
        <w:t xml:space="preserve">tariff </w:t>
      </w:r>
      <w:r w:rsidR="007A5922">
        <w:t xml:space="preserve">– </w:t>
      </w:r>
      <w:r w:rsidRPr="000D6076">
        <w:t xml:space="preserve">that is designed to ensure that their network bill will not materially change as a consequence of the implementation of </w:t>
      </w:r>
      <w:r w:rsidR="007A5922">
        <w:t>this</w:t>
      </w:r>
      <w:r w:rsidRPr="000D6076">
        <w:t xml:space="preserve"> reform</w:t>
      </w:r>
      <w:r w:rsidR="007A5922">
        <w:t xml:space="preserve"> – with the option to opt-in to a cost reflective TOU tariff</w:t>
      </w:r>
      <w:r w:rsidRPr="000D6076">
        <w:t>.</w:t>
      </w:r>
    </w:p>
    <w:p w:rsidR="00771F8B" w:rsidRPr="00722C30" w:rsidRDefault="00771F8B" w:rsidP="00BD7A0B">
      <w:pPr>
        <w:pStyle w:val="BodyText"/>
        <w:rPr>
          <w:rStyle w:val="AERbody"/>
        </w:rPr>
      </w:pPr>
      <w:r w:rsidRPr="00722C30">
        <w:rPr>
          <w:rStyle w:val="AERbody"/>
        </w:rPr>
        <w:t>The assignment of all new retail customers to a TOU tariff</w:t>
      </w:r>
      <w:r w:rsidR="0023321A" w:rsidRPr="00722C30">
        <w:rPr>
          <w:rStyle w:val="AERbody"/>
        </w:rPr>
        <w:t xml:space="preserve"> ensures that new customers are on cost reflective tariffs, while the inclusion of the transitional flat TOU tariff</w:t>
      </w:r>
      <w:r w:rsidRPr="00722C30">
        <w:rPr>
          <w:rStyle w:val="AERbody"/>
        </w:rPr>
        <w:t xml:space="preserve"> </w:t>
      </w:r>
      <w:r w:rsidR="0023321A" w:rsidRPr="00722C30">
        <w:rPr>
          <w:rStyle w:val="AERbody"/>
        </w:rPr>
        <w:t>in each of the abovementioned reforms ensures the equitable treatment of customers and prevents unacceptable bill impacts.</w:t>
      </w:r>
    </w:p>
    <w:p w:rsidR="0023321A" w:rsidRPr="000D6076" w:rsidRDefault="0023321A" w:rsidP="00722C30">
      <w:pPr>
        <w:pStyle w:val="Heading3"/>
      </w:pPr>
      <w:bookmarkStart w:id="1965" w:name="_Ref462143792"/>
      <w:r w:rsidRPr="00687326">
        <w:t xml:space="preserve">The </w:t>
      </w:r>
      <w:r>
        <w:t>introduction</w:t>
      </w:r>
      <w:r w:rsidRPr="00687326">
        <w:t xml:space="preserve"> </w:t>
      </w:r>
      <w:r w:rsidRPr="000D6076">
        <w:t>of transitional tariffs</w:t>
      </w:r>
      <w:bookmarkEnd w:id="1965"/>
    </w:p>
    <w:p w:rsidR="0023321A" w:rsidRPr="00722C30" w:rsidRDefault="00294ED6" w:rsidP="00BD7A0B">
      <w:pPr>
        <w:pStyle w:val="BodyText"/>
        <w:rPr>
          <w:rStyle w:val="AERbody"/>
        </w:rPr>
      </w:pPr>
      <w:r w:rsidRPr="00722C30">
        <w:rPr>
          <w:rStyle w:val="AERbody"/>
        </w:rPr>
        <w:t xml:space="preserve">The implementation of transitional tariffs is a cornerstone of our approach to protecting customers from adverse bill implications. </w:t>
      </w:r>
      <w:r w:rsidR="0023321A" w:rsidRPr="00722C30">
        <w:rPr>
          <w:rStyle w:val="AERbody"/>
        </w:rPr>
        <w:t>Ausgrid identified a number of reforms that would materially improve the efficiency of Ausgrid’s tariffs, but that would also result in unacceptable customer impacts.</w:t>
      </w:r>
    </w:p>
    <w:p w:rsidR="00D327C1" w:rsidRPr="00722C30" w:rsidRDefault="0017580D" w:rsidP="007D0321">
      <w:pPr>
        <w:pStyle w:val="BodyText"/>
        <w:rPr>
          <w:rStyle w:val="AERbody"/>
        </w:rPr>
      </w:pPr>
      <w:r w:rsidRPr="00722C30">
        <w:rPr>
          <w:rStyle w:val="AERbody"/>
        </w:rPr>
        <w:t xml:space="preserve">Given this tension between cost reflectivity and customer impacts, Ausgrid </w:t>
      </w:r>
      <w:r w:rsidR="00B547B1" w:rsidRPr="00722C30">
        <w:rPr>
          <w:rStyle w:val="AERbody"/>
        </w:rPr>
        <w:t>will</w:t>
      </w:r>
      <w:r w:rsidRPr="00722C30">
        <w:rPr>
          <w:rStyle w:val="AERbody"/>
        </w:rPr>
        <w:t xml:space="preserve"> apply transitional tariffs as a means of striking a better balance between these factors, consistent with the requirements of the NER.</w:t>
      </w:r>
      <w:r w:rsidR="00A0492D" w:rsidRPr="00722C30">
        <w:rPr>
          <w:rStyle w:val="AERbody"/>
        </w:rPr>
        <w:t xml:space="preserve"> </w:t>
      </w:r>
      <w:r w:rsidR="00261B0A" w:rsidRPr="00722C30">
        <w:rPr>
          <w:rStyle w:val="AERbody"/>
        </w:rPr>
        <w:t>Customers that may be assigned to t</w:t>
      </w:r>
      <w:r w:rsidR="00A0492D" w:rsidRPr="00722C30">
        <w:rPr>
          <w:rStyle w:val="AERbody"/>
        </w:rPr>
        <w:t xml:space="preserve">ransitional tariffs </w:t>
      </w:r>
      <w:r w:rsidR="00261B0A" w:rsidRPr="00722C30">
        <w:rPr>
          <w:rStyle w:val="AERbody"/>
        </w:rPr>
        <w:t>include</w:t>
      </w:r>
      <w:r w:rsidR="00A0492D" w:rsidRPr="00722C30">
        <w:rPr>
          <w:rStyle w:val="AERbody"/>
        </w:rPr>
        <w:t>:</w:t>
      </w:r>
    </w:p>
    <w:p w:rsidR="00A0492D" w:rsidRDefault="00A0492D" w:rsidP="00722C30">
      <w:pPr>
        <w:pStyle w:val="Bulletedtext"/>
      </w:pPr>
      <w:r>
        <w:t>new residential customers that opt-out of the cost-reflective TOU tariff; and</w:t>
      </w:r>
    </w:p>
    <w:p w:rsidR="00A0492D" w:rsidRDefault="00A0492D" w:rsidP="00722C30">
      <w:pPr>
        <w:pStyle w:val="Bulletedtext"/>
      </w:pPr>
      <w:proofErr w:type="gramStart"/>
      <w:r>
        <w:t>existing</w:t>
      </w:r>
      <w:proofErr w:type="gramEnd"/>
      <w:r>
        <w:t xml:space="preserve"> residential customers with an interval meter that are </w:t>
      </w:r>
      <w:r w:rsidR="007A5922">
        <w:t xml:space="preserve">currently </w:t>
      </w:r>
      <w:r>
        <w:t>assigned to a non-TOU tariff</w:t>
      </w:r>
      <w:r w:rsidR="00261B0A">
        <w:t>.</w:t>
      </w:r>
    </w:p>
    <w:p w:rsidR="00D1067A" w:rsidRPr="00722C30" w:rsidRDefault="00D1067A" w:rsidP="00BD7A0B">
      <w:pPr>
        <w:pStyle w:val="BodyText"/>
        <w:rPr>
          <w:rStyle w:val="AERbody"/>
        </w:rPr>
      </w:pPr>
      <w:r w:rsidRPr="00722C30">
        <w:rPr>
          <w:rStyle w:val="AERbody"/>
        </w:rPr>
        <w:t xml:space="preserve">The transitional tariffs have been designed so that the fixed charge aligns with the applicable non-TOU tariff and the same energy charge applies across the peak, shoulder and off-peak periods. Further, the level of the energy charge reflects the applicable non-TOU energy charge so as to ensure the customer does not experience an unacceptable bill impact. This approach </w:t>
      </w:r>
      <w:r w:rsidRPr="00722C30">
        <w:rPr>
          <w:rStyle w:val="AERbody"/>
        </w:rPr>
        <w:lastRenderedPageBreak/>
        <w:t xml:space="preserve">affords our customers time to understand their energy use patterns, while preventing unacceptable customer bill impacts.  </w:t>
      </w:r>
    </w:p>
    <w:p w:rsidR="00D1067A" w:rsidRPr="00722C30" w:rsidRDefault="00D1067A" w:rsidP="007D0321">
      <w:pPr>
        <w:pStyle w:val="BodyText"/>
        <w:rPr>
          <w:rStyle w:val="AERbody"/>
          <w:highlight w:val="yellow"/>
        </w:rPr>
      </w:pPr>
      <w:r w:rsidRPr="00722C30">
        <w:rPr>
          <w:rStyle w:val="AERbody"/>
        </w:rPr>
        <w:t xml:space="preserve">Further, as explained in section </w:t>
      </w:r>
      <w:r w:rsidRPr="00722C30">
        <w:rPr>
          <w:rStyle w:val="AERbody"/>
        </w:rPr>
        <w:fldChar w:fldCharType="begin"/>
      </w:r>
      <w:r w:rsidRPr="00722C30">
        <w:rPr>
          <w:rStyle w:val="AERbody"/>
        </w:rPr>
        <w:instrText xml:space="preserve"> REF _Ref462042920 \r \h </w:instrText>
      </w:r>
      <w:r w:rsidRPr="00722C30">
        <w:rPr>
          <w:rStyle w:val="AERbody"/>
        </w:rPr>
      </w:r>
      <w:r w:rsidRPr="00722C30">
        <w:rPr>
          <w:rStyle w:val="AERbody"/>
        </w:rPr>
        <w:fldChar w:fldCharType="separate"/>
      </w:r>
      <w:r w:rsidR="00BE0834">
        <w:rPr>
          <w:rStyle w:val="AERbody"/>
        </w:rPr>
        <w:t>4</w:t>
      </w:r>
      <w:r w:rsidRPr="00722C30">
        <w:rPr>
          <w:rStyle w:val="AERbody"/>
        </w:rPr>
        <w:fldChar w:fldCharType="end"/>
      </w:r>
      <w:r w:rsidRPr="00722C30">
        <w:rPr>
          <w:rStyle w:val="AERbody"/>
        </w:rPr>
        <w:t>, customers assigned to a transitional tariff may opt-in to a more cost reflective TOU tariff.</w:t>
      </w:r>
    </w:p>
    <w:p w:rsidR="000D1D64" w:rsidRDefault="000D1D64" w:rsidP="00722C30">
      <w:pPr>
        <w:pStyle w:val="Heading3"/>
      </w:pPr>
      <w:r w:rsidRPr="000D6076">
        <w:t>Removing the weekend shoulder period for small business customers</w:t>
      </w:r>
    </w:p>
    <w:p w:rsidR="00687326" w:rsidRPr="00722C30" w:rsidRDefault="00687326" w:rsidP="00BD7A0B">
      <w:pPr>
        <w:pStyle w:val="BodyText"/>
        <w:rPr>
          <w:rStyle w:val="AERbody"/>
        </w:rPr>
      </w:pPr>
      <w:r>
        <w:t xml:space="preserve">Ausgrid has historically applied a shoulder period on weekend days for small business customers on a </w:t>
      </w:r>
      <w:r w:rsidRPr="00722C30">
        <w:rPr>
          <w:rStyle w:val="AERbody"/>
        </w:rPr>
        <w:t>TOU tariff.</w:t>
      </w:r>
      <w:r w:rsidRPr="00025BDF">
        <w:rPr>
          <w:rStyle w:val="AERbody"/>
          <w:vertAlign w:val="superscript"/>
        </w:rPr>
        <w:footnoteReference w:id="33"/>
      </w:r>
      <w:r w:rsidRPr="00025BDF">
        <w:rPr>
          <w:rStyle w:val="AERbody"/>
          <w:vertAlign w:val="superscript"/>
        </w:rPr>
        <w:t xml:space="preserve"> </w:t>
      </w:r>
      <w:r w:rsidRPr="00722C30">
        <w:rPr>
          <w:rStyle w:val="AERbody"/>
        </w:rPr>
        <w:t xml:space="preserve">However, Ausgrid considers that, at present, there is limited merit in a weekend shoulder period for small business customers. </w:t>
      </w:r>
    </w:p>
    <w:p w:rsidR="00650234" w:rsidRPr="00722C30" w:rsidRDefault="00687326">
      <w:pPr>
        <w:pStyle w:val="BodyText"/>
        <w:rPr>
          <w:rStyle w:val="AERbody"/>
          <w:rFonts w:cs="Times New Roman"/>
          <w:noProof w:val="0"/>
          <w:szCs w:val="24"/>
          <w:lang w:val="en-US" w:eastAsia="en-US"/>
        </w:rPr>
      </w:pPr>
      <w:r w:rsidRPr="00722C30">
        <w:rPr>
          <w:rStyle w:val="AERbody"/>
        </w:rPr>
        <w:t>Therefore, Ausgrid proposes to remove the weekend shoulder period for small business customers and to replace it with an off-peak period</w:t>
      </w:r>
      <w:r w:rsidR="008E293E">
        <w:rPr>
          <w:rStyle w:val="AERbody"/>
        </w:rPr>
        <w:t xml:space="preserve"> from 1 July 2018</w:t>
      </w:r>
      <w:r w:rsidRPr="00722C30">
        <w:rPr>
          <w:rStyle w:val="AERbody"/>
        </w:rPr>
        <w:t xml:space="preserve">. This would bring the treatment of small business customers in line with that of medium and large business customers, for whom the weekend is all off-peak.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687326" w:rsidTr="00D710CC">
        <w:trPr>
          <w:trHeight w:val="4820"/>
        </w:trPr>
        <w:tc>
          <w:tcPr>
            <w:tcW w:w="9441" w:type="dxa"/>
            <w:shd w:val="clear" w:color="auto" w:fill="C6D9F1"/>
          </w:tcPr>
          <w:p w:rsidR="00687326" w:rsidRPr="00D710CC" w:rsidRDefault="00687326" w:rsidP="00D710CC">
            <w:pPr>
              <w:pStyle w:val="BodyText"/>
              <w:rPr>
                <w:rStyle w:val="AERbody"/>
                <w:b/>
                <w:color w:val="002060"/>
              </w:rPr>
            </w:pPr>
            <w:r w:rsidRPr="00D710CC">
              <w:rPr>
                <w:rStyle w:val="AERbody"/>
                <w:b/>
                <w:color w:val="002060"/>
              </w:rPr>
              <w:t xml:space="preserve">Why Ausgrid </w:t>
            </w:r>
            <w:r w:rsidR="00B547B1" w:rsidRPr="00D710CC">
              <w:rPr>
                <w:rStyle w:val="AERbody"/>
                <w:b/>
                <w:color w:val="002060"/>
              </w:rPr>
              <w:t xml:space="preserve">is </w:t>
            </w:r>
            <w:r w:rsidRPr="00D710CC">
              <w:rPr>
                <w:rStyle w:val="AERbody"/>
                <w:b/>
                <w:color w:val="002060"/>
              </w:rPr>
              <w:t>retain</w:t>
            </w:r>
            <w:r w:rsidR="00B547B1" w:rsidRPr="00D710CC">
              <w:rPr>
                <w:rStyle w:val="AERbody"/>
                <w:b/>
                <w:color w:val="002060"/>
              </w:rPr>
              <w:t>ing</w:t>
            </w:r>
            <w:r w:rsidRPr="00D710CC">
              <w:rPr>
                <w:rStyle w:val="AERbody"/>
                <w:b/>
                <w:color w:val="002060"/>
              </w:rPr>
              <w:t xml:space="preserve"> the weekend shoulder for residential customer</w:t>
            </w:r>
            <w:r w:rsidR="001F12EA" w:rsidRPr="00D710CC">
              <w:rPr>
                <w:rStyle w:val="AERbody"/>
                <w:b/>
                <w:color w:val="002060"/>
              </w:rPr>
              <w:t xml:space="preserve"> in this TSS</w:t>
            </w:r>
            <w:r w:rsidRPr="00D710CC">
              <w:rPr>
                <w:rStyle w:val="AERbody"/>
                <w:b/>
                <w:color w:val="002060"/>
              </w:rPr>
              <w:t xml:space="preserve"> </w:t>
            </w:r>
          </w:p>
          <w:p w:rsidR="00687326" w:rsidRPr="00D710CC" w:rsidRDefault="00687326" w:rsidP="00BD7A0B">
            <w:pPr>
              <w:pStyle w:val="BodyText"/>
              <w:rPr>
                <w:rStyle w:val="AERbody"/>
                <w:color w:val="002060"/>
              </w:rPr>
            </w:pPr>
            <w:r w:rsidRPr="00D710CC">
              <w:rPr>
                <w:rStyle w:val="AERbody"/>
                <w:color w:val="002060"/>
              </w:rPr>
              <w:t>Ausgrid currently has a shoulder period for residential customers that applies from 7am to 10pm on weekends and public holidays. The benefits of this shoulder period are twofold, ie:</w:t>
            </w:r>
          </w:p>
          <w:p w:rsidR="00687326" w:rsidRPr="00D710CC" w:rsidRDefault="00687326" w:rsidP="00025BDF">
            <w:pPr>
              <w:pStyle w:val="BodyText"/>
              <w:numPr>
                <w:ilvl w:val="0"/>
                <w:numId w:val="193"/>
              </w:numPr>
              <w:rPr>
                <w:rStyle w:val="AERbody"/>
                <w:color w:val="002060"/>
              </w:rPr>
            </w:pPr>
            <w:r w:rsidRPr="00D710CC">
              <w:rPr>
                <w:rStyle w:val="AERbody"/>
                <w:color w:val="002060"/>
              </w:rPr>
              <w:t>it enables lower fixed</w:t>
            </w:r>
            <w:r w:rsidR="00261B0A" w:rsidRPr="00D710CC">
              <w:rPr>
                <w:rStyle w:val="AERbody"/>
                <w:color w:val="002060"/>
              </w:rPr>
              <w:t>, shoulder</w:t>
            </w:r>
            <w:r w:rsidRPr="00D710CC">
              <w:rPr>
                <w:rStyle w:val="AERbody"/>
                <w:color w:val="002060"/>
              </w:rPr>
              <w:t xml:space="preserve"> and off-peak charges, ie, assists in the recovery of residual costs; and</w:t>
            </w:r>
          </w:p>
          <w:p w:rsidR="00687326" w:rsidRPr="00D710CC" w:rsidRDefault="00687326" w:rsidP="00025BDF">
            <w:pPr>
              <w:pStyle w:val="BodyText"/>
              <w:numPr>
                <w:ilvl w:val="0"/>
                <w:numId w:val="193"/>
              </w:numPr>
              <w:rPr>
                <w:rStyle w:val="AERbody"/>
                <w:color w:val="002060"/>
              </w:rPr>
            </w:pPr>
            <w:r w:rsidRPr="00D710CC">
              <w:rPr>
                <w:rStyle w:val="AERbody"/>
                <w:color w:val="002060"/>
              </w:rPr>
              <w:t xml:space="preserve">it provides a dampened price signal on rare occasions </w:t>
            </w:r>
            <w:r w:rsidR="00C01449" w:rsidRPr="00D710CC">
              <w:rPr>
                <w:rStyle w:val="AERbody"/>
                <w:color w:val="002060"/>
              </w:rPr>
              <w:t>when a peak-event occurs on a weekend or public holiday</w:t>
            </w:r>
            <w:r w:rsidRPr="00D710CC">
              <w:rPr>
                <w:rStyle w:val="AERbody"/>
                <w:color w:val="002060"/>
              </w:rPr>
              <w:t>.</w:t>
            </w:r>
          </w:p>
          <w:p w:rsidR="00261B0A" w:rsidRPr="00D710CC" w:rsidRDefault="00261B0A" w:rsidP="00BD7A0B">
            <w:pPr>
              <w:pStyle w:val="BodyText"/>
              <w:rPr>
                <w:rStyle w:val="AERbody"/>
                <w:color w:val="002060"/>
              </w:rPr>
            </w:pPr>
            <w:r w:rsidRPr="00D710CC">
              <w:rPr>
                <w:rStyle w:val="AERbody"/>
                <w:color w:val="002060"/>
              </w:rPr>
              <w:t>Of some relevance to the recovery of residual costs, the weekend shoulder period accounts for:</w:t>
            </w:r>
          </w:p>
          <w:p w:rsidR="00261B0A" w:rsidRPr="00D710CC" w:rsidRDefault="00261B0A" w:rsidP="00025BDF">
            <w:pPr>
              <w:pStyle w:val="BodyText"/>
              <w:numPr>
                <w:ilvl w:val="0"/>
                <w:numId w:val="194"/>
              </w:numPr>
              <w:rPr>
                <w:rStyle w:val="AERbody"/>
                <w:color w:val="002060"/>
              </w:rPr>
            </w:pPr>
            <w:r w:rsidRPr="00D710CC">
              <w:rPr>
                <w:rStyle w:val="AERbody"/>
                <w:color w:val="002060"/>
              </w:rPr>
              <w:t xml:space="preserve">approximately 22 per cent of residential TOU usage; </w:t>
            </w:r>
            <w:r w:rsidR="00B547B1" w:rsidRPr="00D710CC">
              <w:rPr>
                <w:rStyle w:val="AERbody"/>
                <w:color w:val="002060"/>
              </w:rPr>
              <w:t>and</w:t>
            </w:r>
          </w:p>
          <w:p w:rsidR="00261B0A" w:rsidRPr="00D710CC" w:rsidRDefault="00261B0A" w:rsidP="00025BDF">
            <w:pPr>
              <w:pStyle w:val="BodyText"/>
              <w:numPr>
                <w:ilvl w:val="0"/>
                <w:numId w:val="194"/>
              </w:numPr>
              <w:rPr>
                <w:rStyle w:val="AERbody"/>
                <w:color w:val="002060"/>
              </w:rPr>
            </w:pPr>
            <w:r w:rsidRPr="00D710CC">
              <w:rPr>
                <w:rStyle w:val="AERbody"/>
                <w:color w:val="002060"/>
              </w:rPr>
              <w:t xml:space="preserve">approximately 40 per cent of all shoulder volumes. </w:t>
            </w:r>
          </w:p>
          <w:p w:rsidR="00261B0A" w:rsidRPr="00D710CC" w:rsidRDefault="00261B0A" w:rsidP="00BD7A0B">
            <w:pPr>
              <w:pStyle w:val="BodyText"/>
              <w:rPr>
                <w:rStyle w:val="AERbody"/>
                <w:color w:val="002060"/>
              </w:rPr>
            </w:pPr>
            <w:r w:rsidRPr="00D710CC">
              <w:rPr>
                <w:rStyle w:val="AERbody"/>
                <w:color w:val="002060"/>
              </w:rPr>
              <w:t>Therefore, removing the weekend shoulder period, but holding constant the residual costs recovered from the shoulder charging parameter</w:t>
            </w:r>
            <w:r w:rsidR="008E293E">
              <w:rPr>
                <w:rStyle w:val="AERbody"/>
                <w:color w:val="002060"/>
              </w:rPr>
              <w:t>,</w:t>
            </w:r>
            <w:r w:rsidRPr="00D710CC">
              <w:rPr>
                <w:rStyle w:val="AERbody"/>
                <w:color w:val="002060"/>
              </w:rPr>
              <w:t xml:space="preserve"> necessitates an approximate 67 per cent increase in the shoulder charge</w:t>
            </w:r>
            <w:r w:rsidR="007A5922" w:rsidRPr="00D710CC">
              <w:rPr>
                <w:rStyle w:val="AERbody"/>
                <w:color w:val="002060"/>
              </w:rPr>
              <w:t xml:space="preserve"> on weekdays</w:t>
            </w:r>
            <w:r w:rsidRPr="00D710CC">
              <w:rPr>
                <w:rStyle w:val="AERbody"/>
                <w:color w:val="002060"/>
              </w:rPr>
              <w:t>. This is particularly relevant in the context of the proposed TOU reforms, which have already required increases in the shoulder charge to recover the increased residual costs. Indeed, such an increase in the shoulder period would have adverse bill impacts on customers that use our network during the weekday shoulder period.</w:t>
            </w:r>
          </w:p>
          <w:p w:rsidR="00261B0A" w:rsidRPr="00D710CC" w:rsidRDefault="00261B0A" w:rsidP="007D0321">
            <w:pPr>
              <w:pStyle w:val="BodyText"/>
              <w:rPr>
                <w:rStyle w:val="AERbody"/>
                <w:color w:val="002060"/>
              </w:rPr>
            </w:pPr>
            <w:r w:rsidRPr="00D710CC">
              <w:rPr>
                <w:rStyle w:val="AERbody"/>
                <w:color w:val="002060"/>
              </w:rPr>
              <w:t xml:space="preserve">For this reason alone, Ausgrid considers it appropriate to delay reforming the weekend shoulder period for residential customers until the next TSS. Ausgrid considers that frequent changes to </w:t>
            </w:r>
            <w:r w:rsidR="008E293E">
              <w:rPr>
                <w:rStyle w:val="AERbody"/>
                <w:color w:val="002060"/>
              </w:rPr>
              <w:t xml:space="preserve">TOU </w:t>
            </w:r>
            <w:r w:rsidRPr="00D710CC">
              <w:rPr>
                <w:rStyle w:val="AERbody"/>
                <w:color w:val="002060"/>
              </w:rPr>
              <w:t>period definition</w:t>
            </w:r>
            <w:r w:rsidR="008E293E">
              <w:rPr>
                <w:rStyle w:val="AERbody"/>
                <w:color w:val="002060"/>
              </w:rPr>
              <w:t>s</w:t>
            </w:r>
            <w:r w:rsidRPr="00D710CC">
              <w:rPr>
                <w:rStyle w:val="AERbody"/>
                <w:color w:val="002060"/>
              </w:rPr>
              <w:t xml:space="preserve"> </w:t>
            </w:r>
            <w:r w:rsidR="008E293E" w:rsidRPr="00D710CC">
              <w:rPr>
                <w:rStyle w:val="AERbody"/>
                <w:color w:val="002060"/>
              </w:rPr>
              <w:t>ha</w:t>
            </w:r>
            <w:r w:rsidR="008E293E">
              <w:rPr>
                <w:rStyle w:val="AERbody"/>
                <w:color w:val="002060"/>
              </w:rPr>
              <w:t>ve</w:t>
            </w:r>
            <w:r w:rsidR="008E293E" w:rsidRPr="00D710CC">
              <w:rPr>
                <w:rStyle w:val="AERbody"/>
                <w:color w:val="002060"/>
              </w:rPr>
              <w:t xml:space="preserve"> </w:t>
            </w:r>
            <w:r w:rsidRPr="00D710CC">
              <w:rPr>
                <w:rStyle w:val="AERbody"/>
                <w:color w:val="002060"/>
              </w:rPr>
              <w:t>the potential to confuse customers, and that it would be better to implement a single reform to the weekend shoulder once the requisite analysis has been undertaken.</w:t>
            </w:r>
          </w:p>
          <w:p w:rsidR="00C01449" w:rsidRPr="00D710CC" w:rsidRDefault="00892168">
            <w:pPr>
              <w:pStyle w:val="BodyText"/>
              <w:rPr>
                <w:rStyle w:val="AERbody"/>
                <w:color w:val="002060"/>
              </w:rPr>
            </w:pPr>
            <w:r w:rsidRPr="00D710CC">
              <w:rPr>
                <w:rStyle w:val="AERbody"/>
                <w:color w:val="002060"/>
              </w:rPr>
              <w:t xml:space="preserve">Further, since residential peak demand is primarily driven by cooling or heating loads when customers are home on extreme weather days, residential peak demand can occur on weekend days as well as weekdays. On extreme weather days that occur on weekends, the residential </w:t>
            </w:r>
            <w:r w:rsidR="00C01449" w:rsidRPr="00D710CC">
              <w:rPr>
                <w:rStyle w:val="AERbody"/>
                <w:color w:val="002060"/>
              </w:rPr>
              <w:t xml:space="preserve">customer </w:t>
            </w:r>
            <w:r w:rsidRPr="00D710CC">
              <w:rPr>
                <w:rStyle w:val="AERbody"/>
                <w:color w:val="002060"/>
              </w:rPr>
              <w:t>load can reach peak levels commensurate with that on working weekdays.</w:t>
            </w:r>
            <w:r w:rsidRPr="00025BDF">
              <w:rPr>
                <w:rStyle w:val="AERbody"/>
                <w:color w:val="002060"/>
                <w:vertAlign w:val="superscript"/>
              </w:rPr>
              <w:footnoteReference w:id="34"/>
            </w:r>
            <w:r w:rsidRPr="00025BDF">
              <w:rPr>
                <w:rStyle w:val="AERbody"/>
                <w:color w:val="002060"/>
                <w:vertAlign w:val="superscript"/>
              </w:rPr>
              <w:t xml:space="preserve"> </w:t>
            </w:r>
            <w:r w:rsidR="00C01449" w:rsidRPr="00D710CC">
              <w:rPr>
                <w:rStyle w:val="AERbody"/>
                <w:color w:val="002060"/>
              </w:rPr>
              <w:t xml:space="preserve">This is illustrated in the following figure which shows the average demand profile of 240,000 residential customers on a network TOU tariff on a hot summer Tuesday and </w:t>
            </w:r>
            <w:r w:rsidR="00C01449" w:rsidRPr="00D710CC">
              <w:rPr>
                <w:rStyle w:val="AERbody"/>
                <w:color w:val="002060"/>
              </w:rPr>
              <w:lastRenderedPageBreak/>
              <w:t xml:space="preserve">Saturday in 2011 when the temperature reached over 40 degrees. In these circumstances, the weekend shoulder period provides a dampened price signal for residential customers to shift demand out of the 7am to 10pm period. </w:t>
            </w:r>
          </w:p>
          <w:p w:rsidR="00892168" w:rsidRPr="00722C30" w:rsidRDefault="00C01449">
            <w:pPr>
              <w:pStyle w:val="BodyText"/>
              <w:rPr>
                <w:rStyle w:val="AERbody"/>
              </w:rPr>
            </w:pPr>
            <w:r w:rsidRPr="00D710CC">
              <w:rPr>
                <w:rStyle w:val="AERbody"/>
                <w:color w:val="002060"/>
              </w:rPr>
              <w:t>It should be noted that although weekend peaks for zone substation assets can occur on extreme weather days, it is not common or wide-spread due to the consistent decrease in load that occurs on weekends from business customers. However, some assets that are dominated by residential load or holiday homes can experience high loads on weekends. By way of example, in 2015/16 both the Branxton and Denman zone substations experienced high summer peak loads on weekends with two of their top five peak summer days occurring on a Sunday.</w:t>
            </w:r>
          </w:p>
          <w:p w:rsidR="00687326" w:rsidRPr="00722C30" w:rsidRDefault="00C01449" w:rsidP="00722C30">
            <w:pPr>
              <w:pStyle w:val="Caption"/>
            </w:pPr>
            <w:r>
              <w:t xml:space="preserve"> </w:t>
            </w:r>
            <w:r w:rsidR="00C223CF">
              <w:rPr>
                <w:b w:val="0"/>
              </w:rPr>
              <w:t xml:space="preserve"> </w:t>
            </w:r>
            <w:r w:rsidR="00C223CF">
              <w:rPr>
                <w:noProof/>
              </w:rPr>
              <w:drawing>
                <wp:inline distT="0" distB="0" distL="0" distR="0" wp14:anchorId="15AB36CC" wp14:editId="6461E1EF">
                  <wp:extent cx="5133975" cy="2507126"/>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5251" cy="2507749"/>
                          </a:xfrm>
                          <a:prstGeom prst="rect">
                            <a:avLst/>
                          </a:prstGeom>
                          <a:noFill/>
                          <a:ln>
                            <a:noFill/>
                          </a:ln>
                        </pic:spPr>
                      </pic:pic>
                    </a:graphicData>
                  </a:graphic>
                </wp:inline>
              </w:drawing>
            </w:r>
          </w:p>
          <w:p w:rsidR="004B3877" w:rsidRPr="00722C30" w:rsidRDefault="00352B09" w:rsidP="00D710CC">
            <w:pPr>
              <w:pStyle w:val="BodyText"/>
              <w:rPr>
                <w:rStyle w:val="AERbody"/>
              </w:rPr>
            </w:pPr>
            <w:r w:rsidRPr="00D368EF">
              <w:rPr>
                <w:rStyle w:val="AERbody"/>
                <w:color w:val="002060"/>
              </w:rPr>
              <w:t>This figure demonstrates that,</w:t>
            </w:r>
            <w:r w:rsidR="00687326" w:rsidRPr="00D368EF">
              <w:rPr>
                <w:rStyle w:val="AERbody"/>
                <w:color w:val="002060"/>
              </w:rPr>
              <w:t xml:space="preserve"> when a peak event occurs on a weekend, the weekend shoulder period can provide a dampened price signal </w:t>
            </w:r>
            <w:r w:rsidR="00892168" w:rsidRPr="00D368EF">
              <w:rPr>
                <w:rStyle w:val="AERbody"/>
                <w:color w:val="002060"/>
              </w:rPr>
              <w:t xml:space="preserve">to </w:t>
            </w:r>
            <w:r w:rsidR="00687326" w:rsidRPr="00D368EF">
              <w:rPr>
                <w:rStyle w:val="AERbody"/>
                <w:color w:val="002060"/>
              </w:rPr>
              <w:t>residential customers.</w:t>
            </w:r>
          </w:p>
        </w:tc>
      </w:tr>
    </w:tbl>
    <w:p w:rsidR="000D1D64" w:rsidRPr="002B5557" w:rsidRDefault="000D1D64" w:rsidP="00722C30">
      <w:pPr>
        <w:pStyle w:val="Heading3"/>
      </w:pPr>
      <w:r w:rsidRPr="00687326">
        <w:lastRenderedPageBreak/>
        <w:t>N</w:t>
      </w:r>
      <w:r w:rsidRPr="002B5557">
        <w:t xml:space="preserve">ew tariff for </w:t>
      </w:r>
      <w:r w:rsidR="0070469D">
        <w:t xml:space="preserve">new </w:t>
      </w:r>
      <w:r w:rsidRPr="002B5557">
        <w:t>transmission-connected customers</w:t>
      </w:r>
    </w:p>
    <w:p w:rsidR="002B5557" w:rsidRPr="00722C30" w:rsidRDefault="002B5557" w:rsidP="00BD7A0B">
      <w:pPr>
        <w:pStyle w:val="BodyText"/>
        <w:rPr>
          <w:rStyle w:val="AERbody"/>
        </w:rPr>
      </w:pPr>
      <w:r w:rsidRPr="00722C30">
        <w:rPr>
          <w:rStyle w:val="AERbody"/>
        </w:rPr>
        <w:t>Following a thorough review of tariffs, Ausgrid identified scope to improve the economic and equity outcomes for new customers connected to Ausgrid’s electricity transmission network.</w:t>
      </w:r>
    </w:p>
    <w:p w:rsidR="00D855B6" w:rsidRPr="00722C30" w:rsidRDefault="002B5557" w:rsidP="007D0321">
      <w:pPr>
        <w:pStyle w:val="BodyText"/>
        <w:rPr>
          <w:rStyle w:val="AERbody"/>
        </w:rPr>
      </w:pPr>
      <w:r w:rsidRPr="00722C30">
        <w:rPr>
          <w:rStyle w:val="AERbody"/>
        </w:rPr>
        <w:t xml:space="preserve">At present, new transmission-connected customers </w:t>
      </w:r>
      <w:r w:rsidR="005A6607" w:rsidRPr="00722C30">
        <w:rPr>
          <w:rStyle w:val="AERbody"/>
        </w:rPr>
        <w:t xml:space="preserve">are assigned </w:t>
      </w:r>
      <w:r w:rsidRPr="00722C30">
        <w:rPr>
          <w:rStyle w:val="AERbody"/>
        </w:rPr>
        <w:t>to the published sub-transmission TOU capacity (EA390) tariff, which results in these customers contributing to the cost of owning</w:t>
      </w:r>
      <w:r w:rsidR="00D855B6" w:rsidRPr="00722C30">
        <w:rPr>
          <w:rStyle w:val="AERbody"/>
        </w:rPr>
        <w:t xml:space="preserve">, investing and maintaining </w:t>
      </w:r>
      <w:r w:rsidRPr="00722C30">
        <w:rPr>
          <w:rStyle w:val="AERbody"/>
        </w:rPr>
        <w:t xml:space="preserve">our electricity distribution network. </w:t>
      </w:r>
      <w:r w:rsidR="00D855B6" w:rsidRPr="00722C30">
        <w:rPr>
          <w:rStyle w:val="AERbody"/>
        </w:rPr>
        <w:t>However, these customers are not using the distribution network.</w:t>
      </w:r>
    </w:p>
    <w:p w:rsidR="00D855B6" w:rsidRPr="00722C30" w:rsidRDefault="00D855B6">
      <w:pPr>
        <w:pStyle w:val="BodyText"/>
        <w:rPr>
          <w:rStyle w:val="AERbody"/>
        </w:rPr>
      </w:pPr>
      <w:r w:rsidRPr="00722C30">
        <w:rPr>
          <w:rStyle w:val="AERbody"/>
        </w:rPr>
        <w:t>Therefore, from 1 July 2018, Ausgrid proposes to assign new transmission-connected customers to a default network tariff based on a TUOS component only.</w:t>
      </w:r>
    </w:p>
    <w:p w:rsidR="00E174D7" w:rsidRPr="00722C30" w:rsidRDefault="00D855B6">
      <w:pPr>
        <w:pStyle w:val="BodyText"/>
        <w:rPr>
          <w:rStyle w:val="AERbody"/>
        </w:rPr>
      </w:pPr>
      <w:r w:rsidRPr="00722C30">
        <w:rPr>
          <w:rStyle w:val="AERbody"/>
        </w:rPr>
        <w:t xml:space="preserve">The customer impact analysis presented in </w:t>
      </w:r>
      <w:r w:rsidR="007A0695" w:rsidRPr="00722C30">
        <w:rPr>
          <w:rStyle w:val="AERbody"/>
        </w:rPr>
        <w:t xml:space="preserve">Appendix A </w:t>
      </w:r>
      <w:r w:rsidRPr="00722C30">
        <w:rPr>
          <w:rStyle w:val="AERbody"/>
        </w:rPr>
        <w:t xml:space="preserve">shows that new transmission-connected customers are likely to receive a lower network bill under our proposed default tariff, as compared with the sub-transmission voltage TOU capacity (EA390) tariff. On this basis, Ausgrid considers that </w:t>
      </w:r>
      <w:r w:rsidR="00B547B1" w:rsidRPr="00722C30">
        <w:rPr>
          <w:rStyle w:val="AERbody"/>
        </w:rPr>
        <w:t xml:space="preserve">this </w:t>
      </w:r>
      <w:r w:rsidRPr="00722C30">
        <w:rPr>
          <w:rStyle w:val="AERbody"/>
        </w:rPr>
        <w:t>default tariff for transmission-connected customers satisfies the customer impact principle in the NER and that no transitional tariff arrangements are necessary in relation to this reform.</w:t>
      </w:r>
    </w:p>
    <w:p w:rsidR="001F12EA" w:rsidRDefault="001F12EA" w:rsidP="001F12EA">
      <w:pPr>
        <w:spacing w:before="120" w:after="240" w:line="240" w:lineRule="exact"/>
        <w:ind w:left="851"/>
        <w:sectPr w:rsidR="001F12EA" w:rsidSect="00B52323">
          <w:footerReference w:type="default" r:id="rId50"/>
          <w:pgSz w:w="11907" w:h="16840" w:code="9"/>
          <w:pgMar w:top="1440" w:right="1134" w:bottom="1440" w:left="1440" w:header="431" w:footer="431" w:gutter="0"/>
          <w:cols w:space="720"/>
        </w:sectPr>
      </w:pPr>
      <w:bookmarkStart w:id="1966" w:name="_Toc435605992"/>
      <w:bookmarkStart w:id="1967" w:name="_Toc435606525"/>
      <w:bookmarkStart w:id="1968" w:name="_Toc435608121"/>
      <w:bookmarkStart w:id="1969" w:name="_Toc435625077"/>
      <w:bookmarkStart w:id="1970" w:name="_Toc435632314"/>
      <w:bookmarkStart w:id="1971" w:name="_Toc435646728"/>
      <w:bookmarkEnd w:id="1953"/>
      <w:bookmarkEnd w:id="1954"/>
      <w:bookmarkEnd w:id="1966"/>
      <w:bookmarkEnd w:id="1967"/>
      <w:bookmarkEnd w:id="1968"/>
      <w:bookmarkEnd w:id="1969"/>
      <w:bookmarkEnd w:id="1970"/>
      <w:bookmarkEnd w:id="1971"/>
    </w:p>
    <w:p w:rsidR="009A2399" w:rsidRPr="002E3CA8" w:rsidRDefault="000072B4" w:rsidP="00722C30">
      <w:pPr>
        <w:pStyle w:val="Heading1"/>
      </w:pPr>
      <w:bookmarkStart w:id="1972" w:name="_Toc429068832"/>
      <w:bookmarkStart w:id="1973" w:name="_Ref462042903"/>
      <w:bookmarkStart w:id="1974" w:name="_Ref462065857"/>
      <w:bookmarkStart w:id="1975" w:name="_Ref462997366"/>
      <w:bookmarkStart w:id="1976" w:name="_Ref463085019"/>
      <w:bookmarkStart w:id="1977" w:name="_Toc475527439"/>
      <w:r w:rsidRPr="002E3CA8">
        <w:lastRenderedPageBreak/>
        <w:t>Indicative Prices</w:t>
      </w:r>
      <w:bookmarkEnd w:id="1972"/>
      <w:bookmarkEnd w:id="1973"/>
      <w:bookmarkEnd w:id="1974"/>
      <w:bookmarkEnd w:id="1975"/>
      <w:bookmarkEnd w:id="1976"/>
      <w:bookmarkEnd w:id="1977"/>
    </w:p>
    <w:p w:rsidR="00C82F3D" w:rsidRPr="00722C30" w:rsidRDefault="00C82F3D" w:rsidP="00BD7A0B">
      <w:pPr>
        <w:pStyle w:val="BodyText"/>
        <w:rPr>
          <w:rStyle w:val="AERbody"/>
        </w:rPr>
      </w:pPr>
      <w:bookmarkStart w:id="1978" w:name="_Toc427076297"/>
      <w:bookmarkStart w:id="1979" w:name="_Toc429068833"/>
      <w:r w:rsidRPr="00722C30">
        <w:rPr>
          <w:rStyle w:val="AERbody"/>
        </w:rPr>
        <w:t>The setting of prices under the new distribution pricing framework established by the NER is a two-stage process, ie:</w:t>
      </w:r>
    </w:p>
    <w:p w:rsidR="00ED1A66" w:rsidRPr="00C625A1" w:rsidRDefault="00ED1A66" w:rsidP="00722C30">
      <w:pPr>
        <w:pStyle w:val="Bulletedtext"/>
      </w:pPr>
      <w:r w:rsidRPr="005F3B06">
        <w:t>Stage One – Undertake consultation on potential tariff reforms, develop a TSS document and an indicative pricing schedule for submission to the AER; and</w:t>
      </w:r>
    </w:p>
    <w:p w:rsidR="00ED1A66" w:rsidRDefault="00ED1A66" w:rsidP="00722C30">
      <w:pPr>
        <w:pStyle w:val="Bulletedtext"/>
      </w:pPr>
      <w:r w:rsidRPr="005F3B06">
        <w:t>Stage Two – Develop and submit to the AER an annual pricing proposal for assessment against the requirements</w:t>
      </w:r>
      <w:r>
        <w:t xml:space="preserve"> of the NER</w:t>
      </w:r>
      <w:r w:rsidRPr="000D6076">
        <w:t xml:space="preserve">. </w:t>
      </w:r>
    </w:p>
    <w:p w:rsidR="009B1848" w:rsidRPr="00722C30" w:rsidRDefault="009B1848" w:rsidP="00BD7A0B">
      <w:pPr>
        <w:pStyle w:val="BodyText"/>
        <w:rPr>
          <w:rStyle w:val="AERbody"/>
        </w:rPr>
      </w:pPr>
      <w:r w:rsidRPr="00722C30">
        <w:rPr>
          <w:rStyle w:val="AERbody"/>
        </w:rPr>
        <w:t xml:space="preserve">The indicative prices in the TSS are directed at providing stakeholders with an understanding of the potential pricing outcomes </w:t>
      </w:r>
      <w:r w:rsidR="008E293E">
        <w:rPr>
          <w:rStyle w:val="AERbody"/>
        </w:rPr>
        <w:t xml:space="preserve">arising </w:t>
      </w:r>
      <w:r w:rsidRPr="00722C30">
        <w:rPr>
          <w:rStyle w:val="AERbody"/>
        </w:rPr>
        <w:t>under the pricing approach</w:t>
      </w:r>
      <w:r w:rsidR="008E293E">
        <w:rPr>
          <w:rStyle w:val="AERbody"/>
        </w:rPr>
        <w:t xml:space="preserve"> in this TSS</w:t>
      </w:r>
      <w:r w:rsidRPr="00722C30">
        <w:rPr>
          <w:rStyle w:val="AERbody"/>
        </w:rPr>
        <w:t>.</w:t>
      </w:r>
    </w:p>
    <w:p w:rsidR="00ED1A66" w:rsidRPr="00722C30" w:rsidRDefault="00ED1A66" w:rsidP="007D0321">
      <w:pPr>
        <w:pStyle w:val="BodyText"/>
        <w:rPr>
          <w:rStyle w:val="AERbody"/>
        </w:rPr>
      </w:pPr>
      <w:r w:rsidRPr="00722C30">
        <w:rPr>
          <w:rStyle w:val="AERbody"/>
        </w:rPr>
        <w:t xml:space="preserve">Bearing in mind that the indicative prices presented in the TSS are indicative only, the prices submitted in the annual pricing proposal may differ from the indicative prices </w:t>
      </w:r>
      <w:r w:rsidR="008E293E">
        <w:rPr>
          <w:rStyle w:val="AERbody"/>
        </w:rPr>
        <w:t>presented here</w:t>
      </w:r>
      <w:r w:rsidRPr="00722C30">
        <w:rPr>
          <w:rStyle w:val="AERbody"/>
        </w:rPr>
        <w:t>. However, Ausgrid is required to explain any material variations between the indicative prices in the TSS and the prices in the annual pricing proposal.</w:t>
      </w:r>
    </w:p>
    <w:p w:rsidR="009B1848" w:rsidRPr="002E3CA8" w:rsidRDefault="000D39E9" w:rsidP="00722C30">
      <w:pPr>
        <w:pStyle w:val="Heading2"/>
      </w:pPr>
      <w:bookmarkStart w:id="1980" w:name="_Toc475527440"/>
      <w:r w:rsidRPr="002E3CA8">
        <w:t>Our</w:t>
      </w:r>
      <w:r w:rsidR="009B1848" w:rsidRPr="002E3CA8">
        <w:t xml:space="preserve"> approach to developing indicative prices</w:t>
      </w:r>
      <w:bookmarkEnd w:id="1980"/>
    </w:p>
    <w:p w:rsidR="001C4662" w:rsidRPr="00722C30" w:rsidRDefault="009B1848" w:rsidP="00BD7A0B">
      <w:pPr>
        <w:pStyle w:val="BodyText"/>
        <w:rPr>
          <w:rStyle w:val="AERbody"/>
        </w:rPr>
      </w:pPr>
      <w:r w:rsidRPr="00722C30">
        <w:rPr>
          <w:rStyle w:val="AERbody"/>
        </w:rPr>
        <w:t>At the time of preparing this TSS, there exists considerable uncertainty as to the applicable revenue requirement in the current regulatory control period</w:t>
      </w:r>
      <w:r w:rsidR="00696664" w:rsidRPr="00722C30">
        <w:rPr>
          <w:rStyle w:val="AERbody"/>
        </w:rPr>
        <w:t>, ie, due to the Tribunal’s decision to set aside the AER’s draft determination and the ongoing judicial review of the Tribunal’s decision</w:t>
      </w:r>
      <w:r w:rsidRPr="00722C30">
        <w:rPr>
          <w:rStyle w:val="AERbody"/>
        </w:rPr>
        <w:t xml:space="preserve">. </w:t>
      </w:r>
      <w:r w:rsidR="002575DA" w:rsidRPr="00722C30">
        <w:rPr>
          <w:rStyle w:val="AERbody"/>
        </w:rPr>
        <w:t>Therefore</w:t>
      </w:r>
      <w:r w:rsidRPr="00722C30">
        <w:rPr>
          <w:rStyle w:val="AERbody"/>
        </w:rPr>
        <w:t xml:space="preserve">, for the purpose of </w:t>
      </w:r>
      <w:r w:rsidR="002575DA" w:rsidRPr="00722C30">
        <w:rPr>
          <w:rStyle w:val="AERbody"/>
        </w:rPr>
        <w:t>deriving</w:t>
      </w:r>
      <w:r w:rsidRPr="00722C30">
        <w:rPr>
          <w:rStyle w:val="AERbody"/>
        </w:rPr>
        <w:t xml:space="preserve"> indicative prices</w:t>
      </w:r>
      <w:r w:rsidR="002575DA" w:rsidRPr="00722C30">
        <w:rPr>
          <w:rStyle w:val="AERbody"/>
        </w:rPr>
        <w:t xml:space="preserve"> for the remainder of the current regulatory control period</w:t>
      </w:r>
      <w:r w:rsidRPr="00722C30">
        <w:rPr>
          <w:rStyle w:val="AERbody"/>
        </w:rPr>
        <w:t xml:space="preserve">, Ausgrid escalated the revenue expected to be recovered </w:t>
      </w:r>
      <w:r w:rsidR="001C4662" w:rsidRPr="00722C30">
        <w:rPr>
          <w:rStyle w:val="AERbody"/>
        </w:rPr>
        <w:t xml:space="preserve">in </w:t>
      </w:r>
      <w:r w:rsidR="002575DA" w:rsidRPr="00722C30">
        <w:rPr>
          <w:rStyle w:val="AERbody"/>
        </w:rPr>
        <w:t>FY17</w:t>
      </w:r>
      <w:r w:rsidRPr="00722C30">
        <w:rPr>
          <w:rStyle w:val="AERbody"/>
        </w:rPr>
        <w:t xml:space="preserve"> </w:t>
      </w:r>
      <w:r w:rsidR="001C4662" w:rsidRPr="00722C30">
        <w:rPr>
          <w:rStyle w:val="AERbody"/>
        </w:rPr>
        <w:t>by reference to the RBA’s inflation forecast.</w:t>
      </w:r>
      <w:r w:rsidR="001C4662" w:rsidRPr="00025BDF">
        <w:rPr>
          <w:rStyle w:val="AERbody"/>
          <w:vertAlign w:val="superscript"/>
        </w:rPr>
        <w:footnoteReference w:id="35"/>
      </w:r>
    </w:p>
    <w:p w:rsidR="002575DA" w:rsidRPr="00722C30" w:rsidRDefault="002575DA" w:rsidP="007D0321">
      <w:pPr>
        <w:pStyle w:val="BodyText"/>
        <w:rPr>
          <w:rStyle w:val="AERbody"/>
        </w:rPr>
      </w:pPr>
      <w:r w:rsidRPr="00722C30">
        <w:rPr>
          <w:rStyle w:val="AERbody"/>
        </w:rPr>
        <w:t xml:space="preserve">The resulting revenue requirement for each year was then combined with Ausgrid’s most recent volume forecast </w:t>
      </w:r>
      <w:r w:rsidR="00FA4D6B" w:rsidRPr="00722C30">
        <w:rPr>
          <w:rStyle w:val="AERbody"/>
        </w:rPr>
        <w:t xml:space="preserve">for that year </w:t>
      </w:r>
      <w:r w:rsidRPr="00722C30">
        <w:rPr>
          <w:rStyle w:val="AERbody"/>
        </w:rPr>
        <w:t>to derive indicative prices.</w:t>
      </w:r>
    </w:p>
    <w:p w:rsidR="000D39E9" w:rsidRPr="002E3CA8" w:rsidRDefault="00A81691" w:rsidP="00722C30">
      <w:pPr>
        <w:pStyle w:val="Heading2"/>
      </w:pPr>
      <w:bookmarkStart w:id="1981" w:name="_Toc475527441"/>
      <w:r w:rsidRPr="002E3CA8">
        <w:t xml:space="preserve">How to interpret indicative prices and </w:t>
      </w:r>
      <w:r w:rsidR="00FA4D6B" w:rsidRPr="002E3CA8">
        <w:t xml:space="preserve">customer </w:t>
      </w:r>
      <w:r w:rsidRPr="002E3CA8">
        <w:t>bill impacts</w:t>
      </w:r>
      <w:bookmarkEnd w:id="1981"/>
    </w:p>
    <w:p w:rsidR="004B2549" w:rsidRPr="00722C30" w:rsidRDefault="004B2549" w:rsidP="00BD7A0B">
      <w:pPr>
        <w:pStyle w:val="BodyText"/>
        <w:rPr>
          <w:rStyle w:val="AERbody"/>
        </w:rPr>
      </w:pPr>
      <w:r w:rsidRPr="00722C30">
        <w:rPr>
          <w:rStyle w:val="AERbody"/>
        </w:rPr>
        <w:t>I</w:t>
      </w:r>
      <w:r w:rsidR="000D39E9" w:rsidRPr="00722C30">
        <w:rPr>
          <w:rStyle w:val="AERbody"/>
        </w:rPr>
        <w:t xml:space="preserve">t is of fundamental importance that the customer bill impacts arising from </w:t>
      </w:r>
      <w:r w:rsidRPr="00722C30">
        <w:rPr>
          <w:rStyle w:val="AERbody"/>
        </w:rPr>
        <w:t xml:space="preserve">the reforms proposed in this TSS are not inferred from inspection of the indicative prices alone. </w:t>
      </w:r>
    </w:p>
    <w:p w:rsidR="004B2549" w:rsidRPr="00722C30" w:rsidRDefault="004B2549" w:rsidP="007D0321">
      <w:pPr>
        <w:pStyle w:val="BodyText"/>
        <w:rPr>
          <w:rStyle w:val="AERbody"/>
        </w:rPr>
      </w:pPr>
      <w:r w:rsidRPr="00722C30">
        <w:rPr>
          <w:rStyle w:val="AERbody"/>
        </w:rPr>
        <w:t xml:space="preserve">The proposed introduction of seasonality and narrowing of the winter peak period for residential customers gives rise to a substantial </w:t>
      </w:r>
      <w:r w:rsidR="00C1688C" w:rsidRPr="00722C30">
        <w:rPr>
          <w:rStyle w:val="AERbody"/>
        </w:rPr>
        <w:t xml:space="preserve">reallocation of our customers’ usage </w:t>
      </w:r>
      <w:r w:rsidRPr="00722C30">
        <w:rPr>
          <w:rStyle w:val="AERbody"/>
        </w:rPr>
        <w:t xml:space="preserve">from the peak period to the shoulder period. In other words, a substantial proportion of a customer’s usage that would </w:t>
      </w:r>
      <w:r w:rsidR="00C1688C" w:rsidRPr="00722C30">
        <w:rPr>
          <w:rStyle w:val="AERbody"/>
        </w:rPr>
        <w:t xml:space="preserve">previously </w:t>
      </w:r>
      <w:r w:rsidRPr="00722C30">
        <w:rPr>
          <w:rStyle w:val="AERbody"/>
        </w:rPr>
        <w:t xml:space="preserve">have fallen in the peak period, will </w:t>
      </w:r>
      <w:r w:rsidR="00C1688C" w:rsidRPr="00722C30">
        <w:rPr>
          <w:rStyle w:val="AERbody"/>
        </w:rPr>
        <w:t>fall</w:t>
      </w:r>
      <w:r w:rsidRPr="00722C30">
        <w:rPr>
          <w:rStyle w:val="AERbody"/>
        </w:rPr>
        <w:t xml:space="preserve"> in a shoulder period</w:t>
      </w:r>
      <w:r w:rsidR="002375DC" w:rsidRPr="00722C30">
        <w:rPr>
          <w:rStyle w:val="AERbody"/>
        </w:rPr>
        <w:t xml:space="preserve"> from 1 July 2018 onwards</w:t>
      </w:r>
      <w:r w:rsidRPr="00722C30">
        <w:rPr>
          <w:rStyle w:val="AERbody"/>
        </w:rPr>
        <w:t>.</w:t>
      </w:r>
    </w:p>
    <w:p w:rsidR="004B2549" w:rsidRPr="00722C30" w:rsidRDefault="004B2549">
      <w:pPr>
        <w:pStyle w:val="BodyText"/>
        <w:rPr>
          <w:rStyle w:val="AERbody"/>
        </w:rPr>
      </w:pPr>
      <w:r w:rsidRPr="00722C30">
        <w:rPr>
          <w:rStyle w:val="AERbody"/>
        </w:rPr>
        <w:t>Importantly, the shoulder price is 80 per cent cheaper than the peak price.</w:t>
      </w:r>
    </w:p>
    <w:p w:rsidR="004B2549" w:rsidRPr="00722C30" w:rsidRDefault="004B2549">
      <w:pPr>
        <w:pStyle w:val="BodyText"/>
        <w:rPr>
          <w:rStyle w:val="AERbody"/>
        </w:rPr>
      </w:pPr>
      <w:r w:rsidRPr="00722C30">
        <w:rPr>
          <w:rStyle w:val="AERbody"/>
        </w:rPr>
        <w:t xml:space="preserve">This means that, even though the peak and shoulder prices may increase by more than inflation in some years – so as to permit the recovery of residual costs – </w:t>
      </w:r>
      <w:r w:rsidR="00C1688C" w:rsidRPr="00722C30">
        <w:rPr>
          <w:rStyle w:val="AERbody"/>
        </w:rPr>
        <w:t>the reallocation of usage to the shoulder period will give rise to favourable bill outcomes for our customers.</w:t>
      </w:r>
    </w:p>
    <w:p w:rsidR="00C1688C" w:rsidRPr="00722C30" w:rsidRDefault="00C1688C">
      <w:pPr>
        <w:pStyle w:val="BodyText"/>
        <w:rPr>
          <w:rStyle w:val="AERbody"/>
        </w:rPr>
      </w:pPr>
      <w:r w:rsidRPr="00722C30">
        <w:rPr>
          <w:rStyle w:val="AERbody"/>
        </w:rPr>
        <w:t>By way of example, even though the annual change in the peak, shoulder and off peak price for the residential TOU tariff is in the order of 15 per cent in the FY2019 year, the reallocation of customer usage from the peak period to the</w:t>
      </w:r>
      <w:r w:rsidR="00A81691" w:rsidRPr="00722C30">
        <w:rPr>
          <w:rStyle w:val="AERbody"/>
        </w:rPr>
        <w:t xml:space="preserve"> (substantially cheaper)</w:t>
      </w:r>
      <w:r w:rsidRPr="00722C30">
        <w:rPr>
          <w:rStyle w:val="AERbody"/>
        </w:rPr>
        <w:t xml:space="preserve"> shoulder period means that:</w:t>
      </w:r>
    </w:p>
    <w:p w:rsidR="00C1688C" w:rsidRDefault="008E293E" w:rsidP="00722C30">
      <w:pPr>
        <w:pStyle w:val="Bulletedtext"/>
      </w:pPr>
      <w:r>
        <w:t xml:space="preserve">approximately </w:t>
      </w:r>
      <w:r w:rsidR="00C1688C">
        <w:t>60 per cent of residential customers on a TOU tariff w</w:t>
      </w:r>
      <w:r w:rsidR="00A81691">
        <w:t>ill experience a bill reduction; and</w:t>
      </w:r>
    </w:p>
    <w:p w:rsidR="00A81691" w:rsidRDefault="00A81691" w:rsidP="00722C30">
      <w:pPr>
        <w:pStyle w:val="Bulletedtext"/>
      </w:pPr>
      <w:proofErr w:type="gramStart"/>
      <w:r>
        <w:t>the</w:t>
      </w:r>
      <w:proofErr w:type="gramEnd"/>
      <w:r>
        <w:t xml:space="preserve"> remainder will experience an annual bill change </w:t>
      </w:r>
      <w:r w:rsidR="008E293E">
        <w:t xml:space="preserve">that is on average </w:t>
      </w:r>
      <w:r>
        <w:t>in line with inflation.</w:t>
      </w:r>
    </w:p>
    <w:p w:rsidR="00C1688C" w:rsidRPr="00722C30" w:rsidRDefault="00A81691" w:rsidP="00BD7A0B">
      <w:pPr>
        <w:pStyle w:val="BodyText"/>
        <w:rPr>
          <w:rStyle w:val="AERbody"/>
        </w:rPr>
      </w:pPr>
      <w:r w:rsidRPr="00722C30">
        <w:rPr>
          <w:rStyle w:val="AERbody"/>
        </w:rPr>
        <w:lastRenderedPageBreak/>
        <w:t>The</w:t>
      </w:r>
      <w:r w:rsidR="00AC47ED">
        <w:rPr>
          <w:rStyle w:val="AERbody"/>
        </w:rPr>
        <w:t xml:space="preserve"> </w:t>
      </w:r>
      <w:r w:rsidRPr="00722C30">
        <w:rPr>
          <w:rStyle w:val="AERbody"/>
        </w:rPr>
        <w:t xml:space="preserve">bill impacts for these </w:t>
      </w:r>
      <w:r w:rsidR="00AC47ED">
        <w:rPr>
          <w:rStyle w:val="AERbody"/>
        </w:rPr>
        <w:t xml:space="preserve">residential TOU </w:t>
      </w:r>
      <w:r w:rsidRPr="00722C30">
        <w:rPr>
          <w:rStyle w:val="AERbody"/>
        </w:rPr>
        <w:t>customers are presented in section</w:t>
      </w:r>
      <w:r w:rsidR="00AC47ED">
        <w:rPr>
          <w:rStyle w:val="AERbody"/>
        </w:rPr>
        <w:t>s</w:t>
      </w:r>
      <w:r w:rsidRPr="00722C30">
        <w:rPr>
          <w:rStyle w:val="AERbody"/>
        </w:rPr>
        <w:t xml:space="preserve"> </w:t>
      </w:r>
      <w:r w:rsidR="009E5AFB" w:rsidRPr="00722C30">
        <w:rPr>
          <w:rStyle w:val="AERbody"/>
        </w:rPr>
        <w:fldChar w:fldCharType="begin"/>
      </w:r>
      <w:r w:rsidR="009E5AFB" w:rsidRPr="00722C30">
        <w:rPr>
          <w:rStyle w:val="AERbody"/>
        </w:rPr>
        <w:instrText xml:space="preserve"> REF _Ref462042500 \r \h  \* MERGEFORMAT </w:instrText>
      </w:r>
      <w:r w:rsidR="009E5AFB" w:rsidRPr="00722C30">
        <w:rPr>
          <w:rStyle w:val="AERbody"/>
        </w:rPr>
      </w:r>
      <w:r w:rsidR="009E5AFB" w:rsidRPr="00722C30">
        <w:rPr>
          <w:rStyle w:val="AERbody"/>
        </w:rPr>
        <w:fldChar w:fldCharType="separate"/>
      </w:r>
      <w:r w:rsidR="00BE0834">
        <w:rPr>
          <w:rStyle w:val="AERbody"/>
        </w:rPr>
        <w:t>8.3.4</w:t>
      </w:r>
      <w:r w:rsidR="009E5AFB" w:rsidRPr="00722C30">
        <w:rPr>
          <w:rStyle w:val="AERbody"/>
        </w:rPr>
        <w:fldChar w:fldCharType="end"/>
      </w:r>
      <w:r w:rsidR="00AC47ED">
        <w:rPr>
          <w:rStyle w:val="AERbody"/>
        </w:rPr>
        <w:t xml:space="preserve"> and </w:t>
      </w:r>
      <w:r w:rsidR="00AC47ED">
        <w:rPr>
          <w:rStyle w:val="AERbody"/>
        </w:rPr>
        <w:fldChar w:fldCharType="begin"/>
      </w:r>
      <w:r w:rsidR="00AC47ED">
        <w:rPr>
          <w:rStyle w:val="AERbody"/>
        </w:rPr>
        <w:instrText xml:space="preserve"> REF _Ref462997700 \r \h </w:instrText>
      </w:r>
      <w:r w:rsidR="00AC47ED">
        <w:rPr>
          <w:rStyle w:val="AERbody"/>
        </w:rPr>
      </w:r>
      <w:r w:rsidR="00AC47ED">
        <w:rPr>
          <w:rStyle w:val="AERbody"/>
        </w:rPr>
        <w:fldChar w:fldCharType="separate"/>
      </w:r>
      <w:r w:rsidR="00BE0834">
        <w:rPr>
          <w:rStyle w:val="AERbody"/>
        </w:rPr>
        <w:t>10.1</w:t>
      </w:r>
      <w:r w:rsidR="00AC47ED">
        <w:rPr>
          <w:rStyle w:val="AERbody"/>
        </w:rPr>
        <w:fldChar w:fldCharType="end"/>
      </w:r>
      <w:r w:rsidR="007A0695" w:rsidRPr="00722C30">
        <w:rPr>
          <w:rStyle w:val="AERbody"/>
        </w:rPr>
        <w:t>.</w:t>
      </w:r>
    </w:p>
    <w:p w:rsidR="00A81691" w:rsidRPr="00722C30" w:rsidRDefault="00A81691" w:rsidP="007D0321">
      <w:pPr>
        <w:pStyle w:val="BodyText"/>
        <w:rPr>
          <w:rStyle w:val="AERbody"/>
        </w:rPr>
      </w:pPr>
      <w:r w:rsidRPr="00722C30">
        <w:rPr>
          <w:rStyle w:val="AERbody"/>
        </w:rPr>
        <w:t xml:space="preserve">The current </w:t>
      </w:r>
      <w:r w:rsidR="00696664" w:rsidRPr="00722C30">
        <w:rPr>
          <w:rStyle w:val="AERbody"/>
        </w:rPr>
        <w:t xml:space="preserve">NUOS </w:t>
      </w:r>
      <w:r w:rsidRPr="00722C30">
        <w:rPr>
          <w:rStyle w:val="AERbody"/>
        </w:rPr>
        <w:t>prices for the FY2017 year and indicative NUOS prices under the TSS for the FY2018 and FY2019 years are presented in the tables below.</w:t>
      </w:r>
    </w:p>
    <w:bookmarkEnd w:id="1978"/>
    <w:bookmarkEnd w:id="1979"/>
    <w:p w:rsidR="001D64DD" w:rsidRPr="00722C30" w:rsidRDefault="008E293E">
      <w:pPr>
        <w:pStyle w:val="BodyText"/>
        <w:rPr>
          <w:rStyle w:val="AERbody"/>
        </w:rPr>
      </w:pPr>
      <w:r>
        <w:rPr>
          <w:rStyle w:val="AERbody"/>
        </w:rPr>
        <w:t>Specifically, t</w:t>
      </w:r>
      <w:r w:rsidR="00114658" w:rsidRPr="00722C30">
        <w:rPr>
          <w:rStyle w:val="AERbody"/>
        </w:rPr>
        <w:t>he table</w:t>
      </w:r>
      <w:r w:rsidR="002375DC" w:rsidRPr="00722C30">
        <w:rPr>
          <w:rStyle w:val="AERbody"/>
        </w:rPr>
        <w:t xml:space="preserve">s below present, respectively, </w:t>
      </w:r>
      <w:r w:rsidR="00114658" w:rsidRPr="00722C30">
        <w:rPr>
          <w:rStyle w:val="AERbody"/>
        </w:rPr>
        <w:t xml:space="preserve">indicative prices for residential and small </w:t>
      </w:r>
      <w:r w:rsidR="00114658" w:rsidRPr="008E293E">
        <w:rPr>
          <w:rStyle w:val="AERbody"/>
        </w:rPr>
        <w:t xml:space="preserve">business tariffs; low voltage TOU capacity tariffs; and high voltage and sub-transmission capacity tariffs. A description of the tariff structures and charging parameters is included in </w:t>
      </w:r>
      <w:r w:rsidR="007A0695" w:rsidRPr="00025BDF">
        <w:rPr>
          <w:rStyle w:val="AERbody"/>
        </w:rPr>
        <w:t xml:space="preserve">Appendix </w:t>
      </w:r>
      <w:r w:rsidRPr="008E293E">
        <w:rPr>
          <w:rStyle w:val="AERbody"/>
        </w:rPr>
        <w:t>A</w:t>
      </w:r>
      <w:r w:rsidR="00114658" w:rsidRPr="008E293E">
        <w:rPr>
          <w:rStyle w:val="AERbody"/>
        </w:rPr>
        <w:t>.</w:t>
      </w:r>
      <w:r w:rsidR="009C556D">
        <w:rPr>
          <w:rStyle w:val="AERbody"/>
        </w:rPr>
        <w:t xml:space="preserve"> </w:t>
      </w:r>
    </w:p>
    <w:p w:rsidR="001D64DD" w:rsidRPr="002E3CA8" w:rsidRDefault="001D64DD" w:rsidP="00722C30">
      <w:pPr>
        <w:pStyle w:val="Heading2"/>
      </w:pPr>
      <w:bookmarkStart w:id="1982" w:name="_Toc475527442"/>
      <w:r w:rsidRPr="002E3CA8">
        <w:t>Indicative prices for residential and small business customers</w:t>
      </w:r>
      <w:bookmarkEnd w:id="1982"/>
      <w:r w:rsidRPr="002E3CA8">
        <w:t xml:space="preserve"> </w:t>
      </w:r>
    </w:p>
    <w:p w:rsidR="00347193" w:rsidRPr="00722C30" w:rsidRDefault="009C556D" w:rsidP="00BD7A0B">
      <w:pPr>
        <w:pStyle w:val="BodyText"/>
        <w:rPr>
          <w:rStyle w:val="AERbody"/>
        </w:rPr>
      </w:pPr>
      <w:r>
        <w:rPr>
          <w:rStyle w:val="AERbody"/>
        </w:rPr>
        <w:fldChar w:fldCharType="begin"/>
      </w:r>
      <w:r>
        <w:rPr>
          <w:rStyle w:val="AERbody"/>
        </w:rPr>
        <w:instrText xml:space="preserve"> REF _Ref462996543 \h </w:instrText>
      </w:r>
      <w:r>
        <w:rPr>
          <w:rStyle w:val="AERbody"/>
        </w:rPr>
      </w:r>
      <w:r>
        <w:rPr>
          <w:rStyle w:val="AERbody"/>
        </w:rPr>
        <w:fldChar w:fldCharType="separate"/>
      </w:r>
      <w:r w:rsidR="00BE0834" w:rsidRPr="00073643">
        <w:t xml:space="preserve">Table </w:t>
      </w:r>
      <w:r w:rsidR="00BE0834">
        <w:t>15</w:t>
      </w:r>
      <w:r>
        <w:rPr>
          <w:rStyle w:val="AERbody"/>
        </w:rPr>
        <w:fldChar w:fldCharType="end"/>
      </w:r>
      <w:r>
        <w:rPr>
          <w:rStyle w:val="AERbody"/>
        </w:rPr>
        <w:t xml:space="preserve"> </w:t>
      </w:r>
      <w:r w:rsidR="008E293E">
        <w:rPr>
          <w:rStyle w:val="AERbody"/>
        </w:rPr>
        <w:t>presents</w:t>
      </w:r>
      <w:r w:rsidR="008E293E" w:rsidRPr="00722C30">
        <w:rPr>
          <w:rStyle w:val="AERbody"/>
        </w:rPr>
        <w:t xml:space="preserve"> </w:t>
      </w:r>
      <w:r w:rsidR="00347193" w:rsidRPr="00722C30">
        <w:rPr>
          <w:rStyle w:val="AERbody"/>
        </w:rPr>
        <w:t>the current NUOS prices in FY 2016/17 and indicative NUOS prices for residential and small business customers over the remainder of the current regulatory control period.</w:t>
      </w:r>
    </w:p>
    <w:p w:rsidR="002E3CA8" w:rsidRDefault="002E3CA8" w:rsidP="007D0321">
      <w:pPr>
        <w:pStyle w:val="BodyText"/>
        <w:rPr>
          <w:rFonts w:ascii="Arial Bold" w:hAnsi="Arial Bold"/>
        </w:rPr>
      </w:pPr>
      <w:bookmarkStart w:id="1983" w:name="_Toc460580233"/>
      <w:bookmarkStart w:id="1984" w:name="_Toc460940710"/>
      <w:bookmarkStart w:id="1985" w:name="_Toc460580234"/>
      <w:bookmarkStart w:id="1986" w:name="_Toc460940711"/>
      <w:bookmarkStart w:id="1987" w:name="_Toc460580235"/>
      <w:bookmarkStart w:id="1988" w:name="_Toc460940712"/>
      <w:bookmarkStart w:id="1989" w:name="_Toc460580236"/>
      <w:bookmarkStart w:id="1990" w:name="_Toc460940713"/>
      <w:bookmarkStart w:id="1991" w:name="_Toc460580237"/>
      <w:bookmarkStart w:id="1992" w:name="_Toc460940714"/>
      <w:bookmarkStart w:id="1993" w:name="_Toc435554863"/>
      <w:bookmarkStart w:id="1994" w:name="_Toc435555393"/>
      <w:bookmarkStart w:id="1995" w:name="_Toc435606002"/>
      <w:bookmarkStart w:id="1996" w:name="_Toc435606535"/>
      <w:bookmarkStart w:id="1997" w:name="_Toc435608131"/>
      <w:bookmarkStart w:id="1998" w:name="_Toc435625087"/>
      <w:bookmarkStart w:id="1999" w:name="_Toc435632324"/>
      <w:bookmarkStart w:id="2000" w:name="_Toc435646738"/>
      <w:bookmarkStart w:id="2001" w:name="_Toc435554864"/>
      <w:bookmarkStart w:id="2002" w:name="_Toc435555394"/>
      <w:bookmarkStart w:id="2003" w:name="_Toc435606003"/>
      <w:bookmarkStart w:id="2004" w:name="_Toc435606536"/>
      <w:bookmarkStart w:id="2005" w:name="_Toc435608132"/>
      <w:bookmarkStart w:id="2006" w:name="_Toc435625088"/>
      <w:bookmarkStart w:id="2007" w:name="_Toc435632325"/>
      <w:bookmarkStart w:id="2008" w:name="_Toc435646739"/>
      <w:bookmarkStart w:id="2009" w:name="_Toc435554865"/>
      <w:bookmarkStart w:id="2010" w:name="_Toc435555395"/>
      <w:bookmarkStart w:id="2011" w:name="_Toc435606004"/>
      <w:bookmarkStart w:id="2012" w:name="_Toc435606537"/>
      <w:bookmarkStart w:id="2013" w:name="_Toc435608133"/>
      <w:bookmarkStart w:id="2014" w:name="_Toc435625089"/>
      <w:bookmarkStart w:id="2015" w:name="_Toc435632326"/>
      <w:bookmarkStart w:id="2016" w:name="_Toc435646740"/>
      <w:bookmarkStart w:id="2017" w:name="_Toc435554866"/>
      <w:bookmarkStart w:id="2018" w:name="_Toc435555396"/>
      <w:bookmarkStart w:id="2019" w:name="_Toc435606005"/>
      <w:bookmarkStart w:id="2020" w:name="_Toc435606538"/>
      <w:bookmarkStart w:id="2021" w:name="_Toc435608134"/>
      <w:bookmarkStart w:id="2022" w:name="_Toc435625090"/>
      <w:bookmarkStart w:id="2023" w:name="_Toc435632327"/>
      <w:bookmarkStart w:id="2024" w:name="_Toc435646741"/>
      <w:bookmarkStart w:id="2025" w:name="_Toc435554867"/>
      <w:bookmarkStart w:id="2026" w:name="_Toc435555397"/>
      <w:bookmarkStart w:id="2027" w:name="_Toc435606006"/>
      <w:bookmarkStart w:id="2028" w:name="_Toc435606539"/>
      <w:bookmarkStart w:id="2029" w:name="_Toc435608135"/>
      <w:bookmarkStart w:id="2030" w:name="_Toc435625091"/>
      <w:bookmarkStart w:id="2031" w:name="_Toc435632328"/>
      <w:bookmarkStart w:id="2032" w:name="_Toc43564674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r>
        <w:br w:type="page"/>
      </w:r>
    </w:p>
    <w:p w:rsidR="003715DF" w:rsidRPr="00B52E74" w:rsidRDefault="00347193" w:rsidP="00EF3B7E">
      <w:pPr>
        <w:pStyle w:val="Caption"/>
      </w:pPr>
      <w:bookmarkStart w:id="2033" w:name="_Ref462996543"/>
      <w:r w:rsidRPr="00073643">
        <w:lastRenderedPageBreak/>
        <w:t xml:space="preserve">Table </w:t>
      </w:r>
      <w:fldSimple w:instr=" SEQ Table \* ARABIC ">
        <w:r w:rsidR="00BE0834">
          <w:rPr>
            <w:noProof/>
          </w:rPr>
          <w:t>15</w:t>
        </w:r>
      </w:fldSimple>
      <w:bookmarkEnd w:id="2033"/>
      <w:r w:rsidRPr="00073643">
        <w:t xml:space="preserve"> –</w:t>
      </w:r>
      <w:r>
        <w:t xml:space="preserve"> </w:t>
      </w:r>
      <w:proofErr w:type="spellStart"/>
      <w:r w:rsidR="003715DF" w:rsidRPr="00B52E74">
        <w:t>Ausgrid’s</w:t>
      </w:r>
      <w:proofErr w:type="spellEnd"/>
      <w:r w:rsidR="003715DF" w:rsidRPr="00B52E74">
        <w:t xml:space="preserve"> </w:t>
      </w:r>
      <w:r w:rsidR="003715DF">
        <w:t xml:space="preserve">Indicative NUOS (Excl. GST) Prices – </w:t>
      </w:r>
      <w:r w:rsidR="00A97377">
        <w:t>Residential and Small Business Customer, by Published Tariff</w:t>
      </w:r>
    </w:p>
    <w:tbl>
      <w:tblPr>
        <w:tblW w:w="9305" w:type="dxa"/>
        <w:tblInd w:w="108" w:type="dxa"/>
        <w:tblBorders>
          <w:insideH w:val="single" w:sz="4" w:space="0" w:color="FFFFFF" w:themeColor="background1"/>
          <w:insideV w:val="single" w:sz="4" w:space="0" w:color="FFFFFF" w:themeColor="background1"/>
        </w:tblBorders>
        <w:tblLayout w:type="fixed"/>
        <w:tblCellMar>
          <w:top w:w="57" w:type="dxa"/>
          <w:left w:w="57" w:type="dxa"/>
          <w:bottom w:w="28" w:type="dxa"/>
          <w:right w:w="57" w:type="dxa"/>
        </w:tblCellMar>
        <w:tblLook w:val="01E0" w:firstRow="1" w:lastRow="1" w:firstColumn="1" w:lastColumn="1" w:noHBand="0" w:noVBand="0"/>
      </w:tblPr>
      <w:tblGrid>
        <w:gridCol w:w="846"/>
        <w:gridCol w:w="1088"/>
        <w:gridCol w:w="2977"/>
        <w:gridCol w:w="1042"/>
        <w:gridCol w:w="1084"/>
        <w:gridCol w:w="1134"/>
        <w:gridCol w:w="1134"/>
      </w:tblGrid>
      <w:tr w:rsidR="002E3CA8" w:rsidRPr="002E3CA8" w:rsidTr="00722C30">
        <w:trPr>
          <w:trHeight w:hRule="exact" w:val="503"/>
        </w:trPr>
        <w:tc>
          <w:tcPr>
            <w:tcW w:w="846" w:type="dxa"/>
            <w:shd w:val="clear" w:color="auto" w:fill="0065A6"/>
          </w:tcPr>
          <w:p w:rsidR="001D64DD" w:rsidRPr="00722C30" w:rsidRDefault="001D64DD" w:rsidP="00722C30">
            <w:pPr>
              <w:spacing w:after="0"/>
              <w:ind w:left="34"/>
              <w:jc w:val="center"/>
              <w:rPr>
                <w:rFonts w:cs="Arial"/>
                <w:b/>
                <w:bCs/>
                <w:color w:val="FFFFFF"/>
                <w:sz w:val="16"/>
                <w:szCs w:val="16"/>
              </w:rPr>
            </w:pPr>
            <w:r w:rsidRPr="00722C30">
              <w:rPr>
                <w:rFonts w:cs="Arial"/>
                <w:b/>
                <w:bCs/>
                <w:color w:val="FFFFFF"/>
                <w:sz w:val="16"/>
                <w:szCs w:val="16"/>
              </w:rPr>
              <w:t>Tariff Code</w:t>
            </w:r>
          </w:p>
        </w:tc>
        <w:tc>
          <w:tcPr>
            <w:tcW w:w="1088" w:type="dxa"/>
            <w:shd w:val="clear" w:color="auto" w:fill="0065A6"/>
          </w:tcPr>
          <w:p w:rsidR="001D64DD" w:rsidRPr="00722C30" w:rsidRDefault="001D64DD" w:rsidP="00722C30">
            <w:pPr>
              <w:spacing w:after="0"/>
              <w:ind w:left="34"/>
              <w:jc w:val="center"/>
              <w:rPr>
                <w:rFonts w:cs="Arial"/>
                <w:b/>
                <w:bCs/>
                <w:color w:val="FFFFFF"/>
                <w:sz w:val="16"/>
                <w:szCs w:val="16"/>
              </w:rPr>
            </w:pPr>
            <w:r w:rsidRPr="00722C30">
              <w:rPr>
                <w:rFonts w:cs="Arial"/>
                <w:b/>
                <w:bCs/>
                <w:color w:val="FFFFFF"/>
                <w:sz w:val="16"/>
                <w:szCs w:val="16"/>
              </w:rPr>
              <w:t>Tariff Name</w:t>
            </w:r>
          </w:p>
        </w:tc>
        <w:tc>
          <w:tcPr>
            <w:tcW w:w="2977" w:type="dxa"/>
            <w:shd w:val="clear" w:color="auto" w:fill="0065A6"/>
          </w:tcPr>
          <w:p w:rsidR="001D64DD" w:rsidRPr="00722C30" w:rsidRDefault="001D64DD" w:rsidP="00722C30">
            <w:pPr>
              <w:spacing w:after="0"/>
              <w:ind w:left="34"/>
              <w:jc w:val="center"/>
              <w:rPr>
                <w:rFonts w:cs="Arial"/>
                <w:b/>
                <w:bCs/>
                <w:color w:val="FFFFFF"/>
                <w:sz w:val="16"/>
                <w:szCs w:val="16"/>
              </w:rPr>
            </w:pPr>
            <w:r w:rsidRPr="00722C30">
              <w:rPr>
                <w:rFonts w:cs="Arial"/>
                <w:b/>
                <w:bCs/>
                <w:color w:val="FFFFFF"/>
                <w:sz w:val="16"/>
                <w:szCs w:val="16"/>
              </w:rPr>
              <w:t>Charging Parameter</w:t>
            </w:r>
          </w:p>
        </w:tc>
        <w:tc>
          <w:tcPr>
            <w:tcW w:w="1042" w:type="dxa"/>
            <w:shd w:val="clear" w:color="auto" w:fill="0065A6"/>
          </w:tcPr>
          <w:p w:rsidR="001D64DD" w:rsidRPr="00722C30" w:rsidRDefault="001D64DD" w:rsidP="00722C30">
            <w:pPr>
              <w:spacing w:after="0"/>
              <w:ind w:left="33"/>
              <w:jc w:val="center"/>
              <w:rPr>
                <w:rFonts w:cs="Arial"/>
                <w:b/>
                <w:bCs/>
                <w:color w:val="FFFFFF"/>
                <w:sz w:val="16"/>
                <w:szCs w:val="16"/>
              </w:rPr>
            </w:pPr>
            <w:r w:rsidRPr="00722C30">
              <w:rPr>
                <w:rFonts w:cs="Arial"/>
                <w:b/>
                <w:bCs/>
                <w:color w:val="FFFFFF"/>
                <w:sz w:val="16"/>
                <w:szCs w:val="16"/>
              </w:rPr>
              <w:t>Unit</w:t>
            </w:r>
          </w:p>
        </w:tc>
        <w:tc>
          <w:tcPr>
            <w:tcW w:w="1084" w:type="dxa"/>
            <w:shd w:val="clear" w:color="auto" w:fill="0065A6"/>
          </w:tcPr>
          <w:p w:rsidR="001D64DD" w:rsidRPr="00722C30" w:rsidRDefault="001D64DD" w:rsidP="00722C30">
            <w:pPr>
              <w:spacing w:after="0"/>
              <w:ind w:left="33"/>
              <w:jc w:val="center"/>
              <w:rPr>
                <w:rFonts w:cs="Arial"/>
                <w:b/>
                <w:bCs/>
                <w:color w:val="FFFFFF"/>
                <w:sz w:val="16"/>
                <w:szCs w:val="16"/>
              </w:rPr>
            </w:pPr>
            <w:r w:rsidRPr="00722C30">
              <w:rPr>
                <w:rFonts w:cs="Arial"/>
                <w:b/>
                <w:bCs/>
                <w:color w:val="FFFFFF"/>
                <w:sz w:val="16"/>
                <w:szCs w:val="16"/>
              </w:rPr>
              <w:t>Actual</w:t>
            </w:r>
            <w:r w:rsidR="00B50A16" w:rsidRPr="00722C30">
              <w:rPr>
                <w:rFonts w:cs="Arial"/>
                <w:b/>
                <w:bCs/>
                <w:color w:val="FFFFFF"/>
                <w:sz w:val="16"/>
                <w:szCs w:val="16"/>
              </w:rPr>
              <w:t xml:space="preserve"> </w:t>
            </w:r>
            <w:r w:rsidR="002E3CA8">
              <w:rPr>
                <w:rFonts w:cs="Arial"/>
                <w:b/>
                <w:bCs/>
                <w:color w:val="FFFFFF"/>
                <w:sz w:val="16"/>
                <w:szCs w:val="16"/>
              </w:rPr>
              <w:br/>
            </w:r>
            <w:r w:rsidRPr="00722C30">
              <w:rPr>
                <w:rFonts w:cs="Arial"/>
                <w:b/>
                <w:bCs/>
                <w:color w:val="FFFFFF"/>
                <w:sz w:val="16"/>
                <w:szCs w:val="16"/>
              </w:rPr>
              <w:t>FY 2016/17</w:t>
            </w:r>
          </w:p>
        </w:tc>
        <w:tc>
          <w:tcPr>
            <w:tcW w:w="1134" w:type="dxa"/>
            <w:shd w:val="clear" w:color="auto" w:fill="0065A6"/>
          </w:tcPr>
          <w:p w:rsidR="001D64DD" w:rsidRPr="00722C30" w:rsidRDefault="001D64DD" w:rsidP="00722C30">
            <w:pPr>
              <w:spacing w:after="0"/>
              <w:ind w:left="33"/>
              <w:jc w:val="center"/>
              <w:rPr>
                <w:rFonts w:cs="Arial"/>
                <w:b/>
                <w:bCs/>
                <w:color w:val="FFFFFF"/>
                <w:sz w:val="16"/>
                <w:szCs w:val="16"/>
              </w:rPr>
            </w:pPr>
            <w:r w:rsidRPr="00722C30">
              <w:rPr>
                <w:rFonts w:cs="Arial"/>
                <w:b/>
                <w:bCs/>
                <w:color w:val="FFFFFF"/>
                <w:sz w:val="16"/>
                <w:szCs w:val="16"/>
              </w:rPr>
              <w:t>Indicative</w:t>
            </w:r>
            <w:r w:rsidR="00B50A16" w:rsidRPr="00722C30">
              <w:rPr>
                <w:rFonts w:cs="Arial"/>
                <w:b/>
                <w:bCs/>
                <w:color w:val="FFFFFF"/>
                <w:sz w:val="16"/>
                <w:szCs w:val="16"/>
              </w:rPr>
              <w:t xml:space="preserve"> </w:t>
            </w:r>
            <w:r w:rsidR="002E3CA8">
              <w:rPr>
                <w:rFonts w:cs="Arial"/>
                <w:b/>
                <w:bCs/>
                <w:color w:val="FFFFFF"/>
                <w:sz w:val="16"/>
                <w:szCs w:val="16"/>
              </w:rPr>
              <w:br/>
            </w:r>
            <w:r w:rsidRPr="00722C30">
              <w:rPr>
                <w:rFonts w:cs="Arial"/>
                <w:b/>
                <w:bCs/>
                <w:color w:val="FFFFFF"/>
                <w:sz w:val="16"/>
                <w:szCs w:val="16"/>
              </w:rPr>
              <w:t>FY 2017/18</w:t>
            </w:r>
          </w:p>
        </w:tc>
        <w:tc>
          <w:tcPr>
            <w:tcW w:w="1134" w:type="dxa"/>
            <w:shd w:val="clear" w:color="auto" w:fill="0065A6"/>
          </w:tcPr>
          <w:p w:rsidR="001D64DD" w:rsidRPr="00722C30" w:rsidRDefault="001D64DD" w:rsidP="00722C30">
            <w:pPr>
              <w:spacing w:after="0"/>
              <w:ind w:left="33"/>
              <w:jc w:val="center"/>
              <w:rPr>
                <w:rFonts w:cs="Arial"/>
                <w:b/>
                <w:bCs/>
                <w:color w:val="FFFFFF"/>
                <w:sz w:val="16"/>
                <w:szCs w:val="16"/>
              </w:rPr>
            </w:pPr>
            <w:r w:rsidRPr="00722C30">
              <w:rPr>
                <w:rFonts w:cs="Arial"/>
                <w:b/>
                <w:bCs/>
                <w:color w:val="FFFFFF"/>
                <w:sz w:val="16"/>
                <w:szCs w:val="16"/>
              </w:rPr>
              <w:t>Indicative</w:t>
            </w:r>
            <w:r w:rsidR="00B50A16" w:rsidRPr="00722C30">
              <w:rPr>
                <w:rFonts w:cs="Arial"/>
                <w:b/>
                <w:bCs/>
                <w:color w:val="FFFFFF"/>
                <w:sz w:val="16"/>
                <w:szCs w:val="16"/>
              </w:rPr>
              <w:t xml:space="preserve"> </w:t>
            </w:r>
            <w:r w:rsidR="002E3CA8">
              <w:rPr>
                <w:rFonts w:cs="Arial"/>
                <w:b/>
                <w:bCs/>
                <w:color w:val="FFFFFF"/>
                <w:sz w:val="16"/>
                <w:szCs w:val="16"/>
              </w:rPr>
              <w:br/>
            </w:r>
            <w:r w:rsidRPr="00722C30">
              <w:rPr>
                <w:rFonts w:cs="Arial"/>
                <w:b/>
                <w:bCs/>
                <w:color w:val="FFFFFF"/>
                <w:sz w:val="16"/>
                <w:szCs w:val="16"/>
              </w:rPr>
              <w:t>FY 2018/19</w:t>
            </w:r>
          </w:p>
        </w:tc>
      </w:tr>
      <w:tr w:rsidR="002E3CA8" w:rsidRPr="002E3CA8" w:rsidTr="00722C30">
        <w:trPr>
          <w:trHeight w:hRule="exact" w:val="425"/>
        </w:trPr>
        <w:tc>
          <w:tcPr>
            <w:tcW w:w="846" w:type="dxa"/>
            <w:vMerge w:val="restart"/>
            <w:shd w:val="clear" w:color="auto" w:fill="97C5EA"/>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EA010</w:t>
            </w:r>
          </w:p>
        </w:tc>
        <w:tc>
          <w:tcPr>
            <w:tcW w:w="1088" w:type="dxa"/>
            <w:vMerge w:val="restart"/>
            <w:shd w:val="clear" w:color="auto" w:fill="C6D9F1"/>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Residential non-TOU Tariff</w:t>
            </w: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Fixed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c/day</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33.24</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33.91</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34.76</w:t>
            </w:r>
          </w:p>
        </w:tc>
      </w:tr>
      <w:tr w:rsidR="002E3CA8" w:rsidRPr="002E3CA8" w:rsidTr="00722C30">
        <w:trPr>
          <w:trHeight w:hRule="exact" w:val="504"/>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First Block Energy Charge / Flat Usage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10.97</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10.95</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11.20</w:t>
            </w:r>
          </w:p>
        </w:tc>
      </w:tr>
      <w:tr w:rsidR="002E3CA8" w:rsidRPr="002E3CA8" w:rsidTr="00722C30">
        <w:trPr>
          <w:trHeight w:hRule="exact" w:val="412"/>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Second Block Energy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10.68</w:t>
            </w:r>
          </w:p>
        </w:tc>
        <w:tc>
          <w:tcPr>
            <w:tcW w:w="1134" w:type="dxa"/>
            <w:shd w:val="clear" w:color="auto" w:fill="DEEAF6"/>
            <w:vAlign w:val="center"/>
          </w:tcPr>
          <w:p w:rsidR="00750347" w:rsidRPr="00722C30" w:rsidRDefault="008E293E" w:rsidP="00722C30">
            <w:pPr>
              <w:spacing w:after="0"/>
              <w:jc w:val="center"/>
              <w:rPr>
                <w:rFonts w:cs="Arial"/>
                <w:sz w:val="16"/>
                <w:szCs w:val="16"/>
                <w:highlight w:val="yellow"/>
              </w:rPr>
            </w:pPr>
            <w:r>
              <w:rPr>
                <w:rFonts w:cs="Arial"/>
                <w:sz w:val="16"/>
                <w:szCs w:val="16"/>
              </w:rPr>
              <w:t>-</w:t>
            </w:r>
          </w:p>
        </w:tc>
        <w:tc>
          <w:tcPr>
            <w:tcW w:w="1134" w:type="dxa"/>
            <w:shd w:val="clear" w:color="auto" w:fill="DEEAF6"/>
            <w:vAlign w:val="center"/>
          </w:tcPr>
          <w:p w:rsidR="00750347" w:rsidRPr="00722C30" w:rsidRDefault="008E293E" w:rsidP="00722C30">
            <w:pPr>
              <w:spacing w:after="0"/>
              <w:jc w:val="center"/>
              <w:rPr>
                <w:rFonts w:cs="Arial"/>
                <w:sz w:val="16"/>
                <w:szCs w:val="16"/>
                <w:highlight w:val="yellow"/>
              </w:rPr>
            </w:pPr>
            <w:r>
              <w:rPr>
                <w:rFonts w:cs="Arial"/>
                <w:sz w:val="16"/>
                <w:szCs w:val="16"/>
              </w:rPr>
              <w:t>-</w:t>
            </w:r>
          </w:p>
        </w:tc>
      </w:tr>
      <w:tr w:rsidR="002E3CA8" w:rsidRPr="002E3CA8" w:rsidTr="00722C30">
        <w:trPr>
          <w:trHeight w:hRule="exact" w:val="42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Third Block Energy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10.42</w:t>
            </w:r>
          </w:p>
        </w:tc>
        <w:tc>
          <w:tcPr>
            <w:tcW w:w="1134" w:type="dxa"/>
            <w:shd w:val="clear" w:color="auto" w:fill="DEEAF6"/>
            <w:vAlign w:val="center"/>
          </w:tcPr>
          <w:p w:rsidR="00750347" w:rsidRPr="00722C30" w:rsidRDefault="008E293E" w:rsidP="00722C30">
            <w:pPr>
              <w:spacing w:after="0"/>
              <w:jc w:val="center"/>
              <w:rPr>
                <w:rFonts w:cs="Arial"/>
                <w:sz w:val="16"/>
                <w:szCs w:val="16"/>
                <w:highlight w:val="yellow"/>
              </w:rPr>
            </w:pPr>
            <w:r>
              <w:rPr>
                <w:rFonts w:cs="Arial"/>
                <w:sz w:val="16"/>
                <w:szCs w:val="16"/>
              </w:rPr>
              <w:t>-</w:t>
            </w:r>
          </w:p>
        </w:tc>
        <w:tc>
          <w:tcPr>
            <w:tcW w:w="1134" w:type="dxa"/>
            <w:shd w:val="clear" w:color="auto" w:fill="DEEAF6"/>
            <w:vAlign w:val="center"/>
          </w:tcPr>
          <w:p w:rsidR="00750347" w:rsidRPr="00722C30" w:rsidRDefault="008E293E" w:rsidP="00722C30">
            <w:pPr>
              <w:spacing w:after="0"/>
              <w:jc w:val="center"/>
              <w:rPr>
                <w:rFonts w:cs="Arial"/>
                <w:sz w:val="16"/>
                <w:szCs w:val="16"/>
                <w:highlight w:val="yellow"/>
              </w:rPr>
            </w:pPr>
            <w:r>
              <w:rPr>
                <w:rFonts w:cs="Arial"/>
                <w:sz w:val="16"/>
                <w:szCs w:val="16"/>
              </w:rPr>
              <w:t>-</w:t>
            </w:r>
          </w:p>
        </w:tc>
      </w:tr>
      <w:tr w:rsidR="002E3CA8" w:rsidRPr="002E3CA8" w:rsidTr="00722C30">
        <w:trPr>
          <w:trHeight w:hRule="exact" w:val="425"/>
        </w:trPr>
        <w:tc>
          <w:tcPr>
            <w:tcW w:w="846" w:type="dxa"/>
            <w:vMerge w:val="restart"/>
            <w:shd w:val="clear" w:color="auto" w:fill="97C5EA"/>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EA050</w:t>
            </w:r>
          </w:p>
        </w:tc>
        <w:tc>
          <w:tcPr>
            <w:tcW w:w="1088" w:type="dxa"/>
            <w:vMerge w:val="restart"/>
            <w:shd w:val="clear" w:color="auto" w:fill="C6D9F1"/>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Small Business non-TOU Tariff</w:t>
            </w: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Fixed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c/day</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119.78</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122.18</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125.23</w:t>
            </w:r>
          </w:p>
        </w:tc>
      </w:tr>
      <w:tr w:rsidR="002E3CA8" w:rsidRPr="002E3CA8" w:rsidTr="00722C30">
        <w:trPr>
          <w:trHeight w:hRule="exact" w:val="56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First Block Energy Charge / Flat Usage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10.79</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10.77</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11.04</w:t>
            </w:r>
          </w:p>
        </w:tc>
      </w:tr>
      <w:tr w:rsidR="002E3CA8" w:rsidRPr="002E3CA8" w:rsidTr="00722C30">
        <w:trPr>
          <w:trHeight w:hRule="exact" w:val="42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Second Block Energy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10.48</w:t>
            </w:r>
          </w:p>
        </w:tc>
        <w:tc>
          <w:tcPr>
            <w:tcW w:w="1134" w:type="dxa"/>
            <w:shd w:val="clear" w:color="auto" w:fill="DEEAF6"/>
            <w:vAlign w:val="center"/>
          </w:tcPr>
          <w:p w:rsidR="00750347" w:rsidRPr="00722C30" w:rsidRDefault="008E293E" w:rsidP="00722C30">
            <w:pPr>
              <w:spacing w:after="0"/>
              <w:jc w:val="center"/>
              <w:rPr>
                <w:rFonts w:cs="Arial"/>
                <w:sz w:val="16"/>
                <w:szCs w:val="16"/>
                <w:highlight w:val="yellow"/>
              </w:rPr>
            </w:pPr>
            <w:r>
              <w:rPr>
                <w:rFonts w:cs="Arial"/>
                <w:sz w:val="16"/>
                <w:szCs w:val="16"/>
              </w:rPr>
              <w:t>-</w:t>
            </w:r>
          </w:p>
        </w:tc>
        <w:tc>
          <w:tcPr>
            <w:tcW w:w="1134" w:type="dxa"/>
            <w:shd w:val="clear" w:color="auto" w:fill="DEEAF6"/>
            <w:vAlign w:val="center"/>
          </w:tcPr>
          <w:p w:rsidR="00750347" w:rsidRPr="00722C30" w:rsidRDefault="008E293E" w:rsidP="00722C30">
            <w:pPr>
              <w:spacing w:after="0"/>
              <w:jc w:val="center"/>
              <w:rPr>
                <w:rFonts w:cs="Arial"/>
                <w:sz w:val="16"/>
                <w:szCs w:val="16"/>
                <w:highlight w:val="yellow"/>
              </w:rPr>
            </w:pPr>
            <w:r>
              <w:rPr>
                <w:rFonts w:cs="Arial"/>
                <w:sz w:val="16"/>
                <w:szCs w:val="16"/>
              </w:rPr>
              <w:t>-</w:t>
            </w:r>
          </w:p>
        </w:tc>
      </w:tr>
      <w:tr w:rsidR="002E3CA8" w:rsidRPr="002E3CA8" w:rsidTr="00722C30">
        <w:trPr>
          <w:trHeight w:hRule="exact" w:val="425"/>
        </w:trPr>
        <w:tc>
          <w:tcPr>
            <w:tcW w:w="846" w:type="dxa"/>
            <w:vMerge w:val="restart"/>
            <w:shd w:val="clear" w:color="auto" w:fill="97C5EA"/>
            <w:vAlign w:val="center"/>
          </w:tcPr>
          <w:p w:rsidR="00750347" w:rsidRPr="00722C30" w:rsidRDefault="00750347" w:rsidP="00722C30">
            <w:pPr>
              <w:spacing w:after="0"/>
              <w:ind w:left="34"/>
              <w:jc w:val="center"/>
              <w:rPr>
                <w:rFonts w:cs="Arial"/>
                <w:bCs/>
                <w:color w:val="FFFFFF"/>
                <w:sz w:val="16"/>
                <w:szCs w:val="16"/>
              </w:rPr>
            </w:pPr>
            <w:r w:rsidRPr="00722C30">
              <w:rPr>
                <w:rFonts w:cs="Arial"/>
                <w:bCs/>
                <w:sz w:val="16"/>
                <w:szCs w:val="16"/>
              </w:rPr>
              <w:t>EA025</w:t>
            </w:r>
          </w:p>
        </w:tc>
        <w:tc>
          <w:tcPr>
            <w:tcW w:w="1088" w:type="dxa"/>
            <w:vMerge w:val="restart"/>
            <w:shd w:val="clear" w:color="auto" w:fill="C6D9F1"/>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Residential TOU Tariff</w:t>
            </w: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Fixed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c/day</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41.45</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42.27</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43.33</w:t>
            </w:r>
          </w:p>
        </w:tc>
      </w:tr>
      <w:tr w:rsidR="002E3CA8" w:rsidRPr="002E3CA8" w:rsidTr="00722C30">
        <w:trPr>
          <w:trHeight w:hRule="exact" w:val="42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Peak Energy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26.47</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26.60</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30.69</w:t>
            </w:r>
          </w:p>
        </w:tc>
      </w:tr>
      <w:tr w:rsidR="002E3CA8" w:rsidRPr="002E3CA8" w:rsidTr="00722C30">
        <w:trPr>
          <w:trHeight w:hRule="exact" w:val="42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Shoulder Energy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5.48</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5.48</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6.32</w:t>
            </w:r>
          </w:p>
        </w:tc>
      </w:tr>
      <w:tr w:rsidR="002E3CA8" w:rsidRPr="002E3CA8" w:rsidTr="00722C30">
        <w:trPr>
          <w:trHeight w:hRule="exact" w:val="42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Off-peak Energy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2.79</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2.81</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3.24</w:t>
            </w:r>
          </w:p>
        </w:tc>
      </w:tr>
      <w:tr w:rsidR="002E3CA8" w:rsidRPr="002E3CA8" w:rsidTr="00722C30">
        <w:trPr>
          <w:trHeight w:hRule="exact" w:val="425"/>
        </w:trPr>
        <w:tc>
          <w:tcPr>
            <w:tcW w:w="846" w:type="dxa"/>
            <w:vMerge w:val="restart"/>
            <w:shd w:val="clear" w:color="auto" w:fill="97C5EA"/>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EA225</w:t>
            </w:r>
          </w:p>
        </w:tc>
        <w:tc>
          <w:tcPr>
            <w:tcW w:w="1088" w:type="dxa"/>
            <w:vMerge w:val="restart"/>
            <w:shd w:val="clear" w:color="auto" w:fill="C6D9F1"/>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Small Business TOU Tariff</w:t>
            </w: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Fixed Charge</w:t>
            </w:r>
          </w:p>
        </w:tc>
        <w:tc>
          <w:tcPr>
            <w:tcW w:w="1042" w:type="dxa"/>
            <w:shd w:val="clear" w:color="auto" w:fill="DEEAF6"/>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c/day</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118.21</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120.57</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123.58</w:t>
            </w:r>
          </w:p>
        </w:tc>
      </w:tr>
      <w:tr w:rsidR="002E3CA8" w:rsidRPr="002E3CA8" w:rsidTr="00722C30">
        <w:trPr>
          <w:trHeight w:hRule="exact" w:val="42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Peak Energy Charge</w:t>
            </w:r>
          </w:p>
        </w:tc>
        <w:tc>
          <w:tcPr>
            <w:tcW w:w="1042" w:type="dxa"/>
            <w:shd w:val="clear" w:color="auto" w:fill="DEEAF6"/>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21.78</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21.91</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25.62</w:t>
            </w:r>
          </w:p>
        </w:tc>
      </w:tr>
      <w:tr w:rsidR="002E3CA8" w:rsidRPr="002E3CA8" w:rsidTr="00722C30">
        <w:trPr>
          <w:trHeight w:hRule="exact" w:val="42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Shoulder Energy Charge</w:t>
            </w:r>
          </w:p>
        </w:tc>
        <w:tc>
          <w:tcPr>
            <w:tcW w:w="1042" w:type="dxa"/>
            <w:shd w:val="clear" w:color="auto" w:fill="DEEAF6"/>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6.91</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6.92</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8.04</w:t>
            </w:r>
          </w:p>
        </w:tc>
      </w:tr>
      <w:tr w:rsidR="002E3CA8" w:rsidRPr="002E3CA8" w:rsidTr="00722C30">
        <w:trPr>
          <w:trHeight w:hRule="exact" w:val="42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Off-peak Energy Charge</w:t>
            </w:r>
          </w:p>
        </w:tc>
        <w:tc>
          <w:tcPr>
            <w:tcW w:w="1042" w:type="dxa"/>
            <w:shd w:val="clear" w:color="auto" w:fill="DEEAF6"/>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2.11</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2.14</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2.50</w:t>
            </w:r>
          </w:p>
        </w:tc>
      </w:tr>
      <w:tr w:rsidR="002E3CA8" w:rsidRPr="002E3CA8" w:rsidTr="00722C30">
        <w:trPr>
          <w:trHeight w:hRule="exact" w:val="425"/>
        </w:trPr>
        <w:tc>
          <w:tcPr>
            <w:tcW w:w="846" w:type="dxa"/>
            <w:vMerge w:val="restart"/>
            <w:shd w:val="clear" w:color="auto" w:fill="97C5EA"/>
            <w:vAlign w:val="center"/>
          </w:tcPr>
          <w:p w:rsidR="00750347" w:rsidRPr="00722C30" w:rsidRDefault="00750347" w:rsidP="00722C30">
            <w:pPr>
              <w:spacing w:after="0"/>
              <w:ind w:left="34"/>
              <w:jc w:val="center"/>
              <w:rPr>
                <w:rFonts w:cs="Arial"/>
                <w:bCs/>
                <w:color w:val="FFFFFF"/>
                <w:sz w:val="16"/>
                <w:szCs w:val="16"/>
              </w:rPr>
            </w:pPr>
            <w:r w:rsidRPr="00722C30">
              <w:rPr>
                <w:rFonts w:cs="Arial"/>
                <w:bCs/>
                <w:sz w:val="16"/>
                <w:szCs w:val="16"/>
              </w:rPr>
              <w:t>EA030</w:t>
            </w:r>
          </w:p>
        </w:tc>
        <w:tc>
          <w:tcPr>
            <w:tcW w:w="1088" w:type="dxa"/>
            <w:vMerge w:val="restart"/>
            <w:shd w:val="clear" w:color="auto" w:fill="C6D9F1"/>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Controlled Load 1</w:t>
            </w: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Fixed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c/day</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0.14</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0.14</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0.14</w:t>
            </w:r>
          </w:p>
        </w:tc>
      </w:tr>
      <w:tr w:rsidR="002E3CA8" w:rsidRPr="002E3CA8" w:rsidTr="00722C30">
        <w:trPr>
          <w:trHeight w:hRule="exact" w:val="425"/>
        </w:trPr>
        <w:tc>
          <w:tcPr>
            <w:tcW w:w="846" w:type="dxa"/>
            <w:vMerge/>
            <w:shd w:val="clear" w:color="auto" w:fill="97C5EA"/>
            <w:vAlign w:val="center"/>
          </w:tcPr>
          <w:p w:rsidR="00750347" w:rsidRPr="00722C30" w:rsidRDefault="00750347" w:rsidP="00722C30">
            <w:pPr>
              <w:spacing w:after="0"/>
              <w:ind w:left="34"/>
              <w:jc w:val="center"/>
              <w:rPr>
                <w:rFonts w:cs="Arial"/>
                <w:bCs/>
                <w:sz w:val="16"/>
                <w:szCs w:val="16"/>
              </w:rPr>
            </w:pPr>
          </w:p>
        </w:tc>
        <w:tc>
          <w:tcPr>
            <w:tcW w:w="1088" w:type="dxa"/>
            <w:vMerge/>
            <w:shd w:val="clear" w:color="auto" w:fill="C6D9F1"/>
            <w:vAlign w:val="center"/>
          </w:tcPr>
          <w:p w:rsidR="00750347" w:rsidRPr="00722C30" w:rsidRDefault="00750347" w:rsidP="00722C30">
            <w:pPr>
              <w:spacing w:after="0"/>
              <w:ind w:left="34"/>
              <w:jc w:val="center"/>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Anytime Energy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1.77</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1.81</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1.85</w:t>
            </w:r>
          </w:p>
        </w:tc>
      </w:tr>
      <w:tr w:rsidR="002E3CA8" w:rsidRPr="002E3CA8" w:rsidTr="00722C30">
        <w:trPr>
          <w:trHeight w:hRule="exact" w:val="425"/>
        </w:trPr>
        <w:tc>
          <w:tcPr>
            <w:tcW w:w="846" w:type="dxa"/>
            <w:vMerge w:val="restart"/>
            <w:shd w:val="clear" w:color="auto" w:fill="97C5EA"/>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EA040</w:t>
            </w:r>
          </w:p>
        </w:tc>
        <w:tc>
          <w:tcPr>
            <w:tcW w:w="1088" w:type="dxa"/>
            <w:vMerge w:val="restart"/>
            <w:shd w:val="clear" w:color="auto" w:fill="C6D9F1"/>
            <w:vAlign w:val="center"/>
          </w:tcPr>
          <w:p w:rsidR="00750347" w:rsidRPr="00722C30" w:rsidRDefault="00750347" w:rsidP="00722C30">
            <w:pPr>
              <w:spacing w:after="0"/>
              <w:ind w:left="34"/>
              <w:jc w:val="center"/>
              <w:rPr>
                <w:rFonts w:cs="Arial"/>
                <w:bCs/>
                <w:sz w:val="16"/>
                <w:szCs w:val="16"/>
              </w:rPr>
            </w:pPr>
            <w:r w:rsidRPr="00722C30">
              <w:rPr>
                <w:rFonts w:cs="Arial"/>
                <w:bCs/>
                <w:sz w:val="16"/>
                <w:szCs w:val="16"/>
              </w:rPr>
              <w:t>Controlled Load 2</w:t>
            </w: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Fixed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c/day</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10.04</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10.24</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10.50</w:t>
            </w:r>
          </w:p>
        </w:tc>
      </w:tr>
      <w:tr w:rsidR="002E3CA8" w:rsidRPr="002E3CA8" w:rsidTr="00722C30">
        <w:trPr>
          <w:trHeight w:hRule="exact" w:val="415"/>
        </w:trPr>
        <w:tc>
          <w:tcPr>
            <w:tcW w:w="846" w:type="dxa"/>
            <w:vMerge/>
            <w:shd w:val="clear" w:color="auto" w:fill="97C5EA"/>
          </w:tcPr>
          <w:p w:rsidR="00750347" w:rsidRPr="00722C30" w:rsidRDefault="00750347" w:rsidP="00722C30">
            <w:pPr>
              <w:spacing w:after="0"/>
              <w:ind w:left="34"/>
              <w:rPr>
                <w:rFonts w:cs="Arial"/>
                <w:bCs/>
                <w:sz w:val="16"/>
                <w:szCs w:val="16"/>
              </w:rPr>
            </w:pPr>
          </w:p>
        </w:tc>
        <w:tc>
          <w:tcPr>
            <w:tcW w:w="1088" w:type="dxa"/>
            <w:vMerge/>
            <w:shd w:val="clear" w:color="auto" w:fill="C6D9F1"/>
          </w:tcPr>
          <w:p w:rsidR="00750347" w:rsidRPr="00722C30" w:rsidRDefault="00750347" w:rsidP="00722C30">
            <w:pPr>
              <w:spacing w:after="0"/>
              <w:ind w:left="34"/>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Anytime Energy Charge</w:t>
            </w:r>
          </w:p>
        </w:tc>
        <w:tc>
          <w:tcPr>
            <w:tcW w:w="1042" w:type="dxa"/>
            <w:shd w:val="clear" w:color="auto" w:fill="DEEAF6"/>
            <w:vAlign w:val="center"/>
          </w:tcPr>
          <w:p w:rsidR="00750347" w:rsidRPr="00722C30" w:rsidRDefault="00750347" w:rsidP="00722C30">
            <w:pPr>
              <w:spacing w:after="0"/>
              <w:ind w:left="33"/>
              <w:jc w:val="center"/>
              <w:rPr>
                <w:rFonts w:cs="Arial"/>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4.69</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4.80</w:t>
            </w:r>
          </w:p>
        </w:tc>
        <w:tc>
          <w:tcPr>
            <w:tcW w:w="1134" w:type="dxa"/>
            <w:shd w:val="clear" w:color="auto" w:fill="DEEAF6"/>
            <w:vAlign w:val="center"/>
          </w:tcPr>
          <w:p w:rsidR="00750347" w:rsidRPr="00722C30" w:rsidRDefault="00750347" w:rsidP="00722C30">
            <w:pPr>
              <w:spacing w:after="0"/>
              <w:jc w:val="center"/>
              <w:rPr>
                <w:rFonts w:cs="Arial"/>
                <w:sz w:val="16"/>
                <w:szCs w:val="16"/>
                <w:highlight w:val="yellow"/>
              </w:rPr>
            </w:pPr>
            <w:r w:rsidRPr="00722C30">
              <w:rPr>
                <w:rFonts w:cs="Arial"/>
                <w:sz w:val="16"/>
                <w:szCs w:val="16"/>
              </w:rPr>
              <w:t>4.92</w:t>
            </w:r>
          </w:p>
        </w:tc>
      </w:tr>
      <w:tr w:rsidR="002E3CA8" w:rsidRPr="002E3CA8" w:rsidTr="00722C30">
        <w:trPr>
          <w:trHeight w:hRule="exact" w:val="415"/>
        </w:trPr>
        <w:tc>
          <w:tcPr>
            <w:tcW w:w="846" w:type="dxa"/>
            <w:vMerge w:val="restart"/>
            <w:shd w:val="clear" w:color="auto" w:fill="97C5EA"/>
            <w:vAlign w:val="center"/>
          </w:tcPr>
          <w:p w:rsidR="00750347" w:rsidRPr="00722C30" w:rsidRDefault="00750347" w:rsidP="00722C30">
            <w:pPr>
              <w:spacing w:after="0"/>
              <w:ind w:left="34"/>
              <w:rPr>
                <w:rFonts w:cs="Arial"/>
                <w:bCs/>
                <w:sz w:val="16"/>
                <w:szCs w:val="16"/>
              </w:rPr>
            </w:pPr>
            <w:r w:rsidRPr="00722C30">
              <w:rPr>
                <w:rFonts w:cs="Arial"/>
                <w:bCs/>
                <w:sz w:val="16"/>
                <w:szCs w:val="16"/>
              </w:rPr>
              <w:t>EA332</w:t>
            </w:r>
          </w:p>
        </w:tc>
        <w:tc>
          <w:tcPr>
            <w:tcW w:w="1088" w:type="dxa"/>
            <w:vMerge w:val="restart"/>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Residential Transitional TOU tariff</w:t>
            </w: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Fixed Charge</w:t>
            </w:r>
          </w:p>
        </w:tc>
        <w:tc>
          <w:tcPr>
            <w:tcW w:w="1042" w:type="dxa"/>
            <w:shd w:val="clear" w:color="auto" w:fill="DEEAF6"/>
            <w:vAlign w:val="center"/>
          </w:tcPr>
          <w:p w:rsidR="00750347" w:rsidRPr="00722C30" w:rsidRDefault="00750347" w:rsidP="00722C30">
            <w:pPr>
              <w:spacing w:after="0"/>
              <w:ind w:left="33"/>
              <w:jc w:val="center"/>
              <w:rPr>
                <w:rFonts w:cs="Arial"/>
                <w:bCs/>
                <w:sz w:val="16"/>
                <w:szCs w:val="16"/>
              </w:rPr>
            </w:pPr>
            <w:r w:rsidRPr="00722C30">
              <w:rPr>
                <w:rFonts w:cs="Arial"/>
                <w:bCs/>
                <w:sz w:val="16"/>
                <w:szCs w:val="16"/>
              </w:rPr>
              <w:t>c/day</w:t>
            </w:r>
          </w:p>
        </w:tc>
        <w:tc>
          <w:tcPr>
            <w:tcW w:w="108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34.76</w:t>
            </w:r>
          </w:p>
        </w:tc>
      </w:tr>
      <w:tr w:rsidR="002E3CA8" w:rsidRPr="002E3CA8" w:rsidTr="00722C30">
        <w:trPr>
          <w:trHeight w:hRule="exact" w:val="415"/>
        </w:trPr>
        <w:tc>
          <w:tcPr>
            <w:tcW w:w="846" w:type="dxa"/>
            <w:vMerge/>
            <w:shd w:val="clear" w:color="auto" w:fill="97C5EA"/>
          </w:tcPr>
          <w:p w:rsidR="00750347" w:rsidRPr="00722C30" w:rsidRDefault="00750347" w:rsidP="00722C30">
            <w:pPr>
              <w:spacing w:after="0"/>
              <w:ind w:left="34"/>
              <w:rPr>
                <w:rFonts w:cs="Arial"/>
                <w:bCs/>
                <w:sz w:val="16"/>
                <w:szCs w:val="16"/>
              </w:rPr>
            </w:pPr>
          </w:p>
        </w:tc>
        <w:tc>
          <w:tcPr>
            <w:tcW w:w="1088" w:type="dxa"/>
            <w:vMerge/>
            <w:shd w:val="clear" w:color="auto" w:fill="C6D9F1"/>
          </w:tcPr>
          <w:p w:rsidR="00750347" w:rsidRPr="00722C30" w:rsidRDefault="00750347" w:rsidP="00722C30">
            <w:pPr>
              <w:spacing w:after="0"/>
              <w:ind w:left="34"/>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Peak Energy Charge</w:t>
            </w:r>
          </w:p>
        </w:tc>
        <w:tc>
          <w:tcPr>
            <w:tcW w:w="1042" w:type="dxa"/>
            <w:shd w:val="clear" w:color="auto" w:fill="DEEAF6"/>
            <w:vAlign w:val="center"/>
          </w:tcPr>
          <w:p w:rsidR="00750347" w:rsidRPr="00722C30" w:rsidRDefault="00750347" w:rsidP="00722C30">
            <w:pPr>
              <w:spacing w:after="0"/>
              <w:ind w:left="33"/>
              <w:jc w:val="center"/>
              <w:rPr>
                <w:rFonts w:cs="Arial"/>
                <w:bCs/>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11.20</w:t>
            </w:r>
          </w:p>
        </w:tc>
      </w:tr>
      <w:tr w:rsidR="002E3CA8" w:rsidRPr="002E3CA8" w:rsidTr="00722C30">
        <w:trPr>
          <w:trHeight w:hRule="exact" w:val="415"/>
        </w:trPr>
        <w:tc>
          <w:tcPr>
            <w:tcW w:w="846" w:type="dxa"/>
            <w:vMerge/>
            <w:shd w:val="clear" w:color="auto" w:fill="97C5EA"/>
          </w:tcPr>
          <w:p w:rsidR="00750347" w:rsidRPr="00722C30" w:rsidRDefault="00750347" w:rsidP="00722C30">
            <w:pPr>
              <w:spacing w:after="0"/>
              <w:ind w:left="34"/>
              <w:rPr>
                <w:rFonts w:cs="Arial"/>
                <w:bCs/>
                <w:sz w:val="16"/>
                <w:szCs w:val="16"/>
              </w:rPr>
            </w:pPr>
          </w:p>
        </w:tc>
        <w:tc>
          <w:tcPr>
            <w:tcW w:w="1088" w:type="dxa"/>
            <w:vMerge/>
            <w:shd w:val="clear" w:color="auto" w:fill="C6D9F1"/>
          </w:tcPr>
          <w:p w:rsidR="00750347" w:rsidRPr="00722C30" w:rsidRDefault="00750347" w:rsidP="00722C30">
            <w:pPr>
              <w:spacing w:after="0"/>
              <w:ind w:left="34"/>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Shoulder Energy Charge</w:t>
            </w:r>
          </w:p>
        </w:tc>
        <w:tc>
          <w:tcPr>
            <w:tcW w:w="1042" w:type="dxa"/>
            <w:shd w:val="clear" w:color="auto" w:fill="DEEAF6"/>
            <w:vAlign w:val="center"/>
          </w:tcPr>
          <w:p w:rsidR="00750347" w:rsidRPr="00722C30" w:rsidRDefault="00750347" w:rsidP="00722C30">
            <w:pPr>
              <w:spacing w:after="0"/>
              <w:ind w:left="33"/>
              <w:jc w:val="center"/>
              <w:rPr>
                <w:rFonts w:cs="Arial"/>
                <w:bCs/>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11.20</w:t>
            </w:r>
          </w:p>
        </w:tc>
      </w:tr>
      <w:tr w:rsidR="002E3CA8" w:rsidRPr="002E3CA8" w:rsidTr="00722C30">
        <w:trPr>
          <w:trHeight w:hRule="exact" w:val="415"/>
        </w:trPr>
        <w:tc>
          <w:tcPr>
            <w:tcW w:w="846" w:type="dxa"/>
            <w:vMerge/>
            <w:shd w:val="clear" w:color="auto" w:fill="97C5EA"/>
          </w:tcPr>
          <w:p w:rsidR="00750347" w:rsidRPr="00722C30" w:rsidRDefault="00750347" w:rsidP="00722C30">
            <w:pPr>
              <w:spacing w:after="0"/>
              <w:ind w:left="34"/>
              <w:rPr>
                <w:rFonts w:cs="Arial"/>
                <w:bCs/>
                <w:sz w:val="16"/>
                <w:szCs w:val="16"/>
              </w:rPr>
            </w:pPr>
          </w:p>
        </w:tc>
        <w:tc>
          <w:tcPr>
            <w:tcW w:w="1088" w:type="dxa"/>
            <w:vMerge/>
            <w:shd w:val="clear" w:color="auto" w:fill="C6D9F1"/>
          </w:tcPr>
          <w:p w:rsidR="00750347" w:rsidRPr="00722C30" w:rsidRDefault="00750347" w:rsidP="00722C30">
            <w:pPr>
              <w:spacing w:after="0"/>
              <w:ind w:left="34"/>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Off-peak Energy Charge</w:t>
            </w:r>
          </w:p>
        </w:tc>
        <w:tc>
          <w:tcPr>
            <w:tcW w:w="1042" w:type="dxa"/>
            <w:shd w:val="clear" w:color="auto" w:fill="DEEAF6"/>
            <w:vAlign w:val="center"/>
          </w:tcPr>
          <w:p w:rsidR="00750347" w:rsidRPr="00722C30" w:rsidRDefault="00750347" w:rsidP="00722C30">
            <w:pPr>
              <w:spacing w:after="0"/>
              <w:ind w:left="33"/>
              <w:jc w:val="center"/>
              <w:rPr>
                <w:rFonts w:cs="Arial"/>
                <w:bCs/>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11.20</w:t>
            </w:r>
          </w:p>
        </w:tc>
      </w:tr>
      <w:tr w:rsidR="002E3CA8" w:rsidRPr="002E3CA8" w:rsidTr="00722C30">
        <w:trPr>
          <w:trHeight w:hRule="exact" w:val="415"/>
        </w:trPr>
        <w:tc>
          <w:tcPr>
            <w:tcW w:w="846" w:type="dxa"/>
            <w:vMerge w:val="restart"/>
            <w:shd w:val="clear" w:color="auto" w:fill="97C5EA"/>
            <w:vAlign w:val="center"/>
          </w:tcPr>
          <w:p w:rsidR="00750347" w:rsidRPr="00722C30" w:rsidRDefault="00750347" w:rsidP="00722C30">
            <w:pPr>
              <w:spacing w:after="0"/>
              <w:ind w:left="34"/>
              <w:rPr>
                <w:rFonts w:cs="Arial"/>
                <w:bCs/>
                <w:sz w:val="16"/>
                <w:szCs w:val="16"/>
              </w:rPr>
            </w:pPr>
            <w:r w:rsidRPr="00722C30">
              <w:rPr>
                <w:rFonts w:cs="Arial"/>
                <w:bCs/>
                <w:sz w:val="16"/>
                <w:szCs w:val="16"/>
              </w:rPr>
              <w:t>EA333</w:t>
            </w:r>
          </w:p>
        </w:tc>
        <w:tc>
          <w:tcPr>
            <w:tcW w:w="1088" w:type="dxa"/>
            <w:vMerge w:val="restart"/>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Business Transitional TOU tariff</w:t>
            </w: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Fixed Charge</w:t>
            </w:r>
          </w:p>
        </w:tc>
        <w:tc>
          <w:tcPr>
            <w:tcW w:w="1042" w:type="dxa"/>
            <w:shd w:val="clear" w:color="auto" w:fill="DEEAF6"/>
            <w:vAlign w:val="center"/>
          </w:tcPr>
          <w:p w:rsidR="00750347" w:rsidRPr="00722C30" w:rsidRDefault="00750347" w:rsidP="00722C30">
            <w:pPr>
              <w:spacing w:after="0"/>
              <w:ind w:left="33"/>
              <w:jc w:val="center"/>
              <w:rPr>
                <w:rFonts w:cs="Arial"/>
                <w:bCs/>
                <w:sz w:val="16"/>
                <w:szCs w:val="16"/>
              </w:rPr>
            </w:pPr>
            <w:r w:rsidRPr="00722C30">
              <w:rPr>
                <w:rFonts w:cs="Arial"/>
                <w:bCs/>
                <w:sz w:val="16"/>
                <w:szCs w:val="16"/>
              </w:rPr>
              <w:t>c/day</w:t>
            </w:r>
          </w:p>
        </w:tc>
        <w:tc>
          <w:tcPr>
            <w:tcW w:w="108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125.23</w:t>
            </w:r>
          </w:p>
        </w:tc>
      </w:tr>
      <w:tr w:rsidR="002E3CA8" w:rsidRPr="002E3CA8" w:rsidTr="00722C30">
        <w:trPr>
          <w:trHeight w:hRule="exact" w:val="415"/>
        </w:trPr>
        <w:tc>
          <w:tcPr>
            <w:tcW w:w="846" w:type="dxa"/>
            <w:vMerge/>
            <w:shd w:val="clear" w:color="auto" w:fill="97C5EA"/>
          </w:tcPr>
          <w:p w:rsidR="00750347" w:rsidRPr="00722C30" w:rsidRDefault="00750347" w:rsidP="00722C30">
            <w:pPr>
              <w:spacing w:after="0"/>
              <w:ind w:left="34"/>
              <w:rPr>
                <w:rFonts w:cs="Arial"/>
                <w:bCs/>
                <w:sz w:val="16"/>
                <w:szCs w:val="16"/>
              </w:rPr>
            </w:pPr>
          </w:p>
        </w:tc>
        <w:tc>
          <w:tcPr>
            <w:tcW w:w="1088" w:type="dxa"/>
            <w:vMerge/>
            <w:shd w:val="clear" w:color="auto" w:fill="C6D9F1"/>
          </w:tcPr>
          <w:p w:rsidR="00750347" w:rsidRPr="00722C30" w:rsidRDefault="00750347" w:rsidP="00722C30">
            <w:pPr>
              <w:spacing w:after="0"/>
              <w:ind w:left="34"/>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Peak Energy Charge</w:t>
            </w:r>
          </w:p>
        </w:tc>
        <w:tc>
          <w:tcPr>
            <w:tcW w:w="1042" w:type="dxa"/>
            <w:shd w:val="clear" w:color="auto" w:fill="DEEAF6"/>
            <w:vAlign w:val="center"/>
          </w:tcPr>
          <w:p w:rsidR="00750347" w:rsidRPr="00722C30" w:rsidRDefault="00750347" w:rsidP="00722C30">
            <w:pPr>
              <w:spacing w:after="0"/>
              <w:ind w:left="33"/>
              <w:jc w:val="center"/>
              <w:rPr>
                <w:rFonts w:cs="Arial"/>
                <w:bCs/>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11.04</w:t>
            </w:r>
          </w:p>
        </w:tc>
      </w:tr>
      <w:tr w:rsidR="002E3CA8" w:rsidRPr="002E3CA8" w:rsidTr="00722C30">
        <w:trPr>
          <w:trHeight w:hRule="exact" w:val="415"/>
        </w:trPr>
        <w:tc>
          <w:tcPr>
            <w:tcW w:w="846" w:type="dxa"/>
            <w:vMerge/>
            <w:shd w:val="clear" w:color="auto" w:fill="97C5EA"/>
          </w:tcPr>
          <w:p w:rsidR="00750347" w:rsidRPr="00722C30" w:rsidRDefault="00750347" w:rsidP="00722C30">
            <w:pPr>
              <w:spacing w:after="0"/>
              <w:ind w:left="34"/>
              <w:rPr>
                <w:rFonts w:cs="Arial"/>
                <w:bCs/>
                <w:sz w:val="16"/>
                <w:szCs w:val="16"/>
              </w:rPr>
            </w:pPr>
          </w:p>
        </w:tc>
        <w:tc>
          <w:tcPr>
            <w:tcW w:w="1088" w:type="dxa"/>
            <w:vMerge/>
            <w:shd w:val="clear" w:color="auto" w:fill="C6D9F1"/>
          </w:tcPr>
          <w:p w:rsidR="00750347" w:rsidRPr="00722C30" w:rsidRDefault="00750347" w:rsidP="00722C30">
            <w:pPr>
              <w:spacing w:after="0"/>
              <w:ind w:left="34"/>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Shoulder Energy Charge</w:t>
            </w:r>
          </w:p>
        </w:tc>
        <w:tc>
          <w:tcPr>
            <w:tcW w:w="1042" w:type="dxa"/>
            <w:shd w:val="clear" w:color="auto" w:fill="DEEAF6"/>
            <w:vAlign w:val="center"/>
          </w:tcPr>
          <w:p w:rsidR="00750347" w:rsidRPr="00722C30" w:rsidRDefault="00750347" w:rsidP="00722C30">
            <w:pPr>
              <w:spacing w:after="0"/>
              <w:ind w:left="33"/>
              <w:jc w:val="center"/>
              <w:rPr>
                <w:rFonts w:cs="Arial"/>
                <w:bCs/>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11.04</w:t>
            </w:r>
          </w:p>
        </w:tc>
      </w:tr>
      <w:tr w:rsidR="002E3CA8" w:rsidRPr="002E3CA8" w:rsidTr="00722C30">
        <w:trPr>
          <w:trHeight w:hRule="exact" w:val="415"/>
        </w:trPr>
        <w:tc>
          <w:tcPr>
            <w:tcW w:w="846" w:type="dxa"/>
            <w:vMerge/>
            <w:shd w:val="clear" w:color="auto" w:fill="97C5EA"/>
          </w:tcPr>
          <w:p w:rsidR="00750347" w:rsidRPr="00722C30" w:rsidRDefault="00750347" w:rsidP="00722C30">
            <w:pPr>
              <w:spacing w:after="0"/>
              <w:ind w:left="34"/>
              <w:rPr>
                <w:rFonts w:cs="Arial"/>
                <w:bCs/>
                <w:sz w:val="16"/>
                <w:szCs w:val="16"/>
              </w:rPr>
            </w:pPr>
          </w:p>
        </w:tc>
        <w:tc>
          <w:tcPr>
            <w:tcW w:w="1088" w:type="dxa"/>
            <w:vMerge/>
            <w:shd w:val="clear" w:color="auto" w:fill="C6D9F1"/>
          </w:tcPr>
          <w:p w:rsidR="00750347" w:rsidRPr="00722C30" w:rsidRDefault="00750347" w:rsidP="00722C30">
            <w:pPr>
              <w:spacing w:after="0"/>
              <w:ind w:left="34"/>
              <w:rPr>
                <w:rFonts w:cs="Arial"/>
                <w:bCs/>
                <w:sz w:val="16"/>
                <w:szCs w:val="16"/>
              </w:rPr>
            </w:pPr>
          </w:p>
        </w:tc>
        <w:tc>
          <w:tcPr>
            <w:tcW w:w="2977" w:type="dxa"/>
            <w:shd w:val="clear" w:color="auto" w:fill="C6D9F1"/>
            <w:vAlign w:val="center"/>
          </w:tcPr>
          <w:p w:rsidR="00750347" w:rsidRPr="00722C30" w:rsidRDefault="00750347" w:rsidP="00722C30">
            <w:pPr>
              <w:spacing w:after="0"/>
              <w:ind w:left="34"/>
              <w:rPr>
                <w:rFonts w:cs="Arial"/>
                <w:bCs/>
                <w:sz w:val="16"/>
                <w:szCs w:val="16"/>
              </w:rPr>
            </w:pPr>
            <w:r w:rsidRPr="00722C30">
              <w:rPr>
                <w:rFonts w:cs="Arial"/>
                <w:bCs/>
                <w:sz w:val="16"/>
                <w:szCs w:val="16"/>
              </w:rPr>
              <w:t>Off-peak Energy Charge</w:t>
            </w:r>
          </w:p>
        </w:tc>
        <w:tc>
          <w:tcPr>
            <w:tcW w:w="1042" w:type="dxa"/>
            <w:shd w:val="clear" w:color="auto" w:fill="DEEAF6"/>
            <w:vAlign w:val="center"/>
          </w:tcPr>
          <w:p w:rsidR="00750347" w:rsidRPr="00722C30" w:rsidRDefault="00750347" w:rsidP="00722C30">
            <w:pPr>
              <w:spacing w:after="0"/>
              <w:ind w:left="33"/>
              <w:jc w:val="center"/>
              <w:rPr>
                <w:rFonts w:cs="Arial"/>
                <w:bCs/>
                <w:sz w:val="16"/>
                <w:szCs w:val="16"/>
              </w:rPr>
            </w:pPr>
            <w:r w:rsidRPr="00722C30">
              <w:rPr>
                <w:rFonts w:cs="Arial"/>
                <w:bCs/>
                <w:sz w:val="16"/>
                <w:szCs w:val="16"/>
              </w:rPr>
              <w:t>c/kWh</w:t>
            </w:r>
          </w:p>
        </w:tc>
        <w:tc>
          <w:tcPr>
            <w:tcW w:w="108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w:t>
            </w:r>
          </w:p>
        </w:tc>
        <w:tc>
          <w:tcPr>
            <w:tcW w:w="1134" w:type="dxa"/>
            <w:shd w:val="clear" w:color="auto" w:fill="DEEAF6"/>
            <w:vAlign w:val="center"/>
          </w:tcPr>
          <w:p w:rsidR="00750347" w:rsidRPr="00722C30" w:rsidRDefault="00750347" w:rsidP="00722C30">
            <w:pPr>
              <w:spacing w:after="0"/>
              <w:jc w:val="center"/>
              <w:rPr>
                <w:rFonts w:cs="Arial"/>
                <w:sz w:val="16"/>
                <w:szCs w:val="16"/>
              </w:rPr>
            </w:pPr>
            <w:r w:rsidRPr="00722C30">
              <w:rPr>
                <w:rFonts w:cs="Arial"/>
                <w:sz w:val="16"/>
                <w:szCs w:val="16"/>
              </w:rPr>
              <w:t>11.04</w:t>
            </w:r>
          </w:p>
        </w:tc>
      </w:tr>
    </w:tbl>
    <w:p w:rsidR="001F71C6" w:rsidRDefault="001F71C6" w:rsidP="00722C30">
      <w:pPr>
        <w:spacing w:after="0"/>
        <w:ind w:left="851"/>
        <w:rPr>
          <w:rStyle w:val="AERbody"/>
        </w:rPr>
      </w:pPr>
    </w:p>
    <w:p w:rsidR="002E3CA8" w:rsidRPr="00722C30" w:rsidRDefault="002E3CA8" w:rsidP="00722C30">
      <w:pPr>
        <w:spacing w:after="0"/>
        <w:ind w:left="851"/>
        <w:rPr>
          <w:rStyle w:val="AERbody"/>
        </w:rPr>
      </w:pPr>
    </w:p>
    <w:p w:rsidR="000F24D7" w:rsidRDefault="000F24D7" w:rsidP="00722C30">
      <w:pPr>
        <w:pStyle w:val="Heading2"/>
      </w:pPr>
      <w:bookmarkStart w:id="2034" w:name="_Toc475527443"/>
      <w:r>
        <w:lastRenderedPageBreak/>
        <w:t>Indicative prices for low voltage TOU Capacity tariffs</w:t>
      </w:r>
      <w:bookmarkEnd w:id="2034"/>
      <w:r>
        <w:t xml:space="preserve"> </w:t>
      </w:r>
    </w:p>
    <w:p w:rsidR="00347193" w:rsidRPr="00722C30" w:rsidRDefault="009C556D" w:rsidP="00BD7A0B">
      <w:pPr>
        <w:pStyle w:val="BodyText"/>
        <w:rPr>
          <w:rStyle w:val="AERbody"/>
        </w:rPr>
      </w:pPr>
      <w:r>
        <w:rPr>
          <w:rStyle w:val="AERbody"/>
        </w:rPr>
        <w:fldChar w:fldCharType="begin"/>
      </w:r>
      <w:r>
        <w:rPr>
          <w:rStyle w:val="AERbody"/>
        </w:rPr>
        <w:instrText xml:space="preserve"> REF _Ref462996553 \h </w:instrText>
      </w:r>
      <w:r>
        <w:rPr>
          <w:rStyle w:val="AERbody"/>
        </w:rPr>
      </w:r>
      <w:r>
        <w:rPr>
          <w:rStyle w:val="AERbody"/>
        </w:rPr>
        <w:fldChar w:fldCharType="separate"/>
      </w:r>
      <w:r w:rsidR="00BE0834" w:rsidRPr="00073643">
        <w:t xml:space="preserve">Table </w:t>
      </w:r>
      <w:r w:rsidR="00BE0834">
        <w:t>16</w:t>
      </w:r>
      <w:r>
        <w:rPr>
          <w:rStyle w:val="AERbody"/>
        </w:rPr>
        <w:fldChar w:fldCharType="end"/>
      </w:r>
      <w:r>
        <w:rPr>
          <w:rStyle w:val="AERbody"/>
        </w:rPr>
        <w:t xml:space="preserve"> </w:t>
      </w:r>
      <w:r w:rsidR="00347193" w:rsidRPr="00722C30">
        <w:rPr>
          <w:rStyle w:val="AERbody"/>
        </w:rPr>
        <w:t xml:space="preserve">below </w:t>
      </w:r>
      <w:r w:rsidR="008E293E">
        <w:rPr>
          <w:rStyle w:val="AERbody"/>
        </w:rPr>
        <w:t>presents</w:t>
      </w:r>
      <w:r w:rsidR="008E293E" w:rsidRPr="00722C30">
        <w:rPr>
          <w:rStyle w:val="AERbody"/>
        </w:rPr>
        <w:t xml:space="preserve"> </w:t>
      </w:r>
      <w:r w:rsidR="00347193" w:rsidRPr="00722C30">
        <w:rPr>
          <w:rStyle w:val="AERbody"/>
        </w:rPr>
        <w:t xml:space="preserve">the current NUOS prices in FY 2016/17 and indicative NUOS prices for customers on </w:t>
      </w:r>
      <w:r w:rsidR="002375DC" w:rsidRPr="00722C30">
        <w:rPr>
          <w:rStyle w:val="AERbody"/>
        </w:rPr>
        <w:t>low voltage</w:t>
      </w:r>
      <w:r w:rsidR="00347193" w:rsidRPr="00722C30">
        <w:rPr>
          <w:rStyle w:val="AERbody"/>
        </w:rPr>
        <w:t xml:space="preserve"> TOU capacity tariffs over the remainder of the current regulatory control period.</w:t>
      </w:r>
    </w:p>
    <w:p w:rsidR="001D64DD" w:rsidRDefault="00347193" w:rsidP="00EF3B7E">
      <w:pPr>
        <w:pStyle w:val="Caption"/>
      </w:pPr>
      <w:bookmarkStart w:id="2035" w:name="_Ref462996553"/>
      <w:r w:rsidRPr="00073643">
        <w:t xml:space="preserve">Table </w:t>
      </w:r>
      <w:fldSimple w:instr=" SEQ Table \* ARABIC ">
        <w:r w:rsidR="00BE0834">
          <w:rPr>
            <w:noProof/>
          </w:rPr>
          <w:t>16</w:t>
        </w:r>
      </w:fldSimple>
      <w:bookmarkEnd w:id="2035"/>
      <w:r w:rsidRPr="00073643">
        <w:t xml:space="preserve"> –</w:t>
      </w:r>
      <w:r>
        <w:t xml:space="preserve"> </w:t>
      </w:r>
      <w:proofErr w:type="spellStart"/>
      <w:r w:rsidR="00E744D0" w:rsidRPr="00F67EA5">
        <w:t>Ausgrid’s</w:t>
      </w:r>
      <w:proofErr w:type="spellEnd"/>
      <w:r w:rsidR="00E744D0" w:rsidRPr="00F67EA5">
        <w:t xml:space="preserve"> Indicative NUOS (Excl. GST) Prices – LV TOU Capacity Tariffs Customer</w:t>
      </w:r>
    </w:p>
    <w:tbl>
      <w:tblPr>
        <w:tblW w:w="9356" w:type="dxa"/>
        <w:tblInd w:w="108" w:type="dxa"/>
        <w:tblBorders>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846"/>
        <w:gridCol w:w="1281"/>
        <w:gridCol w:w="2835"/>
        <w:gridCol w:w="992"/>
        <w:gridCol w:w="1134"/>
        <w:gridCol w:w="1134"/>
        <w:gridCol w:w="1134"/>
      </w:tblGrid>
      <w:tr w:rsidR="002E3CA8" w:rsidRPr="00F821EE" w:rsidTr="00722C30">
        <w:trPr>
          <w:trHeight w:hRule="exact" w:val="650"/>
        </w:trPr>
        <w:tc>
          <w:tcPr>
            <w:tcW w:w="846" w:type="dxa"/>
            <w:shd w:val="clear" w:color="auto" w:fill="0065A6"/>
          </w:tcPr>
          <w:p w:rsidR="001D64DD" w:rsidRPr="00722C30" w:rsidRDefault="001D64DD" w:rsidP="0054439B">
            <w:pPr>
              <w:spacing w:before="120" w:after="120"/>
              <w:ind w:left="34"/>
              <w:jc w:val="center"/>
              <w:rPr>
                <w:rFonts w:cs="Arial"/>
                <w:b/>
                <w:bCs/>
                <w:color w:val="FFFFFF"/>
                <w:sz w:val="16"/>
                <w:szCs w:val="16"/>
              </w:rPr>
            </w:pPr>
            <w:r w:rsidRPr="00722C30">
              <w:rPr>
                <w:rFonts w:cs="Arial"/>
                <w:b/>
                <w:bCs/>
                <w:color w:val="FFFFFF"/>
                <w:sz w:val="16"/>
                <w:szCs w:val="16"/>
              </w:rPr>
              <w:t>Tariff Code</w:t>
            </w:r>
          </w:p>
        </w:tc>
        <w:tc>
          <w:tcPr>
            <w:tcW w:w="1281" w:type="dxa"/>
            <w:shd w:val="clear" w:color="auto" w:fill="0065A6"/>
          </w:tcPr>
          <w:p w:rsidR="001D64DD" w:rsidRPr="00722C30" w:rsidRDefault="001D64DD" w:rsidP="0054439B">
            <w:pPr>
              <w:spacing w:before="120" w:after="120"/>
              <w:ind w:left="34"/>
              <w:jc w:val="center"/>
              <w:rPr>
                <w:rFonts w:cs="Arial"/>
                <w:b/>
                <w:bCs/>
                <w:color w:val="FFFFFF"/>
                <w:sz w:val="16"/>
                <w:szCs w:val="16"/>
              </w:rPr>
            </w:pPr>
            <w:r w:rsidRPr="00722C30">
              <w:rPr>
                <w:rFonts w:cs="Arial"/>
                <w:b/>
                <w:bCs/>
                <w:color w:val="FFFFFF"/>
                <w:sz w:val="16"/>
                <w:szCs w:val="16"/>
              </w:rPr>
              <w:t>Tariff Name</w:t>
            </w:r>
          </w:p>
        </w:tc>
        <w:tc>
          <w:tcPr>
            <w:tcW w:w="2835" w:type="dxa"/>
            <w:shd w:val="clear" w:color="auto" w:fill="0065A6"/>
          </w:tcPr>
          <w:p w:rsidR="001D64DD" w:rsidRPr="00722C30" w:rsidRDefault="001D64DD" w:rsidP="0054439B">
            <w:pPr>
              <w:spacing w:before="120" w:after="120"/>
              <w:ind w:left="34"/>
              <w:jc w:val="center"/>
              <w:rPr>
                <w:rFonts w:cs="Arial"/>
                <w:b/>
                <w:bCs/>
                <w:color w:val="FFFFFF"/>
                <w:sz w:val="16"/>
                <w:szCs w:val="16"/>
              </w:rPr>
            </w:pPr>
            <w:r w:rsidRPr="00722C30">
              <w:rPr>
                <w:rFonts w:cs="Arial"/>
                <w:b/>
                <w:bCs/>
                <w:color w:val="FFFFFF"/>
                <w:sz w:val="16"/>
                <w:szCs w:val="16"/>
              </w:rPr>
              <w:t>Charging Parameter</w:t>
            </w:r>
          </w:p>
        </w:tc>
        <w:tc>
          <w:tcPr>
            <w:tcW w:w="992" w:type="dxa"/>
            <w:shd w:val="clear" w:color="auto" w:fill="0065A6"/>
          </w:tcPr>
          <w:p w:rsidR="001D64DD" w:rsidRPr="00722C30" w:rsidRDefault="001D64DD" w:rsidP="0054439B">
            <w:pPr>
              <w:spacing w:before="120" w:after="120"/>
              <w:ind w:left="33"/>
              <w:jc w:val="center"/>
              <w:rPr>
                <w:rFonts w:cs="Arial"/>
                <w:b/>
                <w:bCs/>
                <w:color w:val="FFFFFF"/>
                <w:sz w:val="16"/>
                <w:szCs w:val="16"/>
              </w:rPr>
            </w:pPr>
            <w:r w:rsidRPr="00722C30">
              <w:rPr>
                <w:rFonts w:cs="Arial"/>
                <w:b/>
                <w:bCs/>
                <w:color w:val="FFFFFF"/>
                <w:sz w:val="16"/>
                <w:szCs w:val="16"/>
              </w:rPr>
              <w:t>Unit</w:t>
            </w:r>
          </w:p>
        </w:tc>
        <w:tc>
          <w:tcPr>
            <w:tcW w:w="1134" w:type="dxa"/>
            <w:shd w:val="clear" w:color="auto" w:fill="0065A6"/>
          </w:tcPr>
          <w:p w:rsidR="001D64DD" w:rsidRPr="00722C30" w:rsidRDefault="001D64DD" w:rsidP="0054439B">
            <w:pPr>
              <w:spacing w:before="120" w:after="120"/>
              <w:ind w:left="33"/>
              <w:jc w:val="center"/>
              <w:rPr>
                <w:rFonts w:cs="Arial"/>
                <w:b/>
                <w:bCs/>
                <w:color w:val="FFFFFF"/>
                <w:sz w:val="16"/>
                <w:szCs w:val="16"/>
              </w:rPr>
            </w:pPr>
            <w:r w:rsidRPr="00722C30">
              <w:rPr>
                <w:rFonts w:cs="Arial"/>
                <w:b/>
                <w:bCs/>
                <w:color w:val="FFFFFF"/>
                <w:sz w:val="16"/>
                <w:szCs w:val="16"/>
              </w:rPr>
              <w:t>Actual</w:t>
            </w:r>
            <w:r w:rsidR="00B50A16" w:rsidRPr="00722C30">
              <w:rPr>
                <w:rFonts w:cs="Arial"/>
                <w:b/>
                <w:bCs/>
                <w:color w:val="FFFFFF"/>
                <w:sz w:val="16"/>
                <w:szCs w:val="16"/>
              </w:rPr>
              <w:t xml:space="preserve"> </w:t>
            </w:r>
            <w:r w:rsidR="002E3CA8">
              <w:rPr>
                <w:rFonts w:cs="Arial"/>
                <w:b/>
                <w:bCs/>
                <w:color w:val="FFFFFF"/>
                <w:sz w:val="16"/>
                <w:szCs w:val="16"/>
              </w:rPr>
              <w:br/>
            </w:r>
            <w:r w:rsidRPr="00722C30">
              <w:rPr>
                <w:rFonts w:cs="Arial"/>
                <w:b/>
                <w:bCs/>
                <w:color w:val="FFFFFF"/>
                <w:sz w:val="16"/>
                <w:szCs w:val="16"/>
              </w:rPr>
              <w:t>FY 2016/17</w:t>
            </w:r>
          </w:p>
        </w:tc>
        <w:tc>
          <w:tcPr>
            <w:tcW w:w="1134" w:type="dxa"/>
            <w:shd w:val="clear" w:color="auto" w:fill="0065A6"/>
          </w:tcPr>
          <w:p w:rsidR="001D64DD" w:rsidRPr="00722C30" w:rsidRDefault="001D64DD" w:rsidP="0054439B">
            <w:pPr>
              <w:spacing w:before="120" w:after="120"/>
              <w:ind w:left="33"/>
              <w:jc w:val="center"/>
              <w:rPr>
                <w:rFonts w:cs="Arial"/>
                <w:b/>
                <w:bCs/>
                <w:color w:val="FFFFFF"/>
                <w:sz w:val="16"/>
                <w:szCs w:val="16"/>
              </w:rPr>
            </w:pPr>
            <w:r w:rsidRPr="00722C30">
              <w:rPr>
                <w:rFonts w:cs="Arial"/>
                <w:b/>
                <w:bCs/>
                <w:color w:val="FFFFFF"/>
                <w:sz w:val="16"/>
                <w:szCs w:val="16"/>
              </w:rPr>
              <w:t>Indicative</w:t>
            </w:r>
            <w:r w:rsidR="00B50A16" w:rsidRPr="00722C30">
              <w:rPr>
                <w:rFonts w:cs="Arial"/>
                <w:b/>
                <w:bCs/>
                <w:color w:val="FFFFFF"/>
                <w:sz w:val="16"/>
                <w:szCs w:val="16"/>
              </w:rPr>
              <w:t xml:space="preserve"> </w:t>
            </w:r>
            <w:r w:rsidR="002E3CA8">
              <w:rPr>
                <w:rFonts w:cs="Arial"/>
                <w:b/>
                <w:bCs/>
                <w:color w:val="FFFFFF"/>
                <w:sz w:val="16"/>
                <w:szCs w:val="16"/>
              </w:rPr>
              <w:br/>
            </w:r>
            <w:r w:rsidRPr="00722C30">
              <w:rPr>
                <w:rFonts w:cs="Arial"/>
                <w:b/>
                <w:bCs/>
                <w:color w:val="FFFFFF"/>
                <w:sz w:val="16"/>
                <w:szCs w:val="16"/>
              </w:rPr>
              <w:t>FY 2017/18</w:t>
            </w:r>
          </w:p>
        </w:tc>
        <w:tc>
          <w:tcPr>
            <w:tcW w:w="1134" w:type="dxa"/>
            <w:shd w:val="clear" w:color="auto" w:fill="0065A6"/>
          </w:tcPr>
          <w:p w:rsidR="001D64DD" w:rsidRPr="00722C30" w:rsidRDefault="001D64DD" w:rsidP="0054439B">
            <w:pPr>
              <w:spacing w:before="120" w:after="120"/>
              <w:ind w:left="33"/>
              <w:jc w:val="center"/>
              <w:rPr>
                <w:rFonts w:cs="Arial"/>
                <w:b/>
                <w:bCs/>
                <w:color w:val="FFFFFF"/>
                <w:sz w:val="16"/>
                <w:szCs w:val="16"/>
              </w:rPr>
            </w:pPr>
            <w:r w:rsidRPr="00722C30">
              <w:rPr>
                <w:rFonts w:cs="Arial"/>
                <w:b/>
                <w:bCs/>
                <w:color w:val="FFFFFF"/>
                <w:sz w:val="16"/>
                <w:szCs w:val="16"/>
              </w:rPr>
              <w:t>Indicative</w:t>
            </w:r>
            <w:r w:rsidR="00B50A16" w:rsidRPr="00722C30">
              <w:rPr>
                <w:rFonts w:cs="Arial"/>
                <w:b/>
                <w:bCs/>
                <w:color w:val="FFFFFF"/>
                <w:sz w:val="16"/>
                <w:szCs w:val="16"/>
              </w:rPr>
              <w:t xml:space="preserve"> </w:t>
            </w:r>
            <w:r w:rsidR="002E3CA8">
              <w:rPr>
                <w:rFonts w:cs="Arial"/>
                <w:b/>
                <w:bCs/>
                <w:color w:val="FFFFFF"/>
                <w:sz w:val="16"/>
                <w:szCs w:val="16"/>
              </w:rPr>
              <w:br/>
            </w:r>
            <w:r w:rsidRPr="00722C30">
              <w:rPr>
                <w:rFonts w:cs="Arial"/>
                <w:b/>
                <w:bCs/>
                <w:color w:val="FFFFFF"/>
                <w:sz w:val="16"/>
                <w:szCs w:val="16"/>
              </w:rPr>
              <w:t>FY 2018/19</w:t>
            </w:r>
          </w:p>
        </w:tc>
      </w:tr>
      <w:tr w:rsidR="002E3CA8" w:rsidRPr="00A52F8D" w:rsidTr="00722C30">
        <w:trPr>
          <w:trHeight w:hRule="exact" w:val="425"/>
        </w:trPr>
        <w:tc>
          <w:tcPr>
            <w:tcW w:w="846" w:type="dxa"/>
            <w:vMerge w:val="restart"/>
            <w:shd w:val="clear" w:color="auto" w:fill="97C5EA"/>
            <w:vAlign w:val="center"/>
          </w:tcPr>
          <w:p w:rsidR="00750347" w:rsidRPr="00722C30" w:rsidRDefault="00750347" w:rsidP="000D6076">
            <w:pPr>
              <w:spacing w:before="20" w:after="20"/>
              <w:ind w:left="34"/>
              <w:jc w:val="center"/>
              <w:rPr>
                <w:rFonts w:cs="Arial"/>
                <w:bCs/>
                <w:sz w:val="16"/>
                <w:szCs w:val="16"/>
              </w:rPr>
            </w:pPr>
            <w:r w:rsidRPr="00722C30">
              <w:rPr>
                <w:rFonts w:cs="Arial"/>
                <w:bCs/>
                <w:sz w:val="16"/>
                <w:szCs w:val="16"/>
              </w:rPr>
              <w:t>EA302</w:t>
            </w:r>
          </w:p>
        </w:tc>
        <w:tc>
          <w:tcPr>
            <w:tcW w:w="1281" w:type="dxa"/>
            <w:vMerge w:val="restart"/>
            <w:shd w:val="clear" w:color="auto" w:fill="97C5EA"/>
            <w:vAlign w:val="center"/>
          </w:tcPr>
          <w:p w:rsidR="001C0BC8" w:rsidRDefault="00750347" w:rsidP="000D6076">
            <w:pPr>
              <w:spacing w:before="20" w:after="20"/>
              <w:ind w:left="34"/>
              <w:jc w:val="center"/>
              <w:rPr>
                <w:rFonts w:cs="Arial"/>
                <w:bCs/>
                <w:sz w:val="16"/>
                <w:szCs w:val="16"/>
              </w:rPr>
            </w:pPr>
            <w:r w:rsidRPr="00722C30">
              <w:rPr>
                <w:rFonts w:cs="Arial"/>
                <w:bCs/>
                <w:sz w:val="16"/>
                <w:szCs w:val="16"/>
              </w:rPr>
              <w:t>LV TOU Capacity</w:t>
            </w:r>
          </w:p>
          <w:p w:rsidR="00750347" w:rsidRPr="00722C30" w:rsidRDefault="001C0BC8" w:rsidP="000D6076">
            <w:pPr>
              <w:spacing w:before="20" w:after="20"/>
              <w:ind w:left="34"/>
              <w:jc w:val="center"/>
              <w:rPr>
                <w:rFonts w:cs="Arial"/>
                <w:bCs/>
                <w:sz w:val="16"/>
                <w:szCs w:val="16"/>
              </w:rPr>
            </w:pPr>
            <w:r>
              <w:rPr>
                <w:rFonts w:cs="Arial"/>
                <w:bCs/>
                <w:sz w:val="16"/>
                <w:szCs w:val="16"/>
              </w:rPr>
              <w:t xml:space="preserve"> 40-160 MWh pa</w:t>
            </w: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Fixed Charge</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c/day</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580.35</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591.96</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606.75</w:t>
            </w:r>
          </w:p>
        </w:tc>
      </w:tr>
      <w:tr w:rsidR="002E3CA8" w:rsidRPr="00A52F8D" w:rsidTr="00722C30">
        <w:trPr>
          <w:trHeight w:hRule="exact" w:val="425"/>
        </w:trPr>
        <w:tc>
          <w:tcPr>
            <w:tcW w:w="846"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Peak Energy Charge</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c/kWh</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5.42</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5.47</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6.32</w:t>
            </w:r>
          </w:p>
        </w:tc>
      </w:tr>
      <w:tr w:rsidR="002E3CA8" w:rsidRPr="00A52F8D" w:rsidTr="00722C30">
        <w:trPr>
          <w:trHeight w:hRule="exact" w:val="425"/>
        </w:trPr>
        <w:tc>
          <w:tcPr>
            <w:tcW w:w="846"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Shoulder Energy Charge</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c/kWh</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2.75</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2.77</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3.20</w:t>
            </w:r>
          </w:p>
        </w:tc>
      </w:tr>
      <w:tr w:rsidR="002E3CA8" w:rsidRPr="00A52F8D" w:rsidTr="00722C30">
        <w:trPr>
          <w:trHeight w:hRule="exact" w:val="425"/>
        </w:trPr>
        <w:tc>
          <w:tcPr>
            <w:tcW w:w="846"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 xml:space="preserve">Off-peak Energy Charge </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c/kWh</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1.66</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1.67</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1.92</w:t>
            </w:r>
          </w:p>
        </w:tc>
      </w:tr>
      <w:tr w:rsidR="002E3CA8" w:rsidRPr="00A52F8D" w:rsidTr="00722C30">
        <w:trPr>
          <w:trHeight w:hRule="exact" w:val="425"/>
        </w:trPr>
        <w:tc>
          <w:tcPr>
            <w:tcW w:w="846" w:type="dxa"/>
            <w:vMerge/>
            <w:shd w:val="clear" w:color="auto" w:fill="97C5EA"/>
            <w:vAlign w:val="center"/>
          </w:tcPr>
          <w:p w:rsidR="00750347" w:rsidRPr="00722C30" w:rsidRDefault="00750347" w:rsidP="001D64DD">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Capacity Charge</w:t>
            </w:r>
          </w:p>
        </w:tc>
        <w:tc>
          <w:tcPr>
            <w:tcW w:w="992" w:type="dxa"/>
            <w:shd w:val="clear" w:color="auto" w:fill="DEEAF6"/>
            <w:vAlign w:val="center"/>
          </w:tcPr>
          <w:p w:rsidR="00750347" w:rsidRPr="00722C30" w:rsidRDefault="00750347" w:rsidP="000D6076">
            <w:pPr>
              <w:spacing w:before="20" w:after="20"/>
              <w:ind w:left="33"/>
              <w:jc w:val="center"/>
              <w:rPr>
                <w:rFonts w:cs="Arial"/>
                <w:bCs/>
                <w:sz w:val="16"/>
                <w:szCs w:val="16"/>
              </w:rPr>
            </w:pPr>
            <w:r w:rsidRPr="00722C30">
              <w:rPr>
                <w:rFonts w:cs="Arial"/>
                <w:bCs/>
                <w:sz w:val="16"/>
                <w:szCs w:val="16"/>
              </w:rPr>
              <w:t>c/kVA/d</w:t>
            </w:r>
          </w:p>
        </w:tc>
        <w:tc>
          <w:tcPr>
            <w:tcW w:w="1134" w:type="dxa"/>
            <w:shd w:val="clear" w:color="auto" w:fill="DEEAF6"/>
            <w:vAlign w:val="center"/>
          </w:tcPr>
          <w:p w:rsidR="00750347" w:rsidRPr="00722C30" w:rsidRDefault="00750347" w:rsidP="000D6076">
            <w:pPr>
              <w:spacing w:before="20" w:after="20"/>
              <w:jc w:val="center"/>
              <w:rPr>
                <w:rFonts w:cs="Arial"/>
                <w:sz w:val="16"/>
                <w:szCs w:val="16"/>
              </w:rPr>
            </w:pPr>
            <w:r w:rsidRPr="00722C30">
              <w:rPr>
                <w:rFonts w:cs="Arial"/>
                <w:sz w:val="16"/>
                <w:szCs w:val="16"/>
              </w:rPr>
              <w:t>35.19</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35.89</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36.79</w:t>
            </w:r>
          </w:p>
        </w:tc>
      </w:tr>
      <w:tr w:rsidR="002E3CA8" w:rsidRPr="00A52F8D" w:rsidTr="00722C30">
        <w:trPr>
          <w:trHeight w:hRule="exact" w:val="425"/>
        </w:trPr>
        <w:tc>
          <w:tcPr>
            <w:tcW w:w="846" w:type="dxa"/>
            <w:vMerge w:val="restart"/>
            <w:shd w:val="clear" w:color="auto" w:fill="97C5EA"/>
            <w:vAlign w:val="center"/>
          </w:tcPr>
          <w:p w:rsidR="00750347" w:rsidRPr="00722C30" w:rsidRDefault="00750347" w:rsidP="000D6076">
            <w:pPr>
              <w:spacing w:before="20" w:after="20"/>
              <w:ind w:left="34"/>
              <w:jc w:val="center"/>
              <w:rPr>
                <w:rFonts w:cs="Arial"/>
                <w:bCs/>
                <w:sz w:val="16"/>
                <w:szCs w:val="16"/>
              </w:rPr>
            </w:pPr>
            <w:r w:rsidRPr="00722C30">
              <w:rPr>
                <w:rFonts w:cs="Arial"/>
                <w:bCs/>
                <w:sz w:val="16"/>
                <w:szCs w:val="16"/>
              </w:rPr>
              <w:t>EA305</w:t>
            </w:r>
          </w:p>
        </w:tc>
        <w:tc>
          <w:tcPr>
            <w:tcW w:w="1281" w:type="dxa"/>
            <w:vMerge w:val="restart"/>
            <w:shd w:val="clear" w:color="auto" w:fill="97C5EA"/>
            <w:vAlign w:val="center"/>
          </w:tcPr>
          <w:p w:rsidR="00750347" w:rsidRDefault="00750347" w:rsidP="000D6076">
            <w:pPr>
              <w:spacing w:before="20" w:after="20"/>
              <w:ind w:left="34"/>
              <w:jc w:val="center"/>
              <w:rPr>
                <w:rFonts w:cs="Arial"/>
                <w:bCs/>
                <w:sz w:val="16"/>
                <w:szCs w:val="16"/>
              </w:rPr>
            </w:pPr>
            <w:r w:rsidRPr="00722C30">
              <w:rPr>
                <w:rFonts w:cs="Arial"/>
                <w:bCs/>
                <w:sz w:val="16"/>
                <w:szCs w:val="16"/>
              </w:rPr>
              <w:t>LV TOU Capacity</w:t>
            </w:r>
          </w:p>
          <w:p w:rsidR="001C0BC8" w:rsidRPr="00722C30" w:rsidRDefault="001C0BC8" w:rsidP="000D6076">
            <w:pPr>
              <w:spacing w:before="20" w:after="20"/>
              <w:ind w:left="34"/>
              <w:jc w:val="center"/>
              <w:rPr>
                <w:rFonts w:cs="Arial"/>
                <w:bCs/>
                <w:sz w:val="16"/>
                <w:szCs w:val="16"/>
              </w:rPr>
            </w:pPr>
            <w:r>
              <w:rPr>
                <w:rFonts w:cs="Arial"/>
                <w:bCs/>
                <w:sz w:val="16"/>
                <w:szCs w:val="16"/>
              </w:rPr>
              <w:t>160-750 MWh pa</w:t>
            </w: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Fixed Charge</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c/day</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1748.48</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1783.45</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1828.04</w:t>
            </w:r>
          </w:p>
        </w:tc>
      </w:tr>
      <w:tr w:rsidR="002E3CA8" w:rsidRPr="00A52F8D" w:rsidTr="00722C30">
        <w:trPr>
          <w:trHeight w:hRule="exact" w:val="425"/>
        </w:trPr>
        <w:tc>
          <w:tcPr>
            <w:tcW w:w="846"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Peak Energy Charge</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c/kWh</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4.94</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4.99</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5.76</w:t>
            </w:r>
          </w:p>
        </w:tc>
      </w:tr>
      <w:tr w:rsidR="002E3CA8" w:rsidRPr="00A52F8D" w:rsidTr="00722C30">
        <w:trPr>
          <w:trHeight w:hRule="exact" w:val="425"/>
        </w:trPr>
        <w:tc>
          <w:tcPr>
            <w:tcW w:w="846"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Shoulder Energy Charge</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c/kWh</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2.42</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2.45</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2.82</w:t>
            </w:r>
          </w:p>
        </w:tc>
      </w:tr>
      <w:tr w:rsidR="002E3CA8" w:rsidRPr="00A52F8D" w:rsidTr="00722C30">
        <w:trPr>
          <w:trHeight w:hRule="exact" w:val="425"/>
        </w:trPr>
        <w:tc>
          <w:tcPr>
            <w:tcW w:w="846" w:type="dxa"/>
            <w:vMerge/>
            <w:shd w:val="clear" w:color="auto" w:fill="97C5EA"/>
            <w:vAlign w:val="center"/>
          </w:tcPr>
          <w:p w:rsidR="00750347" w:rsidRPr="00722C30" w:rsidRDefault="00750347" w:rsidP="001D64DD">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0D6076">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 xml:space="preserve">Off-peak Energy Charge </w:t>
            </w:r>
          </w:p>
        </w:tc>
        <w:tc>
          <w:tcPr>
            <w:tcW w:w="992" w:type="dxa"/>
            <w:shd w:val="clear" w:color="auto" w:fill="DEEAF6"/>
            <w:vAlign w:val="center"/>
          </w:tcPr>
          <w:p w:rsidR="00750347" w:rsidRPr="00722C30" w:rsidRDefault="00750347" w:rsidP="000D6076">
            <w:pPr>
              <w:spacing w:before="20" w:after="20"/>
              <w:ind w:left="33"/>
              <w:jc w:val="center"/>
              <w:rPr>
                <w:rFonts w:cs="Arial"/>
                <w:bCs/>
                <w:sz w:val="16"/>
                <w:szCs w:val="16"/>
              </w:rPr>
            </w:pPr>
            <w:r w:rsidRPr="00722C30">
              <w:rPr>
                <w:rFonts w:cs="Arial"/>
                <w:bCs/>
                <w:sz w:val="16"/>
                <w:szCs w:val="16"/>
              </w:rPr>
              <w:t>c/kWh</w:t>
            </w:r>
          </w:p>
        </w:tc>
        <w:tc>
          <w:tcPr>
            <w:tcW w:w="1134" w:type="dxa"/>
            <w:shd w:val="clear" w:color="auto" w:fill="DEEAF6"/>
            <w:vAlign w:val="center"/>
          </w:tcPr>
          <w:p w:rsidR="00750347" w:rsidRPr="00722C30" w:rsidRDefault="00750347" w:rsidP="000D6076">
            <w:pPr>
              <w:spacing w:before="20" w:after="20"/>
              <w:jc w:val="center"/>
              <w:rPr>
                <w:rFonts w:cs="Arial"/>
                <w:sz w:val="16"/>
                <w:szCs w:val="16"/>
              </w:rPr>
            </w:pPr>
            <w:r w:rsidRPr="00722C30">
              <w:rPr>
                <w:rFonts w:cs="Arial"/>
                <w:sz w:val="16"/>
                <w:szCs w:val="16"/>
              </w:rPr>
              <w:t>1.61</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1.64</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1.89</w:t>
            </w:r>
          </w:p>
        </w:tc>
      </w:tr>
      <w:tr w:rsidR="002E3CA8" w:rsidRPr="00A52F8D" w:rsidTr="00722C30">
        <w:trPr>
          <w:trHeight w:hRule="exact" w:val="425"/>
        </w:trPr>
        <w:tc>
          <w:tcPr>
            <w:tcW w:w="846" w:type="dxa"/>
            <w:vMerge/>
            <w:shd w:val="clear" w:color="auto" w:fill="97C5EA"/>
            <w:vAlign w:val="center"/>
          </w:tcPr>
          <w:p w:rsidR="00750347" w:rsidRPr="00722C30" w:rsidRDefault="00750347" w:rsidP="001D64DD">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0F24D7">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Capacity Charge</w:t>
            </w:r>
          </w:p>
        </w:tc>
        <w:tc>
          <w:tcPr>
            <w:tcW w:w="992" w:type="dxa"/>
            <w:shd w:val="clear" w:color="auto" w:fill="DEEAF6"/>
            <w:vAlign w:val="center"/>
          </w:tcPr>
          <w:p w:rsidR="00750347" w:rsidRPr="00722C30" w:rsidRDefault="00750347" w:rsidP="000D6076">
            <w:pPr>
              <w:spacing w:before="20" w:after="20"/>
              <w:ind w:left="33"/>
              <w:jc w:val="center"/>
              <w:rPr>
                <w:rFonts w:cs="Arial"/>
                <w:bCs/>
                <w:sz w:val="16"/>
                <w:szCs w:val="16"/>
              </w:rPr>
            </w:pPr>
            <w:r w:rsidRPr="00722C30">
              <w:rPr>
                <w:rFonts w:cs="Arial"/>
                <w:bCs/>
                <w:sz w:val="16"/>
                <w:szCs w:val="16"/>
              </w:rPr>
              <w:t>c/kVA/d</w:t>
            </w:r>
          </w:p>
        </w:tc>
        <w:tc>
          <w:tcPr>
            <w:tcW w:w="1134" w:type="dxa"/>
            <w:shd w:val="clear" w:color="auto" w:fill="DEEAF6"/>
            <w:vAlign w:val="center"/>
          </w:tcPr>
          <w:p w:rsidR="00750347" w:rsidRPr="00722C30" w:rsidRDefault="00750347" w:rsidP="000D6076">
            <w:pPr>
              <w:spacing w:before="20" w:after="20"/>
              <w:jc w:val="center"/>
              <w:rPr>
                <w:rFonts w:cs="Arial"/>
                <w:sz w:val="16"/>
                <w:szCs w:val="16"/>
              </w:rPr>
            </w:pPr>
            <w:r w:rsidRPr="00722C30">
              <w:rPr>
                <w:rFonts w:cs="Arial"/>
                <w:sz w:val="16"/>
                <w:szCs w:val="16"/>
              </w:rPr>
              <w:t>35.19</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35.89</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36.79</w:t>
            </w:r>
          </w:p>
        </w:tc>
      </w:tr>
      <w:tr w:rsidR="002E3CA8" w:rsidRPr="00A52F8D" w:rsidTr="00722C30">
        <w:trPr>
          <w:trHeight w:hRule="exact" w:val="425"/>
        </w:trPr>
        <w:tc>
          <w:tcPr>
            <w:tcW w:w="846" w:type="dxa"/>
            <w:vMerge w:val="restart"/>
            <w:shd w:val="clear" w:color="auto" w:fill="97C5EA"/>
            <w:vAlign w:val="center"/>
          </w:tcPr>
          <w:p w:rsidR="00750347" w:rsidRPr="00722C30" w:rsidRDefault="00750347" w:rsidP="000D6076">
            <w:pPr>
              <w:spacing w:before="20" w:after="20"/>
              <w:ind w:left="34"/>
              <w:jc w:val="center"/>
              <w:rPr>
                <w:rFonts w:cs="Arial"/>
                <w:bCs/>
                <w:sz w:val="16"/>
                <w:szCs w:val="16"/>
              </w:rPr>
            </w:pPr>
            <w:r w:rsidRPr="00722C30">
              <w:rPr>
                <w:rFonts w:cs="Arial"/>
                <w:bCs/>
                <w:sz w:val="16"/>
                <w:szCs w:val="16"/>
              </w:rPr>
              <w:t>EA310</w:t>
            </w:r>
          </w:p>
          <w:p w:rsidR="00750347" w:rsidRPr="00722C30" w:rsidRDefault="00750347" w:rsidP="000D6076">
            <w:pPr>
              <w:spacing w:before="20" w:after="20"/>
              <w:ind w:left="34"/>
              <w:rPr>
                <w:rFonts w:cs="Arial"/>
                <w:bCs/>
                <w:color w:val="FFFFFF"/>
                <w:sz w:val="16"/>
                <w:szCs w:val="16"/>
              </w:rPr>
            </w:pPr>
          </w:p>
        </w:tc>
        <w:tc>
          <w:tcPr>
            <w:tcW w:w="1281" w:type="dxa"/>
            <w:vMerge w:val="restart"/>
            <w:shd w:val="clear" w:color="auto" w:fill="97C5EA"/>
            <w:vAlign w:val="center"/>
          </w:tcPr>
          <w:p w:rsidR="001C0BC8" w:rsidRDefault="001C0BC8" w:rsidP="001C0BC8">
            <w:pPr>
              <w:spacing w:before="20" w:after="20"/>
              <w:ind w:left="34"/>
              <w:jc w:val="center"/>
              <w:rPr>
                <w:rFonts w:cs="Arial"/>
                <w:bCs/>
                <w:sz w:val="16"/>
                <w:szCs w:val="16"/>
              </w:rPr>
            </w:pPr>
            <w:r w:rsidRPr="00722C30">
              <w:rPr>
                <w:rFonts w:cs="Arial"/>
                <w:bCs/>
                <w:sz w:val="16"/>
                <w:szCs w:val="16"/>
              </w:rPr>
              <w:t>LV TOU Capacity</w:t>
            </w:r>
          </w:p>
          <w:p w:rsidR="00750347" w:rsidRPr="00722C30" w:rsidRDefault="001C0BC8" w:rsidP="001C0BC8">
            <w:pPr>
              <w:spacing w:before="20" w:after="20"/>
              <w:ind w:left="34"/>
              <w:jc w:val="center"/>
              <w:rPr>
                <w:rFonts w:cs="Arial"/>
                <w:bCs/>
                <w:sz w:val="16"/>
                <w:szCs w:val="16"/>
              </w:rPr>
            </w:pPr>
            <w:r>
              <w:rPr>
                <w:rFonts w:cs="Arial"/>
                <w:bCs/>
                <w:sz w:val="16"/>
                <w:szCs w:val="16"/>
              </w:rPr>
              <w:t>&gt;750 MWh pa</w:t>
            </w: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Fixed Charge</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c/day</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2184.66</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2228.36</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2284.07</w:t>
            </w:r>
          </w:p>
        </w:tc>
      </w:tr>
      <w:tr w:rsidR="002E3CA8" w:rsidRPr="00A52F8D" w:rsidTr="00722C30">
        <w:trPr>
          <w:trHeight w:hRule="exact" w:val="425"/>
        </w:trPr>
        <w:tc>
          <w:tcPr>
            <w:tcW w:w="846" w:type="dxa"/>
            <w:vMerge/>
            <w:shd w:val="clear" w:color="auto" w:fill="97C5EA"/>
            <w:vAlign w:val="center"/>
          </w:tcPr>
          <w:p w:rsidR="00750347" w:rsidRPr="00722C30" w:rsidRDefault="00750347" w:rsidP="0054439B">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54439B">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Peak Energy Charge</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c/kWh</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4.37</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4.41</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5.09</w:t>
            </w:r>
          </w:p>
        </w:tc>
      </w:tr>
      <w:tr w:rsidR="002E3CA8" w:rsidRPr="00A52F8D" w:rsidTr="00722C30">
        <w:trPr>
          <w:trHeight w:hRule="exact" w:val="425"/>
        </w:trPr>
        <w:tc>
          <w:tcPr>
            <w:tcW w:w="846" w:type="dxa"/>
            <w:vMerge/>
            <w:shd w:val="clear" w:color="auto" w:fill="97C5EA"/>
            <w:vAlign w:val="center"/>
          </w:tcPr>
          <w:p w:rsidR="00750347" w:rsidRPr="00722C30" w:rsidRDefault="00750347" w:rsidP="0054439B">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54439B">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Shoulder Energy Charge</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c/kWh</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2.17</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2.19</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2.48</w:t>
            </w:r>
          </w:p>
        </w:tc>
      </w:tr>
      <w:tr w:rsidR="002E3CA8" w:rsidRPr="00A52F8D" w:rsidTr="00722C30">
        <w:trPr>
          <w:trHeight w:hRule="exact" w:val="425"/>
        </w:trPr>
        <w:tc>
          <w:tcPr>
            <w:tcW w:w="846" w:type="dxa"/>
            <w:vMerge/>
            <w:shd w:val="clear" w:color="auto" w:fill="97C5EA"/>
            <w:vAlign w:val="center"/>
          </w:tcPr>
          <w:p w:rsidR="00750347" w:rsidRPr="00722C30" w:rsidRDefault="00750347" w:rsidP="0054439B">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54439B">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 xml:space="preserve">Off-peak Energy Charge </w:t>
            </w:r>
          </w:p>
        </w:tc>
        <w:tc>
          <w:tcPr>
            <w:tcW w:w="992" w:type="dxa"/>
            <w:shd w:val="clear" w:color="auto" w:fill="DEEAF6"/>
            <w:vAlign w:val="center"/>
          </w:tcPr>
          <w:p w:rsidR="00750347" w:rsidRPr="00722C30" w:rsidRDefault="00750347" w:rsidP="000D6076">
            <w:pPr>
              <w:spacing w:before="20" w:after="20"/>
              <w:ind w:left="33"/>
              <w:jc w:val="center"/>
              <w:rPr>
                <w:rFonts w:cs="Arial"/>
                <w:sz w:val="16"/>
                <w:szCs w:val="16"/>
              </w:rPr>
            </w:pPr>
            <w:r w:rsidRPr="00722C30">
              <w:rPr>
                <w:rFonts w:cs="Arial"/>
                <w:bCs/>
                <w:sz w:val="16"/>
                <w:szCs w:val="16"/>
              </w:rPr>
              <w:t>c/kWh</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1.46</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1.48</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1.71</w:t>
            </w:r>
          </w:p>
        </w:tc>
      </w:tr>
      <w:tr w:rsidR="002E3CA8" w:rsidRPr="00A52F8D" w:rsidTr="00722C30">
        <w:trPr>
          <w:trHeight w:hRule="exact" w:val="425"/>
        </w:trPr>
        <w:tc>
          <w:tcPr>
            <w:tcW w:w="846" w:type="dxa"/>
            <w:vMerge/>
            <w:shd w:val="clear" w:color="auto" w:fill="97C5EA"/>
            <w:vAlign w:val="center"/>
          </w:tcPr>
          <w:p w:rsidR="00750347" w:rsidRPr="00722C30" w:rsidRDefault="00750347" w:rsidP="0054439B">
            <w:pPr>
              <w:spacing w:before="20" w:after="20"/>
              <w:ind w:left="34"/>
              <w:jc w:val="center"/>
              <w:rPr>
                <w:rFonts w:cs="Arial"/>
                <w:bCs/>
                <w:sz w:val="16"/>
                <w:szCs w:val="16"/>
              </w:rPr>
            </w:pPr>
          </w:p>
        </w:tc>
        <w:tc>
          <w:tcPr>
            <w:tcW w:w="1281" w:type="dxa"/>
            <w:vMerge/>
            <w:shd w:val="clear" w:color="auto" w:fill="97C5EA"/>
            <w:vAlign w:val="center"/>
          </w:tcPr>
          <w:p w:rsidR="00750347" w:rsidRPr="00722C30" w:rsidRDefault="00750347" w:rsidP="0054439B">
            <w:pPr>
              <w:spacing w:before="20" w:after="20"/>
              <w:ind w:left="34"/>
              <w:jc w:val="center"/>
              <w:rPr>
                <w:rFonts w:cs="Arial"/>
                <w:bCs/>
                <w:sz w:val="16"/>
                <w:szCs w:val="16"/>
              </w:rPr>
            </w:pPr>
          </w:p>
        </w:tc>
        <w:tc>
          <w:tcPr>
            <w:tcW w:w="2835" w:type="dxa"/>
            <w:shd w:val="clear" w:color="auto" w:fill="C6D9F1"/>
            <w:vAlign w:val="center"/>
          </w:tcPr>
          <w:p w:rsidR="00750347" w:rsidRPr="00722C30" w:rsidRDefault="00750347" w:rsidP="000D6076">
            <w:pPr>
              <w:spacing w:before="20" w:after="20"/>
              <w:ind w:left="34"/>
              <w:rPr>
                <w:rFonts w:cs="Arial"/>
                <w:bCs/>
                <w:sz w:val="16"/>
                <w:szCs w:val="16"/>
              </w:rPr>
            </w:pPr>
            <w:r w:rsidRPr="00722C30">
              <w:rPr>
                <w:rFonts w:cs="Arial"/>
                <w:bCs/>
                <w:sz w:val="16"/>
                <w:szCs w:val="16"/>
              </w:rPr>
              <w:t>Capacity Charge</w:t>
            </w:r>
          </w:p>
        </w:tc>
        <w:tc>
          <w:tcPr>
            <w:tcW w:w="992" w:type="dxa"/>
            <w:shd w:val="clear" w:color="auto" w:fill="DEEAF6"/>
            <w:vAlign w:val="center"/>
          </w:tcPr>
          <w:p w:rsidR="00750347" w:rsidRPr="00722C30" w:rsidRDefault="00750347" w:rsidP="000D6076">
            <w:pPr>
              <w:spacing w:before="20" w:after="20"/>
              <w:ind w:left="33"/>
              <w:jc w:val="center"/>
              <w:rPr>
                <w:rFonts w:cs="Arial"/>
                <w:bCs/>
                <w:sz w:val="16"/>
                <w:szCs w:val="16"/>
              </w:rPr>
            </w:pPr>
            <w:r w:rsidRPr="00722C30">
              <w:rPr>
                <w:rFonts w:cs="Arial"/>
                <w:bCs/>
                <w:sz w:val="16"/>
                <w:szCs w:val="16"/>
              </w:rPr>
              <w:t>c/kVA/d</w:t>
            </w:r>
          </w:p>
        </w:tc>
        <w:tc>
          <w:tcPr>
            <w:tcW w:w="1134" w:type="dxa"/>
            <w:shd w:val="clear" w:color="auto" w:fill="DEEAF6"/>
            <w:vAlign w:val="center"/>
          </w:tcPr>
          <w:p w:rsidR="00750347" w:rsidRPr="00722C30" w:rsidRDefault="00750347" w:rsidP="000D6076">
            <w:pPr>
              <w:spacing w:before="20" w:after="20"/>
              <w:jc w:val="center"/>
              <w:rPr>
                <w:rFonts w:cs="Arial"/>
                <w:sz w:val="16"/>
                <w:szCs w:val="16"/>
              </w:rPr>
            </w:pPr>
            <w:r w:rsidRPr="00722C30">
              <w:rPr>
                <w:rFonts w:cs="Arial"/>
                <w:sz w:val="16"/>
                <w:szCs w:val="16"/>
              </w:rPr>
              <w:t>35.19</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35.89</w:t>
            </w:r>
          </w:p>
        </w:tc>
        <w:tc>
          <w:tcPr>
            <w:tcW w:w="1134" w:type="dxa"/>
            <w:shd w:val="clear" w:color="auto" w:fill="DEEAF6"/>
            <w:vAlign w:val="center"/>
          </w:tcPr>
          <w:p w:rsidR="00750347" w:rsidRPr="00722C30" w:rsidRDefault="00750347" w:rsidP="000D6076">
            <w:pPr>
              <w:spacing w:before="20" w:after="20"/>
              <w:jc w:val="center"/>
              <w:rPr>
                <w:rFonts w:cs="Arial"/>
                <w:sz w:val="16"/>
                <w:szCs w:val="16"/>
                <w:highlight w:val="yellow"/>
              </w:rPr>
            </w:pPr>
            <w:r w:rsidRPr="00722C30">
              <w:rPr>
                <w:rFonts w:cs="Arial"/>
                <w:sz w:val="16"/>
                <w:szCs w:val="16"/>
              </w:rPr>
              <w:t>36.79</w:t>
            </w:r>
          </w:p>
        </w:tc>
      </w:tr>
    </w:tbl>
    <w:p w:rsidR="001D64DD" w:rsidRDefault="001D64DD" w:rsidP="00BD7A0B">
      <w:pPr>
        <w:pStyle w:val="BodyText"/>
      </w:pPr>
    </w:p>
    <w:p w:rsidR="001D64DD" w:rsidRDefault="001D64DD" w:rsidP="007D0321">
      <w:pPr>
        <w:pStyle w:val="BodyText"/>
      </w:pPr>
    </w:p>
    <w:p w:rsidR="002E3CA8" w:rsidRPr="00722C30" w:rsidRDefault="002E3CA8">
      <w:pPr>
        <w:pStyle w:val="BodyText"/>
        <w:rPr>
          <w:noProof w:val="0"/>
          <w:szCs w:val="24"/>
          <w:lang w:val="en-US" w:eastAsia="en-US"/>
        </w:rPr>
      </w:pPr>
      <w:r w:rsidRPr="002E3CA8">
        <w:br w:type="page"/>
      </w:r>
    </w:p>
    <w:p w:rsidR="000F24D7" w:rsidRPr="000D6076" w:rsidRDefault="000F24D7" w:rsidP="00722C30">
      <w:pPr>
        <w:pStyle w:val="Heading2"/>
      </w:pPr>
      <w:bookmarkStart w:id="2036" w:name="_Toc475527444"/>
      <w:r w:rsidRPr="000D6076">
        <w:lastRenderedPageBreak/>
        <w:t>Indicative prices for High and Sub-transmision Voltage TOU Capacity Tariffs (published only</w:t>
      </w:r>
      <w:r w:rsidR="00664BA8">
        <w:t>), and the new transmission-connected tariff</w:t>
      </w:r>
      <w:bookmarkEnd w:id="2036"/>
      <w:r w:rsidR="00664BA8">
        <w:t xml:space="preserve"> </w:t>
      </w:r>
    </w:p>
    <w:p w:rsidR="00B51887" w:rsidRPr="00722C30" w:rsidRDefault="009C556D" w:rsidP="00BD7A0B">
      <w:pPr>
        <w:pStyle w:val="BodyText"/>
        <w:rPr>
          <w:rStyle w:val="AERbody"/>
        </w:rPr>
      </w:pPr>
      <w:r w:rsidRPr="00F93A72">
        <w:rPr>
          <w:rStyle w:val="AERbody"/>
        </w:rPr>
        <w:fldChar w:fldCharType="begin"/>
      </w:r>
      <w:r w:rsidRPr="00F93A72">
        <w:rPr>
          <w:rStyle w:val="AERbody"/>
        </w:rPr>
        <w:instrText xml:space="preserve"> REF _Ref462996562 \h  \* MERGEFORMAT </w:instrText>
      </w:r>
      <w:r w:rsidRPr="00F93A72">
        <w:rPr>
          <w:rStyle w:val="AERbody"/>
        </w:rPr>
      </w:r>
      <w:r w:rsidRPr="00F93A72">
        <w:rPr>
          <w:rStyle w:val="AERbody"/>
        </w:rPr>
        <w:fldChar w:fldCharType="separate"/>
      </w:r>
      <w:r w:rsidR="00BE0834" w:rsidRPr="00D54FEB">
        <w:t xml:space="preserve">Table </w:t>
      </w:r>
      <w:r w:rsidR="00BE0834">
        <w:t>17</w:t>
      </w:r>
      <w:r w:rsidRPr="00F93A72">
        <w:rPr>
          <w:rStyle w:val="AERbody"/>
        </w:rPr>
        <w:fldChar w:fldCharType="end"/>
      </w:r>
      <w:r>
        <w:rPr>
          <w:rStyle w:val="AERbody"/>
        </w:rPr>
        <w:t xml:space="preserve"> </w:t>
      </w:r>
      <w:r w:rsidR="00347193" w:rsidRPr="00722C30">
        <w:rPr>
          <w:rStyle w:val="AERbody"/>
        </w:rPr>
        <w:t xml:space="preserve">below </w:t>
      </w:r>
      <w:r w:rsidR="008E293E">
        <w:rPr>
          <w:rStyle w:val="AERbody"/>
        </w:rPr>
        <w:t>presents</w:t>
      </w:r>
      <w:r w:rsidR="008E293E" w:rsidRPr="00722C30">
        <w:rPr>
          <w:rStyle w:val="AERbody"/>
        </w:rPr>
        <w:t xml:space="preserve"> </w:t>
      </w:r>
      <w:r w:rsidR="00E744D0" w:rsidRPr="00722C30">
        <w:rPr>
          <w:rStyle w:val="AERbody"/>
        </w:rPr>
        <w:t>the current NUOS prices in FY 2016</w:t>
      </w:r>
      <w:r w:rsidR="00347193" w:rsidRPr="00722C30">
        <w:rPr>
          <w:rStyle w:val="AERbody"/>
        </w:rPr>
        <w:t>/17</w:t>
      </w:r>
      <w:r w:rsidR="00E744D0" w:rsidRPr="00722C30">
        <w:rPr>
          <w:rStyle w:val="AERbody"/>
        </w:rPr>
        <w:t xml:space="preserve"> and indicative NUOS prices for customers on either our published high voltage or sub</w:t>
      </w:r>
      <w:r w:rsidR="00841128" w:rsidRPr="00722C30">
        <w:rPr>
          <w:rStyle w:val="AERbody"/>
        </w:rPr>
        <w:t>-</w:t>
      </w:r>
      <w:r w:rsidR="00E744D0" w:rsidRPr="00722C30">
        <w:rPr>
          <w:rStyle w:val="AERbody"/>
        </w:rPr>
        <w:t xml:space="preserve">transmission voltage TOU capacity tariffs over the </w:t>
      </w:r>
      <w:r w:rsidR="00347193" w:rsidRPr="00722C30">
        <w:rPr>
          <w:rStyle w:val="AERbody"/>
        </w:rPr>
        <w:t xml:space="preserve">remainder of the current </w:t>
      </w:r>
      <w:r w:rsidR="00E744D0" w:rsidRPr="00722C30">
        <w:rPr>
          <w:rStyle w:val="AERbody"/>
        </w:rPr>
        <w:t>regulatory control period.</w:t>
      </w:r>
    </w:p>
    <w:p w:rsidR="00086A9D" w:rsidRDefault="00347193" w:rsidP="00D54FEB">
      <w:pPr>
        <w:pStyle w:val="Caption"/>
      </w:pPr>
      <w:bookmarkStart w:id="2037" w:name="_Ref462996562"/>
      <w:r w:rsidRPr="00D54FEB">
        <w:t xml:space="preserve">Table </w:t>
      </w:r>
      <w:fldSimple w:instr=" SEQ Table \* ARABIC ">
        <w:r w:rsidR="00BE0834">
          <w:rPr>
            <w:noProof/>
          </w:rPr>
          <w:t>17</w:t>
        </w:r>
      </w:fldSimple>
      <w:bookmarkEnd w:id="2037"/>
      <w:r w:rsidRPr="00D54FEB">
        <w:t xml:space="preserve"> – </w:t>
      </w:r>
      <w:proofErr w:type="spellStart"/>
      <w:r w:rsidR="004A42DB" w:rsidRPr="00D54FEB">
        <w:t>Ausgrid’s</w:t>
      </w:r>
      <w:proofErr w:type="spellEnd"/>
      <w:r w:rsidR="004A42DB" w:rsidRPr="00D54FEB">
        <w:t xml:space="preserve"> Indicative NUOS (Excl. GST) Prices – HV and STV TOU Capacity Tariffs Customers</w:t>
      </w:r>
    </w:p>
    <w:tbl>
      <w:tblPr>
        <w:tblW w:w="9356" w:type="dxa"/>
        <w:tblInd w:w="108" w:type="dxa"/>
        <w:tblBorders>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851"/>
        <w:gridCol w:w="1417"/>
        <w:gridCol w:w="2268"/>
        <w:gridCol w:w="993"/>
        <w:gridCol w:w="1275"/>
        <w:gridCol w:w="1276"/>
        <w:gridCol w:w="1276"/>
      </w:tblGrid>
      <w:tr w:rsidR="002E3CA8" w:rsidRPr="002E3CA8" w:rsidTr="00722C30">
        <w:trPr>
          <w:trHeight w:hRule="exact" w:val="623"/>
        </w:trPr>
        <w:tc>
          <w:tcPr>
            <w:tcW w:w="851" w:type="dxa"/>
            <w:shd w:val="clear" w:color="auto" w:fill="0065A6"/>
          </w:tcPr>
          <w:p w:rsidR="000F24D7" w:rsidRPr="00722C30" w:rsidRDefault="000F24D7" w:rsidP="005B12AB">
            <w:pPr>
              <w:spacing w:before="120" w:after="120"/>
              <w:ind w:left="34"/>
              <w:jc w:val="center"/>
              <w:rPr>
                <w:rFonts w:cs="Arial"/>
                <w:b/>
                <w:bCs/>
                <w:color w:val="FFFFFF"/>
                <w:sz w:val="16"/>
                <w:szCs w:val="16"/>
              </w:rPr>
            </w:pPr>
            <w:r w:rsidRPr="00722C30">
              <w:rPr>
                <w:rFonts w:cs="Arial"/>
                <w:b/>
                <w:bCs/>
                <w:color w:val="FFFFFF"/>
                <w:sz w:val="16"/>
                <w:szCs w:val="16"/>
              </w:rPr>
              <w:t>Tariff Code</w:t>
            </w:r>
          </w:p>
        </w:tc>
        <w:tc>
          <w:tcPr>
            <w:tcW w:w="1417" w:type="dxa"/>
            <w:shd w:val="clear" w:color="auto" w:fill="0065A6"/>
          </w:tcPr>
          <w:p w:rsidR="000F24D7" w:rsidRPr="00722C30" w:rsidRDefault="000F24D7" w:rsidP="005B12AB">
            <w:pPr>
              <w:spacing w:before="120" w:after="120"/>
              <w:ind w:left="34"/>
              <w:jc w:val="center"/>
              <w:rPr>
                <w:rFonts w:cs="Arial"/>
                <w:b/>
                <w:bCs/>
                <w:color w:val="FFFFFF"/>
                <w:sz w:val="16"/>
                <w:szCs w:val="16"/>
              </w:rPr>
            </w:pPr>
            <w:r w:rsidRPr="00722C30">
              <w:rPr>
                <w:rFonts w:cs="Arial"/>
                <w:b/>
                <w:bCs/>
                <w:color w:val="FFFFFF"/>
                <w:sz w:val="16"/>
                <w:szCs w:val="16"/>
              </w:rPr>
              <w:t>Tariff Name</w:t>
            </w:r>
          </w:p>
        </w:tc>
        <w:tc>
          <w:tcPr>
            <w:tcW w:w="2268" w:type="dxa"/>
            <w:shd w:val="clear" w:color="auto" w:fill="0065A6"/>
          </w:tcPr>
          <w:p w:rsidR="000F24D7" w:rsidRPr="00722C30" w:rsidRDefault="000F24D7" w:rsidP="005B12AB">
            <w:pPr>
              <w:spacing w:before="120" w:after="120"/>
              <w:ind w:left="34"/>
              <w:jc w:val="center"/>
              <w:rPr>
                <w:rFonts w:cs="Arial"/>
                <w:b/>
                <w:bCs/>
                <w:color w:val="FFFFFF"/>
                <w:sz w:val="16"/>
                <w:szCs w:val="16"/>
              </w:rPr>
            </w:pPr>
            <w:r w:rsidRPr="00722C30">
              <w:rPr>
                <w:rFonts w:cs="Arial"/>
                <w:b/>
                <w:bCs/>
                <w:color w:val="FFFFFF"/>
                <w:sz w:val="16"/>
                <w:szCs w:val="16"/>
              </w:rPr>
              <w:t>Charging Parameter</w:t>
            </w:r>
          </w:p>
        </w:tc>
        <w:tc>
          <w:tcPr>
            <w:tcW w:w="993" w:type="dxa"/>
            <w:shd w:val="clear" w:color="auto" w:fill="0065A6"/>
          </w:tcPr>
          <w:p w:rsidR="000F24D7" w:rsidRPr="00722C30" w:rsidRDefault="000F24D7" w:rsidP="005B12AB">
            <w:pPr>
              <w:spacing w:before="120" w:after="120"/>
              <w:ind w:left="33"/>
              <w:jc w:val="center"/>
              <w:rPr>
                <w:rFonts w:cs="Arial"/>
                <w:b/>
                <w:bCs/>
                <w:color w:val="FFFFFF"/>
                <w:sz w:val="16"/>
                <w:szCs w:val="16"/>
              </w:rPr>
            </w:pPr>
            <w:r w:rsidRPr="00722C30">
              <w:rPr>
                <w:rFonts w:cs="Arial"/>
                <w:b/>
                <w:bCs/>
                <w:color w:val="FFFFFF"/>
                <w:sz w:val="16"/>
                <w:szCs w:val="16"/>
              </w:rPr>
              <w:t>Unit</w:t>
            </w:r>
          </w:p>
        </w:tc>
        <w:tc>
          <w:tcPr>
            <w:tcW w:w="1275" w:type="dxa"/>
            <w:shd w:val="clear" w:color="auto" w:fill="0065A6"/>
          </w:tcPr>
          <w:p w:rsidR="000F24D7" w:rsidRPr="00722C30" w:rsidRDefault="000F24D7" w:rsidP="004A42DB">
            <w:pPr>
              <w:spacing w:before="120" w:after="120"/>
              <w:ind w:left="33"/>
              <w:jc w:val="center"/>
              <w:rPr>
                <w:rFonts w:cs="Arial"/>
                <w:b/>
                <w:bCs/>
                <w:color w:val="FFFFFF"/>
                <w:sz w:val="16"/>
                <w:szCs w:val="16"/>
              </w:rPr>
            </w:pPr>
            <w:r w:rsidRPr="00722C30">
              <w:rPr>
                <w:rFonts w:cs="Arial"/>
                <w:b/>
                <w:bCs/>
                <w:color w:val="FFFFFF"/>
                <w:sz w:val="16"/>
                <w:szCs w:val="16"/>
              </w:rPr>
              <w:t>Indicative</w:t>
            </w:r>
            <w:r w:rsidR="00B50A16" w:rsidRPr="00722C30">
              <w:rPr>
                <w:rFonts w:cs="Arial"/>
                <w:b/>
                <w:bCs/>
                <w:color w:val="FFFFFF"/>
                <w:sz w:val="16"/>
                <w:szCs w:val="16"/>
              </w:rPr>
              <w:t xml:space="preserve"> </w:t>
            </w:r>
            <w:r w:rsidRPr="00722C30">
              <w:rPr>
                <w:rFonts w:cs="Arial"/>
                <w:b/>
                <w:bCs/>
                <w:color w:val="FFFFFF"/>
                <w:sz w:val="16"/>
                <w:szCs w:val="16"/>
              </w:rPr>
              <w:t xml:space="preserve"> FY 2016/17</w:t>
            </w:r>
          </w:p>
        </w:tc>
        <w:tc>
          <w:tcPr>
            <w:tcW w:w="1276" w:type="dxa"/>
            <w:shd w:val="clear" w:color="auto" w:fill="0065A6"/>
          </w:tcPr>
          <w:p w:rsidR="000F24D7" w:rsidRPr="00722C30" w:rsidRDefault="000F24D7" w:rsidP="004A42DB">
            <w:pPr>
              <w:spacing w:before="120" w:after="120"/>
              <w:ind w:left="33"/>
              <w:jc w:val="center"/>
              <w:rPr>
                <w:rFonts w:cs="Arial"/>
                <w:b/>
                <w:bCs/>
                <w:color w:val="FFFFFF"/>
                <w:sz w:val="16"/>
                <w:szCs w:val="16"/>
              </w:rPr>
            </w:pPr>
            <w:r w:rsidRPr="00722C30">
              <w:rPr>
                <w:rFonts w:cs="Arial"/>
                <w:b/>
                <w:bCs/>
                <w:color w:val="FFFFFF"/>
                <w:sz w:val="16"/>
                <w:szCs w:val="16"/>
              </w:rPr>
              <w:t>Indicative</w:t>
            </w:r>
            <w:r w:rsidR="00B50A16" w:rsidRPr="00722C30">
              <w:rPr>
                <w:rFonts w:cs="Arial"/>
                <w:b/>
                <w:bCs/>
                <w:color w:val="FFFFFF"/>
                <w:sz w:val="16"/>
                <w:szCs w:val="16"/>
              </w:rPr>
              <w:t xml:space="preserve"> </w:t>
            </w:r>
            <w:r w:rsidRPr="00722C30">
              <w:rPr>
                <w:rFonts w:cs="Arial"/>
                <w:b/>
                <w:bCs/>
                <w:color w:val="FFFFFF"/>
                <w:sz w:val="16"/>
                <w:szCs w:val="16"/>
              </w:rPr>
              <w:t xml:space="preserve"> FY 2017/18</w:t>
            </w:r>
          </w:p>
        </w:tc>
        <w:tc>
          <w:tcPr>
            <w:tcW w:w="1276" w:type="dxa"/>
            <w:shd w:val="clear" w:color="auto" w:fill="0065A6"/>
          </w:tcPr>
          <w:p w:rsidR="000F24D7" w:rsidRPr="00722C30" w:rsidRDefault="000F24D7" w:rsidP="00D66EE1">
            <w:pPr>
              <w:spacing w:before="120" w:after="120"/>
              <w:ind w:left="33"/>
              <w:jc w:val="center"/>
              <w:rPr>
                <w:rFonts w:cs="Arial"/>
                <w:b/>
                <w:bCs/>
                <w:color w:val="FFFFFF"/>
                <w:sz w:val="16"/>
                <w:szCs w:val="16"/>
              </w:rPr>
            </w:pPr>
            <w:r w:rsidRPr="00722C30">
              <w:rPr>
                <w:rFonts w:cs="Arial"/>
                <w:b/>
                <w:bCs/>
                <w:color w:val="FFFFFF"/>
                <w:sz w:val="16"/>
                <w:szCs w:val="16"/>
              </w:rPr>
              <w:t>Indicative</w:t>
            </w:r>
            <w:r w:rsidR="00B50A16" w:rsidRPr="00722C30">
              <w:rPr>
                <w:rFonts w:cs="Arial"/>
                <w:b/>
                <w:bCs/>
                <w:color w:val="FFFFFF"/>
                <w:sz w:val="16"/>
                <w:szCs w:val="16"/>
              </w:rPr>
              <w:t xml:space="preserve"> </w:t>
            </w:r>
            <w:r w:rsidRPr="00722C30">
              <w:rPr>
                <w:rFonts w:cs="Arial"/>
                <w:b/>
                <w:bCs/>
                <w:color w:val="FFFFFF"/>
                <w:sz w:val="16"/>
                <w:szCs w:val="16"/>
              </w:rPr>
              <w:t xml:space="preserve"> FY 2018/19</w:t>
            </w:r>
          </w:p>
        </w:tc>
      </w:tr>
      <w:tr w:rsidR="002E3CA8" w:rsidRPr="002E3CA8" w:rsidTr="00722C30">
        <w:trPr>
          <w:trHeight w:hRule="exact" w:val="397"/>
        </w:trPr>
        <w:tc>
          <w:tcPr>
            <w:tcW w:w="851" w:type="dxa"/>
            <w:vMerge w:val="restart"/>
            <w:shd w:val="clear" w:color="auto" w:fill="97C5EA"/>
            <w:vAlign w:val="center"/>
          </w:tcPr>
          <w:p w:rsidR="00750347" w:rsidRPr="00722C30" w:rsidRDefault="00750347" w:rsidP="00D66EE1">
            <w:pPr>
              <w:spacing w:before="120" w:after="120"/>
              <w:ind w:left="34"/>
              <w:jc w:val="center"/>
              <w:rPr>
                <w:rFonts w:cs="Arial"/>
                <w:bCs/>
                <w:color w:val="FFFFFF"/>
                <w:sz w:val="16"/>
                <w:szCs w:val="16"/>
              </w:rPr>
            </w:pPr>
            <w:r w:rsidRPr="00722C30">
              <w:rPr>
                <w:rFonts w:cs="Arial"/>
                <w:bCs/>
                <w:sz w:val="16"/>
                <w:szCs w:val="16"/>
              </w:rPr>
              <w:t>EA370</w:t>
            </w:r>
          </w:p>
        </w:tc>
        <w:tc>
          <w:tcPr>
            <w:tcW w:w="1417" w:type="dxa"/>
            <w:vMerge w:val="restart"/>
            <w:shd w:val="clear" w:color="auto" w:fill="97C5EA"/>
            <w:vAlign w:val="center"/>
          </w:tcPr>
          <w:p w:rsidR="00750347" w:rsidRPr="00722C30" w:rsidRDefault="00750347" w:rsidP="00D66EE1">
            <w:pPr>
              <w:spacing w:before="120" w:after="120"/>
              <w:ind w:left="34"/>
              <w:jc w:val="center"/>
              <w:rPr>
                <w:rFonts w:cs="Arial"/>
                <w:bCs/>
                <w:sz w:val="16"/>
                <w:szCs w:val="16"/>
              </w:rPr>
            </w:pPr>
            <w:r w:rsidRPr="00722C30">
              <w:rPr>
                <w:rFonts w:cs="Arial"/>
                <w:bCs/>
                <w:sz w:val="16"/>
                <w:szCs w:val="16"/>
              </w:rPr>
              <w:t>High Voltage TOU Capacity (system) Tariff</w:t>
            </w: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Fixed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c/day</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4372.54</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4459.99</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4571.49</w:t>
            </w:r>
          </w:p>
        </w:tc>
      </w:tr>
      <w:tr w:rsidR="002E3CA8" w:rsidRPr="002E3CA8" w:rsidTr="00722C30">
        <w:trPr>
          <w:trHeight w:hRule="exact" w:val="397"/>
        </w:trPr>
        <w:tc>
          <w:tcPr>
            <w:tcW w:w="851"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1417"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Peak Energy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3.19</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3.20</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3.46</w:t>
            </w:r>
          </w:p>
        </w:tc>
      </w:tr>
      <w:tr w:rsidR="002E3CA8" w:rsidRPr="002E3CA8" w:rsidTr="00722C30">
        <w:trPr>
          <w:trHeight w:hRule="exact" w:val="397"/>
        </w:trPr>
        <w:tc>
          <w:tcPr>
            <w:tcW w:w="851"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1417"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Shoulder Energy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2.13</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2.14</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2.46</w:t>
            </w:r>
          </w:p>
        </w:tc>
      </w:tr>
      <w:tr w:rsidR="002E3CA8" w:rsidRPr="002E3CA8" w:rsidTr="00722C30">
        <w:trPr>
          <w:trHeight w:hRule="exact" w:val="397"/>
        </w:trPr>
        <w:tc>
          <w:tcPr>
            <w:tcW w:w="851"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1417"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 xml:space="preserve">Off-peak Energy Charge </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1.46</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1.47</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1.59</w:t>
            </w:r>
          </w:p>
        </w:tc>
      </w:tr>
      <w:tr w:rsidR="002E3CA8" w:rsidRPr="002E3CA8" w:rsidTr="00722C30">
        <w:trPr>
          <w:trHeight w:hRule="exact" w:val="397"/>
        </w:trPr>
        <w:tc>
          <w:tcPr>
            <w:tcW w:w="851"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1417"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 xml:space="preserve">Capacity Charge </w:t>
            </w:r>
          </w:p>
        </w:tc>
        <w:tc>
          <w:tcPr>
            <w:tcW w:w="993" w:type="dxa"/>
            <w:shd w:val="clear" w:color="auto" w:fill="DEEAF6"/>
          </w:tcPr>
          <w:p w:rsidR="00750347" w:rsidRPr="00722C30" w:rsidRDefault="00750347" w:rsidP="00D66EE1">
            <w:pPr>
              <w:spacing w:before="120" w:after="120"/>
              <w:ind w:left="33"/>
              <w:rPr>
                <w:rFonts w:cs="Arial"/>
                <w:bCs/>
                <w:sz w:val="16"/>
                <w:szCs w:val="16"/>
              </w:rPr>
            </w:pPr>
            <w:r w:rsidRPr="00722C30">
              <w:rPr>
                <w:rFonts w:cs="Arial"/>
                <w:bCs/>
                <w:sz w:val="16"/>
                <w:szCs w:val="16"/>
              </w:rPr>
              <w:t>c/kVA/d</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18.88</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19.26</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19.74</w:t>
            </w:r>
          </w:p>
        </w:tc>
      </w:tr>
      <w:tr w:rsidR="002E3CA8" w:rsidRPr="002E3CA8" w:rsidTr="00722C30">
        <w:trPr>
          <w:trHeight w:hRule="exact" w:val="397"/>
        </w:trPr>
        <w:tc>
          <w:tcPr>
            <w:tcW w:w="851" w:type="dxa"/>
            <w:vMerge w:val="restart"/>
            <w:shd w:val="clear" w:color="auto" w:fill="97C5EA"/>
            <w:vAlign w:val="center"/>
          </w:tcPr>
          <w:p w:rsidR="00750347" w:rsidRPr="00722C30" w:rsidRDefault="00750347" w:rsidP="00530E6B">
            <w:pPr>
              <w:spacing w:before="120" w:after="120"/>
              <w:ind w:left="34"/>
              <w:jc w:val="center"/>
              <w:rPr>
                <w:rFonts w:cs="Arial"/>
                <w:bCs/>
                <w:color w:val="FFFFFF"/>
                <w:sz w:val="16"/>
                <w:szCs w:val="16"/>
              </w:rPr>
            </w:pPr>
            <w:r w:rsidRPr="00722C30">
              <w:rPr>
                <w:rFonts w:cs="Arial"/>
                <w:bCs/>
                <w:sz w:val="16"/>
                <w:szCs w:val="16"/>
              </w:rPr>
              <w:t>EA380</w:t>
            </w:r>
          </w:p>
        </w:tc>
        <w:tc>
          <w:tcPr>
            <w:tcW w:w="1417" w:type="dxa"/>
            <w:vMerge w:val="restart"/>
            <w:shd w:val="clear" w:color="auto" w:fill="97C5EA"/>
            <w:vAlign w:val="center"/>
          </w:tcPr>
          <w:p w:rsidR="00750347" w:rsidRPr="00722C30" w:rsidRDefault="00750347" w:rsidP="00D66EE1">
            <w:pPr>
              <w:spacing w:before="120" w:after="120"/>
              <w:ind w:left="34"/>
              <w:jc w:val="center"/>
              <w:rPr>
                <w:rFonts w:cs="Arial"/>
                <w:bCs/>
                <w:sz w:val="16"/>
                <w:szCs w:val="16"/>
              </w:rPr>
            </w:pPr>
            <w:r w:rsidRPr="00722C30">
              <w:rPr>
                <w:rFonts w:cs="Arial"/>
                <w:bCs/>
                <w:sz w:val="16"/>
                <w:szCs w:val="16"/>
              </w:rPr>
              <w:t>High Voltage TOU Capacity (sub-station) Tariff</w:t>
            </w: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Fixed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c/day</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4372.54</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4459.99</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4571.49</w:t>
            </w:r>
          </w:p>
        </w:tc>
      </w:tr>
      <w:tr w:rsidR="002E3CA8" w:rsidRPr="002E3CA8" w:rsidTr="00722C30">
        <w:trPr>
          <w:trHeight w:hRule="exact" w:val="397"/>
        </w:trPr>
        <w:tc>
          <w:tcPr>
            <w:tcW w:w="851"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1417"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Peak Energy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2.80</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2.81</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3.04</w:t>
            </w:r>
          </w:p>
        </w:tc>
      </w:tr>
      <w:tr w:rsidR="002E3CA8" w:rsidRPr="002E3CA8" w:rsidTr="00722C30">
        <w:trPr>
          <w:trHeight w:hRule="exact" w:val="397"/>
        </w:trPr>
        <w:tc>
          <w:tcPr>
            <w:tcW w:w="851"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1417"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Shoulder Energy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1.89</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1.90</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2.18</w:t>
            </w:r>
          </w:p>
        </w:tc>
      </w:tr>
      <w:tr w:rsidR="002E3CA8" w:rsidRPr="002E3CA8" w:rsidTr="00722C30">
        <w:trPr>
          <w:trHeight w:hRule="exact" w:val="397"/>
        </w:trPr>
        <w:tc>
          <w:tcPr>
            <w:tcW w:w="851"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1417"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 xml:space="preserve">Off-peak Energy Charge </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1.30</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1.31</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1.42</w:t>
            </w:r>
          </w:p>
        </w:tc>
      </w:tr>
      <w:tr w:rsidR="002E3CA8" w:rsidRPr="002E3CA8" w:rsidTr="00722C30">
        <w:trPr>
          <w:trHeight w:hRule="exact" w:val="397"/>
        </w:trPr>
        <w:tc>
          <w:tcPr>
            <w:tcW w:w="851"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1417" w:type="dxa"/>
            <w:vMerge/>
            <w:shd w:val="clear" w:color="auto" w:fill="97C5EA"/>
            <w:vAlign w:val="center"/>
          </w:tcPr>
          <w:p w:rsidR="00750347" w:rsidRPr="00722C30" w:rsidRDefault="00750347" w:rsidP="00D66EE1">
            <w:pPr>
              <w:spacing w:before="120" w:after="120"/>
              <w:ind w:left="34"/>
              <w:jc w:val="center"/>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 xml:space="preserve">Capacity Charge </w:t>
            </w:r>
          </w:p>
        </w:tc>
        <w:tc>
          <w:tcPr>
            <w:tcW w:w="993" w:type="dxa"/>
            <w:shd w:val="clear" w:color="auto" w:fill="DEEAF6"/>
          </w:tcPr>
          <w:p w:rsidR="00750347" w:rsidRPr="00722C30" w:rsidRDefault="00750347" w:rsidP="00D66EE1">
            <w:pPr>
              <w:spacing w:before="120" w:after="120"/>
              <w:ind w:left="33"/>
              <w:rPr>
                <w:rFonts w:cs="Arial"/>
                <w:bCs/>
                <w:sz w:val="16"/>
                <w:szCs w:val="16"/>
              </w:rPr>
            </w:pPr>
            <w:r w:rsidRPr="00722C30">
              <w:rPr>
                <w:rFonts w:cs="Arial"/>
                <w:bCs/>
                <w:sz w:val="16"/>
                <w:szCs w:val="16"/>
              </w:rPr>
              <w:t>c/kVA/d</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16.20</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16.52</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16.93</w:t>
            </w:r>
          </w:p>
        </w:tc>
      </w:tr>
      <w:tr w:rsidR="002E3CA8" w:rsidRPr="002E3CA8" w:rsidTr="00722C30">
        <w:trPr>
          <w:trHeight w:hRule="exact" w:val="397"/>
        </w:trPr>
        <w:tc>
          <w:tcPr>
            <w:tcW w:w="851" w:type="dxa"/>
            <w:vMerge w:val="restart"/>
            <w:shd w:val="clear" w:color="auto" w:fill="97C5EA"/>
            <w:vAlign w:val="center"/>
          </w:tcPr>
          <w:p w:rsidR="00750347" w:rsidRPr="00722C30" w:rsidRDefault="00750347" w:rsidP="00D66EE1">
            <w:pPr>
              <w:spacing w:before="120" w:after="120"/>
              <w:ind w:left="34"/>
              <w:jc w:val="center"/>
              <w:rPr>
                <w:rFonts w:cs="Arial"/>
                <w:bCs/>
                <w:color w:val="FFFFFF"/>
                <w:sz w:val="16"/>
                <w:szCs w:val="16"/>
              </w:rPr>
            </w:pPr>
            <w:r w:rsidRPr="00722C30">
              <w:rPr>
                <w:rFonts w:cs="Arial"/>
                <w:bCs/>
                <w:sz w:val="16"/>
                <w:szCs w:val="16"/>
              </w:rPr>
              <w:t>EA390</w:t>
            </w:r>
          </w:p>
        </w:tc>
        <w:tc>
          <w:tcPr>
            <w:tcW w:w="1417" w:type="dxa"/>
            <w:vMerge w:val="restart"/>
            <w:shd w:val="clear" w:color="auto" w:fill="97C5EA"/>
            <w:vAlign w:val="center"/>
          </w:tcPr>
          <w:p w:rsidR="00750347" w:rsidRPr="00722C30" w:rsidRDefault="00750347" w:rsidP="00D66EE1">
            <w:pPr>
              <w:spacing w:before="120" w:after="120" w:line="240" w:lineRule="exact"/>
              <w:jc w:val="center"/>
              <w:rPr>
                <w:rFonts w:cs="Arial"/>
                <w:bCs/>
                <w:sz w:val="16"/>
                <w:szCs w:val="16"/>
              </w:rPr>
            </w:pPr>
            <w:r w:rsidRPr="00722C30">
              <w:rPr>
                <w:rFonts w:cs="Arial"/>
                <w:bCs/>
                <w:sz w:val="16"/>
                <w:szCs w:val="16"/>
              </w:rPr>
              <w:t>Sub-transmission Voltage TOU Capacity (system) Tariff</w:t>
            </w: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Fixed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c/day</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5465.67</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5574.98</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5714.36</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Peak Energy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2.57</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2.58</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2.79</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Shoulder Energy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1.87</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1.87</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2.16</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 xml:space="preserve">Off-peak Energy Charge </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1.26</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1.27</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1.37</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 xml:space="preserve">Capacity Charge </w:t>
            </w:r>
          </w:p>
        </w:tc>
        <w:tc>
          <w:tcPr>
            <w:tcW w:w="993" w:type="dxa"/>
            <w:shd w:val="clear" w:color="auto" w:fill="DEEAF6"/>
          </w:tcPr>
          <w:p w:rsidR="00750347" w:rsidRPr="00722C30" w:rsidRDefault="00750347" w:rsidP="00D66EE1">
            <w:pPr>
              <w:spacing w:before="120" w:after="120"/>
              <w:ind w:left="33"/>
              <w:rPr>
                <w:rFonts w:cs="Arial"/>
                <w:bCs/>
                <w:sz w:val="16"/>
                <w:szCs w:val="16"/>
              </w:rPr>
            </w:pPr>
            <w:r w:rsidRPr="00722C30">
              <w:rPr>
                <w:rFonts w:cs="Arial"/>
                <w:bCs/>
                <w:sz w:val="16"/>
                <w:szCs w:val="16"/>
              </w:rPr>
              <w:t>c/kVA/d</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6.01</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6.13</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6.28</w:t>
            </w:r>
          </w:p>
        </w:tc>
      </w:tr>
      <w:tr w:rsidR="002E3CA8" w:rsidRPr="002E3CA8" w:rsidTr="00722C30">
        <w:trPr>
          <w:trHeight w:hRule="exact" w:val="397"/>
        </w:trPr>
        <w:tc>
          <w:tcPr>
            <w:tcW w:w="851" w:type="dxa"/>
            <w:vMerge w:val="restart"/>
            <w:shd w:val="clear" w:color="auto" w:fill="97C5EA"/>
            <w:vAlign w:val="center"/>
          </w:tcPr>
          <w:p w:rsidR="00750347" w:rsidRPr="00722C30" w:rsidRDefault="00750347" w:rsidP="00D66EE1">
            <w:pPr>
              <w:spacing w:before="120" w:after="120"/>
              <w:ind w:left="34"/>
              <w:jc w:val="center"/>
              <w:rPr>
                <w:rFonts w:cs="Arial"/>
                <w:bCs/>
                <w:color w:val="FFFFFF"/>
                <w:sz w:val="16"/>
                <w:szCs w:val="16"/>
              </w:rPr>
            </w:pPr>
            <w:r w:rsidRPr="00722C30">
              <w:rPr>
                <w:rFonts w:cs="Arial"/>
                <w:bCs/>
                <w:sz w:val="16"/>
                <w:szCs w:val="16"/>
              </w:rPr>
              <w:t>EA391</w:t>
            </w:r>
          </w:p>
        </w:tc>
        <w:tc>
          <w:tcPr>
            <w:tcW w:w="1417" w:type="dxa"/>
            <w:vMerge w:val="restart"/>
            <w:shd w:val="clear" w:color="auto" w:fill="97C5EA"/>
            <w:vAlign w:val="center"/>
          </w:tcPr>
          <w:p w:rsidR="00750347" w:rsidRPr="00722C30" w:rsidRDefault="00750347" w:rsidP="00D66EE1">
            <w:pPr>
              <w:spacing w:before="120" w:after="120" w:line="240" w:lineRule="exact"/>
              <w:jc w:val="center"/>
              <w:rPr>
                <w:rFonts w:cs="Arial"/>
                <w:bCs/>
                <w:sz w:val="16"/>
                <w:szCs w:val="16"/>
              </w:rPr>
            </w:pPr>
            <w:r w:rsidRPr="00722C30">
              <w:rPr>
                <w:rFonts w:cs="Arial"/>
                <w:bCs/>
                <w:sz w:val="16"/>
                <w:szCs w:val="16"/>
              </w:rPr>
              <w:t>Sub-transmission Voltage TOU Capacity (sub-station) Tariff</w:t>
            </w: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Fixed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c/day</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5465.67</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5574.98</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5714.36</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Peak Energy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2.30</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2.31</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2.50</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Shoulder Energy Charge</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1.68</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1.68</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1.94</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 xml:space="preserve">Off-peak Energy Charge </w:t>
            </w:r>
          </w:p>
        </w:tc>
        <w:tc>
          <w:tcPr>
            <w:tcW w:w="993" w:type="dxa"/>
            <w:shd w:val="clear" w:color="auto" w:fill="DEEAF6"/>
          </w:tcPr>
          <w:p w:rsidR="00750347" w:rsidRPr="00722C30" w:rsidRDefault="00750347" w:rsidP="00D66EE1">
            <w:pPr>
              <w:spacing w:before="120" w:after="120"/>
              <w:ind w:left="33"/>
              <w:rPr>
                <w:rFonts w:cs="Arial"/>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1.12</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1.12</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1.22</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 xml:space="preserve">Capacity Charge </w:t>
            </w:r>
          </w:p>
        </w:tc>
        <w:tc>
          <w:tcPr>
            <w:tcW w:w="993" w:type="dxa"/>
            <w:shd w:val="clear" w:color="auto" w:fill="DEEAF6"/>
          </w:tcPr>
          <w:p w:rsidR="00750347" w:rsidRPr="00722C30" w:rsidRDefault="00750347" w:rsidP="00D66EE1">
            <w:pPr>
              <w:spacing w:before="120" w:after="120"/>
              <w:ind w:left="33"/>
              <w:rPr>
                <w:rFonts w:cs="Arial"/>
                <w:bCs/>
                <w:sz w:val="16"/>
                <w:szCs w:val="16"/>
              </w:rPr>
            </w:pPr>
            <w:r w:rsidRPr="00722C30">
              <w:rPr>
                <w:rFonts w:cs="Arial"/>
                <w:bCs/>
                <w:sz w:val="16"/>
                <w:szCs w:val="16"/>
              </w:rPr>
              <w:t>c/kVA/d</w:t>
            </w:r>
          </w:p>
        </w:tc>
        <w:tc>
          <w:tcPr>
            <w:tcW w:w="1275"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5.20</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5.31</w:t>
            </w:r>
          </w:p>
        </w:tc>
        <w:tc>
          <w:tcPr>
            <w:tcW w:w="1276" w:type="dxa"/>
            <w:shd w:val="clear" w:color="auto" w:fill="DEEAF6"/>
            <w:vAlign w:val="center"/>
          </w:tcPr>
          <w:p w:rsidR="00750347" w:rsidRPr="00722C30" w:rsidRDefault="00750347" w:rsidP="000B761F">
            <w:pPr>
              <w:spacing w:before="120" w:after="120"/>
              <w:jc w:val="center"/>
              <w:rPr>
                <w:rFonts w:cs="Arial"/>
                <w:sz w:val="16"/>
                <w:szCs w:val="16"/>
                <w:highlight w:val="yellow"/>
              </w:rPr>
            </w:pPr>
            <w:r w:rsidRPr="00722C30">
              <w:rPr>
                <w:rFonts w:cs="Arial"/>
                <w:sz w:val="16"/>
                <w:szCs w:val="16"/>
              </w:rPr>
              <w:t>5.44</w:t>
            </w:r>
          </w:p>
        </w:tc>
      </w:tr>
      <w:tr w:rsidR="002E3CA8" w:rsidRPr="002E3CA8" w:rsidTr="00722C30">
        <w:trPr>
          <w:trHeight w:hRule="exact" w:val="397"/>
        </w:trPr>
        <w:tc>
          <w:tcPr>
            <w:tcW w:w="851" w:type="dxa"/>
            <w:vMerge w:val="restart"/>
            <w:shd w:val="clear" w:color="auto" w:fill="97C5EA"/>
            <w:vAlign w:val="center"/>
          </w:tcPr>
          <w:p w:rsidR="00750347" w:rsidRPr="00722C30" w:rsidRDefault="00750347" w:rsidP="0068721E">
            <w:pPr>
              <w:spacing w:before="120" w:after="120"/>
              <w:ind w:left="34"/>
              <w:jc w:val="center"/>
              <w:rPr>
                <w:rFonts w:cs="Arial"/>
                <w:bCs/>
                <w:sz w:val="16"/>
                <w:szCs w:val="16"/>
              </w:rPr>
            </w:pPr>
            <w:r w:rsidRPr="00722C30">
              <w:rPr>
                <w:rFonts w:cs="Arial"/>
                <w:bCs/>
                <w:sz w:val="16"/>
                <w:szCs w:val="16"/>
              </w:rPr>
              <w:t>EA501</w:t>
            </w:r>
          </w:p>
        </w:tc>
        <w:tc>
          <w:tcPr>
            <w:tcW w:w="1417" w:type="dxa"/>
            <w:vMerge w:val="restart"/>
            <w:shd w:val="clear" w:color="auto" w:fill="97C5EA"/>
            <w:vAlign w:val="center"/>
          </w:tcPr>
          <w:p w:rsidR="00750347" w:rsidRPr="00722C30" w:rsidRDefault="00750347">
            <w:pPr>
              <w:spacing w:before="120" w:after="120"/>
              <w:ind w:left="34"/>
              <w:jc w:val="center"/>
              <w:rPr>
                <w:rFonts w:cs="Arial"/>
                <w:bCs/>
                <w:sz w:val="16"/>
                <w:szCs w:val="16"/>
              </w:rPr>
            </w:pPr>
            <w:r w:rsidRPr="00722C30">
              <w:rPr>
                <w:rFonts w:cs="Arial"/>
                <w:bCs/>
                <w:sz w:val="16"/>
                <w:szCs w:val="16"/>
              </w:rPr>
              <w:t>Transmission-connected tariff</w:t>
            </w:r>
            <w:r w:rsidR="007D0321">
              <w:rPr>
                <w:rStyle w:val="FootnoteReference"/>
              </w:rPr>
              <w:footnoteReference w:id="36"/>
            </w: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Network Access Charge</w:t>
            </w:r>
          </w:p>
        </w:tc>
        <w:tc>
          <w:tcPr>
            <w:tcW w:w="993" w:type="dxa"/>
            <w:shd w:val="clear" w:color="auto" w:fill="DEEAF6"/>
          </w:tcPr>
          <w:p w:rsidR="00750347" w:rsidRPr="00722C30" w:rsidRDefault="00750347" w:rsidP="00D66EE1">
            <w:pPr>
              <w:spacing w:before="120" w:after="120"/>
              <w:ind w:left="33"/>
              <w:rPr>
                <w:rFonts w:cs="Arial"/>
                <w:bCs/>
                <w:sz w:val="16"/>
                <w:szCs w:val="16"/>
              </w:rPr>
            </w:pPr>
            <w:r w:rsidRPr="00722C30">
              <w:rPr>
                <w:rFonts w:cs="Arial"/>
                <w:bCs/>
                <w:sz w:val="16"/>
                <w:szCs w:val="16"/>
              </w:rPr>
              <w:t>c/day</w:t>
            </w:r>
          </w:p>
        </w:tc>
        <w:tc>
          <w:tcPr>
            <w:tcW w:w="1275"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0</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Peak Energy Price</w:t>
            </w:r>
          </w:p>
        </w:tc>
        <w:tc>
          <w:tcPr>
            <w:tcW w:w="993" w:type="dxa"/>
            <w:shd w:val="clear" w:color="auto" w:fill="DEEAF6"/>
          </w:tcPr>
          <w:p w:rsidR="00750347" w:rsidRPr="00722C30" w:rsidRDefault="00750347" w:rsidP="00D66EE1">
            <w:pPr>
              <w:spacing w:before="120" w:after="120"/>
              <w:ind w:left="33"/>
              <w:rPr>
                <w:rFonts w:cs="Arial"/>
                <w:bCs/>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750347">
            <w:pPr>
              <w:spacing w:before="120" w:after="120"/>
              <w:jc w:val="center"/>
              <w:rPr>
                <w:rFonts w:cs="Arial"/>
                <w:sz w:val="16"/>
                <w:szCs w:val="16"/>
              </w:rPr>
            </w:pPr>
            <w:r w:rsidRPr="00722C30">
              <w:rPr>
                <w:rFonts w:cs="Arial"/>
                <w:sz w:val="16"/>
                <w:szCs w:val="16"/>
              </w:rPr>
              <w:t>1.25</w:t>
            </w:r>
          </w:p>
          <w:p w:rsidR="00750347" w:rsidRPr="00722C30" w:rsidRDefault="00750347" w:rsidP="0068721E">
            <w:pPr>
              <w:spacing w:before="120" w:after="120"/>
              <w:rPr>
                <w:rFonts w:cs="Arial"/>
                <w:sz w:val="16"/>
                <w:szCs w:val="16"/>
              </w:rPr>
            </w:pP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Shoulder Energy Price</w:t>
            </w:r>
          </w:p>
        </w:tc>
        <w:tc>
          <w:tcPr>
            <w:tcW w:w="993" w:type="dxa"/>
            <w:shd w:val="clear" w:color="auto" w:fill="DEEAF6"/>
          </w:tcPr>
          <w:p w:rsidR="00750347" w:rsidRPr="00722C30" w:rsidRDefault="00750347" w:rsidP="00D66EE1">
            <w:pPr>
              <w:spacing w:before="120" w:after="120"/>
              <w:ind w:left="33"/>
              <w:rPr>
                <w:rFonts w:cs="Arial"/>
                <w:bCs/>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1.25</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Off-peak Energy Price</w:t>
            </w:r>
          </w:p>
        </w:tc>
        <w:tc>
          <w:tcPr>
            <w:tcW w:w="993" w:type="dxa"/>
            <w:shd w:val="clear" w:color="auto" w:fill="DEEAF6"/>
          </w:tcPr>
          <w:p w:rsidR="00750347" w:rsidRPr="00722C30" w:rsidRDefault="00750347" w:rsidP="00D66EE1">
            <w:pPr>
              <w:spacing w:before="120" w:after="120"/>
              <w:ind w:left="33"/>
              <w:rPr>
                <w:rFonts w:cs="Arial"/>
                <w:bCs/>
                <w:sz w:val="16"/>
                <w:szCs w:val="16"/>
              </w:rPr>
            </w:pPr>
            <w:r w:rsidRPr="00722C30">
              <w:rPr>
                <w:rFonts w:cs="Arial"/>
                <w:bCs/>
                <w:sz w:val="16"/>
                <w:szCs w:val="16"/>
              </w:rPr>
              <w:t>c/kWh</w:t>
            </w:r>
          </w:p>
        </w:tc>
        <w:tc>
          <w:tcPr>
            <w:tcW w:w="1275"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1.25</w:t>
            </w:r>
          </w:p>
        </w:tc>
      </w:tr>
      <w:tr w:rsidR="002E3CA8" w:rsidRPr="002E3CA8" w:rsidTr="00722C30">
        <w:trPr>
          <w:trHeight w:hRule="exact" w:val="397"/>
        </w:trPr>
        <w:tc>
          <w:tcPr>
            <w:tcW w:w="851" w:type="dxa"/>
            <w:vMerge/>
            <w:shd w:val="clear" w:color="auto" w:fill="97C5EA"/>
          </w:tcPr>
          <w:p w:rsidR="00750347" w:rsidRPr="00722C30" w:rsidRDefault="00750347" w:rsidP="00D66EE1">
            <w:pPr>
              <w:spacing w:before="120" w:after="120"/>
              <w:ind w:left="34"/>
              <w:rPr>
                <w:rFonts w:cs="Arial"/>
                <w:bCs/>
                <w:sz w:val="16"/>
                <w:szCs w:val="16"/>
              </w:rPr>
            </w:pPr>
          </w:p>
        </w:tc>
        <w:tc>
          <w:tcPr>
            <w:tcW w:w="1417" w:type="dxa"/>
            <w:vMerge/>
            <w:shd w:val="clear" w:color="auto" w:fill="97C5EA"/>
          </w:tcPr>
          <w:p w:rsidR="00750347" w:rsidRPr="00722C30" w:rsidRDefault="00750347" w:rsidP="00D66EE1">
            <w:pPr>
              <w:spacing w:before="120" w:after="120"/>
              <w:ind w:left="34"/>
              <w:rPr>
                <w:rFonts w:cs="Arial"/>
                <w:bCs/>
                <w:sz w:val="16"/>
                <w:szCs w:val="16"/>
              </w:rPr>
            </w:pPr>
          </w:p>
        </w:tc>
        <w:tc>
          <w:tcPr>
            <w:tcW w:w="2268" w:type="dxa"/>
            <w:shd w:val="clear" w:color="auto" w:fill="C6D9F1"/>
          </w:tcPr>
          <w:p w:rsidR="00750347" w:rsidRPr="00722C30" w:rsidRDefault="00750347" w:rsidP="00D66EE1">
            <w:pPr>
              <w:spacing w:before="120" w:after="120"/>
              <w:ind w:left="34"/>
              <w:rPr>
                <w:rFonts w:cs="Arial"/>
                <w:bCs/>
                <w:sz w:val="16"/>
                <w:szCs w:val="16"/>
              </w:rPr>
            </w:pPr>
            <w:r w:rsidRPr="00722C30">
              <w:rPr>
                <w:rFonts w:cs="Arial"/>
                <w:bCs/>
                <w:sz w:val="16"/>
                <w:szCs w:val="16"/>
              </w:rPr>
              <w:t>Capacity Charge</w:t>
            </w:r>
          </w:p>
        </w:tc>
        <w:tc>
          <w:tcPr>
            <w:tcW w:w="993" w:type="dxa"/>
            <w:shd w:val="clear" w:color="auto" w:fill="DEEAF6"/>
          </w:tcPr>
          <w:p w:rsidR="00750347" w:rsidRPr="00722C30" w:rsidRDefault="00750347" w:rsidP="00D66EE1">
            <w:pPr>
              <w:spacing w:before="120" w:after="120"/>
              <w:ind w:left="33"/>
              <w:rPr>
                <w:rFonts w:cs="Arial"/>
                <w:bCs/>
                <w:sz w:val="16"/>
                <w:szCs w:val="16"/>
              </w:rPr>
            </w:pPr>
            <w:r w:rsidRPr="00722C30">
              <w:rPr>
                <w:rFonts w:cs="Arial"/>
                <w:bCs/>
                <w:sz w:val="16"/>
                <w:szCs w:val="16"/>
              </w:rPr>
              <w:t>c/kVA/d</w:t>
            </w:r>
          </w:p>
        </w:tc>
        <w:tc>
          <w:tcPr>
            <w:tcW w:w="1275"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w:t>
            </w:r>
          </w:p>
        </w:tc>
        <w:tc>
          <w:tcPr>
            <w:tcW w:w="1276" w:type="dxa"/>
            <w:shd w:val="clear" w:color="auto" w:fill="DEEAF6"/>
            <w:vAlign w:val="center"/>
          </w:tcPr>
          <w:p w:rsidR="00750347" w:rsidRPr="00722C30" w:rsidRDefault="00750347" w:rsidP="000B761F">
            <w:pPr>
              <w:spacing w:before="120" w:after="120"/>
              <w:jc w:val="center"/>
              <w:rPr>
                <w:rFonts w:cs="Arial"/>
                <w:sz w:val="16"/>
                <w:szCs w:val="16"/>
              </w:rPr>
            </w:pPr>
            <w:r w:rsidRPr="00722C30">
              <w:rPr>
                <w:rFonts w:cs="Arial"/>
                <w:sz w:val="16"/>
                <w:szCs w:val="16"/>
              </w:rPr>
              <w:t>3.10</w:t>
            </w:r>
          </w:p>
        </w:tc>
      </w:tr>
    </w:tbl>
    <w:p w:rsidR="00D87F99" w:rsidRDefault="00D87F99" w:rsidP="0071162E">
      <w:pPr>
        <w:spacing w:before="120" w:after="120" w:line="240" w:lineRule="exact"/>
        <w:rPr>
          <w:rFonts w:cs="Arial"/>
          <w:szCs w:val="18"/>
        </w:rPr>
      </w:pPr>
    </w:p>
    <w:p w:rsidR="00683B1E" w:rsidRPr="002E3CA8" w:rsidRDefault="00585659">
      <w:pPr>
        <w:pStyle w:val="Heading1"/>
      </w:pPr>
      <w:bookmarkStart w:id="2038" w:name="_Ref462065804"/>
      <w:bookmarkStart w:id="2039" w:name="_Toc475527445"/>
      <w:r w:rsidRPr="002E3CA8">
        <w:lastRenderedPageBreak/>
        <w:t>Customer Impacts Analysis</w:t>
      </w:r>
      <w:bookmarkEnd w:id="2038"/>
      <w:bookmarkEnd w:id="2039"/>
    </w:p>
    <w:p w:rsidR="00585659" w:rsidRPr="00715D79" w:rsidRDefault="00585659">
      <w:pPr>
        <w:pStyle w:val="Heading2"/>
      </w:pPr>
      <w:bookmarkStart w:id="2040" w:name="_Ref462995830"/>
      <w:bookmarkStart w:id="2041" w:name="_Ref462997700"/>
      <w:bookmarkStart w:id="2042" w:name="_Toc475527446"/>
      <w:r w:rsidRPr="00715D79">
        <w:t xml:space="preserve">Residential </w:t>
      </w:r>
      <w:r>
        <w:t>C</w:t>
      </w:r>
      <w:r w:rsidRPr="00715D79">
        <w:t>ustomer</w:t>
      </w:r>
      <w:r>
        <w:t>s</w:t>
      </w:r>
      <w:bookmarkEnd w:id="2040"/>
      <w:bookmarkEnd w:id="2041"/>
      <w:bookmarkEnd w:id="2042"/>
    </w:p>
    <w:p w:rsidR="00585659" w:rsidRPr="00722C30" w:rsidRDefault="006F3EEB" w:rsidP="00BD7A0B">
      <w:pPr>
        <w:pStyle w:val="BodyText"/>
        <w:rPr>
          <w:rStyle w:val="AERbody"/>
        </w:rPr>
      </w:pPr>
      <w:r w:rsidRPr="00722C30">
        <w:rPr>
          <w:rStyle w:val="AERbody"/>
        </w:rPr>
        <w:fldChar w:fldCharType="begin"/>
      </w:r>
      <w:r w:rsidRPr="00722C30">
        <w:rPr>
          <w:rStyle w:val="AERbody"/>
        </w:rPr>
        <w:instrText xml:space="preserve"> REF _Ref462067251 \h  \* MERGEFORMAT </w:instrText>
      </w:r>
      <w:r w:rsidRPr="00722C30">
        <w:rPr>
          <w:rStyle w:val="AERbody"/>
        </w:rPr>
      </w:r>
      <w:r w:rsidRPr="00722C30">
        <w:rPr>
          <w:rStyle w:val="AERbody"/>
        </w:rPr>
        <w:fldChar w:fldCharType="separate"/>
      </w:r>
      <w:r w:rsidR="00BE0834" w:rsidRPr="00BE0834">
        <w:rPr>
          <w:rStyle w:val="AERbody"/>
        </w:rPr>
        <w:t>Figure 14</w:t>
      </w:r>
      <w:r w:rsidRPr="00722C30">
        <w:rPr>
          <w:rStyle w:val="AERbody"/>
        </w:rPr>
        <w:fldChar w:fldCharType="end"/>
      </w:r>
      <w:r w:rsidRPr="00722C30">
        <w:rPr>
          <w:rStyle w:val="AERbody"/>
        </w:rPr>
        <w:t xml:space="preserve"> </w:t>
      </w:r>
      <w:r w:rsidR="008764D8" w:rsidRPr="00722C30">
        <w:rPr>
          <w:rStyle w:val="AERbody"/>
        </w:rPr>
        <w:t>below illustrates that customers on a non-TOU tariff will experience a bill change broadly in line with the RBA’s inflation target of 2 to 3 per cent.</w:t>
      </w:r>
      <w:r w:rsidR="005A1720" w:rsidRPr="00722C30">
        <w:rPr>
          <w:rStyle w:val="AERbody"/>
        </w:rPr>
        <w:t xml:space="preserve"> Of course, the move from a DBT to a flat tariff means that the very large residential customers (of which there are very few) on the flat tariff </w:t>
      </w:r>
      <w:r w:rsidR="00D368EF">
        <w:rPr>
          <w:rStyle w:val="AERbody"/>
        </w:rPr>
        <w:t>may</w:t>
      </w:r>
      <w:r w:rsidR="00D368EF" w:rsidRPr="00722C30">
        <w:rPr>
          <w:rStyle w:val="AERbody"/>
        </w:rPr>
        <w:t xml:space="preserve"> </w:t>
      </w:r>
      <w:r w:rsidR="005A1720" w:rsidRPr="00722C30">
        <w:rPr>
          <w:rStyle w:val="AERbody"/>
        </w:rPr>
        <w:t xml:space="preserve">experience a </w:t>
      </w:r>
      <w:r w:rsidR="00D368EF">
        <w:rPr>
          <w:rStyle w:val="AERbody"/>
        </w:rPr>
        <w:t>marginally</w:t>
      </w:r>
      <w:r w:rsidR="00D368EF" w:rsidRPr="00722C30">
        <w:rPr>
          <w:rStyle w:val="AERbody"/>
        </w:rPr>
        <w:t xml:space="preserve"> </w:t>
      </w:r>
      <w:r w:rsidR="005A1720" w:rsidRPr="00722C30">
        <w:rPr>
          <w:rStyle w:val="AERbody"/>
        </w:rPr>
        <w:t xml:space="preserve">larger increase in their bill, since most of their consumption was </w:t>
      </w:r>
      <w:r w:rsidR="008E293E">
        <w:rPr>
          <w:rStyle w:val="AERbody"/>
        </w:rPr>
        <w:t xml:space="preserve">previously </w:t>
      </w:r>
      <w:r w:rsidR="005A1720" w:rsidRPr="00722C30">
        <w:rPr>
          <w:rStyle w:val="AERbody"/>
        </w:rPr>
        <w:t>in the last</w:t>
      </w:r>
      <w:r w:rsidR="008E293E">
        <w:rPr>
          <w:rStyle w:val="AERbody"/>
        </w:rPr>
        <w:t xml:space="preserve"> (and cheapest)</w:t>
      </w:r>
      <w:r w:rsidR="005A1720" w:rsidRPr="00722C30">
        <w:rPr>
          <w:rStyle w:val="AERbody"/>
        </w:rPr>
        <w:t xml:space="preserve"> block of the DBT. However, these customers face the largest incentive to move to a TOU tariff, as show</w:t>
      </w:r>
      <w:r w:rsidR="008E293E">
        <w:rPr>
          <w:rStyle w:val="AERbody"/>
        </w:rPr>
        <w:t>n later</w:t>
      </w:r>
      <w:r w:rsidR="005A1720" w:rsidRPr="00722C30">
        <w:rPr>
          <w:rStyle w:val="AERbody"/>
        </w:rPr>
        <w:t xml:space="preserve"> in </w:t>
      </w:r>
      <w:r w:rsidR="005A1720" w:rsidRPr="00722C30">
        <w:rPr>
          <w:rStyle w:val="AERbody"/>
        </w:rPr>
        <w:fldChar w:fldCharType="begin"/>
      </w:r>
      <w:r w:rsidR="005A1720" w:rsidRPr="00722C30">
        <w:rPr>
          <w:rStyle w:val="AERbody"/>
        </w:rPr>
        <w:instrText xml:space="preserve"> REF _Ref462067252 \h </w:instrText>
      </w:r>
      <w:r w:rsidR="005A1720" w:rsidRPr="00722C30">
        <w:rPr>
          <w:rStyle w:val="AERbody"/>
        </w:rPr>
      </w:r>
      <w:r w:rsidR="005A1720" w:rsidRPr="00722C30">
        <w:rPr>
          <w:rStyle w:val="AERbody"/>
        </w:rPr>
        <w:fldChar w:fldCharType="separate"/>
      </w:r>
      <w:r w:rsidR="00BE0834" w:rsidRPr="00722C30">
        <w:t xml:space="preserve">Figure </w:t>
      </w:r>
      <w:r w:rsidR="00BE0834">
        <w:t>16</w:t>
      </w:r>
      <w:r w:rsidR="005A1720" w:rsidRPr="00722C30">
        <w:rPr>
          <w:rStyle w:val="AERbody"/>
        </w:rPr>
        <w:fldChar w:fldCharType="end"/>
      </w:r>
      <w:r w:rsidR="005A1720" w:rsidRPr="00722C30">
        <w:rPr>
          <w:rStyle w:val="AERbody"/>
        </w:rPr>
        <w:t>.</w:t>
      </w:r>
    </w:p>
    <w:p w:rsidR="008764D8" w:rsidRPr="00715D79" w:rsidRDefault="005A1720">
      <w:pPr>
        <w:pStyle w:val="Caption"/>
      </w:pPr>
      <w:bookmarkStart w:id="2043" w:name="_Ref462067251"/>
      <w:r w:rsidRPr="00715D79">
        <w:t xml:space="preserve">Figure </w:t>
      </w:r>
      <w:fldSimple w:instr=" SEQ Figure \* ARABIC ">
        <w:r w:rsidR="00BE0834">
          <w:rPr>
            <w:noProof/>
          </w:rPr>
          <w:t>14</w:t>
        </w:r>
      </w:fldSimple>
      <w:bookmarkEnd w:id="2043"/>
      <w:r w:rsidRPr="00715D79">
        <w:t xml:space="preserve"> – FY17-FY19 Customer Bill Impact – EA010 (</w:t>
      </w:r>
      <w:r w:rsidR="00750347">
        <w:t>R</w:t>
      </w:r>
      <w:r w:rsidR="00750347" w:rsidRPr="00715D79">
        <w:t xml:space="preserve">esidential </w:t>
      </w:r>
      <w:r w:rsidRPr="00715D79">
        <w:t>flat tariff)</w:t>
      </w:r>
    </w:p>
    <w:p w:rsidR="008764D8" w:rsidRDefault="007C1AC8" w:rsidP="00715D79">
      <w:pPr>
        <w:ind w:left="851"/>
      </w:pPr>
      <w:r w:rsidRPr="007C1AC8">
        <w:rPr>
          <w:noProof/>
          <w:lang w:val="en-AU" w:eastAsia="en-AU"/>
        </w:rPr>
        <w:drawing>
          <wp:inline distT="0" distB="0" distL="0" distR="0" wp14:anchorId="1A258603" wp14:editId="2C92E20E">
            <wp:extent cx="5133975" cy="2580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0098" cy="2583147"/>
                    </a:xfrm>
                    <a:prstGeom prst="rect">
                      <a:avLst/>
                    </a:prstGeom>
                    <a:noFill/>
                    <a:ln>
                      <a:noFill/>
                    </a:ln>
                  </pic:spPr>
                </pic:pic>
              </a:graphicData>
            </a:graphic>
          </wp:inline>
        </w:drawing>
      </w:r>
    </w:p>
    <w:p w:rsidR="005A1720" w:rsidRPr="00722C30" w:rsidRDefault="00907CF8" w:rsidP="00BD7A0B">
      <w:pPr>
        <w:pStyle w:val="BodyText"/>
        <w:rPr>
          <w:rStyle w:val="AERbody"/>
        </w:rPr>
      </w:pPr>
      <w:r>
        <w:rPr>
          <w:rStyle w:val="AERbody"/>
        </w:rPr>
        <w:fldChar w:fldCharType="begin"/>
      </w:r>
      <w:r>
        <w:rPr>
          <w:rStyle w:val="AERbody"/>
        </w:rPr>
        <w:instrText xml:space="preserve"> REF _Ref462997290 \h </w:instrText>
      </w:r>
      <w:r>
        <w:rPr>
          <w:rStyle w:val="AERbody"/>
        </w:rPr>
      </w:r>
      <w:r>
        <w:rPr>
          <w:rStyle w:val="AERbody"/>
        </w:rPr>
        <w:fldChar w:fldCharType="separate"/>
      </w:r>
      <w:r w:rsidR="00BE0834" w:rsidRPr="00715D79">
        <w:t xml:space="preserve">Figure </w:t>
      </w:r>
      <w:r w:rsidR="00BE0834">
        <w:t>15</w:t>
      </w:r>
      <w:r>
        <w:rPr>
          <w:rStyle w:val="AERbody"/>
        </w:rPr>
        <w:fldChar w:fldCharType="end"/>
      </w:r>
      <w:r w:rsidR="005A1720" w:rsidRPr="00722C30">
        <w:rPr>
          <w:rStyle w:val="AERbody"/>
        </w:rPr>
        <w:t xml:space="preserve"> illustrates that, even assuming no demand response, approximately </w:t>
      </w:r>
      <w:r>
        <w:rPr>
          <w:rStyle w:val="AERbody"/>
        </w:rPr>
        <w:t>60 per cent</w:t>
      </w:r>
      <w:r w:rsidR="005A1720" w:rsidRPr="00722C30">
        <w:rPr>
          <w:rStyle w:val="AERbody"/>
        </w:rPr>
        <w:t xml:space="preserve"> residential TOU customers </w:t>
      </w:r>
      <w:r w:rsidR="006F3EEB" w:rsidRPr="00722C30">
        <w:rPr>
          <w:rStyle w:val="AERbody"/>
        </w:rPr>
        <w:t xml:space="preserve">are expected to </w:t>
      </w:r>
      <w:r w:rsidR="005A1720" w:rsidRPr="00722C30">
        <w:rPr>
          <w:rStyle w:val="AERbody"/>
        </w:rPr>
        <w:t>receive a bill reduction and, for the remaining customers, the bill changes will be</w:t>
      </w:r>
      <w:r w:rsidR="008E293E">
        <w:rPr>
          <w:rStyle w:val="AERbody"/>
        </w:rPr>
        <w:t xml:space="preserve"> on average</w:t>
      </w:r>
      <w:r w:rsidR="005A1720" w:rsidRPr="00722C30">
        <w:rPr>
          <w:rStyle w:val="AERbody"/>
        </w:rPr>
        <w:t xml:space="preserve"> in line with the RBA’s inflation target of 2 to 3 per cent. The below analysis assumes no demand response from customers and so it is conservative in nature, ie, customers could realise even greater bill reductions if they change their usage patterns in response to the TOU price signals.</w:t>
      </w:r>
    </w:p>
    <w:p w:rsidR="002E3CA8" w:rsidRDefault="002E3CA8" w:rsidP="007D0321">
      <w:pPr>
        <w:pStyle w:val="BodyText"/>
        <w:rPr>
          <w:rFonts w:ascii="Arial Bold" w:hAnsi="Arial Bold"/>
        </w:rPr>
      </w:pPr>
      <w:bookmarkStart w:id="2044" w:name="_Ref462067250"/>
      <w:r>
        <w:br w:type="page"/>
      </w:r>
    </w:p>
    <w:p w:rsidR="005A1720" w:rsidRPr="00715D79" w:rsidRDefault="005A1720" w:rsidP="00722C30">
      <w:pPr>
        <w:pStyle w:val="Caption"/>
      </w:pPr>
      <w:bookmarkStart w:id="2045" w:name="_Ref462997290"/>
      <w:r w:rsidRPr="00715D79">
        <w:lastRenderedPageBreak/>
        <w:t xml:space="preserve">Figure </w:t>
      </w:r>
      <w:fldSimple w:instr=" SEQ Figure \* ARABIC ">
        <w:r w:rsidR="00BE0834">
          <w:rPr>
            <w:noProof/>
          </w:rPr>
          <w:t>15</w:t>
        </w:r>
      </w:fldSimple>
      <w:bookmarkEnd w:id="2044"/>
      <w:bookmarkEnd w:id="2045"/>
      <w:r w:rsidRPr="00715D79">
        <w:t xml:space="preserve"> </w:t>
      </w:r>
      <w:r w:rsidRPr="00715D79">
        <w:rPr>
          <w:rFonts w:hint="eastAsia"/>
        </w:rPr>
        <w:t>–</w:t>
      </w:r>
      <w:r w:rsidRPr="00715D79">
        <w:t xml:space="preserve"> FY17</w:t>
      </w:r>
      <w:r w:rsidR="007C1AC8" w:rsidRPr="00715D79">
        <w:t xml:space="preserve"> to </w:t>
      </w:r>
      <w:r w:rsidRPr="00715D79">
        <w:t xml:space="preserve">FY19 Customer Bill Impact </w:t>
      </w:r>
      <w:r w:rsidRPr="00715D79">
        <w:rPr>
          <w:rFonts w:hint="eastAsia"/>
        </w:rPr>
        <w:t>–</w:t>
      </w:r>
      <w:r w:rsidRPr="00715D79">
        <w:t xml:space="preserve"> E</w:t>
      </w:r>
      <w:r w:rsidR="007C1AC8" w:rsidRPr="00715D79">
        <w:t>A025 (R</w:t>
      </w:r>
      <w:r w:rsidRPr="00715D79">
        <w:t>esidential TOU tariff)</w:t>
      </w:r>
    </w:p>
    <w:p w:rsidR="00585659" w:rsidRDefault="00380580" w:rsidP="00715D79">
      <w:pPr>
        <w:ind w:left="851"/>
      </w:pPr>
      <w:r w:rsidRPr="00380580">
        <w:rPr>
          <w:noProof/>
          <w:lang w:val="en-AU" w:eastAsia="en-AU"/>
        </w:rPr>
        <w:drawing>
          <wp:inline distT="0" distB="0" distL="0" distR="0" wp14:anchorId="4B8718C5" wp14:editId="78AA0CD7">
            <wp:extent cx="5276850" cy="300800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9677" cy="3009621"/>
                    </a:xfrm>
                    <a:prstGeom prst="rect">
                      <a:avLst/>
                    </a:prstGeom>
                    <a:noFill/>
                    <a:ln>
                      <a:noFill/>
                    </a:ln>
                  </pic:spPr>
                </pic:pic>
              </a:graphicData>
            </a:graphic>
          </wp:inline>
        </w:drawing>
      </w:r>
    </w:p>
    <w:p w:rsidR="005A1720" w:rsidRPr="00722C30" w:rsidRDefault="005A1720" w:rsidP="00BD7A0B">
      <w:pPr>
        <w:pStyle w:val="BodyText"/>
        <w:rPr>
          <w:rStyle w:val="AERbody"/>
        </w:rPr>
      </w:pPr>
      <w:r w:rsidRPr="00722C30">
        <w:rPr>
          <w:rStyle w:val="AERbody"/>
        </w:rPr>
        <w:fldChar w:fldCharType="begin"/>
      </w:r>
      <w:r w:rsidRPr="00722C30">
        <w:rPr>
          <w:rStyle w:val="AERbody"/>
        </w:rPr>
        <w:instrText xml:space="preserve"> REF _Ref462067252 \h </w:instrText>
      </w:r>
      <w:r w:rsidR="00750347" w:rsidRPr="00722C30">
        <w:rPr>
          <w:rStyle w:val="AERbody"/>
        </w:rPr>
        <w:instrText xml:space="preserve"> \* MERGEFORMAT </w:instrText>
      </w:r>
      <w:r w:rsidRPr="00722C30">
        <w:rPr>
          <w:rStyle w:val="AERbody"/>
        </w:rPr>
      </w:r>
      <w:r w:rsidRPr="00722C30">
        <w:rPr>
          <w:rStyle w:val="AERbody"/>
        </w:rPr>
        <w:fldChar w:fldCharType="separate"/>
      </w:r>
      <w:r w:rsidR="00BE0834" w:rsidRPr="00BE0834">
        <w:rPr>
          <w:rStyle w:val="AERbody"/>
        </w:rPr>
        <w:t>Figure 16</w:t>
      </w:r>
      <w:r w:rsidRPr="00722C30">
        <w:rPr>
          <w:rStyle w:val="AERbody"/>
        </w:rPr>
        <w:fldChar w:fldCharType="end"/>
      </w:r>
      <w:r w:rsidRPr="00722C30">
        <w:rPr>
          <w:rStyle w:val="AERbody"/>
        </w:rPr>
        <w:t xml:space="preserve"> below shows that almost all customers on the non-TOU flat tariff would be better off on the TOU tariff. Further, the vertical dispersion of TOU bill outcomes illustrates the potential bill savings that can be achieved by </w:t>
      </w:r>
      <w:r w:rsidR="007C1AC8" w:rsidRPr="00722C30">
        <w:rPr>
          <w:rStyle w:val="AERbody"/>
        </w:rPr>
        <w:t>changing</w:t>
      </w:r>
      <w:r w:rsidRPr="00722C30">
        <w:rPr>
          <w:rStyle w:val="AERbody"/>
        </w:rPr>
        <w:t xml:space="preserve"> usage patterns. Our sam</w:t>
      </w:r>
      <w:r w:rsidR="007C1AC8" w:rsidRPr="00722C30">
        <w:rPr>
          <w:rStyle w:val="AERbody"/>
        </w:rPr>
        <w:t>p</w:t>
      </w:r>
      <w:r w:rsidRPr="00722C30">
        <w:rPr>
          <w:rStyle w:val="AERbody"/>
        </w:rPr>
        <w:t xml:space="preserve">le of 5,000 customers indicated that the network bill outcome for customers using around 5,000kWh a year in FY19 will range from approximately $530 to $750, where this difference </w:t>
      </w:r>
      <w:r w:rsidR="007C1AC8" w:rsidRPr="00722C30">
        <w:rPr>
          <w:rStyle w:val="AERbody"/>
        </w:rPr>
        <w:t xml:space="preserve">in bill outcomes </w:t>
      </w:r>
      <w:r w:rsidRPr="00722C30">
        <w:rPr>
          <w:rStyle w:val="AERbody"/>
        </w:rPr>
        <w:t>is attributable to different usage patterns.</w:t>
      </w:r>
    </w:p>
    <w:p w:rsidR="005A1720" w:rsidRPr="00722C30" w:rsidRDefault="005A1720" w:rsidP="00722C30">
      <w:pPr>
        <w:pStyle w:val="Caption"/>
      </w:pPr>
      <w:bookmarkStart w:id="2046" w:name="_Ref462067252"/>
      <w:r w:rsidRPr="00722C30">
        <w:t xml:space="preserve">Figure </w:t>
      </w:r>
      <w:fldSimple w:instr=" SEQ Figure \* ARABIC ">
        <w:r w:rsidR="00BE0834">
          <w:rPr>
            <w:noProof/>
          </w:rPr>
          <w:t>16</w:t>
        </w:r>
      </w:fldSimple>
      <w:bookmarkEnd w:id="2046"/>
      <w:r w:rsidRPr="00722C30">
        <w:t xml:space="preserve"> </w:t>
      </w:r>
      <w:r w:rsidRPr="00722C30">
        <w:rPr>
          <w:rFonts w:hint="eastAsia"/>
        </w:rPr>
        <w:t>–</w:t>
      </w:r>
      <w:r w:rsidRPr="00722C30">
        <w:t xml:space="preserve"> FY19 bill differential between residential TOU and flat tariff (EA010 v EA025)</w:t>
      </w:r>
    </w:p>
    <w:p w:rsidR="005A1720" w:rsidRDefault="007C1AC8" w:rsidP="00715D79">
      <w:pPr>
        <w:ind w:left="851"/>
      </w:pPr>
      <w:r w:rsidRPr="007C1AC8">
        <w:rPr>
          <w:noProof/>
          <w:lang w:val="en-AU" w:eastAsia="en-AU"/>
        </w:rPr>
        <w:drawing>
          <wp:inline distT="0" distB="0" distL="0" distR="0" wp14:anchorId="1066BFE1" wp14:editId="46C7CD9B">
            <wp:extent cx="5273476" cy="3243532"/>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4702" cy="3244286"/>
                    </a:xfrm>
                    <a:prstGeom prst="rect">
                      <a:avLst/>
                    </a:prstGeom>
                    <a:noFill/>
                    <a:ln>
                      <a:noFill/>
                    </a:ln>
                  </pic:spPr>
                </pic:pic>
              </a:graphicData>
            </a:graphic>
          </wp:inline>
        </w:drawing>
      </w:r>
    </w:p>
    <w:p w:rsidR="005A1720" w:rsidRPr="00722C30" w:rsidRDefault="007C1AC8" w:rsidP="00BD7A0B">
      <w:pPr>
        <w:pStyle w:val="BodyText"/>
        <w:rPr>
          <w:rStyle w:val="AERbody"/>
        </w:rPr>
      </w:pPr>
      <w:r w:rsidRPr="00722C30">
        <w:rPr>
          <w:rStyle w:val="AERbody"/>
        </w:rPr>
        <w:t>Our analysis of customer impacts for business customers is presented on the next page.</w:t>
      </w:r>
    </w:p>
    <w:p w:rsidR="002E3CA8" w:rsidRPr="00722C30" w:rsidRDefault="002E3CA8" w:rsidP="00722C30">
      <w:pPr>
        <w:rPr>
          <w:rFonts w:eastAsia="Cambria"/>
        </w:rPr>
      </w:pPr>
      <w:r w:rsidRPr="002E3CA8">
        <w:br w:type="page"/>
      </w:r>
    </w:p>
    <w:p w:rsidR="00585659" w:rsidRPr="00715D79" w:rsidRDefault="00585659" w:rsidP="00722C30">
      <w:pPr>
        <w:pStyle w:val="Heading2"/>
      </w:pPr>
      <w:bookmarkStart w:id="2047" w:name="_Toc475527447"/>
      <w:r>
        <w:lastRenderedPageBreak/>
        <w:t>Business Customers</w:t>
      </w:r>
      <w:bookmarkEnd w:id="2047"/>
      <w:r>
        <w:t xml:space="preserve"> </w:t>
      </w:r>
    </w:p>
    <w:p w:rsidR="005A1720" w:rsidRPr="00722C30" w:rsidRDefault="00585659" w:rsidP="00BD7A0B">
      <w:pPr>
        <w:pStyle w:val="BodyText"/>
        <w:rPr>
          <w:rStyle w:val="AERbody"/>
        </w:rPr>
      </w:pPr>
      <w:bookmarkStart w:id="2048" w:name="_Toc461724739"/>
      <w:bookmarkStart w:id="2049" w:name="_Toc461724740"/>
      <w:bookmarkStart w:id="2050" w:name="_Toc461724741"/>
      <w:bookmarkStart w:id="2051" w:name="_Toc461724742"/>
      <w:bookmarkStart w:id="2052" w:name="_Toc461724743"/>
      <w:bookmarkStart w:id="2053" w:name="_Toc461724744"/>
      <w:bookmarkStart w:id="2054" w:name="_Toc461724745"/>
      <w:bookmarkStart w:id="2055" w:name="_Toc461724746"/>
      <w:bookmarkStart w:id="2056" w:name="_Toc461724747"/>
      <w:bookmarkStart w:id="2057" w:name="_Toc461724748"/>
      <w:bookmarkStart w:id="2058" w:name="_Toc461724749"/>
      <w:bookmarkStart w:id="2059" w:name="_Toc461724750"/>
      <w:bookmarkStart w:id="2060" w:name="_Toc461960581"/>
      <w:bookmarkStart w:id="2061" w:name="_Toc461960582"/>
      <w:bookmarkStart w:id="2062" w:name="_Toc461960583"/>
      <w:bookmarkStart w:id="2063" w:name="_Toc461960584"/>
      <w:bookmarkStart w:id="2064" w:name="_Toc461960585"/>
      <w:bookmarkStart w:id="2065" w:name="_Toc461960586"/>
      <w:bookmarkStart w:id="2066" w:name="_Toc461960587"/>
      <w:bookmarkStart w:id="2067" w:name="_Toc461960588"/>
      <w:bookmarkStart w:id="2068" w:name="_Toc461960589"/>
      <w:bookmarkStart w:id="2069" w:name="_Toc461960590"/>
      <w:bookmarkStart w:id="2070" w:name="_Toc461960591"/>
      <w:bookmarkStart w:id="2071" w:name="_Toc461960592"/>
      <w:bookmarkStart w:id="2072" w:name="_Toc461960593"/>
      <w:bookmarkStart w:id="2073" w:name="_Toc461960594"/>
      <w:bookmarkStart w:id="2074" w:name="_Toc461960595"/>
      <w:bookmarkStart w:id="2075" w:name="_Toc461960613"/>
      <w:bookmarkStart w:id="2076" w:name="_Toc461960621"/>
      <w:bookmarkStart w:id="2077" w:name="_Toc461960629"/>
      <w:bookmarkStart w:id="2078" w:name="_Toc461960646"/>
      <w:bookmarkStart w:id="2079" w:name="_Toc461960654"/>
      <w:bookmarkStart w:id="2080" w:name="_Toc461960671"/>
      <w:bookmarkStart w:id="2081" w:name="_Toc461960679"/>
      <w:bookmarkStart w:id="2082" w:name="_Toc461960687"/>
      <w:bookmarkStart w:id="2083" w:name="_Toc461960704"/>
      <w:bookmarkStart w:id="2084" w:name="_Toc461960712"/>
      <w:bookmarkStart w:id="2085" w:name="_Toc461960720"/>
      <w:bookmarkStart w:id="2086" w:name="_Toc461960736"/>
      <w:bookmarkStart w:id="2087" w:name="_Toc461960744"/>
      <w:bookmarkStart w:id="2088" w:name="_Toc461960752"/>
      <w:bookmarkStart w:id="2089" w:name="_Toc461960760"/>
      <w:bookmarkStart w:id="2090" w:name="_Toc461960777"/>
      <w:bookmarkStart w:id="2091" w:name="_Toc461960785"/>
      <w:bookmarkStart w:id="2092" w:name="_Toc461960793"/>
      <w:bookmarkStart w:id="2093" w:name="_Toc461960801"/>
      <w:bookmarkStart w:id="2094" w:name="_Toc461960811"/>
      <w:bookmarkStart w:id="2095" w:name="_Toc461960812"/>
      <w:bookmarkStart w:id="2096" w:name="_Toc461960830"/>
      <w:bookmarkStart w:id="2097" w:name="_Toc461960838"/>
      <w:bookmarkStart w:id="2098" w:name="_Toc461960846"/>
      <w:bookmarkStart w:id="2099" w:name="_Toc461960863"/>
      <w:bookmarkStart w:id="2100" w:name="_Toc461960871"/>
      <w:bookmarkStart w:id="2101" w:name="_Toc461960888"/>
      <w:bookmarkStart w:id="2102" w:name="_Toc461960896"/>
      <w:bookmarkStart w:id="2103" w:name="_Toc461960904"/>
      <w:bookmarkStart w:id="2104" w:name="_Toc461960921"/>
      <w:bookmarkStart w:id="2105" w:name="_Toc461960929"/>
      <w:bookmarkStart w:id="2106" w:name="_Toc461960937"/>
      <w:bookmarkStart w:id="2107" w:name="_Toc461960954"/>
      <w:bookmarkStart w:id="2108" w:name="_Toc461960962"/>
      <w:bookmarkStart w:id="2109" w:name="_Toc461960970"/>
      <w:bookmarkStart w:id="2110" w:name="_Toc461960978"/>
      <w:bookmarkStart w:id="2111" w:name="_Toc461960995"/>
      <w:bookmarkStart w:id="2112" w:name="_Toc461961003"/>
      <w:bookmarkStart w:id="2113" w:name="_Toc461961011"/>
      <w:bookmarkStart w:id="2114" w:name="_Toc461961019"/>
      <w:bookmarkStart w:id="2115" w:name="_Toc461961029"/>
      <w:bookmarkStart w:id="2116" w:name="_Toc461961030"/>
      <w:bookmarkStart w:id="2117" w:name="_Toc461961031"/>
      <w:bookmarkStart w:id="2118" w:name="_Toc461961032"/>
      <w:bookmarkStart w:id="2119" w:name="_Toc461961033"/>
      <w:bookmarkStart w:id="2120" w:name="_Toc461961034"/>
      <w:bookmarkStart w:id="2121" w:name="_Toc461724758"/>
      <w:bookmarkStart w:id="2122" w:name="_Toc461724791"/>
      <w:bookmarkStart w:id="2123" w:name="_Toc461724792"/>
      <w:bookmarkStart w:id="2124" w:name="_Toc461724793"/>
      <w:bookmarkStart w:id="2125" w:name="_Toc461724794"/>
      <w:bookmarkStart w:id="2126" w:name="_Toc461724795"/>
      <w:bookmarkStart w:id="2127" w:name="_Toc461724797"/>
      <w:bookmarkStart w:id="2128" w:name="_Toc461724798"/>
      <w:bookmarkStart w:id="2129" w:name="_Toc461724799"/>
      <w:bookmarkStart w:id="2130" w:name="_Toc461724804"/>
      <w:bookmarkStart w:id="2131" w:name="_Toc461724811"/>
      <w:bookmarkStart w:id="2132" w:name="_Toc461724838"/>
      <w:bookmarkStart w:id="2133" w:name="_Toc461724843"/>
      <w:bookmarkStart w:id="2134" w:name="_Toc435554922"/>
      <w:bookmarkStart w:id="2135" w:name="_Toc435555452"/>
      <w:bookmarkStart w:id="2136" w:name="_Toc435606061"/>
      <w:bookmarkStart w:id="2137" w:name="_Toc435606594"/>
      <w:bookmarkStart w:id="2138" w:name="_Toc435608190"/>
      <w:bookmarkStart w:id="2139" w:name="_Toc435625146"/>
      <w:bookmarkStart w:id="2140" w:name="_Toc435632383"/>
      <w:bookmarkStart w:id="2141" w:name="_Toc435646797"/>
      <w:bookmarkStart w:id="2142" w:name="_Toc461724890"/>
      <w:bookmarkStart w:id="2143" w:name="_Toc461724891"/>
      <w:bookmarkStart w:id="2144" w:name="_Toc461724894"/>
      <w:bookmarkStart w:id="2145" w:name="_Toc461724895"/>
      <w:bookmarkStart w:id="2146" w:name="_Toc461724896"/>
      <w:bookmarkStart w:id="2147" w:name="_Toc461724897"/>
      <w:bookmarkStart w:id="2148" w:name="_Toc461724902"/>
      <w:bookmarkStart w:id="2149" w:name="_Toc461724909"/>
      <w:bookmarkStart w:id="2150" w:name="_Toc461724933"/>
      <w:bookmarkStart w:id="2151" w:name="_Toc461724936"/>
      <w:bookmarkStart w:id="2152" w:name="_Toc461724937"/>
      <w:bookmarkStart w:id="2153" w:name="_Toc461724940"/>
      <w:bookmarkStart w:id="2154" w:name="_Toc461724945"/>
      <w:bookmarkStart w:id="2155" w:name="_Toc461724952"/>
      <w:bookmarkStart w:id="2156" w:name="_Toc461724976"/>
      <w:bookmarkStart w:id="2157" w:name="_Toc461724982"/>
      <w:bookmarkStart w:id="2158" w:name="_Toc461724989"/>
      <w:bookmarkStart w:id="2159" w:name="_Toc461725013"/>
      <w:bookmarkStart w:id="2160" w:name="_Toc461725016"/>
      <w:bookmarkStart w:id="2161" w:name="_Toc461725017"/>
      <w:bookmarkStart w:id="2162" w:name="_Toc461725020"/>
      <w:bookmarkStart w:id="2163" w:name="_Toc461725025"/>
      <w:bookmarkStart w:id="2164" w:name="_Toc461725033"/>
      <w:bookmarkStart w:id="2165" w:name="_Toc461725053"/>
      <w:bookmarkStart w:id="2166" w:name="_Toc461725054"/>
      <w:bookmarkStart w:id="2167" w:name="_Toc461725055"/>
      <w:bookmarkStart w:id="2168" w:name="_Toc461725056"/>
      <w:bookmarkStart w:id="2169" w:name="_Toc461725064"/>
      <w:bookmarkStart w:id="2170" w:name="_Toc461725117"/>
      <w:bookmarkStart w:id="2171" w:name="_Toc461725118"/>
      <w:bookmarkStart w:id="2172" w:name="_Toc461725119"/>
      <w:bookmarkStart w:id="2173" w:name="_Toc461725120"/>
      <w:bookmarkStart w:id="2174" w:name="_Toc461725121"/>
      <w:bookmarkStart w:id="2175" w:name="_Toc461725122"/>
      <w:bookmarkStart w:id="2176" w:name="_Toc461725134"/>
      <w:bookmarkStart w:id="2177" w:name="_Toc461725135"/>
      <w:bookmarkStart w:id="2178" w:name="_Toc461725184"/>
      <w:bookmarkStart w:id="2179" w:name="_Toc461725185"/>
      <w:bookmarkStart w:id="2180" w:name="_Toc461725186"/>
      <w:bookmarkStart w:id="2181" w:name="_Toc461725235"/>
      <w:bookmarkStart w:id="2182" w:name="_Toc461725236"/>
      <w:bookmarkStart w:id="2183" w:name="_Toc461725237"/>
      <w:bookmarkStart w:id="2184" w:name="_Toc461725238"/>
      <w:bookmarkStart w:id="2185" w:name="_Toc461725261"/>
      <w:bookmarkStart w:id="2186" w:name="_Toc461725262"/>
      <w:bookmarkStart w:id="2187" w:name="_Toc461725263"/>
      <w:bookmarkStart w:id="2188" w:name="_Toc461725264"/>
      <w:bookmarkStart w:id="2189" w:name="_Toc461725265"/>
      <w:bookmarkStart w:id="2190" w:name="_Toc461725266"/>
      <w:bookmarkStart w:id="2191" w:name="_Toc461725267"/>
      <w:bookmarkStart w:id="2192" w:name="_Toc461725268"/>
      <w:bookmarkStart w:id="2193" w:name="_Toc461725269"/>
      <w:bookmarkStart w:id="2194" w:name="_Toc461725270"/>
      <w:bookmarkStart w:id="2195" w:name="_Toc461725271"/>
      <w:bookmarkStart w:id="2196" w:name="_Toc461725304"/>
      <w:bookmarkStart w:id="2197" w:name="_Toc461725305"/>
      <w:bookmarkStart w:id="2198" w:name="_Toc461725306"/>
      <w:bookmarkStart w:id="2199" w:name="_Toc461725337"/>
      <w:bookmarkStart w:id="2200" w:name="_Toc461725338"/>
      <w:bookmarkStart w:id="2201" w:name="_Toc461725339"/>
      <w:bookmarkStart w:id="2202" w:name="_Toc461725340"/>
      <w:bookmarkStart w:id="2203" w:name="_Toc461725341"/>
      <w:bookmarkStart w:id="2204" w:name="_Toc461725342"/>
      <w:bookmarkStart w:id="2205" w:name="_Toc461725343"/>
      <w:bookmarkStart w:id="2206" w:name="_Toc461725344"/>
      <w:bookmarkStart w:id="2207" w:name="_Toc461725345"/>
      <w:bookmarkStart w:id="2208" w:name="_Toc461725373"/>
      <w:bookmarkStart w:id="2209" w:name="_Toc461725374"/>
      <w:bookmarkStart w:id="2210" w:name="_Toc461725400"/>
      <w:bookmarkStart w:id="2211" w:name="_Toc435778000"/>
      <w:bookmarkStart w:id="2212" w:name="_Toc435780965"/>
      <w:bookmarkStart w:id="2213" w:name="_Toc435797018"/>
      <w:bookmarkStart w:id="2214" w:name="_Toc436211828"/>
      <w:bookmarkStart w:id="2215" w:name="_Toc436211993"/>
      <w:bookmarkStart w:id="2216" w:name="_Toc461725404"/>
      <w:bookmarkStart w:id="2217" w:name="_Toc461725406"/>
      <w:bookmarkStart w:id="2218" w:name="_Toc461725407"/>
      <w:bookmarkStart w:id="2219" w:name="_Toc461725408"/>
      <w:bookmarkStart w:id="2220" w:name="_Toc461725411"/>
      <w:bookmarkStart w:id="2221" w:name="_Toc461725422"/>
      <w:bookmarkStart w:id="2222" w:name="_Toc461725504"/>
      <w:bookmarkStart w:id="2223" w:name="_Toc461725505"/>
      <w:bookmarkStart w:id="2224" w:name="_Toc461725506"/>
      <w:bookmarkStart w:id="2225" w:name="_Toc461725507"/>
      <w:bookmarkStart w:id="2226" w:name="_Toc461725511"/>
      <w:bookmarkStart w:id="2227" w:name="_Toc461725512"/>
      <w:bookmarkStart w:id="2228" w:name="_Toc461725514"/>
      <w:bookmarkStart w:id="2229" w:name="_Toc461725515"/>
      <w:bookmarkStart w:id="2230" w:name="_Toc461725516"/>
      <w:bookmarkStart w:id="2231" w:name="_Toc461725517"/>
      <w:bookmarkStart w:id="2232" w:name="_Toc461725519"/>
      <w:bookmarkStart w:id="2233" w:name="_Toc461725522"/>
      <w:bookmarkStart w:id="2234" w:name="_Toc435778009"/>
      <w:bookmarkStart w:id="2235" w:name="_Toc435780974"/>
      <w:bookmarkStart w:id="2236" w:name="_Toc435797027"/>
      <w:bookmarkStart w:id="2237" w:name="_Toc436211837"/>
      <w:bookmarkStart w:id="2238" w:name="_Toc436212002"/>
      <w:bookmarkStart w:id="2239" w:name="_Toc435778010"/>
      <w:bookmarkStart w:id="2240" w:name="_Toc435780975"/>
      <w:bookmarkStart w:id="2241" w:name="_Toc435797028"/>
      <w:bookmarkStart w:id="2242" w:name="_Toc436211838"/>
      <w:bookmarkStart w:id="2243" w:name="_Toc436212003"/>
      <w:bookmarkStart w:id="2244" w:name="_Toc435778011"/>
      <w:bookmarkStart w:id="2245" w:name="_Toc435780976"/>
      <w:bookmarkStart w:id="2246" w:name="_Toc435797029"/>
      <w:bookmarkStart w:id="2247" w:name="_Toc436211839"/>
      <w:bookmarkStart w:id="2248" w:name="_Toc436212004"/>
      <w:bookmarkStart w:id="2249" w:name="_Toc435778012"/>
      <w:bookmarkStart w:id="2250" w:name="_Toc435780977"/>
      <w:bookmarkStart w:id="2251" w:name="_Toc435797030"/>
      <w:bookmarkStart w:id="2252" w:name="_Toc436211840"/>
      <w:bookmarkStart w:id="2253" w:name="_Toc436212005"/>
      <w:bookmarkStart w:id="2254" w:name="_Toc435778013"/>
      <w:bookmarkStart w:id="2255" w:name="_Toc435780978"/>
      <w:bookmarkStart w:id="2256" w:name="_Toc435797031"/>
      <w:bookmarkStart w:id="2257" w:name="_Toc436211841"/>
      <w:bookmarkStart w:id="2258" w:name="_Toc436212006"/>
      <w:bookmarkStart w:id="2259" w:name="_Toc435778014"/>
      <w:bookmarkStart w:id="2260" w:name="_Toc435780979"/>
      <w:bookmarkStart w:id="2261" w:name="_Toc435797032"/>
      <w:bookmarkStart w:id="2262" w:name="_Toc436211842"/>
      <w:bookmarkStart w:id="2263" w:name="_Toc436212007"/>
      <w:bookmarkStart w:id="2264" w:name="_Toc435778015"/>
      <w:bookmarkStart w:id="2265" w:name="_Toc435780980"/>
      <w:bookmarkStart w:id="2266" w:name="_Toc435797033"/>
      <w:bookmarkStart w:id="2267" w:name="_Toc436211843"/>
      <w:bookmarkStart w:id="2268" w:name="_Toc436212008"/>
      <w:bookmarkStart w:id="2269" w:name="_Toc435778016"/>
      <w:bookmarkStart w:id="2270" w:name="_Toc435780981"/>
      <w:bookmarkStart w:id="2271" w:name="_Toc435797034"/>
      <w:bookmarkStart w:id="2272" w:name="_Toc436211844"/>
      <w:bookmarkStart w:id="2273" w:name="_Toc436212009"/>
      <w:bookmarkStart w:id="2274" w:name="_Toc435778017"/>
      <w:bookmarkStart w:id="2275" w:name="_Toc435780982"/>
      <w:bookmarkStart w:id="2276" w:name="_Toc435797035"/>
      <w:bookmarkStart w:id="2277" w:name="_Toc436211845"/>
      <w:bookmarkStart w:id="2278" w:name="_Toc436212010"/>
      <w:bookmarkStart w:id="2279" w:name="_Toc435778018"/>
      <w:bookmarkStart w:id="2280" w:name="_Toc435780983"/>
      <w:bookmarkStart w:id="2281" w:name="_Toc435797036"/>
      <w:bookmarkStart w:id="2282" w:name="_Toc436211846"/>
      <w:bookmarkStart w:id="2283" w:name="_Toc436212011"/>
      <w:bookmarkStart w:id="2284" w:name="_Toc435778019"/>
      <w:bookmarkStart w:id="2285" w:name="_Toc435780984"/>
      <w:bookmarkStart w:id="2286" w:name="_Toc435797037"/>
      <w:bookmarkStart w:id="2287" w:name="_Toc436211847"/>
      <w:bookmarkStart w:id="2288" w:name="_Toc436212012"/>
      <w:bookmarkStart w:id="2289" w:name="_Toc435778020"/>
      <w:bookmarkStart w:id="2290" w:name="_Toc435780985"/>
      <w:bookmarkStart w:id="2291" w:name="_Toc435797038"/>
      <w:bookmarkStart w:id="2292" w:name="_Toc436211848"/>
      <w:bookmarkStart w:id="2293" w:name="_Toc436212013"/>
      <w:bookmarkStart w:id="2294" w:name="_Toc435778021"/>
      <w:bookmarkStart w:id="2295" w:name="_Toc435780986"/>
      <w:bookmarkStart w:id="2296" w:name="_Toc435797039"/>
      <w:bookmarkStart w:id="2297" w:name="_Toc436211849"/>
      <w:bookmarkStart w:id="2298" w:name="_Toc436212014"/>
      <w:bookmarkStart w:id="2299" w:name="_Toc435778022"/>
      <w:bookmarkStart w:id="2300" w:name="_Toc435780987"/>
      <w:bookmarkStart w:id="2301" w:name="_Toc435797040"/>
      <w:bookmarkStart w:id="2302" w:name="_Toc436211850"/>
      <w:bookmarkStart w:id="2303" w:name="_Toc436212015"/>
      <w:bookmarkStart w:id="2304" w:name="_Toc435778023"/>
      <w:bookmarkStart w:id="2305" w:name="_Toc435780988"/>
      <w:bookmarkStart w:id="2306" w:name="_Toc435797041"/>
      <w:bookmarkStart w:id="2307" w:name="_Toc436211851"/>
      <w:bookmarkStart w:id="2308" w:name="_Toc436212016"/>
      <w:bookmarkStart w:id="2309" w:name="_Toc435778024"/>
      <w:bookmarkStart w:id="2310" w:name="_Toc435780989"/>
      <w:bookmarkStart w:id="2311" w:name="_Toc435797042"/>
      <w:bookmarkStart w:id="2312" w:name="_Toc436211852"/>
      <w:bookmarkStart w:id="2313" w:name="_Toc436212017"/>
      <w:bookmarkStart w:id="2314" w:name="_Toc435778025"/>
      <w:bookmarkStart w:id="2315" w:name="_Toc435780990"/>
      <w:bookmarkStart w:id="2316" w:name="_Toc435797043"/>
      <w:bookmarkStart w:id="2317" w:name="_Toc436211853"/>
      <w:bookmarkStart w:id="2318" w:name="_Toc436212018"/>
      <w:bookmarkStart w:id="2319" w:name="_Toc435778026"/>
      <w:bookmarkStart w:id="2320" w:name="_Toc435780991"/>
      <w:bookmarkStart w:id="2321" w:name="_Toc435797044"/>
      <w:bookmarkStart w:id="2322" w:name="_Toc436211854"/>
      <w:bookmarkStart w:id="2323" w:name="_Toc436212019"/>
      <w:bookmarkStart w:id="2324" w:name="_Toc435778027"/>
      <w:bookmarkStart w:id="2325" w:name="_Toc435780992"/>
      <w:bookmarkStart w:id="2326" w:name="_Toc435797045"/>
      <w:bookmarkStart w:id="2327" w:name="_Toc436211855"/>
      <w:bookmarkStart w:id="2328" w:name="_Toc436212020"/>
      <w:bookmarkStart w:id="2329" w:name="_Toc461725524"/>
      <w:bookmarkStart w:id="2330" w:name="_Toc461725526"/>
      <w:bookmarkStart w:id="2331" w:name="_Toc461725530"/>
      <w:bookmarkStart w:id="2332" w:name="_Toc461725535"/>
      <w:bookmarkStart w:id="2333" w:name="_Toc461725540"/>
      <w:bookmarkStart w:id="2334" w:name="_Toc461725546"/>
      <w:bookmarkStart w:id="2335" w:name="_Toc461725549"/>
      <w:bookmarkStart w:id="2336" w:name="_Toc461725734"/>
      <w:bookmarkStart w:id="2337" w:name="_Toc461725735"/>
      <w:bookmarkStart w:id="2338" w:name="_Toc461725736"/>
      <w:bookmarkStart w:id="2339" w:name="_Toc461725737"/>
      <w:bookmarkStart w:id="2340" w:name="_Toc461961043"/>
      <w:bookmarkStart w:id="2341" w:name="_Toc461961384"/>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r w:rsidRPr="00722C30">
        <w:rPr>
          <w:rStyle w:val="AERbody"/>
        </w:rPr>
        <w:t xml:space="preserve">The </w:t>
      </w:r>
      <w:r w:rsidR="002A780B" w:rsidRPr="00722C30">
        <w:rPr>
          <w:rStyle w:val="AERbody"/>
        </w:rPr>
        <w:t xml:space="preserve">seven </w:t>
      </w:r>
      <w:r w:rsidR="007C1AC8" w:rsidRPr="00722C30">
        <w:rPr>
          <w:rStyle w:val="AERbody"/>
        </w:rPr>
        <w:t>figures</w:t>
      </w:r>
      <w:r w:rsidRPr="00722C30">
        <w:rPr>
          <w:rStyle w:val="AERbody"/>
        </w:rPr>
        <w:t xml:space="preserve"> below illustrate the indicative business customer bill impacts arising from the indicative prices presented in section</w:t>
      </w:r>
      <w:r w:rsidR="008E293E">
        <w:rPr>
          <w:rStyle w:val="AERbody"/>
        </w:rPr>
        <w:t xml:space="preserve"> </w:t>
      </w:r>
      <w:r w:rsidR="008E293E">
        <w:rPr>
          <w:rStyle w:val="AERbody"/>
        </w:rPr>
        <w:fldChar w:fldCharType="begin"/>
      </w:r>
      <w:r w:rsidR="008E293E">
        <w:rPr>
          <w:rStyle w:val="AERbody"/>
        </w:rPr>
        <w:instrText xml:space="preserve"> REF _Ref463085019 \r \h </w:instrText>
      </w:r>
      <w:r w:rsidR="008E293E">
        <w:rPr>
          <w:rStyle w:val="AERbody"/>
        </w:rPr>
      </w:r>
      <w:r w:rsidR="008E293E">
        <w:rPr>
          <w:rStyle w:val="AERbody"/>
        </w:rPr>
        <w:fldChar w:fldCharType="separate"/>
      </w:r>
      <w:r w:rsidR="00BE0834">
        <w:rPr>
          <w:rStyle w:val="AERbody"/>
        </w:rPr>
        <w:t>9</w:t>
      </w:r>
      <w:r w:rsidR="008E293E">
        <w:rPr>
          <w:rStyle w:val="AERbody"/>
        </w:rPr>
        <w:fldChar w:fldCharType="end"/>
      </w:r>
      <w:r w:rsidRPr="00722C30">
        <w:rPr>
          <w:rStyle w:val="AERbody"/>
        </w:rPr>
        <w:t>.</w:t>
      </w:r>
      <w:r w:rsidR="007C1AC8" w:rsidRPr="00722C30">
        <w:rPr>
          <w:rStyle w:val="AERbody"/>
        </w:rPr>
        <w:t xml:space="preserve"> In particular, these figures show that business customers will either realise a reduction in their bill or an annual change in their bill that is </w:t>
      </w:r>
      <w:r w:rsidR="009C556D">
        <w:rPr>
          <w:rStyle w:val="AERbody"/>
        </w:rPr>
        <w:t>on average</w:t>
      </w:r>
      <w:r w:rsidR="009C556D" w:rsidRPr="00722C30">
        <w:rPr>
          <w:rStyle w:val="AERbody"/>
        </w:rPr>
        <w:t xml:space="preserve"> </w:t>
      </w:r>
      <w:r w:rsidR="007C1AC8" w:rsidRPr="00722C30">
        <w:rPr>
          <w:rStyle w:val="AERbody"/>
        </w:rPr>
        <w:t>in line with the rate of consumer price inflation.</w:t>
      </w:r>
    </w:p>
    <w:tbl>
      <w:tblPr>
        <w:tblStyle w:val="TableGrid"/>
        <w:tblW w:w="8930"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4"/>
        <w:gridCol w:w="4536"/>
      </w:tblGrid>
      <w:tr w:rsidR="00683B1E" w:rsidTr="00F93A72">
        <w:tc>
          <w:tcPr>
            <w:tcW w:w="4394" w:type="dxa"/>
          </w:tcPr>
          <w:p w:rsidR="00683B1E" w:rsidRDefault="000D15C6" w:rsidP="00722C30">
            <w:pPr>
              <w:spacing w:before="0" w:after="80"/>
            </w:pPr>
            <w:r>
              <w:rPr>
                <w:noProof/>
                <w:lang w:val="en-AU" w:eastAsia="en-AU"/>
              </w:rPr>
              <w:drawing>
                <wp:inline distT="0" distB="0" distL="0" distR="0" wp14:anchorId="1B22C9DF" wp14:editId="1A7268B7">
                  <wp:extent cx="2703945" cy="219456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34795" cy="2219598"/>
                          </a:xfrm>
                          <a:prstGeom prst="rect">
                            <a:avLst/>
                          </a:prstGeom>
                          <a:noFill/>
                          <a:ln>
                            <a:noFill/>
                          </a:ln>
                        </pic:spPr>
                      </pic:pic>
                    </a:graphicData>
                  </a:graphic>
                </wp:inline>
              </w:drawing>
            </w:r>
          </w:p>
        </w:tc>
        <w:tc>
          <w:tcPr>
            <w:tcW w:w="4536" w:type="dxa"/>
          </w:tcPr>
          <w:p w:rsidR="00683B1E" w:rsidRDefault="002A780B" w:rsidP="00722C30">
            <w:pPr>
              <w:spacing w:before="0" w:after="80"/>
            </w:pPr>
            <w:r>
              <w:rPr>
                <w:noProof/>
                <w:lang w:val="en-AU" w:eastAsia="en-AU"/>
              </w:rPr>
              <w:drawing>
                <wp:inline distT="0" distB="0" distL="0" distR="0" wp14:anchorId="3E34C2C9" wp14:editId="6975DED5">
                  <wp:extent cx="2679589" cy="2194219"/>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0844" cy="2211624"/>
                          </a:xfrm>
                          <a:prstGeom prst="rect">
                            <a:avLst/>
                          </a:prstGeom>
                          <a:noFill/>
                          <a:ln>
                            <a:noFill/>
                          </a:ln>
                        </pic:spPr>
                      </pic:pic>
                    </a:graphicData>
                  </a:graphic>
                </wp:inline>
              </w:drawing>
            </w:r>
          </w:p>
        </w:tc>
      </w:tr>
      <w:tr w:rsidR="00683B1E" w:rsidTr="00F93A72">
        <w:tc>
          <w:tcPr>
            <w:tcW w:w="4394" w:type="dxa"/>
          </w:tcPr>
          <w:p w:rsidR="00683B1E" w:rsidRDefault="002A780B" w:rsidP="00722C30">
            <w:pPr>
              <w:spacing w:before="0" w:after="80"/>
            </w:pPr>
            <w:r>
              <w:rPr>
                <w:noProof/>
                <w:lang w:val="en-AU" w:eastAsia="en-AU"/>
              </w:rPr>
              <w:drawing>
                <wp:inline distT="0" distB="0" distL="0" distR="0" wp14:anchorId="33BDDC02" wp14:editId="429F8880">
                  <wp:extent cx="2703443" cy="2205058"/>
                  <wp:effectExtent l="0" t="0" r="190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20325" cy="2218828"/>
                          </a:xfrm>
                          <a:prstGeom prst="rect">
                            <a:avLst/>
                          </a:prstGeom>
                          <a:noFill/>
                          <a:ln>
                            <a:noFill/>
                          </a:ln>
                        </pic:spPr>
                      </pic:pic>
                    </a:graphicData>
                  </a:graphic>
                </wp:inline>
              </w:drawing>
            </w:r>
          </w:p>
        </w:tc>
        <w:tc>
          <w:tcPr>
            <w:tcW w:w="4536" w:type="dxa"/>
          </w:tcPr>
          <w:p w:rsidR="00683B1E" w:rsidRDefault="008E00AB">
            <w:pPr>
              <w:spacing w:before="0" w:after="80"/>
            </w:pPr>
            <w:r>
              <w:rPr>
                <w:noProof/>
                <w:lang w:val="en-AU" w:eastAsia="en-AU"/>
              </w:rPr>
              <w:drawing>
                <wp:inline distT="0" distB="0" distL="0" distR="0" wp14:anchorId="6C09775B" wp14:editId="47FC3CF1">
                  <wp:extent cx="2679589" cy="2189337"/>
                  <wp:effectExtent l="0" t="0" r="698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9887" cy="2189581"/>
                          </a:xfrm>
                          <a:prstGeom prst="rect">
                            <a:avLst/>
                          </a:prstGeom>
                          <a:noFill/>
                          <a:ln>
                            <a:noFill/>
                          </a:ln>
                        </pic:spPr>
                      </pic:pic>
                    </a:graphicData>
                  </a:graphic>
                </wp:inline>
              </w:drawing>
            </w:r>
          </w:p>
        </w:tc>
      </w:tr>
      <w:tr w:rsidR="00683B1E" w:rsidTr="00F93A72">
        <w:tc>
          <w:tcPr>
            <w:tcW w:w="4394" w:type="dxa"/>
          </w:tcPr>
          <w:p w:rsidR="00683B1E" w:rsidRDefault="002A780B" w:rsidP="00722C30">
            <w:pPr>
              <w:spacing w:before="0" w:after="80"/>
            </w:pPr>
            <w:r>
              <w:rPr>
                <w:noProof/>
                <w:lang w:val="en-AU" w:eastAsia="en-AU"/>
              </w:rPr>
              <w:drawing>
                <wp:inline distT="0" distB="0" distL="0" distR="0" wp14:anchorId="551BF02B" wp14:editId="714149C7">
                  <wp:extent cx="2703443" cy="2193468"/>
                  <wp:effectExtent l="0" t="0" r="1905" b="0"/>
                  <wp:docPr id="4641" name="Picture 4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19608" cy="2206583"/>
                          </a:xfrm>
                          <a:prstGeom prst="rect">
                            <a:avLst/>
                          </a:prstGeom>
                          <a:noFill/>
                          <a:ln>
                            <a:noFill/>
                          </a:ln>
                        </pic:spPr>
                      </pic:pic>
                    </a:graphicData>
                  </a:graphic>
                </wp:inline>
              </w:drawing>
            </w:r>
          </w:p>
        </w:tc>
        <w:tc>
          <w:tcPr>
            <w:tcW w:w="4536" w:type="dxa"/>
          </w:tcPr>
          <w:p w:rsidR="00683B1E" w:rsidRDefault="002A780B" w:rsidP="00722C30">
            <w:pPr>
              <w:spacing w:before="0" w:after="80"/>
            </w:pPr>
            <w:r>
              <w:rPr>
                <w:noProof/>
                <w:lang w:val="en-AU" w:eastAsia="en-AU"/>
              </w:rPr>
              <w:drawing>
                <wp:inline distT="0" distB="0" distL="0" distR="0" wp14:anchorId="0F7E82B2" wp14:editId="68194B96">
                  <wp:extent cx="2673009" cy="2194560"/>
                  <wp:effectExtent l="0" t="0" r="0" b="0"/>
                  <wp:docPr id="4642" name="Picture 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95598" cy="2213106"/>
                          </a:xfrm>
                          <a:prstGeom prst="rect">
                            <a:avLst/>
                          </a:prstGeom>
                          <a:noFill/>
                          <a:ln>
                            <a:noFill/>
                          </a:ln>
                        </pic:spPr>
                      </pic:pic>
                    </a:graphicData>
                  </a:graphic>
                </wp:inline>
              </w:drawing>
            </w:r>
          </w:p>
        </w:tc>
      </w:tr>
      <w:tr w:rsidR="000D15C6" w:rsidTr="00F93A72">
        <w:tc>
          <w:tcPr>
            <w:tcW w:w="4394" w:type="dxa"/>
          </w:tcPr>
          <w:p w:rsidR="000D15C6" w:rsidRDefault="002A780B" w:rsidP="00722C30">
            <w:pPr>
              <w:spacing w:before="0" w:after="0"/>
              <w:rPr>
                <w:noProof/>
                <w:lang w:val="en-AU" w:eastAsia="en-AU"/>
              </w:rPr>
            </w:pPr>
            <w:r>
              <w:rPr>
                <w:noProof/>
                <w:lang w:val="en-AU" w:eastAsia="en-AU"/>
              </w:rPr>
              <w:lastRenderedPageBreak/>
              <w:drawing>
                <wp:inline distT="0" distB="0" distL="0" distR="0" wp14:anchorId="5F2BC967" wp14:editId="113C32B1">
                  <wp:extent cx="2681645" cy="2178657"/>
                  <wp:effectExtent l="0" t="0" r="4445" b="0"/>
                  <wp:docPr id="4643" name="Picture 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82334" cy="2179217"/>
                          </a:xfrm>
                          <a:prstGeom prst="rect">
                            <a:avLst/>
                          </a:prstGeom>
                          <a:noFill/>
                          <a:ln>
                            <a:noFill/>
                          </a:ln>
                        </pic:spPr>
                      </pic:pic>
                    </a:graphicData>
                  </a:graphic>
                </wp:inline>
              </w:drawing>
            </w:r>
          </w:p>
        </w:tc>
        <w:tc>
          <w:tcPr>
            <w:tcW w:w="4536" w:type="dxa"/>
          </w:tcPr>
          <w:p w:rsidR="000D15C6" w:rsidRDefault="000D15C6" w:rsidP="00722C30">
            <w:pPr>
              <w:spacing w:before="0" w:after="0"/>
              <w:rPr>
                <w:noProof/>
                <w:lang w:val="en-AU" w:eastAsia="en-AU"/>
              </w:rPr>
            </w:pPr>
          </w:p>
        </w:tc>
      </w:tr>
    </w:tbl>
    <w:p w:rsidR="00315581" w:rsidRDefault="00315581">
      <w:pPr>
        <w:spacing w:before="120" w:after="120"/>
      </w:pPr>
    </w:p>
    <w:sectPr w:rsidR="00315581" w:rsidSect="00CA28E1">
      <w:pgSz w:w="11909" w:h="16834" w:code="9"/>
      <w:pgMar w:top="1440" w:right="1134" w:bottom="1247" w:left="1440" w:header="431" w:footer="431" w:gutter="0"/>
      <w:cols w:space="720"/>
      <w:docGrid w:linePitch="245"/>
    </w:sectPr>
  </w:body>
</w:document>
</file>

<file path=word/customizations.xml><?xml version="1.0" encoding="utf-8"?>
<wne:tcg xmlns:r="http://schemas.openxmlformats.org/officeDocument/2006/relationships" xmlns:wne="http://schemas.microsoft.com/office/word/2006/wordml">
  <wne:keymaps>
    <wne:keymap wne:kcmPrimary="0442">
      <wne:acd wne:acdName="acd0"/>
    </wne:keymap>
    <wne:keymap wne:kcmPrimary="0443">
      <wne:acd wne:acdName="acd2"/>
    </wne:keymap>
    <wne:keymap wne:kcmPrimary="0450">
      <wne:acd wne:acdName="acd3"/>
    </wne:keymap>
    <wne:keymap wne:kcmPrimary="0458">
      <wne:acd wne:acdName="acd4"/>
    </wne:keymap>
  </wne:keymaps>
  <wne:toolbars>
    <wne:acdManifest>
      <wne:acdEntry wne:acdName="acd0"/>
      <wne:acdEntry wne:acdName="acd1"/>
      <wne:acdEntry wne:acdName="acd2"/>
      <wne:acdEntry wne:acdName="acd3"/>
      <wne:acdEntry wne:acdName="acd4"/>
    </wne:acdManifest>
  </wne:toolbars>
  <wne:acds>
    <wne:acd wne:argValue="AgBCAHUAbABsAGUAdABlAGQAIAB0AGUAeAB0AA==" wne:acdName="acd0" wne:fciIndexBasedOn="0065"/>
    <wne:acd wne:acdName="acd1" wne:fciIndexBasedOn="0065"/>
    <wne:acd wne:argValue="AQAAACIA" wne:acdName="acd2" wne:fciIndexBasedOn="0065"/>
    <wne:acd wne:argValue="AgBCAG8AZAB5ACAAVABlAHgAdAAsACgAQQBsAHQAIAArACAAcAApAA==" wne:acdName="acd3" wne:fciIndexBasedOn="0065"/>
    <wne:acd wne:argValue="AgBUAGEAYgBsAGUAIAB0AGUAeAB0ACAAYgBvAHgAZQBkA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FF8" w:rsidRDefault="001B5FF8" w:rsidP="00CC102C">
      <w:pPr>
        <w:spacing w:after="0"/>
      </w:pPr>
      <w:r>
        <w:separator/>
      </w:r>
    </w:p>
  </w:endnote>
  <w:endnote w:type="continuationSeparator" w:id="0">
    <w:p w:rsidR="001B5FF8" w:rsidRDefault="001B5FF8" w:rsidP="00CC10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Times-Roman">
    <w:altName w:val="Times"/>
    <w:panose1 w:val="00000000000000000000"/>
    <w:charset w:val="4D"/>
    <w:family w:val="auto"/>
    <w:notTrueType/>
    <w:pitch w:val="default"/>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TCBFo00">
    <w:altName w:val="Japanese Gothic"/>
    <w:panose1 w:val="00000000000000000000"/>
    <w:charset w:val="86"/>
    <w:family w:val="auto"/>
    <w:notTrueType/>
    <w:pitch w:val="default"/>
    <w:sig w:usb0="00000001" w:usb1="080E0000" w:usb2="00000010" w:usb3="00000000" w:csb0="00040000" w:csb1="00000000"/>
  </w:font>
  <w:font w:name="UniversCond">
    <w:panose1 w:val="00000000000000000000"/>
    <w:charset w:val="00"/>
    <w:family w:val="swiss"/>
    <w:notTrueType/>
    <w:pitch w:val="variable"/>
    <w:sig w:usb0="00000003" w:usb1="00000000" w:usb2="00000000" w:usb3="00000000" w:csb0="00000001" w:csb1="00000000"/>
  </w:font>
  <w:font w:name="EnergyText">
    <w:altName w:val="Courier New"/>
    <w:panose1 w:val="00000000000000000000"/>
    <w:charset w:val="00"/>
    <w:family w:val="swiss"/>
    <w:notTrueType/>
    <w:pitch w:val="variable"/>
    <w:sig w:usb0="00000003" w:usb1="00000000" w:usb2="00000000" w:usb3="00000000" w:csb0="00000001" w:csb1="00000000"/>
  </w:font>
  <w:font w:name="Zurich Cn BT">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Univers 45 Light">
    <w:panose1 w:val="00000000000000000000"/>
    <w:charset w:val="00"/>
    <w:family w:val="swiss"/>
    <w:notTrueType/>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Helvetica 45 Light">
    <w:altName w:val="Cambria"/>
    <w:panose1 w:val="00000000000000000000"/>
    <w:charset w:val="4D"/>
    <w:family w:val="roman"/>
    <w:notTrueType/>
    <w:pitch w:val="default"/>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Shruti">
    <w:panose1 w:val="020B0502040204020203"/>
    <w:charset w:val="00"/>
    <w:family w:val="swiss"/>
    <w:pitch w:val="variable"/>
    <w:sig w:usb0="0004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lbertus Medium">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F8" w:rsidRPr="00B850BC" w:rsidRDefault="001B5FF8" w:rsidP="0098314C">
    <w:pPr>
      <w:pStyle w:val="Header"/>
      <w:tabs>
        <w:tab w:val="right" w:pos="9781"/>
      </w:tabs>
      <w:rPr>
        <w:rFonts w:cs="Arial"/>
        <w:szCs w:val="18"/>
      </w:rPr>
    </w:pPr>
    <w:r>
      <w:rPr>
        <w:rFonts w:cs="Arial"/>
        <w:b/>
        <w:color w:val="002060"/>
        <w:szCs w:val="18"/>
      </w:rPr>
      <w:t>OVERVIEW</w:t>
    </w:r>
    <w:r w:rsidRPr="00ED6426">
      <w:rPr>
        <w:rFonts w:cs="Arial"/>
        <w:b/>
        <w:color w:val="002060"/>
        <w:szCs w:val="18"/>
      </w:rPr>
      <w:t xml:space="preserve"> </w:t>
    </w:r>
    <w:r>
      <w:rPr>
        <w:rFonts w:cs="Arial"/>
        <w:szCs w:val="18"/>
      </w:rPr>
      <w:t>| Revised Tariff Structure Statement | October 2016</w:t>
    </w:r>
    <w:r>
      <w:rPr>
        <w:rFonts w:cs="Arial"/>
        <w:szCs w:val="18"/>
      </w:rPr>
      <w:tab/>
    </w:r>
    <w:r w:rsidRPr="00C24D76">
      <w:rPr>
        <w:rStyle w:val="PageNumber"/>
      </w:rPr>
      <w:fldChar w:fldCharType="begin"/>
    </w:r>
    <w:r w:rsidRPr="00C24D76">
      <w:rPr>
        <w:rStyle w:val="PageNumber"/>
      </w:rPr>
      <w:instrText xml:space="preserve"> PAGE   \* MERGEFORMAT </w:instrText>
    </w:r>
    <w:r w:rsidRPr="00C24D76">
      <w:rPr>
        <w:rStyle w:val="PageNumber"/>
      </w:rPr>
      <w:fldChar w:fldCharType="separate"/>
    </w:r>
    <w:r>
      <w:rPr>
        <w:rStyle w:val="PageNumber"/>
        <w:noProof/>
      </w:rPr>
      <w:t>2</w:t>
    </w:r>
    <w:r w:rsidRPr="00C24D76">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5696479"/>
      <w:docPartObj>
        <w:docPartGallery w:val="Page Numbers (Bottom of Page)"/>
        <w:docPartUnique/>
      </w:docPartObj>
    </w:sdtPr>
    <w:sdtEndPr>
      <w:rPr>
        <w:noProof/>
      </w:rPr>
    </w:sdtEndPr>
    <w:sdtContent>
      <w:p w:rsidR="001B5FF8" w:rsidRDefault="001B5FF8" w:rsidP="00722C30">
        <w:pPr>
          <w:pStyle w:val="Footer"/>
          <w:tabs>
            <w:tab w:val="clear" w:pos="4320"/>
            <w:tab w:val="clear" w:pos="8640"/>
            <w:tab w:val="right" w:pos="9781"/>
          </w:tabs>
          <w:jc w:val="both"/>
        </w:pPr>
        <w:r w:rsidRPr="00722C30">
          <w:rPr>
            <w:rFonts w:cs="Arial"/>
            <w:b/>
            <w:color w:val="002060"/>
            <w:szCs w:val="18"/>
          </w:rPr>
          <w:t>Revised Tariff Structure Statement</w:t>
        </w:r>
        <w:r>
          <w:rPr>
            <w:rFonts w:cs="Arial"/>
            <w:szCs w:val="18"/>
          </w:rPr>
          <w:t xml:space="preserve"> | October 2016</w:t>
        </w:r>
        <w:r>
          <w:rPr>
            <w:rFonts w:cs="Arial"/>
            <w:szCs w:val="18"/>
          </w:rPr>
          <w:tab/>
        </w:r>
        <w:r>
          <w:fldChar w:fldCharType="begin"/>
        </w:r>
        <w:r>
          <w:instrText xml:space="preserve"> PAGE   \* MERGEFORMAT </w:instrText>
        </w:r>
        <w:r>
          <w:fldChar w:fldCharType="separate"/>
        </w:r>
        <w:r w:rsidR="00A54531">
          <w:rPr>
            <w:noProof/>
          </w:rPr>
          <w:t>18</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F8" w:rsidRPr="0030265A" w:rsidRDefault="001B5FF8" w:rsidP="00F93F33">
    <w:pPr>
      <w:pStyle w:val="Footer"/>
      <w:pBdr>
        <w:top w:val="single" w:sz="6" w:space="3" w:color="auto"/>
      </w:pBdr>
      <w:tabs>
        <w:tab w:val="clear" w:pos="4320"/>
        <w:tab w:val="clear" w:pos="8640"/>
        <w:tab w:val="right" w:pos="13750"/>
      </w:tabs>
      <w:ind w:right="62"/>
    </w:pPr>
    <w:r w:rsidRPr="00722C30">
      <w:rPr>
        <w:rFonts w:cs="Arial"/>
        <w:b/>
        <w:color w:val="002060"/>
        <w:szCs w:val="18"/>
      </w:rPr>
      <w:t>Revised Tariff Structure Statement</w:t>
    </w:r>
    <w:r>
      <w:rPr>
        <w:rFonts w:cs="Arial"/>
        <w:szCs w:val="18"/>
      </w:rPr>
      <w:t xml:space="preserve"> | October 2016</w:t>
    </w:r>
    <w:r>
      <w:tab/>
    </w:r>
    <w:r>
      <w:rPr>
        <w:rStyle w:val="PageNumber"/>
      </w:rPr>
      <w:fldChar w:fldCharType="begin"/>
    </w:r>
    <w:r>
      <w:rPr>
        <w:rStyle w:val="PageNumber"/>
      </w:rPr>
      <w:instrText xml:space="preserve"> PAGE </w:instrText>
    </w:r>
    <w:r>
      <w:rPr>
        <w:rStyle w:val="PageNumber"/>
      </w:rPr>
      <w:fldChar w:fldCharType="separate"/>
    </w:r>
    <w:r w:rsidR="00A54531">
      <w:rPr>
        <w:rStyle w:val="PageNumber"/>
        <w:noProof/>
      </w:rPr>
      <w:t>19</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F8" w:rsidRPr="0030265A" w:rsidRDefault="001B5FF8" w:rsidP="00722C30">
    <w:pPr>
      <w:pStyle w:val="Header"/>
      <w:tabs>
        <w:tab w:val="clear" w:pos="4320"/>
        <w:tab w:val="clear" w:pos="8640"/>
        <w:tab w:val="right" w:pos="9356"/>
      </w:tabs>
    </w:pPr>
    <w:r w:rsidRPr="00722C30">
      <w:rPr>
        <w:rFonts w:cs="Arial"/>
        <w:b/>
        <w:color w:val="002060"/>
        <w:szCs w:val="18"/>
      </w:rPr>
      <w:t>Revised Tariff Structure Statement</w:t>
    </w:r>
    <w:r>
      <w:rPr>
        <w:rFonts w:cs="Arial"/>
        <w:szCs w:val="18"/>
      </w:rPr>
      <w:t xml:space="preserve"> | October 2016</w:t>
    </w:r>
    <w:r>
      <w:rPr>
        <w:rFonts w:cs="Arial"/>
        <w:szCs w:val="18"/>
      </w:rPr>
      <w:tab/>
    </w:r>
    <w:r w:rsidRPr="00C24D76">
      <w:rPr>
        <w:rStyle w:val="PageNumber"/>
      </w:rPr>
      <w:fldChar w:fldCharType="begin"/>
    </w:r>
    <w:r w:rsidRPr="00C24D76">
      <w:rPr>
        <w:rStyle w:val="PageNumber"/>
      </w:rPr>
      <w:instrText xml:space="preserve"> PAGE   \* MERGEFORMAT </w:instrText>
    </w:r>
    <w:r w:rsidRPr="00C24D76">
      <w:rPr>
        <w:rStyle w:val="PageNumber"/>
      </w:rPr>
      <w:fldChar w:fldCharType="separate"/>
    </w:r>
    <w:r w:rsidR="00A54531">
      <w:rPr>
        <w:rStyle w:val="PageNumber"/>
        <w:noProof/>
      </w:rPr>
      <w:t>21</w:t>
    </w:r>
    <w:r w:rsidRPr="00C24D76">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F8" w:rsidRPr="00CB5804" w:rsidRDefault="001B5FF8" w:rsidP="00CB5804">
    <w:pPr>
      <w:pStyle w:val="Footer"/>
      <w:pBdr>
        <w:top w:val="single" w:sz="6" w:space="3" w:color="auto"/>
      </w:pBdr>
      <w:tabs>
        <w:tab w:val="clear" w:pos="4320"/>
        <w:tab w:val="clear" w:pos="8640"/>
        <w:tab w:val="right" w:pos="13750"/>
      </w:tabs>
      <w:ind w:right="62"/>
    </w:pPr>
    <w:r w:rsidRPr="00722C30">
      <w:rPr>
        <w:rFonts w:cs="Arial"/>
        <w:b/>
        <w:color w:val="002060"/>
        <w:szCs w:val="18"/>
      </w:rPr>
      <w:t>Revised Tariff Structure Statement</w:t>
    </w:r>
    <w:r>
      <w:rPr>
        <w:rFonts w:cs="Arial"/>
        <w:szCs w:val="18"/>
      </w:rPr>
      <w:t xml:space="preserve"> | October 2016</w:t>
    </w:r>
    <w:r>
      <w:tab/>
    </w:r>
    <w:r>
      <w:rPr>
        <w:rStyle w:val="PageNumber"/>
      </w:rPr>
      <w:fldChar w:fldCharType="begin"/>
    </w:r>
    <w:r>
      <w:rPr>
        <w:rStyle w:val="PageNumber"/>
      </w:rPr>
      <w:instrText xml:space="preserve"> PAGE </w:instrText>
    </w:r>
    <w:r>
      <w:rPr>
        <w:rStyle w:val="PageNumber"/>
      </w:rPr>
      <w:fldChar w:fldCharType="separate"/>
    </w:r>
    <w:r w:rsidR="00A54531">
      <w:rPr>
        <w:rStyle w:val="PageNumber"/>
        <w:noProof/>
      </w:rPr>
      <w:t>22</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F8" w:rsidRPr="0030265A" w:rsidRDefault="001B5FF8" w:rsidP="00722C30">
    <w:pPr>
      <w:pStyle w:val="Header"/>
      <w:tabs>
        <w:tab w:val="clear" w:pos="4320"/>
        <w:tab w:val="clear" w:pos="8640"/>
        <w:tab w:val="right" w:pos="9356"/>
      </w:tabs>
    </w:pPr>
    <w:r w:rsidRPr="00722C30">
      <w:rPr>
        <w:rFonts w:cs="Arial"/>
        <w:b/>
        <w:color w:val="002060"/>
        <w:szCs w:val="18"/>
      </w:rPr>
      <w:t>Revised Tariff Structure Statement</w:t>
    </w:r>
    <w:r>
      <w:rPr>
        <w:rFonts w:cs="Arial"/>
        <w:szCs w:val="18"/>
      </w:rPr>
      <w:t xml:space="preserve"> | October 2016</w:t>
    </w:r>
    <w:r>
      <w:rPr>
        <w:rFonts w:cs="Arial"/>
        <w:szCs w:val="18"/>
      </w:rPr>
      <w:tab/>
    </w:r>
    <w:r w:rsidRPr="00C24D76">
      <w:rPr>
        <w:rStyle w:val="PageNumber"/>
      </w:rPr>
      <w:fldChar w:fldCharType="begin"/>
    </w:r>
    <w:r w:rsidRPr="00C24D76">
      <w:rPr>
        <w:rStyle w:val="PageNumber"/>
      </w:rPr>
      <w:instrText xml:space="preserve"> PAGE   \* MERGEFORMAT </w:instrText>
    </w:r>
    <w:r w:rsidRPr="00C24D76">
      <w:rPr>
        <w:rStyle w:val="PageNumber"/>
      </w:rPr>
      <w:fldChar w:fldCharType="separate"/>
    </w:r>
    <w:r w:rsidR="00A54531">
      <w:rPr>
        <w:rStyle w:val="PageNumber"/>
        <w:noProof/>
      </w:rPr>
      <w:t>50</w:t>
    </w:r>
    <w:r w:rsidRPr="00C24D76">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FF8" w:rsidRDefault="001B5FF8" w:rsidP="00CC102C">
      <w:pPr>
        <w:spacing w:after="0"/>
      </w:pPr>
      <w:r>
        <w:separator/>
      </w:r>
    </w:p>
  </w:footnote>
  <w:footnote w:type="continuationSeparator" w:id="0">
    <w:p w:rsidR="001B5FF8" w:rsidRDefault="001B5FF8" w:rsidP="00CC102C">
      <w:pPr>
        <w:spacing w:after="0"/>
      </w:pPr>
      <w:r>
        <w:continuationSeparator/>
      </w:r>
    </w:p>
  </w:footnote>
  <w:footnote w:id="1">
    <w:p w:rsidR="001B5FF8" w:rsidRPr="00F93A72" w:rsidRDefault="001B5FF8">
      <w:pPr>
        <w:pStyle w:val="FootnoteText"/>
        <w:rPr>
          <w:lang w:val="en-AU"/>
        </w:rPr>
      </w:pPr>
      <w:r>
        <w:rPr>
          <w:rStyle w:val="FootnoteReference"/>
        </w:rPr>
        <w:footnoteRef/>
      </w:r>
      <w:r>
        <w:t xml:space="preserve"> Price levels may vary to those presented here due to changes in </w:t>
      </w:r>
      <w:proofErr w:type="spellStart"/>
      <w:r>
        <w:t>TransGrid’s</w:t>
      </w:r>
      <w:proofErr w:type="spellEnd"/>
      <w:r>
        <w:t xml:space="preserve"> transmission pricing methodology.</w:t>
      </w:r>
    </w:p>
  </w:footnote>
  <w:footnote w:id="2">
    <w:p w:rsidR="001B5FF8" w:rsidRPr="00722C30" w:rsidRDefault="001B5FF8">
      <w:pPr>
        <w:pStyle w:val="FootnoteText"/>
        <w:rPr>
          <w:lang w:val="en-AU"/>
        </w:rPr>
      </w:pPr>
      <w:r>
        <w:rPr>
          <w:rStyle w:val="FootnoteReference"/>
        </w:rPr>
        <w:footnoteRef/>
      </w:r>
      <w:r>
        <w:t xml:space="preserve"> </w:t>
      </w:r>
      <w:r>
        <w:rPr>
          <w:lang w:val="en-AU"/>
        </w:rPr>
        <w:t>Tariff eligibility criteria are the criteria that a customer must meet to be assigned to the relevant tariff.</w:t>
      </w:r>
    </w:p>
  </w:footnote>
  <w:footnote w:id="3">
    <w:p w:rsidR="001B5FF8" w:rsidRPr="00722C30" w:rsidRDefault="001B5FF8" w:rsidP="00025BDF">
      <w:pPr>
        <w:pStyle w:val="FootnoteText"/>
        <w:ind w:left="284" w:hanging="284"/>
        <w:rPr>
          <w:lang w:val="en-AU"/>
        </w:rPr>
      </w:pPr>
      <w:r w:rsidRPr="00B55EF3">
        <w:rPr>
          <w:rStyle w:val="FootnoteReference"/>
          <w:szCs w:val="14"/>
        </w:rPr>
        <w:footnoteRef/>
      </w:r>
      <w:r w:rsidRPr="00722C30">
        <w:rPr>
          <w:szCs w:val="14"/>
        </w:rPr>
        <w:t xml:space="preserve"> </w:t>
      </w:r>
      <w:r>
        <w:rPr>
          <w:szCs w:val="14"/>
        </w:rPr>
        <w:tab/>
      </w:r>
      <w:proofErr w:type="spellStart"/>
      <w:r w:rsidRPr="00722C30">
        <w:rPr>
          <w:i/>
          <w:szCs w:val="14"/>
          <w:lang w:val="en-AU"/>
        </w:rPr>
        <w:t>CoolSaver</w:t>
      </w:r>
      <w:proofErr w:type="spellEnd"/>
      <w:r w:rsidRPr="00B55EF3">
        <w:rPr>
          <w:szCs w:val="14"/>
          <w:lang w:val="en-AU"/>
        </w:rPr>
        <w:t xml:space="preserve"> is an initiate in which </w:t>
      </w:r>
      <w:proofErr w:type="spellStart"/>
      <w:r w:rsidRPr="00B55EF3">
        <w:rPr>
          <w:szCs w:val="14"/>
          <w:lang w:val="en-AU"/>
        </w:rPr>
        <w:t>Ausgrid</w:t>
      </w:r>
      <w:proofErr w:type="spellEnd"/>
      <w:r w:rsidRPr="00B55EF3">
        <w:rPr>
          <w:szCs w:val="14"/>
          <w:lang w:val="en-AU"/>
        </w:rPr>
        <w:t xml:space="preserve"> installs a signal receiver in a customer’s air</w:t>
      </w:r>
      <w:r w:rsidRPr="00722C30">
        <w:rPr>
          <w:szCs w:val="14"/>
          <w:lang w:val="en-AU"/>
        </w:rPr>
        <w:t xml:space="preserve"> conditioner that allows </w:t>
      </w:r>
      <w:proofErr w:type="spellStart"/>
      <w:r w:rsidRPr="00722C30">
        <w:rPr>
          <w:szCs w:val="14"/>
          <w:lang w:val="en-AU"/>
        </w:rPr>
        <w:t>Ausgrid</w:t>
      </w:r>
      <w:proofErr w:type="spellEnd"/>
      <w:r w:rsidRPr="00722C30">
        <w:rPr>
          <w:szCs w:val="14"/>
          <w:lang w:val="en-AU"/>
        </w:rPr>
        <w:t xml:space="preserve"> to remotely activate the air conditioner’s in-built power saving modes. Customers receive an upfront and ongoing reward for joining </w:t>
      </w:r>
      <w:proofErr w:type="spellStart"/>
      <w:r w:rsidRPr="00722C30">
        <w:rPr>
          <w:szCs w:val="14"/>
          <w:lang w:val="en-AU"/>
        </w:rPr>
        <w:t>CoolSaver</w:t>
      </w:r>
      <w:proofErr w:type="spellEnd"/>
      <w:r w:rsidRPr="00722C30">
        <w:rPr>
          <w:szCs w:val="14"/>
          <w:lang w:val="en-AU"/>
        </w:rPr>
        <w:t>, The program began in summer 2013/14, and is being promoted in selected suburbs in the Central Coast, Lake Macquarie and Maitland parts of our network. The program is ongoing and further details can be found on our website including an</w:t>
      </w:r>
      <w:r w:rsidRPr="00B55EF3">
        <w:rPr>
          <w:szCs w:val="14"/>
          <w:lang w:val="en-AU"/>
        </w:rPr>
        <w:t xml:space="preserve"> interim report available on our website </w:t>
      </w:r>
      <w:hyperlink r:id="rId1" w:history="1">
        <w:r w:rsidRPr="00722C30">
          <w:rPr>
            <w:rStyle w:val="Hyperlink"/>
            <w:color w:val="auto"/>
            <w:szCs w:val="14"/>
            <w:lang w:val="en-AU"/>
          </w:rPr>
          <w:t>here</w:t>
        </w:r>
      </w:hyperlink>
      <w:r w:rsidRPr="00722C30">
        <w:rPr>
          <w:szCs w:val="14"/>
          <w:lang w:val="en-AU"/>
        </w:rPr>
        <w:t>.</w:t>
      </w:r>
    </w:p>
  </w:footnote>
  <w:footnote w:id="4">
    <w:p w:rsidR="001B5FF8" w:rsidRPr="00722C30" w:rsidRDefault="001B5FF8" w:rsidP="00E053CF">
      <w:pPr>
        <w:pStyle w:val="FootnoteText"/>
        <w:ind w:left="142" w:hanging="142"/>
        <w:rPr>
          <w:szCs w:val="14"/>
          <w:lang w:val="en-AU"/>
        </w:rPr>
      </w:pPr>
      <w:r w:rsidRPr="00B55EF3">
        <w:rPr>
          <w:rStyle w:val="FootnoteReference"/>
          <w:szCs w:val="14"/>
        </w:rPr>
        <w:footnoteRef/>
      </w:r>
      <w:r w:rsidRPr="00722C30">
        <w:rPr>
          <w:szCs w:val="14"/>
        </w:rPr>
        <w:t xml:space="preserve"> </w:t>
      </w:r>
      <w:r>
        <w:rPr>
          <w:szCs w:val="14"/>
        </w:rPr>
        <w:tab/>
      </w:r>
      <w:r w:rsidRPr="00722C30">
        <w:rPr>
          <w:szCs w:val="14"/>
          <w:lang w:val="en-AU"/>
        </w:rPr>
        <w:t>NER, Chapter 10.</w:t>
      </w:r>
    </w:p>
  </w:footnote>
  <w:footnote w:id="5">
    <w:p w:rsidR="001B5FF8" w:rsidRPr="00722C30" w:rsidRDefault="001B5FF8" w:rsidP="00E053CF">
      <w:pPr>
        <w:pStyle w:val="FootnoteText"/>
        <w:ind w:left="142" w:hanging="142"/>
        <w:rPr>
          <w:szCs w:val="14"/>
          <w:lang w:val="en-AU"/>
        </w:rPr>
      </w:pPr>
      <w:r w:rsidRPr="00722C30">
        <w:rPr>
          <w:rStyle w:val="FootnoteReference"/>
          <w:szCs w:val="14"/>
        </w:rPr>
        <w:footnoteRef/>
      </w:r>
      <w:r w:rsidRPr="00722C30">
        <w:rPr>
          <w:szCs w:val="14"/>
        </w:rPr>
        <w:t xml:space="preserve"> </w:t>
      </w:r>
      <w:r>
        <w:rPr>
          <w:szCs w:val="14"/>
        </w:rPr>
        <w:tab/>
      </w:r>
      <w:r w:rsidRPr="00722C30">
        <w:rPr>
          <w:szCs w:val="14"/>
          <w:lang w:val="en-AU"/>
        </w:rPr>
        <w:t>AEMC 2014, Rule Determination, National Electricity Amendment (Distribution Pricing Arrangements) Rule 2014, Rule Proponents, COAG Energy Council, Independent Pricing and Regulatory Tribunal, 27 November, page 181-182.</w:t>
      </w:r>
    </w:p>
  </w:footnote>
  <w:footnote w:id="6">
    <w:p w:rsidR="001B5FF8" w:rsidRPr="00D655E7" w:rsidRDefault="001B5FF8" w:rsidP="00E053CF">
      <w:pPr>
        <w:pStyle w:val="FootnoteText"/>
        <w:ind w:left="142" w:hanging="142"/>
        <w:rPr>
          <w:lang w:val="en-AU"/>
        </w:rPr>
      </w:pPr>
      <w:r w:rsidRPr="00722C30">
        <w:rPr>
          <w:rStyle w:val="FootnoteReference"/>
          <w:szCs w:val="14"/>
        </w:rPr>
        <w:footnoteRef/>
      </w:r>
      <w:r w:rsidRPr="00722C30">
        <w:rPr>
          <w:szCs w:val="14"/>
        </w:rPr>
        <w:t xml:space="preserve"> </w:t>
      </w:r>
      <w:r>
        <w:rPr>
          <w:szCs w:val="14"/>
        </w:rPr>
        <w:tab/>
      </w:r>
      <w:r w:rsidRPr="00722C30">
        <w:rPr>
          <w:szCs w:val="14"/>
        </w:rPr>
        <w:t xml:space="preserve">NERA 2014, Economic Concepts for Pricing Electricity Network Services, A report for the Australian Energy Market Commission, 21 July, </w:t>
      </w:r>
      <w:r w:rsidRPr="00722C30">
        <w:rPr>
          <w:szCs w:val="14"/>
          <w:lang w:val="en-AU"/>
        </w:rPr>
        <w:t>P.10</w:t>
      </w:r>
    </w:p>
  </w:footnote>
  <w:footnote w:id="7">
    <w:p w:rsidR="001B5FF8" w:rsidRDefault="001B5FF8" w:rsidP="00F016B5">
      <w:pPr>
        <w:pStyle w:val="FootnoteText"/>
        <w:ind w:left="142" w:hanging="142"/>
      </w:pPr>
      <w:r>
        <w:rPr>
          <w:rStyle w:val="FootnoteReference"/>
        </w:rPr>
        <w:footnoteRef/>
      </w:r>
      <w:r>
        <w:t xml:space="preserve"> This definition is particularly important as it provides </w:t>
      </w:r>
      <w:proofErr w:type="spellStart"/>
      <w:r w:rsidRPr="00A6495B">
        <w:t>Ausgrid</w:t>
      </w:r>
      <w:proofErr w:type="spellEnd"/>
      <w:r w:rsidRPr="00A6495B">
        <w:t xml:space="preserve"> </w:t>
      </w:r>
      <w:r>
        <w:t xml:space="preserve">with a basis to assess </w:t>
      </w:r>
      <w:r w:rsidRPr="00A6495B">
        <w:t>an application from an existing small business customer to be re-assigned to a residential network tariff.</w:t>
      </w:r>
    </w:p>
  </w:footnote>
  <w:footnote w:id="8">
    <w:p w:rsidR="001B5FF8" w:rsidRPr="004E5269" w:rsidRDefault="001B5FF8" w:rsidP="00F016B5">
      <w:pPr>
        <w:pStyle w:val="FootnoteText"/>
        <w:ind w:left="142" w:hanging="142"/>
        <w:rPr>
          <w:lang w:val="en-AU"/>
        </w:rPr>
      </w:pPr>
      <w:r>
        <w:rPr>
          <w:rStyle w:val="FootnoteReference"/>
        </w:rPr>
        <w:footnoteRef/>
      </w:r>
      <w:r>
        <w:t xml:space="preserve"> Due to the AEMC metering rule change due to come into effect on 1 December 2017, from 1 July 2018 all new customers will have an advanced meter installed.</w:t>
      </w:r>
    </w:p>
  </w:footnote>
  <w:footnote w:id="9">
    <w:p w:rsidR="001B5FF8" w:rsidRPr="0068721E" w:rsidRDefault="001B5FF8" w:rsidP="00F016B5">
      <w:pPr>
        <w:pStyle w:val="FootnoteText"/>
        <w:ind w:left="142" w:hanging="142"/>
        <w:rPr>
          <w:lang w:val="en-AU"/>
        </w:rPr>
      </w:pPr>
      <w:r>
        <w:rPr>
          <w:rStyle w:val="FootnoteReference"/>
        </w:rPr>
        <w:footnoteRef/>
      </w:r>
      <w:r>
        <w:t xml:space="preserve"> </w:t>
      </w:r>
      <w:proofErr w:type="spellStart"/>
      <w:r w:rsidRPr="0068721E">
        <w:t>Ausgrid</w:t>
      </w:r>
      <w:proofErr w:type="spellEnd"/>
      <w:r w:rsidRPr="0068721E">
        <w:t xml:space="preserve"> has used the term default tariff in our TSS to mean the network tariff that is assigned by </w:t>
      </w:r>
      <w:proofErr w:type="spellStart"/>
      <w:r w:rsidRPr="0068721E">
        <w:t>Ausgrid</w:t>
      </w:r>
      <w:proofErr w:type="spellEnd"/>
      <w:r w:rsidRPr="0068721E">
        <w:t xml:space="preserve"> in respect to:</w:t>
      </w:r>
      <w:r>
        <w:t xml:space="preserve"> </w:t>
      </w:r>
      <w:r w:rsidRPr="0068721E">
        <w:t xml:space="preserve">new customers, </w:t>
      </w:r>
      <w:proofErr w:type="spellStart"/>
      <w:r w:rsidRPr="0068721E">
        <w:t>ie</w:t>
      </w:r>
      <w:proofErr w:type="spellEnd"/>
      <w:r w:rsidRPr="0068721E">
        <w:t xml:space="preserve">, newly </w:t>
      </w:r>
      <w:proofErr w:type="spellStart"/>
      <w:r w:rsidRPr="0068721E">
        <w:t>energised</w:t>
      </w:r>
      <w:proofErr w:type="spellEnd"/>
      <w:r w:rsidRPr="0068721E">
        <w:t xml:space="preserve"> conne</w:t>
      </w:r>
      <w:r>
        <w:t xml:space="preserve">ctions; and existing customers </w:t>
      </w:r>
      <w:r w:rsidRPr="0068721E">
        <w:t>that have changed their metering and connection characteristics to the extent that they are no longer elig</w:t>
      </w:r>
      <w:r>
        <w:t>i</w:t>
      </w:r>
      <w:r w:rsidRPr="0068721E">
        <w:t xml:space="preserve">ble to remain assigned to their existing network tariff (explained in more detail in section </w:t>
      </w:r>
      <w:r w:rsidRPr="0068721E">
        <w:fldChar w:fldCharType="begin"/>
      </w:r>
      <w:r w:rsidRPr="0068721E">
        <w:instrText xml:space="preserve"> REF _Ref462146988 \r \h  \* MERGEFORMAT </w:instrText>
      </w:r>
      <w:r w:rsidRPr="0068721E">
        <w:fldChar w:fldCharType="separate"/>
      </w:r>
      <w:r>
        <w:t>4.2</w:t>
      </w:r>
      <w:r w:rsidRPr="0068721E">
        <w:fldChar w:fldCharType="end"/>
      </w:r>
      <w:r w:rsidRPr="0068721E">
        <w:t>)</w:t>
      </w:r>
      <w:r>
        <w:t>.</w:t>
      </w:r>
    </w:p>
  </w:footnote>
  <w:footnote w:id="10">
    <w:p w:rsidR="001B5FF8" w:rsidRPr="0068721E" w:rsidRDefault="001B5FF8" w:rsidP="00F016B5">
      <w:pPr>
        <w:pStyle w:val="FootnoteText"/>
        <w:ind w:left="284" w:hanging="284"/>
        <w:rPr>
          <w:lang w:val="en-AU"/>
        </w:rPr>
      </w:pPr>
      <w:r>
        <w:rPr>
          <w:rStyle w:val="FootnoteReference"/>
        </w:rPr>
        <w:footnoteRef/>
      </w:r>
      <w:r>
        <w:t xml:space="preserve">  </w:t>
      </w:r>
      <w:r>
        <w:tab/>
        <w:t xml:space="preserve">In circumstances where </w:t>
      </w:r>
      <w:proofErr w:type="spellStart"/>
      <w:r w:rsidRPr="00340499">
        <w:t>Ausgrid’s</w:t>
      </w:r>
      <w:proofErr w:type="spellEnd"/>
      <w:r w:rsidRPr="00340499">
        <w:t xml:space="preserve"> annual review and assessment</w:t>
      </w:r>
      <w:r>
        <w:t xml:space="preserve"> identifies an </w:t>
      </w:r>
      <w:r w:rsidRPr="00340499">
        <w:t>existing retail customer that is no longer eligible to remain assigned to their existing tariff class</w:t>
      </w:r>
      <w:r>
        <w:t xml:space="preserve">, </w:t>
      </w:r>
      <w:proofErr w:type="spellStart"/>
      <w:r>
        <w:t>Ausgrid</w:t>
      </w:r>
      <w:proofErr w:type="spellEnd"/>
      <w:r>
        <w:t xml:space="preserve"> will </w:t>
      </w:r>
      <w:r w:rsidRPr="00340499">
        <w:t>re-assign th</w:t>
      </w:r>
      <w:r>
        <w:t>e</w:t>
      </w:r>
      <w:r w:rsidRPr="00340499">
        <w:t xml:space="preserve"> customer to another tariff class</w:t>
      </w:r>
      <w:r>
        <w:t xml:space="preserve"> consistent with the procedure set out </w:t>
      </w:r>
      <w:r w:rsidRPr="00340499">
        <w:t>in Attachment 14 of the AER Final Decision</w:t>
      </w:r>
      <w:r>
        <w:t>.</w:t>
      </w:r>
    </w:p>
  </w:footnote>
  <w:footnote w:id="11">
    <w:p w:rsidR="001B5FF8" w:rsidRPr="00F41160" w:rsidRDefault="001B5FF8" w:rsidP="00F016B5">
      <w:pPr>
        <w:pStyle w:val="FootnoteText"/>
        <w:ind w:left="284" w:hanging="284"/>
        <w:rPr>
          <w:lang w:val="en-AU"/>
        </w:rPr>
      </w:pPr>
      <w:r>
        <w:rPr>
          <w:rStyle w:val="FootnoteReference"/>
        </w:rPr>
        <w:footnoteRef/>
      </w:r>
      <w:r>
        <w:tab/>
      </w:r>
      <w:r>
        <w:rPr>
          <w:lang w:val="en-AU"/>
        </w:rPr>
        <w:t xml:space="preserve">Customers connected to our electricity distribution network with historical network usage of more than 10 MW or 40 </w:t>
      </w:r>
      <w:proofErr w:type="spellStart"/>
      <w:r>
        <w:rPr>
          <w:lang w:val="en-AU"/>
        </w:rPr>
        <w:t>GWh</w:t>
      </w:r>
      <w:proofErr w:type="spellEnd"/>
      <w:r>
        <w:rPr>
          <w:lang w:val="en-AU"/>
        </w:rPr>
        <w:t xml:space="preserve"> </w:t>
      </w:r>
      <w:proofErr w:type="gramStart"/>
      <w:r>
        <w:rPr>
          <w:lang w:val="en-AU"/>
        </w:rPr>
        <w:t>pa</w:t>
      </w:r>
      <w:proofErr w:type="gramEnd"/>
      <w:r>
        <w:rPr>
          <w:lang w:val="en-AU"/>
        </w:rPr>
        <w:t xml:space="preserve"> are permitted to apply to be assigned to an individually calculated site-specific tariff.</w:t>
      </w:r>
    </w:p>
  </w:footnote>
  <w:footnote w:id="12">
    <w:p w:rsidR="001B5FF8" w:rsidRDefault="001B5FF8" w:rsidP="006A7D8E">
      <w:pPr>
        <w:pStyle w:val="FootnoteText"/>
        <w:ind w:left="284" w:hanging="284"/>
      </w:pPr>
      <w:r>
        <w:rPr>
          <w:rStyle w:val="FootnoteReference"/>
        </w:rPr>
        <w:footnoteRef/>
      </w:r>
      <w:r>
        <w:tab/>
        <w:t xml:space="preserve">Note that </w:t>
      </w:r>
      <w:proofErr w:type="spellStart"/>
      <w:r>
        <w:t>Ausgrid</w:t>
      </w:r>
      <w:proofErr w:type="spellEnd"/>
      <w:r>
        <w:t xml:space="preserve"> proposes to identify a customer for re-assignment to a transitional network tariff in FY 2018/19 for the purpose of the FY 2018/19 pricing proposal where there is sufficient information available to </w:t>
      </w:r>
      <w:proofErr w:type="spellStart"/>
      <w:r>
        <w:t>Ausgrid</w:t>
      </w:r>
      <w:proofErr w:type="spellEnd"/>
      <w:r>
        <w:t xml:space="preserve"> to make this assessment. </w:t>
      </w:r>
    </w:p>
  </w:footnote>
  <w:footnote w:id="13">
    <w:p w:rsidR="001B5FF8" w:rsidRPr="0068721E" w:rsidRDefault="001B5FF8">
      <w:pPr>
        <w:pStyle w:val="FootnoteText"/>
        <w:rPr>
          <w:lang w:val="en-AU"/>
        </w:rPr>
      </w:pPr>
      <w:r>
        <w:rPr>
          <w:rStyle w:val="FootnoteReference"/>
        </w:rPr>
        <w:footnoteRef/>
      </w:r>
      <w:r>
        <w:t xml:space="preserve"> </w:t>
      </w:r>
      <w:r>
        <w:rPr>
          <w:lang w:val="en-AU"/>
        </w:rPr>
        <w:t>These customers will be assigned to EA302, EA305 or EA310 depending on the extent of their network usage, as illustrated in Figure 4.</w:t>
      </w:r>
    </w:p>
  </w:footnote>
  <w:footnote w:id="14">
    <w:p w:rsidR="001B5FF8" w:rsidRPr="0068721E" w:rsidRDefault="001B5FF8">
      <w:pPr>
        <w:pStyle w:val="FootnoteText"/>
        <w:rPr>
          <w:lang w:val="en-AU"/>
        </w:rPr>
      </w:pPr>
      <w:r>
        <w:rPr>
          <w:rStyle w:val="FootnoteReference"/>
        </w:rPr>
        <w:footnoteRef/>
      </w:r>
      <w:r>
        <w:t xml:space="preserve"> Defined as a</w:t>
      </w:r>
      <w:r>
        <w:rPr>
          <w:lang w:val="en-AU"/>
        </w:rPr>
        <w:t xml:space="preserve"> </w:t>
      </w:r>
      <w:r>
        <w:t>person who is a customer of the retailer and whose premises are connected to the distributor's distribution system.</w:t>
      </w:r>
    </w:p>
  </w:footnote>
  <w:footnote w:id="15">
    <w:p w:rsidR="001B5FF8" w:rsidRPr="000D400E" w:rsidRDefault="001B5FF8" w:rsidP="008112CE">
      <w:pPr>
        <w:pStyle w:val="FootnoteText"/>
        <w:ind w:left="284" w:hanging="284"/>
        <w:rPr>
          <w:lang w:val="en-AU"/>
        </w:rPr>
      </w:pPr>
      <w:r>
        <w:rPr>
          <w:rStyle w:val="FootnoteReference"/>
        </w:rPr>
        <w:footnoteRef/>
      </w:r>
      <w:r>
        <w:tab/>
      </w:r>
      <w:proofErr w:type="gramStart"/>
      <w:r>
        <w:rPr>
          <w:lang w:val="en-AU"/>
        </w:rPr>
        <w:t xml:space="preserve">NERA 2014, </w:t>
      </w:r>
      <w:r w:rsidRPr="0068721E">
        <w:rPr>
          <w:i/>
          <w:lang w:val="en-AU"/>
        </w:rPr>
        <w:t>Economic Concepts for Pricing Electricity Network Services</w:t>
      </w:r>
      <w:r>
        <w:rPr>
          <w:lang w:val="en-AU"/>
        </w:rPr>
        <w:t>.</w:t>
      </w:r>
      <w:proofErr w:type="gramEnd"/>
      <w:r>
        <w:rPr>
          <w:lang w:val="en-AU"/>
        </w:rPr>
        <w:t xml:space="preserve"> A report for the Australian Energy market Commission, July p.27</w:t>
      </w:r>
    </w:p>
  </w:footnote>
  <w:footnote w:id="16">
    <w:p w:rsidR="001B5FF8" w:rsidRPr="00722C30" w:rsidRDefault="001B5FF8" w:rsidP="00F93A72">
      <w:pPr>
        <w:pStyle w:val="FootnoteText"/>
        <w:ind w:left="142" w:hanging="142"/>
        <w:rPr>
          <w:sz w:val="16"/>
          <w:szCs w:val="16"/>
          <w:lang w:val="en-AU"/>
        </w:rPr>
      </w:pPr>
      <w:r w:rsidRPr="00722C30">
        <w:rPr>
          <w:rStyle w:val="FootnoteReference"/>
          <w:sz w:val="16"/>
          <w:szCs w:val="16"/>
        </w:rPr>
        <w:footnoteRef/>
      </w:r>
      <w:r>
        <w:rPr>
          <w:sz w:val="16"/>
          <w:szCs w:val="16"/>
          <w:lang w:val="en-AU"/>
        </w:rPr>
        <w:t xml:space="preserve"> </w:t>
      </w:r>
      <w:r w:rsidRPr="00722C30">
        <w:rPr>
          <w:sz w:val="16"/>
          <w:szCs w:val="16"/>
          <w:lang w:val="en-AU"/>
        </w:rPr>
        <w:t>Note: To satisfy the efficiency criteria, the design of the dynamic peak tariff, such as the duration of the peak period, the criteria for triggering an event and the number of events allowed to be called each year, must be determined for each specific area of network congestion.</w:t>
      </w:r>
    </w:p>
  </w:footnote>
  <w:footnote w:id="17">
    <w:p w:rsidR="001B5FF8" w:rsidRPr="00237276" w:rsidRDefault="001B5FF8" w:rsidP="00783D42">
      <w:pPr>
        <w:pStyle w:val="FootnoteText"/>
        <w:rPr>
          <w:lang w:val="en-AU"/>
        </w:rPr>
      </w:pPr>
      <w:r w:rsidRPr="00722C30">
        <w:rPr>
          <w:rStyle w:val="FootnoteReference"/>
          <w:sz w:val="16"/>
          <w:szCs w:val="16"/>
        </w:rPr>
        <w:footnoteRef/>
      </w:r>
      <w:r w:rsidRPr="00722C30">
        <w:rPr>
          <w:sz w:val="16"/>
          <w:szCs w:val="16"/>
        </w:rPr>
        <w:t xml:space="preserve"> </w:t>
      </w:r>
      <w:r w:rsidRPr="00722C30">
        <w:rPr>
          <w:sz w:val="16"/>
          <w:szCs w:val="16"/>
          <w:lang w:val="en-AU"/>
        </w:rPr>
        <w:t xml:space="preserve">Due to </w:t>
      </w:r>
      <w:r w:rsidRPr="00722C30">
        <w:rPr>
          <w:sz w:val="16"/>
          <w:szCs w:val="16"/>
        </w:rPr>
        <w:t xml:space="preserve">wide-spread excess capacity and the limited penetration of interval metering in </w:t>
      </w:r>
      <w:proofErr w:type="spellStart"/>
      <w:r w:rsidRPr="00722C30">
        <w:rPr>
          <w:sz w:val="16"/>
          <w:szCs w:val="16"/>
        </w:rPr>
        <w:t>Ausgrid’s</w:t>
      </w:r>
      <w:proofErr w:type="spellEnd"/>
      <w:r w:rsidRPr="00722C30">
        <w:rPr>
          <w:sz w:val="16"/>
          <w:szCs w:val="16"/>
        </w:rPr>
        <w:t xml:space="preserve"> network area.</w:t>
      </w:r>
    </w:p>
  </w:footnote>
  <w:footnote w:id="18">
    <w:p w:rsidR="001B5FF8" w:rsidRPr="000D6076" w:rsidRDefault="001B5FF8" w:rsidP="005B7261">
      <w:pPr>
        <w:pStyle w:val="FootnoteText"/>
        <w:rPr>
          <w:lang w:val="en-AU"/>
        </w:rPr>
      </w:pPr>
      <w:r>
        <w:rPr>
          <w:rStyle w:val="FootnoteReference"/>
        </w:rPr>
        <w:footnoteRef/>
      </w:r>
      <w:r>
        <w:t xml:space="preserve"> </w:t>
      </w:r>
      <w:proofErr w:type="gramStart"/>
      <w:r>
        <w:rPr>
          <w:lang w:val="en-AU"/>
        </w:rPr>
        <w:t xml:space="preserve">Due to </w:t>
      </w:r>
      <w:r w:rsidRPr="00030C1A">
        <w:t>wide-spread excess capacity.</w:t>
      </w:r>
      <w:proofErr w:type="gramEnd"/>
    </w:p>
  </w:footnote>
  <w:footnote w:id="19">
    <w:p w:rsidR="001B5FF8" w:rsidRPr="00111CD9" w:rsidRDefault="001B5FF8" w:rsidP="00894497">
      <w:pPr>
        <w:pStyle w:val="FootnoteText"/>
        <w:ind w:left="284" w:hanging="284"/>
        <w:rPr>
          <w:lang w:val="en-AU"/>
        </w:rPr>
      </w:pPr>
      <w:r>
        <w:rPr>
          <w:rStyle w:val="FootnoteReference"/>
        </w:rPr>
        <w:footnoteRef/>
      </w:r>
      <w:r>
        <w:t xml:space="preserve"> </w:t>
      </w:r>
      <w:r>
        <w:tab/>
      </w:r>
      <w:r>
        <w:rPr>
          <w:lang w:val="en-AU"/>
        </w:rPr>
        <w:t>That is, from 1 April to 30 May (inclusive) and 1 September to 31 October (inclusive).</w:t>
      </w:r>
    </w:p>
  </w:footnote>
  <w:footnote w:id="20">
    <w:p w:rsidR="001B5FF8" w:rsidRPr="00030C1A" w:rsidRDefault="001B5FF8" w:rsidP="00894497">
      <w:pPr>
        <w:pStyle w:val="FootnoteText"/>
        <w:ind w:left="284" w:hanging="284"/>
        <w:rPr>
          <w:lang w:val="en-AU"/>
        </w:rPr>
      </w:pPr>
      <w:r>
        <w:rPr>
          <w:rStyle w:val="FootnoteReference"/>
        </w:rPr>
        <w:footnoteRef/>
      </w:r>
      <w:r>
        <w:t xml:space="preserve"> </w:t>
      </w:r>
      <w:r>
        <w:tab/>
      </w:r>
      <w:proofErr w:type="gramStart"/>
      <w:r>
        <w:rPr>
          <w:lang w:val="en-AU"/>
        </w:rPr>
        <w:t>Calculated equal to (1005hrs / 1560hrs) -1.</w:t>
      </w:r>
      <w:proofErr w:type="gramEnd"/>
    </w:p>
  </w:footnote>
  <w:footnote w:id="21">
    <w:p w:rsidR="001B5FF8" w:rsidRPr="00425C20" w:rsidRDefault="001B5FF8" w:rsidP="00894497">
      <w:pPr>
        <w:pStyle w:val="FootnoteText"/>
        <w:ind w:left="284" w:hanging="284"/>
        <w:rPr>
          <w:lang w:val="en-AU"/>
        </w:rPr>
      </w:pPr>
      <w:r>
        <w:rPr>
          <w:rStyle w:val="FootnoteReference"/>
        </w:rPr>
        <w:footnoteRef/>
      </w:r>
      <w:r>
        <w:t xml:space="preserve"> </w:t>
      </w:r>
      <w:r>
        <w:tab/>
      </w:r>
      <w:r>
        <w:rPr>
          <w:lang w:val="en-AU"/>
        </w:rPr>
        <w:t>It</w:t>
      </w:r>
      <w:r w:rsidRPr="00425C20">
        <w:rPr>
          <w:lang w:val="en-AU"/>
        </w:rPr>
        <w:t xml:space="preserve"> is relevant to note that, in the absence of locational pricing, demand management tools can be used to </w:t>
      </w:r>
      <w:r>
        <w:rPr>
          <w:lang w:val="en-AU"/>
        </w:rPr>
        <w:t>encourage</w:t>
      </w:r>
      <w:r w:rsidRPr="00425C20">
        <w:rPr>
          <w:lang w:val="en-AU"/>
        </w:rPr>
        <w:t xml:space="preserve"> customers </w:t>
      </w:r>
      <w:r>
        <w:rPr>
          <w:lang w:val="en-AU"/>
        </w:rPr>
        <w:t>to act in a manner that assists</w:t>
      </w:r>
      <w:r w:rsidRPr="00425C20">
        <w:rPr>
          <w:lang w:val="en-AU"/>
        </w:rPr>
        <w:t xml:space="preserve"> in de</w:t>
      </w:r>
      <w:r>
        <w:rPr>
          <w:lang w:val="en-AU"/>
        </w:rPr>
        <w:t>fe</w:t>
      </w:r>
      <w:r w:rsidRPr="00425C20">
        <w:rPr>
          <w:lang w:val="en-AU"/>
        </w:rPr>
        <w:t>rring or avoiding future investment</w:t>
      </w:r>
      <w:r>
        <w:rPr>
          <w:lang w:val="en-AU"/>
        </w:rPr>
        <w:t xml:space="preserve"> by </w:t>
      </w:r>
      <w:proofErr w:type="spellStart"/>
      <w:r>
        <w:rPr>
          <w:lang w:val="en-AU"/>
        </w:rPr>
        <w:t>Ausgrid</w:t>
      </w:r>
      <w:proofErr w:type="spellEnd"/>
      <w:r>
        <w:rPr>
          <w:lang w:val="en-AU"/>
        </w:rPr>
        <w:t>.</w:t>
      </w:r>
    </w:p>
  </w:footnote>
  <w:footnote w:id="22">
    <w:p w:rsidR="001B5FF8" w:rsidRPr="0068721E" w:rsidRDefault="001B5FF8">
      <w:pPr>
        <w:pStyle w:val="FootnoteText"/>
        <w:rPr>
          <w:lang w:val="en-AU"/>
        </w:rPr>
      </w:pPr>
      <w:r>
        <w:rPr>
          <w:rStyle w:val="FootnoteReference"/>
        </w:rPr>
        <w:footnoteRef/>
      </w:r>
      <w:r>
        <w:t xml:space="preserve"> </w:t>
      </w:r>
      <w:r>
        <w:rPr>
          <w:lang w:val="en-AU"/>
        </w:rPr>
        <w:t>We note that the substation names on the vertical axis are not relevant to the interpretation of this figure.</w:t>
      </w:r>
    </w:p>
  </w:footnote>
  <w:footnote w:id="23">
    <w:p w:rsidR="001B5FF8" w:rsidRPr="00030C1A" w:rsidRDefault="001B5FF8" w:rsidP="00025BDF">
      <w:pPr>
        <w:pStyle w:val="FootnoteText"/>
        <w:ind w:left="142" w:hanging="284"/>
        <w:rPr>
          <w:lang w:val="en-AU"/>
        </w:rPr>
      </w:pPr>
      <w:r>
        <w:rPr>
          <w:rStyle w:val="FootnoteReference"/>
        </w:rPr>
        <w:footnoteRef/>
      </w:r>
      <w:r>
        <w:t xml:space="preserve"> </w:t>
      </w:r>
      <w:r>
        <w:tab/>
        <w:t>Substations with more than 66 per cent residential load have been classified as primarily residential, while those substations for which residential load comprises between 33 per cent and 66 percent have been classified as mixed.</w:t>
      </w:r>
    </w:p>
  </w:footnote>
  <w:footnote w:id="24">
    <w:p w:rsidR="001B5FF8" w:rsidRPr="00FB2A74" w:rsidRDefault="001B5FF8" w:rsidP="00025BDF">
      <w:pPr>
        <w:pStyle w:val="FootnoteText"/>
        <w:ind w:left="284" w:hanging="284"/>
        <w:rPr>
          <w:lang w:val="en-AU"/>
        </w:rPr>
      </w:pPr>
      <w:r>
        <w:rPr>
          <w:rStyle w:val="FootnoteReference"/>
        </w:rPr>
        <w:footnoteRef/>
      </w:r>
      <w:r>
        <w:t xml:space="preserve"> </w:t>
      </w:r>
      <w:r>
        <w:tab/>
      </w:r>
      <w:r>
        <w:rPr>
          <w:lang w:val="en-AU"/>
        </w:rPr>
        <w:t>We note that the substation names on the vertical axis are not relevant to the interpretation of this figure.</w:t>
      </w:r>
    </w:p>
  </w:footnote>
  <w:footnote w:id="25">
    <w:p w:rsidR="001B5FF8" w:rsidRPr="0068721E" w:rsidRDefault="001B5FF8" w:rsidP="00025BDF">
      <w:pPr>
        <w:pStyle w:val="FootnoteText"/>
        <w:ind w:left="284" w:hanging="284"/>
        <w:rPr>
          <w:lang w:val="en-AU"/>
        </w:rPr>
      </w:pPr>
      <w:r>
        <w:rPr>
          <w:rStyle w:val="FootnoteReference"/>
        </w:rPr>
        <w:footnoteRef/>
      </w:r>
      <w:r>
        <w:t xml:space="preserve"> </w:t>
      </w:r>
      <w:r>
        <w:tab/>
      </w:r>
      <w:r w:rsidRPr="00CB363F">
        <w:rPr>
          <w:lang w:val="en-AU"/>
        </w:rPr>
        <w:t xml:space="preserve">For the avoidance of doubt, we note that </w:t>
      </w:r>
      <w:r w:rsidRPr="00CB363F">
        <w:rPr>
          <w:szCs w:val="24"/>
          <w:lang w:val="en-AU"/>
        </w:rPr>
        <w:t xml:space="preserve">that residential load on both summer-peaking </w:t>
      </w:r>
      <w:r>
        <w:rPr>
          <w:lang w:val="en-AU"/>
        </w:rPr>
        <w:t xml:space="preserve">substations (not shown in </w:t>
      </w:r>
      <w:r w:rsidRPr="00CB363F">
        <w:rPr>
          <w:lang w:val="en-AU"/>
        </w:rPr>
        <w:fldChar w:fldCharType="begin"/>
      </w:r>
      <w:r w:rsidRPr="00CB363F">
        <w:rPr>
          <w:lang w:val="en-AU"/>
        </w:rPr>
        <w:instrText xml:space="preserve"> REF _Ref462042694 \h  \* MERGEFORMAT </w:instrText>
      </w:r>
      <w:r w:rsidRPr="00CB363F">
        <w:rPr>
          <w:lang w:val="en-AU"/>
        </w:rPr>
      </w:r>
      <w:r w:rsidRPr="00CB363F">
        <w:rPr>
          <w:lang w:val="en-AU"/>
        </w:rPr>
        <w:fldChar w:fldCharType="separate"/>
      </w:r>
      <w:r w:rsidRPr="00BE0834">
        <w:t xml:space="preserve">Figure </w:t>
      </w:r>
      <w:r w:rsidRPr="00BE0834">
        <w:rPr>
          <w:noProof/>
        </w:rPr>
        <w:t>8</w:t>
      </w:r>
      <w:r w:rsidRPr="00CB363F">
        <w:rPr>
          <w:lang w:val="en-AU"/>
        </w:rPr>
        <w:fldChar w:fldCharType="end"/>
      </w:r>
      <w:r>
        <w:rPr>
          <w:lang w:val="en-AU"/>
        </w:rPr>
        <w:t xml:space="preserve">) </w:t>
      </w:r>
      <w:r w:rsidRPr="00CB363F">
        <w:rPr>
          <w:szCs w:val="24"/>
          <w:lang w:val="en-AU"/>
        </w:rPr>
        <w:t>and winter-peaking substations</w:t>
      </w:r>
      <w:r>
        <w:rPr>
          <w:lang w:val="en-AU"/>
        </w:rPr>
        <w:t xml:space="preserve"> (shown in </w:t>
      </w:r>
      <w:r w:rsidRPr="00CB363F">
        <w:rPr>
          <w:lang w:val="en-AU"/>
        </w:rPr>
        <w:fldChar w:fldCharType="begin"/>
      </w:r>
      <w:r w:rsidRPr="00CB363F">
        <w:rPr>
          <w:lang w:val="en-AU"/>
        </w:rPr>
        <w:instrText xml:space="preserve"> REF _Ref462042694 \h  \* MERGEFORMAT </w:instrText>
      </w:r>
      <w:r w:rsidRPr="00CB363F">
        <w:rPr>
          <w:lang w:val="en-AU"/>
        </w:rPr>
      </w:r>
      <w:r w:rsidRPr="00CB363F">
        <w:rPr>
          <w:lang w:val="en-AU"/>
        </w:rPr>
        <w:fldChar w:fldCharType="separate"/>
      </w:r>
      <w:r w:rsidRPr="00BE0834">
        <w:t xml:space="preserve">Figure </w:t>
      </w:r>
      <w:r w:rsidRPr="00BE0834">
        <w:rPr>
          <w:noProof/>
        </w:rPr>
        <w:t>8</w:t>
      </w:r>
      <w:r w:rsidRPr="00CB363F">
        <w:rPr>
          <w:lang w:val="en-AU"/>
        </w:rPr>
        <w:fldChar w:fldCharType="end"/>
      </w:r>
      <w:r>
        <w:rPr>
          <w:lang w:val="en-AU"/>
        </w:rPr>
        <w:t xml:space="preserve">), </w:t>
      </w:r>
      <w:proofErr w:type="spellStart"/>
      <w:r w:rsidRPr="00CB363F">
        <w:rPr>
          <w:lang w:val="en-AU"/>
        </w:rPr>
        <w:t>ie</w:t>
      </w:r>
      <w:proofErr w:type="spellEnd"/>
      <w:r w:rsidRPr="00CB363F">
        <w:rPr>
          <w:lang w:val="en-AU"/>
        </w:rPr>
        <w:t>, all substations</w:t>
      </w:r>
      <w:r>
        <w:rPr>
          <w:lang w:val="en-AU"/>
        </w:rPr>
        <w:t xml:space="preserve">, </w:t>
      </w:r>
      <w:r w:rsidRPr="00CB363F">
        <w:rPr>
          <w:lang w:val="en-AU"/>
        </w:rPr>
        <w:t>exhibit</w:t>
      </w:r>
      <w:r w:rsidRPr="00CB363F">
        <w:rPr>
          <w:szCs w:val="24"/>
          <w:lang w:val="en-AU"/>
        </w:rPr>
        <w:t xml:space="preserve"> a similar profile in the winter months (above 95% load from 5pm to 9pm).</w:t>
      </w:r>
    </w:p>
  </w:footnote>
  <w:footnote w:id="26">
    <w:p w:rsidR="001B5FF8" w:rsidRPr="0068721E" w:rsidRDefault="001B5FF8" w:rsidP="00025BDF">
      <w:pPr>
        <w:pStyle w:val="FootnoteText"/>
        <w:ind w:left="142" w:hanging="142"/>
        <w:rPr>
          <w:lang w:val="en-AU"/>
        </w:rPr>
      </w:pPr>
      <w:r>
        <w:rPr>
          <w:rStyle w:val="FootnoteReference"/>
        </w:rPr>
        <w:footnoteRef/>
      </w:r>
      <w:r>
        <w:t xml:space="preserve"> </w:t>
      </w:r>
      <w:r>
        <w:rPr>
          <w:lang w:val="en-AU"/>
        </w:rPr>
        <w:t xml:space="preserve">Our approach to determining expected revenue for the purpose of this TSS is explained in Appendix A, and has been communicated previously to the AER. </w:t>
      </w:r>
    </w:p>
  </w:footnote>
  <w:footnote w:id="27">
    <w:p w:rsidR="001B5FF8" w:rsidRPr="00167F91" w:rsidRDefault="001B5FF8" w:rsidP="00FA1754">
      <w:pPr>
        <w:pStyle w:val="FootnoteText"/>
        <w:ind w:left="142" w:hanging="142"/>
        <w:rPr>
          <w:lang w:val="en-AU"/>
        </w:rPr>
      </w:pPr>
      <w:r>
        <w:rPr>
          <w:rStyle w:val="FootnoteReference"/>
        </w:rPr>
        <w:footnoteRef/>
      </w:r>
      <w:r>
        <w:t xml:space="preserve"> </w:t>
      </w:r>
      <w:r>
        <w:rPr>
          <w:lang w:val="en-AU"/>
        </w:rPr>
        <w:t>AEMC 2014, Rule Determination, National Electricity Amendment (Distribution Pricing Arrangements) Rule 2014, Rule Proponents, COAG Energy Council, Independent Pricing and Regulatory Tribunal, 27 November, page x.</w:t>
      </w:r>
    </w:p>
    <w:p w:rsidR="001B5FF8" w:rsidRPr="000D6076" w:rsidRDefault="001B5FF8">
      <w:pPr>
        <w:pStyle w:val="FootnoteText"/>
        <w:rPr>
          <w:lang w:val="en-AU"/>
        </w:rPr>
      </w:pPr>
    </w:p>
  </w:footnote>
  <w:footnote w:id="28">
    <w:p w:rsidR="001B5FF8" w:rsidRPr="00722C30" w:rsidRDefault="001B5FF8" w:rsidP="00722C30">
      <w:pPr>
        <w:pStyle w:val="FootnoteText"/>
        <w:ind w:left="142" w:hanging="142"/>
        <w:jc w:val="left"/>
        <w:rPr>
          <w:szCs w:val="14"/>
          <w:lang w:val="en-AU"/>
        </w:rPr>
      </w:pPr>
      <w:r w:rsidRPr="00340569">
        <w:rPr>
          <w:rStyle w:val="FootnoteReference"/>
          <w:szCs w:val="16"/>
        </w:rPr>
        <w:footnoteRef/>
      </w:r>
      <w:r w:rsidRPr="00722C30">
        <w:rPr>
          <w:szCs w:val="14"/>
        </w:rPr>
        <w:t xml:space="preserve"> </w:t>
      </w:r>
      <w:r w:rsidRPr="00722C30">
        <w:rPr>
          <w:rFonts w:eastAsia="Cambria" w:cs="Arial"/>
          <w:color w:val="000000"/>
          <w:szCs w:val="14"/>
          <w:lang w:val="en-AU"/>
        </w:rPr>
        <w:t>These distinctions were single phase ≤100Amps, three phase ≤100, three phase ≤100Amps WC connection, three phase CT connection ≤400Amps, &gt;400 amps ≤1,600Amps and &gt;1600 amps.</w:t>
      </w:r>
    </w:p>
  </w:footnote>
  <w:footnote w:id="29">
    <w:p w:rsidR="001B5FF8" w:rsidRPr="00722C30" w:rsidRDefault="001B5FF8" w:rsidP="00722C30">
      <w:pPr>
        <w:pStyle w:val="FootnoteText"/>
        <w:ind w:left="142" w:hanging="142"/>
        <w:jc w:val="left"/>
        <w:rPr>
          <w:szCs w:val="14"/>
          <w:lang w:val="en-AU"/>
        </w:rPr>
      </w:pPr>
      <w:r w:rsidRPr="00722C30">
        <w:rPr>
          <w:rStyle w:val="FootnoteReference"/>
          <w:szCs w:val="14"/>
        </w:rPr>
        <w:footnoteRef/>
      </w:r>
      <w:r w:rsidRPr="00722C30">
        <w:rPr>
          <w:szCs w:val="14"/>
        </w:rPr>
        <w:t xml:space="preserve"> </w:t>
      </w:r>
      <w:r w:rsidRPr="00722C30">
        <w:rPr>
          <w:rFonts w:eastAsia="Cambria" w:cs="Arial"/>
          <w:color w:val="000000"/>
          <w:szCs w:val="14"/>
          <w:lang w:val="en-AU"/>
        </w:rPr>
        <w:t>Because of the potential electrical demand - in Amps - which translates into the kW / kVA demand that can be potentially drawn.</w:t>
      </w:r>
    </w:p>
  </w:footnote>
  <w:footnote w:id="30">
    <w:p w:rsidR="001B5FF8" w:rsidRPr="00722C30" w:rsidRDefault="001B5FF8" w:rsidP="00722C30">
      <w:pPr>
        <w:pStyle w:val="FootnoteText"/>
        <w:ind w:left="142" w:hanging="142"/>
        <w:jc w:val="left"/>
        <w:rPr>
          <w:szCs w:val="14"/>
          <w:lang w:val="en-AU"/>
        </w:rPr>
      </w:pPr>
      <w:r w:rsidRPr="00722C30">
        <w:rPr>
          <w:rStyle w:val="FootnoteReference"/>
          <w:szCs w:val="14"/>
        </w:rPr>
        <w:footnoteRef/>
      </w:r>
      <w:r w:rsidRPr="00722C30">
        <w:rPr>
          <w:szCs w:val="14"/>
        </w:rPr>
        <w:t xml:space="preserve"> </w:t>
      </w:r>
      <w:proofErr w:type="gramStart"/>
      <w:r w:rsidRPr="00722C30">
        <w:rPr>
          <w:rFonts w:eastAsia="Cambria" w:cs="Arial"/>
          <w:color w:val="000000"/>
          <w:szCs w:val="14"/>
          <w:lang w:val="en-AU"/>
        </w:rPr>
        <w:t xml:space="preserve">AER, </w:t>
      </w:r>
      <w:r w:rsidRPr="00722C30">
        <w:rPr>
          <w:rFonts w:eastAsia="Cambria" w:cs="Arial"/>
          <w:i/>
          <w:color w:val="000000"/>
          <w:szCs w:val="14"/>
          <w:lang w:val="en-AU"/>
        </w:rPr>
        <w:t xml:space="preserve">Draft Decision – Tariff structure statement proposals </w:t>
      </w:r>
      <w:proofErr w:type="spellStart"/>
      <w:r w:rsidRPr="00722C30">
        <w:rPr>
          <w:rFonts w:eastAsia="Cambria" w:cs="Arial"/>
          <w:i/>
          <w:color w:val="000000"/>
          <w:szCs w:val="14"/>
          <w:lang w:val="en-AU"/>
        </w:rPr>
        <w:t>Ausgrid</w:t>
      </w:r>
      <w:proofErr w:type="spellEnd"/>
      <w:r w:rsidRPr="00722C30">
        <w:rPr>
          <w:rFonts w:eastAsia="Cambria" w:cs="Arial"/>
          <w:i/>
          <w:color w:val="000000"/>
          <w:szCs w:val="14"/>
          <w:lang w:val="en-AU"/>
        </w:rPr>
        <w:t xml:space="preserve"> Endeavour Energy Essential Energy</w:t>
      </w:r>
      <w:r w:rsidRPr="00722C30">
        <w:rPr>
          <w:rFonts w:eastAsia="Cambria" w:cs="Arial"/>
          <w:color w:val="000000"/>
          <w:szCs w:val="14"/>
          <w:lang w:val="en-AU"/>
        </w:rPr>
        <w:t>, August 2016, p.109-110.</w:t>
      </w:r>
      <w:proofErr w:type="gramEnd"/>
    </w:p>
  </w:footnote>
  <w:footnote w:id="31">
    <w:p w:rsidR="001B5FF8" w:rsidRPr="00722C30" w:rsidRDefault="001B5FF8" w:rsidP="00722C30">
      <w:pPr>
        <w:pStyle w:val="FootnoteText"/>
        <w:ind w:left="142" w:hanging="142"/>
        <w:jc w:val="left"/>
        <w:rPr>
          <w:szCs w:val="14"/>
          <w:lang w:val="en-AU"/>
        </w:rPr>
      </w:pPr>
      <w:r w:rsidRPr="00722C30">
        <w:rPr>
          <w:rStyle w:val="FootnoteReference"/>
          <w:szCs w:val="14"/>
        </w:rPr>
        <w:footnoteRef/>
      </w:r>
      <w:r w:rsidRPr="00722C30">
        <w:rPr>
          <w:szCs w:val="14"/>
        </w:rPr>
        <w:t xml:space="preserve"> </w:t>
      </w:r>
      <w:r w:rsidRPr="00722C30">
        <w:rPr>
          <w:rFonts w:eastAsia="Cambria" w:cs="Arial"/>
          <w:color w:val="000000"/>
          <w:szCs w:val="14"/>
          <w:lang w:val="en-AU"/>
        </w:rPr>
        <w:t xml:space="preserve">AER, </w:t>
      </w:r>
      <w:r w:rsidRPr="00722C30">
        <w:rPr>
          <w:rFonts w:eastAsia="Cambria" w:cs="Arial"/>
          <w:i/>
          <w:color w:val="000000"/>
          <w:szCs w:val="14"/>
          <w:lang w:val="en-AU"/>
        </w:rPr>
        <w:t xml:space="preserve">Draft Decision – Tariff structure statement proposals </w:t>
      </w:r>
      <w:proofErr w:type="spellStart"/>
      <w:r w:rsidRPr="00722C30">
        <w:rPr>
          <w:rFonts w:eastAsia="Cambria" w:cs="Arial"/>
          <w:i/>
          <w:color w:val="000000"/>
          <w:szCs w:val="14"/>
          <w:lang w:val="en-AU"/>
        </w:rPr>
        <w:t>Ausgrid</w:t>
      </w:r>
      <w:proofErr w:type="spellEnd"/>
      <w:r w:rsidRPr="00722C30">
        <w:rPr>
          <w:rFonts w:eastAsia="Cambria" w:cs="Arial"/>
          <w:i/>
          <w:color w:val="000000"/>
          <w:szCs w:val="14"/>
          <w:lang w:val="en-AU"/>
        </w:rPr>
        <w:t xml:space="preserve"> Endeavour Energy Essential Energy</w:t>
      </w:r>
      <w:r w:rsidRPr="00722C30">
        <w:rPr>
          <w:rFonts w:eastAsia="Cambria" w:cs="Arial"/>
          <w:color w:val="000000"/>
          <w:szCs w:val="14"/>
          <w:lang w:val="en-AU"/>
        </w:rPr>
        <w:t>, August 2016, p.107.</w:t>
      </w:r>
    </w:p>
  </w:footnote>
  <w:footnote w:id="32">
    <w:p w:rsidR="001B5FF8" w:rsidRPr="000D6076" w:rsidRDefault="001B5FF8" w:rsidP="00722C30">
      <w:pPr>
        <w:pStyle w:val="FootnoteText"/>
        <w:ind w:left="142" w:hanging="142"/>
        <w:jc w:val="left"/>
        <w:rPr>
          <w:lang w:val="en-AU"/>
        </w:rPr>
      </w:pPr>
      <w:r w:rsidRPr="00722C30">
        <w:rPr>
          <w:rStyle w:val="FootnoteReference"/>
          <w:szCs w:val="14"/>
        </w:rPr>
        <w:footnoteRef/>
      </w:r>
      <w:r w:rsidRPr="00722C30">
        <w:rPr>
          <w:szCs w:val="14"/>
        </w:rPr>
        <w:t xml:space="preserve"> </w:t>
      </w:r>
      <w:proofErr w:type="gramStart"/>
      <w:r w:rsidRPr="00722C30">
        <w:rPr>
          <w:szCs w:val="14"/>
        </w:rPr>
        <w:t>Including the Energy and Water Ombudsman NSW, the Public Interest Advocacy Centre, the NSW Council of Social Services, NSW Irrigators' Council and Solar citizens.</w:t>
      </w:r>
      <w:proofErr w:type="gramEnd"/>
    </w:p>
  </w:footnote>
  <w:footnote w:id="33">
    <w:p w:rsidR="001B5FF8" w:rsidRPr="001A7895" w:rsidRDefault="001B5FF8" w:rsidP="00025BDF">
      <w:pPr>
        <w:pStyle w:val="FootnoteText"/>
        <w:ind w:left="284" w:hanging="284"/>
        <w:rPr>
          <w:lang w:val="en-AU"/>
        </w:rPr>
      </w:pPr>
      <w:r>
        <w:rPr>
          <w:rStyle w:val="FootnoteReference"/>
        </w:rPr>
        <w:footnoteRef/>
      </w:r>
      <w:r>
        <w:t xml:space="preserve"> </w:t>
      </w:r>
      <w:r>
        <w:tab/>
        <w:t xml:space="preserve">This feature of the small business TOU tariff is a legacy of a time when </w:t>
      </w:r>
      <w:proofErr w:type="spellStart"/>
      <w:r>
        <w:t>Ausgrid</w:t>
      </w:r>
      <w:proofErr w:type="spellEnd"/>
      <w:r>
        <w:t xml:space="preserve"> had a combined residential and small business TOU tariff. The essential structure of this tariff was maintained when </w:t>
      </w:r>
      <w:proofErr w:type="spellStart"/>
      <w:r>
        <w:t>Ausgrid</w:t>
      </w:r>
      <w:proofErr w:type="spellEnd"/>
      <w:r>
        <w:t xml:space="preserve"> separated this tariff into a residential TOU tariff and a small business TOU tariff.</w:t>
      </w:r>
    </w:p>
  </w:footnote>
  <w:footnote w:id="34">
    <w:p w:rsidR="001B5FF8" w:rsidRPr="001A7895" w:rsidRDefault="001B5FF8" w:rsidP="00E053CF">
      <w:pPr>
        <w:pStyle w:val="FootnoteText"/>
        <w:ind w:left="284" w:hanging="284"/>
        <w:rPr>
          <w:lang w:val="en-AU"/>
        </w:rPr>
      </w:pPr>
      <w:r>
        <w:rPr>
          <w:rStyle w:val="FootnoteReference"/>
        </w:rPr>
        <w:footnoteRef/>
      </w:r>
      <w:r>
        <w:t xml:space="preserve">  </w:t>
      </w:r>
      <w:r>
        <w:tab/>
        <w:t xml:space="preserve">For the avoidance of doubt, </w:t>
      </w:r>
      <w:proofErr w:type="spellStart"/>
      <w:r>
        <w:t>Ausgrid</w:t>
      </w:r>
      <w:proofErr w:type="spellEnd"/>
      <w:r>
        <w:t xml:space="preserve"> notes the frequency with which this occurs is not sufficient to warrant the application of a peak period for residential customers on weekends.</w:t>
      </w:r>
    </w:p>
  </w:footnote>
  <w:footnote w:id="35">
    <w:p w:rsidR="001B5FF8" w:rsidRPr="000D6076" w:rsidRDefault="001B5FF8">
      <w:pPr>
        <w:pStyle w:val="FootnoteText"/>
        <w:rPr>
          <w:lang w:val="en-AU"/>
        </w:rPr>
      </w:pPr>
      <w:r>
        <w:rPr>
          <w:rStyle w:val="FootnoteReference"/>
        </w:rPr>
        <w:footnoteRef/>
      </w:r>
      <w:r>
        <w:t xml:space="preserve"> </w:t>
      </w:r>
      <w:r>
        <w:rPr>
          <w:lang w:val="en-AU"/>
        </w:rPr>
        <w:t xml:space="preserve">RBA, </w:t>
      </w:r>
      <w:r>
        <w:t xml:space="preserve">Statement on Monetary Policy, August 2016. </w:t>
      </w:r>
    </w:p>
  </w:footnote>
  <w:footnote w:id="36">
    <w:p w:rsidR="001B5FF8" w:rsidRPr="00234527" w:rsidRDefault="001B5FF8" w:rsidP="007D0321">
      <w:pPr>
        <w:pStyle w:val="FootnoteText"/>
        <w:rPr>
          <w:lang w:val="en-AU"/>
        </w:rPr>
      </w:pPr>
      <w:r>
        <w:rPr>
          <w:rStyle w:val="FootnoteReference"/>
        </w:rPr>
        <w:footnoteRef/>
      </w:r>
      <w:r>
        <w:t xml:space="preserve"> Price levels may vary to those presented here due to changes in </w:t>
      </w:r>
      <w:proofErr w:type="spellStart"/>
      <w:r>
        <w:t>TransGrid’s</w:t>
      </w:r>
      <w:proofErr w:type="spellEnd"/>
      <w:r>
        <w:t xml:space="preserve"> transmission pricing methodology.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FF8" w:rsidRPr="00722C30" w:rsidRDefault="001B5FF8" w:rsidP="00722C30">
    <w:pPr>
      <w:pStyle w:val="Header"/>
      <w:tabs>
        <w:tab w:val="clear" w:pos="4320"/>
        <w:tab w:val="clear" w:pos="8640"/>
        <w:tab w:val="center" w:pos="4680"/>
        <w:tab w:val="right" w:pos="9356"/>
      </w:tabs>
      <w:ind w:right="121"/>
      <w:jc w:val="right"/>
      <w:rPr>
        <w:color w:val="000000" w:themeColor="text1"/>
        <w:sz w:val="24"/>
      </w:rPr>
    </w:pPr>
    <w:r w:rsidRPr="00722C30">
      <w:rPr>
        <w:b/>
        <w:color w:val="000000" w:themeColor="text1"/>
      </w:rPr>
      <w:tab/>
    </w:r>
    <w:r w:rsidRPr="00722C30">
      <w:rPr>
        <w:color w:val="000000" w:themeColor="text1"/>
        <w:sz w:val="24"/>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E3D60B4E"/>
    <w:lvl w:ilvl="0">
      <w:start w:val="1"/>
      <w:numFmt w:val="decimal"/>
      <w:pStyle w:val="bullettext"/>
      <w:lvlText w:val="%1."/>
      <w:lvlJc w:val="left"/>
      <w:pPr>
        <w:tabs>
          <w:tab w:val="num" w:pos="643"/>
        </w:tabs>
        <w:ind w:left="643" w:hanging="360"/>
      </w:pPr>
      <w:rPr>
        <w:rFonts w:cs="Times New Roman"/>
      </w:rPr>
    </w:lvl>
  </w:abstractNum>
  <w:abstractNum w:abstractNumId="1">
    <w:nsid w:val="FFFFFF80"/>
    <w:multiLevelType w:val="singleLevel"/>
    <w:tmpl w:val="0EB6A8FA"/>
    <w:lvl w:ilvl="0">
      <w:start w:val="1"/>
      <w:numFmt w:val="bullet"/>
      <w:pStyle w:val="StyleHeading2ArialBefore6pt"/>
      <w:lvlText w:val=""/>
      <w:lvlJc w:val="left"/>
      <w:pPr>
        <w:tabs>
          <w:tab w:val="num" w:pos="1492"/>
        </w:tabs>
        <w:ind w:left="1492" w:hanging="360"/>
      </w:pPr>
      <w:rPr>
        <w:rFonts w:ascii="Symbol" w:hAnsi="Symbol" w:hint="default"/>
      </w:rPr>
    </w:lvl>
  </w:abstractNum>
  <w:abstractNum w:abstractNumId="2">
    <w:nsid w:val="FFFFFF89"/>
    <w:multiLevelType w:val="singleLevel"/>
    <w:tmpl w:val="3894E3E8"/>
    <w:lvl w:ilvl="0">
      <w:start w:val="1"/>
      <w:numFmt w:val="decimal"/>
      <w:pStyle w:val="StyleHeading2Expandedby005pt"/>
      <w:lvlText w:val="%1."/>
      <w:lvlJc w:val="left"/>
      <w:pPr>
        <w:tabs>
          <w:tab w:val="num" w:pos="360"/>
        </w:tabs>
        <w:ind w:left="360" w:hanging="360"/>
      </w:pPr>
      <w:rPr>
        <w:rFonts w:cs="Times New Roman" w:hint="default"/>
      </w:rPr>
    </w:lvl>
  </w:abstractNum>
  <w:abstractNum w:abstractNumId="3">
    <w:nsid w:val="FFFFFFFE"/>
    <w:multiLevelType w:val="singleLevel"/>
    <w:tmpl w:val="711232DE"/>
    <w:lvl w:ilvl="0">
      <w:numFmt w:val="bullet"/>
      <w:lvlText w:val="*"/>
      <w:lvlJc w:val="left"/>
    </w:lvl>
  </w:abstractNum>
  <w:abstractNum w:abstractNumId="4">
    <w:nsid w:val="0001603D"/>
    <w:multiLevelType w:val="hybridMultilevel"/>
    <w:tmpl w:val="BB5EB5D8"/>
    <w:lvl w:ilvl="0" w:tplc="FFFFFFFF">
      <w:start w:val="1"/>
      <w:numFmt w:val="bullet"/>
      <w:pStyle w:val="DocumentControl"/>
      <w:lvlText w:val=""/>
      <w:lvlJc w:val="left"/>
      <w:pPr>
        <w:tabs>
          <w:tab w:val="num" w:pos="1440"/>
        </w:tabs>
        <w:ind w:left="1440" w:hanging="360"/>
      </w:pPr>
      <w:rPr>
        <w:rFonts w:ascii="Symbol" w:hAnsi="Symbol" w:hint="default"/>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03C9657D"/>
    <w:multiLevelType w:val="hybridMultilevel"/>
    <w:tmpl w:val="9B324962"/>
    <w:lvl w:ilvl="0" w:tplc="0F048FA4">
      <w:start w:val="1"/>
      <w:numFmt w:val="bullet"/>
      <w:pStyle w:val="hyphen"/>
      <w:lvlText w:val=""/>
      <w:lvlJc w:val="left"/>
      <w:pPr>
        <w:tabs>
          <w:tab w:val="num" w:pos="1891"/>
        </w:tabs>
        <w:ind w:left="1891" w:hanging="360"/>
      </w:pPr>
      <w:rPr>
        <w:rFonts w:ascii="Symbol" w:hAnsi="Symbol" w:hint="default"/>
        <w:sz w:val="20"/>
      </w:rPr>
    </w:lvl>
    <w:lvl w:ilvl="1" w:tplc="0C090003">
      <w:start w:val="1"/>
      <w:numFmt w:val="bullet"/>
      <w:lvlText w:val="o"/>
      <w:lvlJc w:val="left"/>
      <w:pPr>
        <w:tabs>
          <w:tab w:val="num" w:pos="845"/>
        </w:tabs>
        <w:ind w:left="845" w:hanging="360"/>
      </w:pPr>
      <w:rPr>
        <w:rFonts w:ascii="Courier New" w:hAnsi="Courier New" w:hint="default"/>
      </w:rPr>
    </w:lvl>
    <w:lvl w:ilvl="2" w:tplc="0C090005" w:tentative="1">
      <w:start w:val="1"/>
      <w:numFmt w:val="bullet"/>
      <w:lvlText w:val=""/>
      <w:lvlJc w:val="left"/>
      <w:pPr>
        <w:tabs>
          <w:tab w:val="num" w:pos="1565"/>
        </w:tabs>
        <w:ind w:left="1565" w:hanging="360"/>
      </w:pPr>
      <w:rPr>
        <w:rFonts w:ascii="Wingdings" w:hAnsi="Wingdings" w:hint="default"/>
      </w:rPr>
    </w:lvl>
    <w:lvl w:ilvl="3" w:tplc="0C090001" w:tentative="1">
      <w:start w:val="1"/>
      <w:numFmt w:val="bullet"/>
      <w:lvlText w:val=""/>
      <w:lvlJc w:val="left"/>
      <w:pPr>
        <w:tabs>
          <w:tab w:val="num" w:pos="2285"/>
        </w:tabs>
        <w:ind w:left="2285" w:hanging="360"/>
      </w:pPr>
      <w:rPr>
        <w:rFonts w:ascii="Symbol" w:hAnsi="Symbol" w:hint="default"/>
      </w:rPr>
    </w:lvl>
    <w:lvl w:ilvl="4" w:tplc="0C090003" w:tentative="1">
      <w:start w:val="1"/>
      <w:numFmt w:val="bullet"/>
      <w:lvlText w:val="o"/>
      <w:lvlJc w:val="left"/>
      <w:pPr>
        <w:tabs>
          <w:tab w:val="num" w:pos="3005"/>
        </w:tabs>
        <w:ind w:left="3005" w:hanging="360"/>
      </w:pPr>
      <w:rPr>
        <w:rFonts w:ascii="Courier New" w:hAnsi="Courier New" w:hint="default"/>
      </w:rPr>
    </w:lvl>
    <w:lvl w:ilvl="5" w:tplc="0C090005" w:tentative="1">
      <w:start w:val="1"/>
      <w:numFmt w:val="bullet"/>
      <w:lvlText w:val=""/>
      <w:lvlJc w:val="left"/>
      <w:pPr>
        <w:tabs>
          <w:tab w:val="num" w:pos="3725"/>
        </w:tabs>
        <w:ind w:left="3725" w:hanging="360"/>
      </w:pPr>
      <w:rPr>
        <w:rFonts w:ascii="Wingdings" w:hAnsi="Wingdings" w:hint="default"/>
      </w:rPr>
    </w:lvl>
    <w:lvl w:ilvl="6" w:tplc="0C090001" w:tentative="1">
      <w:start w:val="1"/>
      <w:numFmt w:val="bullet"/>
      <w:lvlText w:val=""/>
      <w:lvlJc w:val="left"/>
      <w:pPr>
        <w:tabs>
          <w:tab w:val="num" w:pos="4445"/>
        </w:tabs>
        <w:ind w:left="4445" w:hanging="360"/>
      </w:pPr>
      <w:rPr>
        <w:rFonts w:ascii="Symbol" w:hAnsi="Symbol" w:hint="default"/>
      </w:rPr>
    </w:lvl>
    <w:lvl w:ilvl="7" w:tplc="0C090003" w:tentative="1">
      <w:start w:val="1"/>
      <w:numFmt w:val="bullet"/>
      <w:lvlText w:val="o"/>
      <w:lvlJc w:val="left"/>
      <w:pPr>
        <w:tabs>
          <w:tab w:val="num" w:pos="5165"/>
        </w:tabs>
        <w:ind w:left="5165" w:hanging="360"/>
      </w:pPr>
      <w:rPr>
        <w:rFonts w:ascii="Courier New" w:hAnsi="Courier New" w:hint="default"/>
      </w:rPr>
    </w:lvl>
    <w:lvl w:ilvl="8" w:tplc="0C090005" w:tentative="1">
      <w:start w:val="1"/>
      <w:numFmt w:val="bullet"/>
      <w:lvlText w:val=""/>
      <w:lvlJc w:val="left"/>
      <w:pPr>
        <w:tabs>
          <w:tab w:val="num" w:pos="5885"/>
        </w:tabs>
        <w:ind w:left="5885" w:hanging="360"/>
      </w:pPr>
      <w:rPr>
        <w:rFonts w:ascii="Wingdings" w:hAnsi="Wingdings" w:hint="default"/>
      </w:rPr>
    </w:lvl>
  </w:abstractNum>
  <w:abstractNum w:abstractNumId="6">
    <w:nsid w:val="046B3D5B"/>
    <w:multiLevelType w:val="hybridMultilevel"/>
    <w:tmpl w:val="0756C054"/>
    <w:lvl w:ilvl="0" w:tplc="690C86DC">
      <w:start w:val="1"/>
      <w:numFmt w:val="bullet"/>
      <w:pStyle w:val="AusgridBullet"/>
      <w:lvlText w:val=""/>
      <w:lvlJc w:val="left"/>
      <w:pPr>
        <w:ind w:left="1637" w:hanging="360"/>
      </w:pPr>
      <w:rPr>
        <w:rFonts w:ascii="Symbol" w:hAnsi="Symbol" w:hint="default"/>
        <w:color w:val="EEECE1" w:themeColor="background2"/>
        <w:sz w:val="20"/>
        <w:szCs w:val="20"/>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nsid w:val="04D22D61"/>
    <w:multiLevelType w:val="hybridMultilevel"/>
    <w:tmpl w:val="4EEE8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7015B90"/>
    <w:multiLevelType w:val="hybridMultilevel"/>
    <w:tmpl w:val="D80A85DE"/>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
    <w:nsid w:val="08461E0B"/>
    <w:multiLevelType w:val="hybridMultilevel"/>
    <w:tmpl w:val="64AEBEE0"/>
    <w:lvl w:ilvl="0" w:tplc="0C090001">
      <w:start w:val="1"/>
      <w:numFmt w:val="bullet"/>
      <w:lvlText w:val=""/>
      <w:lvlJc w:val="left"/>
      <w:pPr>
        <w:ind w:left="1571" w:hanging="360"/>
      </w:pPr>
      <w:rPr>
        <w:rFonts w:ascii="Symbol" w:hAnsi="Symbol" w:hint="default"/>
      </w:rPr>
    </w:lvl>
    <w:lvl w:ilvl="1" w:tplc="1A604EA4">
      <w:numFmt w:val="bullet"/>
      <w:lvlText w:val="•"/>
      <w:lvlJc w:val="left"/>
      <w:pPr>
        <w:ind w:left="2516" w:hanging="585"/>
      </w:pPr>
      <w:rPr>
        <w:rFonts w:ascii="Arial" w:eastAsia="Times New Roman" w:hAnsi="Arial" w:cs="Arial"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
    <w:nsid w:val="0A5E6372"/>
    <w:multiLevelType w:val="hybridMultilevel"/>
    <w:tmpl w:val="BAB0803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
    <w:nsid w:val="0AAD51B3"/>
    <w:multiLevelType w:val="multilevel"/>
    <w:tmpl w:val="B07C2BEC"/>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0B817F9E"/>
    <w:multiLevelType w:val="hybridMultilevel"/>
    <w:tmpl w:val="4E94F85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nsid w:val="0B8A6B7C"/>
    <w:multiLevelType w:val="hybridMultilevel"/>
    <w:tmpl w:val="9BB4EF3E"/>
    <w:lvl w:ilvl="0" w:tplc="0C09000F">
      <w:start w:val="1"/>
      <w:numFmt w:val="decimal"/>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4">
    <w:nsid w:val="0B8F2098"/>
    <w:multiLevelType w:val="hybridMultilevel"/>
    <w:tmpl w:val="5F3CEB1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nsid w:val="0BE754CE"/>
    <w:multiLevelType w:val="hybridMultilevel"/>
    <w:tmpl w:val="6DAA9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0C135467"/>
    <w:multiLevelType w:val="hybridMultilevel"/>
    <w:tmpl w:val="AD12FE7E"/>
    <w:lvl w:ilvl="0" w:tplc="C3AC53B8">
      <w:start w:val="1"/>
      <w:numFmt w:val="bullet"/>
      <w:pStyle w:val="Bulletedtext"/>
      <w:lvlText w:val=""/>
      <w:lvlJc w:val="left"/>
      <w:pPr>
        <w:ind w:left="3621" w:hanging="360"/>
      </w:pPr>
      <w:rPr>
        <w:rFonts w:ascii="Symbol" w:hAnsi="Symbol" w:hint="default"/>
      </w:rPr>
    </w:lvl>
    <w:lvl w:ilvl="1" w:tplc="0C090003" w:tentative="1">
      <w:start w:val="1"/>
      <w:numFmt w:val="bullet"/>
      <w:lvlText w:val="o"/>
      <w:lvlJc w:val="left"/>
      <w:pPr>
        <w:ind w:left="4341" w:hanging="360"/>
      </w:pPr>
      <w:rPr>
        <w:rFonts w:ascii="Courier New" w:hAnsi="Courier New" w:cs="Courier New" w:hint="default"/>
      </w:rPr>
    </w:lvl>
    <w:lvl w:ilvl="2" w:tplc="0C090005" w:tentative="1">
      <w:start w:val="1"/>
      <w:numFmt w:val="bullet"/>
      <w:lvlText w:val=""/>
      <w:lvlJc w:val="left"/>
      <w:pPr>
        <w:ind w:left="5061" w:hanging="360"/>
      </w:pPr>
      <w:rPr>
        <w:rFonts w:ascii="Wingdings" w:hAnsi="Wingdings" w:hint="default"/>
      </w:rPr>
    </w:lvl>
    <w:lvl w:ilvl="3" w:tplc="0C090001" w:tentative="1">
      <w:start w:val="1"/>
      <w:numFmt w:val="bullet"/>
      <w:lvlText w:val=""/>
      <w:lvlJc w:val="left"/>
      <w:pPr>
        <w:ind w:left="5781" w:hanging="360"/>
      </w:pPr>
      <w:rPr>
        <w:rFonts w:ascii="Symbol" w:hAnsi="Symbol" w:hint="default"/>
      </w:rPr>
    </w:lvl>
    <w:lvl w:ilvl="4" w:tplc="0C090003" w:tentative="1">
      <w:start w:val="1"/>
      <w:numFmt w:val="bullet"/>
      <w:lvlText w:val="o"/>
      <w:lvlJc w:val="left"/>
      <w:pPr>
        <w:ind w:left="6501" w:hanging="360"/>
      </w:pPr>
      <w:rPr>
        <w:rFonts w:ascii="Courier New" w:hAnsi="Courier New" w:cs="Courier New" w:hint="default"/>
      </w:rPr>
    </w:lvl>
    <w:lvl w:ilvl="5" w:tplc="0C090005" w:tentative="1">
      <w:start w:val="1"/>
      <w:numFmt w:val="bullet"/>
      <w:lvlText w:val=""/>
      <w:lvlJc w:val="left"/>
      <w:pPr>
        <w:ind w:left="7221" w:hanging="360"/>
      </w:pPr>
      <w:rPr>
        <w:rFonts w:ascii="Wingdings" w:hAnsi="Wingdings" w:hint="default"/>
      </w:rPr>
    </w:lvl>
    <w:lvl w:ilvl="6" w:tplc="0C090001" w:tentative="1">
      <w:start w:val="1"/>
      <w:numFmt w:val="bullet"/>
      <w:lvlText w:val=""/>
      <w:lvlJc w:val="left"/>
      <w:pPr>
        <w:ind w:left="7941" w:hanging="360"/>
      </w:pPr>
      <w:rPr>
        <w:rFonts w:ascii="Symbol" w:hAnsi="Symbol" w:hint="default"/>
      </w:rPr>
    </w:lvl>
    <w:lvl w:ilvl="7" w:tplc="0C090003" w:tentative="1">
      <w:start w:val="1"/>
      <w:numFmt w:val="bullet"/>
      <w:lvlText w:val="o"/>
      <w:lvlJc w:val="left"/>
      <w:pPr>
        <w:ind w:left="8661" w:hanging="360"/>
      </w:pPr>
      <w:rPr>
        <w:rFonts w:ascii="Courier New" w:hAnsi="Courier New" w:cs="Courier New" w:hint="default"/>
      </w:rPr>
    </w:lvl>
    <w:lvl w:ilvl="8" w:tplc="0C090005" w:tentative="1">
      <w:start w:val="1"/>
      <w:numFmt w:val="bullet"/>
      <w:lvlText w:val=""/>
      <w:lvlJc w:val="left"/>
      <w:pPr>
        <w:ind w:left="9381" w:hanging="360"/>
      </w:pPr>
      <w:rPr>
        <w:rFonts w:ascii="Wingdings" w:hAnsi="Wingdings" w:hint="default"/>
      </w:rPr>
    </w:lvl>
  </w:abstractNum>
  <w:abstractNum w:abstractNumId="17">
    <w:nsid w:val="0C984F62"/>
    <w:multiLevelType w:val="hybridMultilevel"/>
    <w:tmpl w:val="460CB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0DD2542B"/>
    <w:multiLevelType w:val="hybridMultilevel"/>
    <w:tmpl w:val="60FAC388"/>
    <w:lvl w:ilvl="0" w:tplc="50264BE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0E0B5F44"/>
    <w:multiLevelType w:val="hybridMultilevel"/>
    <w:tmpl w:val="EE6C3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0E3F32E9"/>
    <w:multiLevelType w:val="hybridMultilevel"/>
    <w:tmpl w:val="9C2EFA42"/>
    <w:lvl w:ilvl="0" w:tplc="781A1AAC">
      <w:start w:val="1"/>
      <w:numFmt w:val="bullet"/>
      <w:lvlText w:val="–"/>
      <w:lvlJc w:val="left"/>
      <w:pPr>
        <w:ind w:left="1409" w:hanging="360"/>
      </w:pPr>
      <w:rPr>
        <w:rFonts w:ascii="Arial" w:hAnsi="Arial" w:hint="default"/>
      </w:rPr>
    </w:lvl>
    <w:lvl w:ilvl="1" w:tplc="0C090003">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21">
    <w:nsid w:val="0E435FBA"/>
    <w:multiLevelType w:val="hybridMultilevel"/>
    <w:tmpl w:val="5ACCB16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2">
    <w:nsid w:val="10FE05A0"/>
    <w:multiLevelType w:val="hybridMultilevel"/>
    <w:tmpl w:val="39C225EC"/>
    <w:lvl w:ilvl="0" w:tplc="5E2077D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16305CF9"/>
    <w:multiLevelType w:val="hybridMultilevel"/>
    <w:tmpl w:val="0CFEB2C8"/>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4">
    <w:nsid w:val="178338D6"/>
    <w:multiLevelType w:val="hybridMultilevel"/>
    <w:tmpl w:val="56C8CC1E"/>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25">
    <w:nsid w:val="178577D7"/>
    <w:multiLevelType w:val="hybridMultilevel"/>
    <w:tmpl w:val="878814C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6">
    <w:nsid w:val="19404EE6"/>
    <w:multiLevelType w:val="hybridMultilevel"/>
    <w:tmpl w:val="44C49B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1A5270AD"/>
    <w:multiLevelType w:val="hybridMultilevel"/>
    <w:tmpl w:val="9B825772"/>
    <w:lvl w:ilvl="0" w:tplc="FFFFFFFF">
      <w:start w:val="1"/>
      <w:numFmt w:val="bullet"/>
      <w:pStyle w:val="boxbullet"/>
      <w:lvlText w:val=""/>
      <w:lvlJc w:val="left"/>
      <w:pPr>
        <w:tabs>
          <w:tab w:val="num" w:pos="0"/>
        </w:tabs>
        <w:ind w:left="28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nsid w:val="1C1E71BA"/>
    <w:multiLevelType w:val="multilevel"/>
    <w:tmpl w:val="CD64101E"/>
    <w:lvl w:ilvl="0">
      <w:start w:val="1"/>
      <w:numFmt w:val="none"/>
      <w:lvlText w:val="%1"/>
      <w:lvlJc w:val="left"/>
      <w:pPr>
        <w:tabs>
          <w:tab w:val="num" w:pos="720"/>
        </w:tabs>
        <w:ind w:left="720" w:firstLine="0"/>
      </w:pPr>
      <w:rPr>
        <w:rFonts w:hint="default"/>
      </w:rPr>
    </w:lvl>
    <w:lvl w:ilvl="1">
      <w:start w:val="1"/>
      <w:numFmt w:val="decimal"/>
      <w:lvlText w:val="%2."/>
      <w:lvlJc w:val="left"/>
      <w:pPr>
        <w:tabs>
          <w:tab w:val="num" w:pos="1077"/>
        </w:tabs>
        <w:ind w:left="1077" w:hanging="357"/>
      </w:pPr>
      <w:rPr>
        <w:rFonts w:hint="default"/>
      </w:rPr>
    </w:lvl>
    <w:lvl w:ilvl="2">
      <w:start w:val="1"/>
      <w:numFmt w:val="lowerLetter"/>
      <w:lvlText w:val="%3."/>
      <w:lvlJc w:val="left"/>
      <w:pPr>
        <w:tabs>
          <w:tab w:val="num" w:pos="1440"/>
        </w:tabs>
        <w:ind w:left="1440" w:hanging="363"/>
      </w:pPr>
      <w:rPr>
        <w:rFonts w:hint="default"/>
      </w:rPr>
    </w:lvl>
    <w:lvl w:ilvl="3">
      <w:start w:val="1"/>
      <w:numFmt w:val="lowerRoman"/>
      <w:lvlText w:val="%4."/>
      <w:lvlJc w:val="left"/>
      <w:pPr>
        <w:tabs>
          <w:tab w:val="num" w:pos="1797"/>
        </w:tabs>
        <w:ind w:left="1797" w:hanging="357"/>
      </w:pPr>
      <w:rPr>
        <w:rFonts w:hint="default"/>
      </w:rPr>
    </w:lvl>
    <w:lvl w:ilvl="4">
      <w:start w:val="1"/>
      <w:numFmt w:val="lowerRoman"/>
      <w:lvlText w:val="(%5)"/>
      <w:lvlJc w:val="left"/>
      <w:pPr>
        <w:tabs>
          <w:tab w:val="num" w:pos="1174"/>
        </w:tabs>
        <w:ind w:left="1174" w:hanging="454"/>
      </w:pPr>
      <w:rPr>
        <w:rFonts w:hint="default"/>
      </w:rPr>
    </w:lvl>
    <w:lvl w:ilvl="5">
      <w:start w:val="1"/>
      <w:numFmt w:val="lowerLetter"/>
      <w:lvlText w:val="(%6)"/>
      <w:lvlJc w:val="left"/>
      <w:pPr>
        <w:tabs>
          <w:tab w:val="num" w:pos="1531"/>
        </w:tabs>
        <w:ind w:left="1531" w:hanging="357"/>
      </w:pPr>
      <w:rPr>
        <w:rFonts w:hint="default"/>
      </w:rPr>
    </w:lvl>
    <w:lvl w:ilvl="6">
      <w:start w:val="1"/>
      <w:numFmt w:val="lowerRoman"/>
      <w:lvlText w:val="(%7)"/>
      <w:lvlJc w:val="left"/>
      <w:pPr>
        <w:tabs>
          <w:tab w:val="num" w:pos="2166"/>
        </w:tabs>
        <w:ind w:left="2166" w:hanging="635"/>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9">
    <w:nsid w:val="1CE93B66"/>
    <w:multiLevelType w:val="hybridMultilevel"/>
    <w:tmpl w:val="CC686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DDA5F40"/>
    <w:multiLevelType w:val="hybridMultilevel"/>
    <w:tmpl w:val="829C20AE"/>
    <w:lvl w:ilvl="0" w:tplc="0C090001">
      <w:start w:val="1"/>
      <w:numFmt w:val="bullet"/>
      <w:lvlText w:val=""/>
      <w:lvlJc w:val="left"/>
      <w:pPr>
        <w:ind w:left="1571" w:hanging="360"/>
      </w:pPr>
      <w:rPr>
        <w:rFonts w:ascii="Symbol" w:hAnsi="Symbol" w:hint="default"/>
      </w:rPr>
    </w:lvl>
    <w:lvl w:ilvl="1" w:tplc="29ECB688">
      <w:numFmt w:val="bullet"/>
      <w:lvlText w:val="•"/>
      <w:lvlJc w:val="left"/>
      <w:pPr>
        <w:ind w:left="2291" w:hanging="360"/>
      </w:pPr>
      <w:rPr>
        <w:rFonts w:ascii="Arial" w:eastAsia="Times New Roman" w:hAnsi="Arial" w:cs="Arial"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1">
    <w:nsid w:val="1EA31767"/>
    <w:multiLevelType w:val="hybridMultilevel"/>
    <w:tmpl w:val="1DBE583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2">
    <w:nsid w:val="1FA41006"/>
    <w:multiLevelType w:val="hybridMultilevel"/>
    <w:tmpl w:val="51DCD07E"/>
    <w:lvl w:ilvl="0" w:tplc="BE740662">
      <w:numFmt w:val="bullet"/>
      <w:lvlText w:val="•"/>
      <w:lvlJc w:val="left"/>
      <w:pPr>
        <w:ind w:left="1080" w:hanging="72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20D4294A"/>
    <w:multiLevelType w:val="hybridMultilevel"/>
    <w:tmpl w:val="FCEA627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4">
    <w:nsid w:val="23800E13"/>
    <w:multiLevelType w:val="hybridMultilevel"/>
    <w:tmpl w:val="2AB48AB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5">
    <w:nsid w:val="239D789E"/>
    <w:multiLevelType w:val="hybridMultilevel"/>
    <w:tmpl w:val="38F0D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254C06A2"/>
    <w:multiLevelType w:val="hybridMultilevel"/>
    <w:tmpl w:val="3DE4CBB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7">
    <w:nsid w:val="25E16534"/>
    <w:multiLevelType w:val="hybridMultilevel"/>
    <w:tmpl w:val="71F66A3A"/>
    <w:lvl w:ilvl="0" w:tplc="C84241E4">
      <w:start w:val="1"/>
      <w:numFmt w:val="lowerLetter"/>
      <w:pStyle w:val="Subparagraph"/>
      <w:lvlText w:val="(%1)"/>
      <w:lvlJc w:val="left"/>
      <w:pPr>
        <w:tabs>
          <w:tab w:val="num" w:pos="1361"/>
        </w:tabs>
        <w:ind w:left="1361" w:hanging="397"/>
      </w:pPr>
      <w:rPr>
        <w:rFonts w:hint="default"/>
      </w:rPr>
    </w:lvl>
    <w:lvl w:ilvl="1" w:tplc="0C090019" w:tentative="1">
      <w:start w:val="1"/>
      <w:numFmt w:val="lowerLetter"/>
      <w:lvlText w:val="%2."/>
      <w:lvlJc w:val="left"/>
      <w:pPr>
        <w:tabs>
          <w:tab w:val="num" w:pos="306"/>
        </w:tabs>
        <w:ind w:left="306" w:hanging="360"/>
      </w:pPr>
    </w:lvl>
    <w:lvl w:ilvl="2" w:tplc="0C09001B" w:tentative="1">
      <w:start w:val="1"/>
      <w:numFmt w:val="lowerRoman"/>
      <w:lvlText w:val="%3."/>
      <w:lvlJc w:val="right"/>
      <w:pPr>
        <w:tabs>
          <w:tab w:val="num" w:pos="1026"/>
        </w:tabs>
        <w:ind w:left="1026" w:hanging="180"/>
      </w:pPr>
    </w:lvl>
    <w:lvl w:ilvl="3" w:tplc="0C09000F" w:tentative="1">
      <w:start w:val="1"/>
      <w:numFmt w:val="decimal"/>
      <w:lvlText w:val="%4."/>
      <w:lvlJc w:val="left"/>
      <w:pPr>
        <w:tabs>
          <w:tab w:val="num" w:pos="1746"/>
        </w:tabs>
        <w:ind w:left="1746" w:hanging="360"/>
      </w:pPr>
    </w:lvl>
    <w:lvl w:ilvl="4" w:tplc="0C090019" w:tentative="1">
      <w:start w:val="1"/>
      <w:numFmt w:val="lowerLetter"/>
      <w:lvlText w:val="%5."/>
      <w:lvlJc w:val="left"/>
      <w:pPr>
        <w:tabs>
          <w:tab w:val="num" w:pos="2466"/>
        </w:tabs>
        <w:ind w:left="2466" w:hanging="360"/>
      </w:pPr>
    </w:lvl>
    <w:lvl w:ilvl="5" w:tplc="0C09001B" w:tentative="1">
      <w:start w:val="1"/>
      <w:numFmt w:val="lowerRoman"/>
      <w:lvlText w:val="%6."/>
      <w:lvlJc w:val="right"/>
      <w:pPr>
        <w:tabs>
          <w:tab w:val="num" w:pos="3186"/>
        </w:tabs>
        <w:ind w:left="3186" w:hanging="180"/>
      </w:pPr>
    </w:lvl>
    <w:lvl w:ilvl="6" w:tplc="0C09000F" w:tentative="1">
      <w:start w:val="1"/>
      <w:numFmt w:val="decimal"/>
      <w:lvlText w:val="%7."/>
      <w:lvlJc w:val="left"/>
      <w:pPr>
        <w:tabs>
          <w:tab w:val="num" w:pos="3906"/>
        </w:tabs>
        <w:ind w:left="3906" w:hanging="360"/>
      </w:pPr>
    </w:lvl>
    <w:lvl w:ilvl="7" w:tplc="0C090019" w:tentative="1">
      <w:start w:val="1"/>
      <w:numFmt w:val="lowerLetter"/>
      <w:lvlText w:val="%8."/>
      <w:lvlJc w:val="left"/>
      <w:pPr>
        <w:tabs>
          <w:tab w:val="num" w:pos="4626"/>
        </w:tabs>
        <w:ind w:left="4626" w:hanging="360"/>
      </w:pPr>
    </w:lvl>
    <w:lvl w:ilvl="8" w:tplc="0C09001B" w:tentative="1">
      <w:start w:val="1"/>
      <w:numFmt w:val="lowerRoman"/>
      <w:lvlText w:val="%9."/>
      <w:lvlJc w:val="right"/>
      <w:pPr>
        <w:tabs>
          <w:tab w:val="num" w:pos="5346"/>
        </w:tabs>
        <w:ind w:left="5346" w:hanging="180"/>
      </w:pPr>
    </w:lvl>
  </w:abstractNum>
  <w:abstractNum w:abstractNumId="38">
    <w:nsid w:val="260C5032"/>
    <w:multiLevelType w:val="hybridMultilevel"/>
    <w:tmpl w:val="9DECFD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28D066D7"/>
    <w:multiLevelType w:val="hybridMultilevel"/>
    <w:tmpl w:val="D570B3E0"/>
    <w:lvl w:ilvl="0" w:tplc="0C090001">
      <w:start w:val="1"/>
      <w:numFmt w:val="bullet"/>
      <w:lvlText w:val=""/>
      <w:lvlJc w:val="left"/>
      <w:pPr>
        <w:ind w:left="1409" w:hanging="360"/>
      </w:pPr>
      <w:rPr>
        <w:rFonts w:ascii="Symbol" w:hAnsi="Symbol" w:hint="default"/>
      </w:rPr>
    </w:lvl>
    <w:lvl w:ilvl="1" w:tplc="781A1AAC">
      <w:start w:val="1"/>
      <w:numFmt w:val="bullet"/>
      <w:lvlText w:val="–"/>
      <w:lvlJc w:val="left"/>
      <w:pPr>
        <w:ind w:left="1780" w:hanging="360"/>
      </w:pPr>
      <w:rPr>
        <w:rFonts w:ascii="Arial" w:hAnsi="Arial" w:hint="default"/>
      </w:rPr>
    </w:lvl>
    <w:lvl w:ilvl="2" w:tplc="0C090005">
      <w:start w:val="1"/>
      <w:numFmt w:val="bullet"/>
      <w:lvlText w:val=""/>
      <w:lvlJc w:val="left"/>
      <w:pPr>
        <w:ind w:left="2500" w:hanging="360"/>
      </w:pPr>
      <w:rPr>
        <w:rFonts w:ascii="Wingdings" w:hAnsi="Wingdings" w:hint="default"/>
      </w:rPr>
    </w:lvl>
    <w:lvl w:ilvl="3" w:tplc="25BE5100">
      <w:numFmt w:val="bullet"/>
      <w:lvlText w:val="•"/>
      <w:lvlJc w:val="left"/>
      <w:pPr>
        <w:ind w:left="3445" w:hanging="585"/>
      </w:pPr>
      <w:rPr>
        <w:rFonts w:ascii="Arial" w:eastAsia="Times New Roman" w:hAnsi="Arial" w:cs="Aria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0">
    <w:nsid w:val="2941615D"/>
    <w:multiLevelType w:val="hybridMultilevel"/>
    <w:tmpl w:val="0A9420DC"/>
    <w:lvl w:ilvl="0" w:tplc="4B0A0BEA">
      <w:start w:val="1"/>
      <w:numFmt w:val="bullet"/>
      <w:pStyle w:val="BulletAltb"/>
      <w:lvlText w:val=""/>
      <w:lvlJc w:val="left"/>
      <w:pPr>
        <w:tabs>
          <w:tab w:val="num" w:pos="2062"/>
        </w:tabs>
        <w:ind w:left="2062" w:hanging="360"/>
      </w:pPr>
      <w:rPr>
        <w:rFonts w:ascii="Symbol" w:hAnsi="Symbol" w:hint="default"/>
        <w:sz w:val="22"/>
        <w:szCs w:val="22"/>
      </w:rPr>
    </w:lvl>
    <w:lvl w:ilvl="1" w:tplc="0C090003" w:tentative="1">
      <w:start w:val="1"/>
      <w:numFmt w:val="bullet"/>
      <w:lvlText w:val="o"/>
      <w:lvlJc w:val="left"/>
      <w:pPr>
        <w:tabs>
          <w:tab w:val="num" w:pos="2291"/>
        </w:tabs>
        <w:ind w:left="2291" w:hanging="360"/>
      </w:pPr>
      <w:rPr>
        <w:rFonts w:ascii="Courier New" w:hAnsi="Courier New" w:cs="Courier New" w:hint="default"/>
      </w:rPr>
    </w:lvl>
    <w:lvl w:ilvl="2" w:tplc="0C090005" w:tentative="1">
      <w:start w:val="1"/>
      <w:numFmt w:val="bullet"/>
      <w:lvlText w:val=""/>
      <w:lvlJc w:val="left"/>
      <w:pPr>
        <w:tabs>
          <w:tab w:val="num" w:pos="3011"/>
        </w:tabs>
        <w:ind w:left="3011" w:hanging="360"/>
      </w:pPr>
      <w:rPr>
        <w:rFonts w:ascii="Wingdings" w:hAnsi="Wingdings" w:hint="default"/>
      </w:rPr>
    </w:lvl>
    <w:lvl w:ilvl="3" w:tplc="0C090001" w:tentative="1">
      <w:start w:val="1"/>
      <w:numFmt w:val="bullet"/>
      <w:lvlText w:val=""/>
      <w:lvlJc w:val="left"/>
      <w:pPr>
        <w:tabs>
          <w:tab w:val="num" w:pos="3731"/>
        </w:tabs>
        <w:ind w:left="3731" w:hanging="360"/>
      </w:pPr>
      <w:rPr>
        <w:rFonts w:ascii="Symbol" w:hAnsi="Symbol" w:hint="default"/>
      </w:rPr>
    </w:lvl>
    <w:lvl w:ilvl="4" w:tplc="0C090003" w:tentative="1">
      <w:start w:val="1"/>
      <w:numFmt w:val="bullet"/>
      <w:lvlText w:val="o"/>
      <w:lvlJc w:val="left"/>
      <w:pPr>
        <w:tabs>
          <w:tab w:val="num" w:pos="4451"/>
        </w:tabs>
        <w:ind w:left="4451" w:hanging="360"/>
      </w:pPr>
      <w:rPr>
        <w:rFonts w:ascii="Courier New" w:hAnsi="Courier New" w:cs="Courier New" w:hint="default"/>
      </w:rPr>
    </w:lvl>
    <w:lvl w:ilvl="5" w:tplc="0C090005" w:tentative="1">
      <w:start w:val="1"/>
      <w:numFmt w:val="bullet"/>
      <w:lvlText w:val=""/>
      <w:lvlJc w:val="left"/>
      <w:pPr>
        <w:tabs>
          <w:tab w:val="num" w:pos="5171"/>
        </w:tabs>
        <w:ind w:left="5171" w:hanging="360"/>
      </w:pPr>
      <w:rPr>
        <w:rFonts w:ascii="Wingdings" w:hAnsi="Wingdings" w:hint="default"/>
      </w:rPr>
    </w:lvl>
    <w:lvl w:ilvl="6" w:tplc="0C090001" w:tentative="1">
      <w:start w:val="1"/>
      <w:numFmt w:val="bullet"/>
      <w:lvlText w:val=""/>
      <w:lvlJc w:val="left"/>
      <w:pPr>
        <w:tabs>
          <w:tab w:val="num" w:pos="5891"/>
        </w:tabs>
        <w:ind w:left="5891" w:hanging="360"/>
      </w:pPr>
      <w:rPr>
        <w:rFonts w:ascii="Symbol" w:hAnsi="Symbol" w:hint="default"/>
      </w:rPr>
    </w:lvl>
    <w:lvl w:ilvl="7" w:tplc="0C090003" w:tentative="1">
      <w:start w:val="1"/>
      <w:numFmt w:val="bullet"/>
      <w:lvlText w:val="o"/>
      <w:lvlJc w:val="left"/>
      <w:pPr>
        <w:tabs>
          <w:tab w:val="num" w:pos="6611"/>
        </w:tabs>
        <w:ind w:left="6611" w:hanging="360"/>
      </w:pPr>
      <w:rPr>
        <w:rFonts w:ascii="Courier New" w:hAnsi="Courier New" w:cs="Courier New" w:hint="default"/>
      </w:rPr>
    </w:lvl>
    <w:lvl w:ilvl="8" w:tplc="0C090005" w:tentative="1">
      <w:start w:val="1"/>
      <w:numFmt w:val="bullet"/>
      <w:lvlText w:val=""/>
      <w:lvlJc w:val="left"/>
      <w:pPr>
        <w:tabs>
          <w:tab w:val="num" w:pos="7331"/>
        </w:tabs>
        <w:ind w:left="7331" w:hanging="360"/>
      </w:pPr>
      <w:rPr>
        <w:rFonts w:ascii="Wingdings" w:hAnsi="Wingdings" w:hint="default"/>
      </w:rPr>
    </w:lvl>
  </w:abstractNum>
  <w:abstractNum w:abstractNumId="41">
    <w:nsid w:val="2B7904C4"/>
    <w:multiLevelType w:val="hybridMultilevel"/>
    <w:tmpl w:val="0040D8C0"/>
    <w:lvl w:ilvl="0" w:tplc="0C090001">
      <w:start w:val="1"/>
      <w:numFmt w:val="bullet"/>
      <w:lvlText w:val=""/>
      <w:lvlJc w:val="left"/>
      <w:pPr>
        <w:ind w:left="1211" w:hanging="360"/>
      </w:pPr>
      <w:rPr>
        <w:rFonts w:ascii="Symbol" w:hAnsi="Symbol" w:hint="default"/>
      </w:rPr>
    </w:lvl>
    <w:lvl w:ilvl="1" w:tplc="781A1AAC">
      <w:start w:val="1"/>
      <w:numFmt w:val="bullet"/>
      <w:lvlText w:val="–"/>
      <w:lvlJc w:val="left"/>
      <w:pPr>
        <w:ind w:left="1931" w:hanging="360"/>
      </w:pPr>
      <w:rPr>
        <w:rFonts w:ascii="Arial" w:hAnsi="Arial"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2">
    <w:nsid w:val="2BC90147"/>
    <w:multiLevelType w:val="singleLevel"/>
    <w:tmpl w:val="00728022"/>
    <w:lvl w:ilvl="0">
      <w:start w:val="1"/>
      <w:numFmt w:val="bullet"/>
      <w:pStyle w:val="bullet1"/>
      <w:lvlText w:val=""/>
      <w:lvlJc w:val="left"/>
      <w:pPr>
        <w:tabs>
          <w:tab w:val="num" w:pos="360"/>
        </w:tabs>
        <w:ind w:left="159" w:hanging="159"/>
      </w:pPr>
      <w:rPr>
        <w:rFonts w:ascii="Symbol" w:hAnsi="Symbol" w:hint="default"/>
      </w:rPr>
    </w:lvl>
  </w:abstractNum>
  <w:abstractNum w:abstractNumId="43">
    <w:nsid w:val="2C207980"/>
    <w:multiLevelType w:val="multilevel"/>
    <w:tmpl w:val="B22A8216"/>
    <w:lvl w:ilvl="0">
      <w:start w:val="1"/>
      <w:numFmt w:val="decimal"/>
      <w:pStyle w:val="Heading1"/>
      <w:lvlText w:val="%1"/>
      <w:lvlJc w:val="left"/>
      <w:pPr>
        <w:tabs>
          <w:tab w:val="num" w:pos="851"/>
        </w:tabs>
        <w:ind w:left="851" w:hanging="851"/>
      </w:pPr>
      <w:rPr>
        <w:rFonts w:cs="Times New Roman" w:hint="default"/>
      </w:rPr>
    </w:lvl>
    <w:lvl w:ilvl="1">
      <w:start w:val="1"/>
      <w:numFmt w:val="decimal"/>
      <w:pStyle w:val="Heading2"/>
      <w:lvlText w:val="%1.%2"/>
      <w:lvlJc w:val="left"/>
      <w:pPr>
        <w:tabs>
          <w:tab w:val="num" w:pos="851"/>
        </w:tabs>
        <w:ind w:left="851" w:hanging="851"/>
      </w:pPr>
      <w:rPr>
        <w:rFonts w:cs="Times New Roman" w:hint="default"/>
      </w:rPr>
    </w:lvl>
    <w:lvl w:ilvl="2">
      <w:start w:val="1"/>
      <w:numFmt w:val="decimal"/>
      <w:pStyle w:val="Heading3"/>
      <w:lvlText w:val="%1.%2.%3"/>
      <w:lvlJc w:val="left"/>
      <w:pPr>
        <w:tabs>
          <w:tab w:val="num" w:pos="1080"/>
        </w:tabs>
        <w:ind w:left="851" w:hanging="851"/>
      </w:pPr>
      <w:rPr>
        <w:rFonts w:cs="Times New Roman" w:hint="default"/>
      </w:rPr>
    </w:lvl>
    <w:lvl w:ilvl="3">
      <w:start w:val="1"/>
      <w:numFmt w:val="decimal"/>
      <w:pStyle w:val="Heading4"/>
      <w:lvlText w:val="%1.%2.%3.%4"/>
      <w:lvlJc w:val="left"/>
      <w:pPr>
        <w:tabs>
          <w:tab w:val="num" w:pos="1440"/>
        </w:tabs>
        <w:ind w:left="851" w:hanging="851"/>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44">
    <w:nsid w:val="2D4A31BA"/>
    <w:multiLevelType w:val="hybridMultilevel"/>
    <w:tmpl w:val="B64C2AC4"/>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45">
    <w:nsid w:val="2FA50240"/>
    <w:multiLevelType w:val="hybridMultilevel"/>
    <w:tmpl w:val="1ED422A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6">
    <w:nsid w:val="30685128"/>
    <w:multiLevelType w:val="hybridMultilevel"/>
    <w:tmpl w:val="62BC4B0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7">
    <w:nsid w:val="30B9751A"/>
    <w:multiLevelType w:val="hybridMultilevel"/>
    <w:tmpl w:val="9D16D9B0"/>
    <w:lvl w:ilvl="0" w:tplc="8C4A6B02">
      <w:start w:val="1"/>
      <w:numFmt w:val="lowerRoman"/>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8">
    <w:nsid w:val="31166447"/>
    <w:multiLevelType w:val="hybridMultilevel"/>
    <w:tmpl w:val="6BDAEBF6"/>
    <w:lvl w:ilvl="0" w:tplc="0C09000F">
      <w:start w:val="1"/>
      <w:numFmt w:val="decimal"/>
      <w:lvlText w:val="%1."/>
      <w:lvlJc w:val="left"/>
      <w:pPr>
        <w:ind w:left="753" w:hanging="360"/>
      </w:pPr>
    </w:lvl>
    <w:lvl w:ilvl="1" w:tplc="0C090019" w:tentative="1">
      <w:start w:val="1"/>
      <w:numFmt w:val="lowerLetter"/>
      <w:lvlText w:val="%2."/>
      <w:lvlJc w:val="left"/>
      <w:pPr>
        <w:ind w:left="1473" w:hanging="360"/>
      </w:pPr>
    </w:lvl>
    <w:lvl w:ilvl="2" w:tplc="0C09001B" w:tentative="1">
      <w:start w:val="1"/>
      <w:numFmt w:val="lowerRoman"/>
      <w:lvlText w:val="%3."/>
      <w:lvlJc w:val="right"/>
      <w:pPr>
        <w:ind w:left="2193" w:hanging="180"/>
      </w:pPr>
    </w:lvl>
    <w:lvl w:ilvl="3" w:tplc="0C09000F" w:tentative="1">
      <w:start w:val="1"/>
      <w:numFmt w:val="decimal"/>
      <w:lvlText w:val="%4."/>
      <w:lvlJc w:val="left"/>
      <w:pPr>
        <w:ind w:left="2913" w:hanging="360"/>
      </w:pPr>
    </w:lvl>
    <w:lvl w:ilvl="4" w:tplc="0C090019" w:tentative="1">
      <w:start w:val="1"/>
      <w:numFmt w:val="lowerLetter"/>
      <w:lvlText w:val="%5."/>
      <w:lvlJc w:val="left"/>
      <w:pPr>
        <w:ind w:left="3633" w:hanging="360"/>
      </w:pPr>
    </w:lvl>
    <w:lvl w:ilvl="5" w:tplc="0C09001B" w:tentative="1">
      <w:start w:val="1"/>
      <w:numFmt w:val="lowerRoman"/>
      <w:lvlText w:val="%6."/>
      <w:lvlJc w:val="right"/>
      <w:pPr>
        <w:ind w:left="4353" w:hanging="180"/>
      </w:pPr>
    </w:lvl>
    <w:lvl w:ilvl="6" w:tplc="0C09000F" w:tentative="1">
      <w:start w:val="1"/>
      <w:numFmt w:val="decimal"/>
      <w:lvlText w:val="%7."/>
      <w:lvlJc w:val="left"/>
      <w:pPr>
        <w:ind w:left="5073" w:hanging="360"/>
      </w:pPr>
    </w:lvl>
    <w:lvl w:ilvl="7" w:tplc="0C090019" w:tentative="1">
      <w:start w:val="1"/>
      <w:numFmt w:val="lowerLetter"/>
      <w:lvlText w:val="%8."/>
      <w:lvlJc w:val="left"/>
      <w:pPr>
        <w:ind w:left="5793" w:hanging="360"/>
      </w:pPr>
    </w:lvl>
    <w:lvl w:ilvl="8" w:tplc="0C09001B" w:tentative="1">
      <w:start w:val="1"/>
      <w:numFmt w:val="lowerRoman"/>
      <w:lvlText w:val="%9."/>
      <w:lvlJc w:val="right"/>
      <w:pPr>
        <w:ind w:left="6513" w:hanging="180"/>
      </w:pPr>
    </w:lvl>
  </w:abstractNum>
  <w:abstractNum w:abstractNumId="49">
    <w:nsid w:val="321801B0"/>
    <w:multiLevelType w:val="hybridMultilevel"/>
    <w:tmpl w:val="C0B09F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323141E9"/>
    <w:multiLevelType w:val="hybridMultilevel"/>
    <w:tmpl w:val="9092C942"/>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51">
    <w:nsid w:val="325B0FFD"/>
    <w:multiLevelType w:val="hybridMultilevel"/>
    <w:tmpl w:val="01AC9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2D85365"/>
    <w:multiLevelType w:val="hybridMultilevel"/>
    <w:tmpl w:val="2F02E262"/>
    <w:lvl w:ilvl="0" w:tplc="64580C36">
      <w:start w:val="1"/>
      <w:numFmt w:val="bullet"/>
      <w:lvlText w:val=""/>
      <w:lvlJc w:val="left"/>
      <w:pPr>
        <w:ind w:left="1429" w:hanging="360"/>
      </w:pPr>
      <w:rPr>
        <w:rFonts w:ascii="Symbol" w:hAnsi="Symbol" w:hint="default"/>
        <w:color w:val="FFFFFF" w:themeColor="background1"/>
      </w:rPr>
    </w:lvl>
    <w:lvl w:ilvl="1" w:tplc="0C090003">
      <w:start w:val="1"/>
      <w:numFmt w:val="bullet"/>
      <w:lvlText w:val="o"/>
      <w:lvlJc w:val="left"/>
      <w:pPr>
        <w:ind w:left="2149" w:hanging="360"/>
      </w:pPr>
      <w:rPr>
        <w:rFonts w:ascii="Courier New" w:hAnsi="Courier New" w:cs="Courier New" w:hint="default"/>
      </w:rPr>
    </w:lvl>
    <w:lvl w:ilvl="2" w:tplc="0C090005">
      <w:start w:val="1"/>
      <w:numFmt w:val="bullet"/>
      <w:lvlText w:val=""/>
      <w:lvlJc w:val="left"/>
      <w:pPr>
        <w:ind w:left="2869" w:hanging="360"/>
      </w:pPr>
      <w:rPr>
        <w:rFonts w:ascii="Wingdings" w:hAnsi="Wingdings" w:hint="default"/>
      </w:rPr>
    </w:lvl>
    <w:lvl w:ilvl="3" w:tplc="0C090001">
      <w:start w:val="1"/>
      <w:numFmt w:val="bullet"/>
      <w:lvlText w:val=""/>
      <w:lvlJc w:val="left"/>
      <w:pPr>
        <w:ind w:left="3589" w:hanging="360"/>
      </w:pPr>
      <w:rPr>
        <w:rFonts w:ascii="Symbol" w:hAnsi="Symbol" w:hint="default"/>
      </w:rPr>
    </w:lvl>
    <w:lvl w:ilvl="4" w:tplc="0C090003">
      <w:start w:val="1"/>
      <w:numFmt w:val="bullet"/>
      <w:lvlText w:val="o"/>
      <w:lvlJc w:val="left"/>
      <w:pPr>
        <w:ind w:left="4309" w:hanging="360"/>
      </w:pPr>
      <w:rPr>
        <w:rFonts w:ascii="Courier New" w:hAnsi="Courier New" w:cs="Courier New" w:hint="default"/>
      </w:rPr>
    </w:lvl>
    <w:lvl w:ilvl="5" w:tplc="0C090005">
      <w:start w:val="1"/>
      <w:numFmt w:val="bullet"/>
      <w:lvlText w:val=""/>
      <w:lvlJc w:val="left"/>
      <w:pPr>
        <w:ind w:left="5029" w:hanging="360"/>
      </w:pPr>
      <w:rPr>
        <w:rFonts w:ascii="Wingdings" w:hAnsi="Wingdings" w:hint="default"/>
      </w:rPr>
    </w:lvl>
    <w:lvl w:ilvl="6" w:tplc="0C090001">
      <w:start w:val="1"/>
      <w:numFmt w:val="bullet"/>
      <w:lvlText w:val=""/>
      <w:lvlJc w:val="left"/>
      <w:pPr>
        <w:ind w:left="5749" w:hanging="360"/>
      </w:pPr>
      <w:rPr>
        <w:rFonts w:ascii="Symbol" w:hAnsi="Symbol" w:hint="default"/>
      </w:rPr>
    </w:lvl>
    <w:lvl w:ilvl="7" w:tplc="0C090003">
      <w:start w:val="1"/>
      <w:numFmt w:val="bullet"/>
      <w:lvlText w:val="o"/>
      <w:lvlJc w:val="left"/>
      <w:pPr>
        <w:ind w:left="6469" w:hanging="360"/>
      </w:pPr>
      <w:rPr>
        <w:rFonts w:ascii="Courier New" w:hAnsi="Courier New" w:cs="Courier New" w:hint="default"/>
      </w:rPr>
    </w:lvl>
    <w:lvl w:ilvl="8" w:tplc="0C090005">
      <w:start w:val="1"/>
      <w:numFmt w:val="bullet"/>
      <w:lvlText w:val=""/>
      <w:lvlJc w:val="left"/>
      <w:pPr>
        <w:ind w:left="7189" w:hanging="360"/>
      </w:pPr>
      <w:rPr>
        <w:rFonts w:ascii="Wingdings" w:hAnsi="Wingdings" w:hint="default"/>
      </w:rPr>
    </w:lvl>
  </w:abstractNum>
  <w:abstractNum w:abstractNumId="53">
    <w:nsid w:val="332C5C93"/>
    <w:multiLevelType w:val="multilevel"/>
    <w:tmpl w:val="0046CFE4"/>
    <w:styleLink w:val="StyleBulletedCourierNewLeft19cmHanging063cm2"/>
    <w:lvl w:ilvl="0">
      <w:start w:val="1"/>
      <w:numFmt w:val="bullet"/>
      <w:lvlText w:val=""/>
      <w:lvlJc w:val="left"/>
      <w:pPr>
        <w:ind w:left="720" w:hanging="360"/>
      </w:pPr>
      <w:rPr>
        <w:rFonts w:ascii="Symbol" w:hAnsi="Symbol" w:hint="default"/>
        <w:sz w:val="16"/>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33F9021F"/>
    <w:multiLevelType w:val="hybridMultilevel"/>
    <w:tmpl w:val="1D28EF5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5">
    <w:nsid w:val="34710585"/>
    <w:multiLevelType w:val="hybridMultilevel"/>
    <w:tmpl w:val="BE54238E"/>
    <w:lvl w:ilvl="0" w:tplc="781A1AAC">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nsid w:val="36047C3A"/>
    <w:multiLevelType w:val="hybridMultilevel"/>
    <w:tmpl w:val="444A3A04"/>
    <w:lvl w:ilvl="0" w:tplc="33C20AF2">
      <w:start w:val="1"/>
      <w:numFmt w:val="decimal"/>
      <w:pStyle w:val="NumberedSubPara"/>
      <w:lvlText w:val="%1)"/>
      <w:lvlJc w:val="left"/>
      <w:pPr>
        <w:tabs>
          <w:tab w:val="num" w:pos="2429"/>
        </w:tabs>
        <w:ind w:left="2429" w:hanging="339"/>
      </w:pPr>
      <w:rPr>
        <w:rFonts w:hint="default"/>
      </w:rPr>
    </w:lvl>
    <w:lvl w:ilvl="1" w:tplc="0C090019" w:tentative="1">
      <w:start w:val="1"/>
      <w:numFmt w:val="lowerLetter"/>
      <w:lvlText w:val="%2."/>
      <w:lvlJc w:val="left"/>
      <w:pPr>
        <w:tabs>
          <w:tab w:val="num" w:pos="2291"/>
        </w:tabs>
        <w:ind w:left="2291" w:hanging="360"/>
      </w:pPr>
    </w:lvl>
    <w:lvl w:ilvl="2" w:tplc="0C09001B" w:tentative="1">
      <w:start w:val="1"/>
      <w:numFmt w:val="lowerRoman"/>
      <w:lvlText w:val="%3."/>
      <w:lvlJc w:val="right"/>
      <w:pPr>
        <w:tabs>
          <w:tab w:val="num" w:pos="3011"/>
        </w:tabs>
        <w:ind w:left="3011" w:hanging="180"/>
      </w:pPr>
    </w:lvl>
    <w:lvl w:ilvl="3" w:tplc="0C09000F" w:tentative="1">
      <w:start w:val="1"/>
      <w:numFmt w:val="decimal"/>
      <w:lvlText w:val="%4."/>
      <w:lvlJc w:val="left"/>
      <w:pPr>
        <w:tabs>
          <w:tab w:val="num" w:pos="3731"/>
        </w:tabs>
        <w:ind w:left="3731" w:hanging="360"/>
      </w:pPr>
    </w:lvl>
    <w:lvl w:ilvl="4" w:tplc="0C090019" w:tentative="1">
      <w:start w:val="1"/>
      <w:numFmt w:val="lowerLetter"/>
      <w:lvlText w:val="%5."/>
      <w:lvlJc w:val="left"/>
      <w:pPr>
        <w:tabs>
          <w:tab w:val="num" w:pos="4451"/>
        </w:tabs>
        <w:ind w:left="4451" w:hanging="360"/>
      </w:pPr>
    </w:lvl>
    <w:lvl w:ilvl="5" w:tplc="0C09001B" w:tentative="1">
      <w:start w:val="1"/>
      <w:numFmt w:val="lowerRoman"/>
      <w:lvlText w:val="%6."/>
      <w:lvlJc w:val="right"/>
      <w:pPr>
        <w:tabs>
          <w:tab w:val="num" w:pos="5171"/>
        </w:tabs>
        <w:ind w:left="5171" w:hanging="180"/>
      </w:pPr>
    </w:lvl>
    <w:lvl w:ilvl="6" w:tplc="0C09000F" w:tentative="1">
      <w:start w:val="1"/>
      <w:numFmt w:val="decimal"/>
      <w:lvlText w:val="%7."/>
      <w:lvlJc w:val="left"/>
      <w:pPr>
        <w:tabs>
          <w:tab w:val="num" w:pos="5891"/>
        </w:tabs>
        <w:ind w:left="5891" w:hanging="360"/>
      </w:pPr>
    </w:lvl>
    <w:lvl w:ilvl="7" w:tplc="0C090019" w:tentative="1">
      <w:start w:val="1"/>
      <w:numFmt w:val="lowerLetter"/>
      <w:lvlText w:val="%8."/>
      <w:lvlJc w:val="left"/>
      <w:pPr>
        <w:tabs>
          <w:tab w:val="num" w:pos="6611"/>
        </w:tabs>
        <w:ind w:left="6611" w:hanging="360"/>
      </w:pPr>
    </w:lvl>
    <w:lvl w:ilvl="8" w:tplc="0C09001B" w:tentative="1">
      <w:start w:val="1"/>
      <w:numFmt w:val="lowerRoman"/>
      <w:lvlText w:val="%9."/>
      <w:lvlJc w:val="right"/>
      <w:pPr>
        <w:tabs>
          <w:tab w:val="num" w:pos="7331"/>
        </w:tabs>
        <w:ind w:left="7331" w:hanging="180"/>
      </w:pPr>
    </w:lvl>
  </w:abstractNum>
  <w:abstractNum w:abstractNumId="57">
    <w:nsid w:val="361448AF"/>
    <w:multiLevelType w:val="hybridMultilevel"/>
    <w:tmpl w:val="5986C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67F73D1"/>
    <w:multiLevelType w:val="hybridMultilevel"/>
    <w:tmpl w:val="F872B8D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9">
    <w:nsid w:val="36824801"/>
    <w:multiLevelType w:val="hybridMultilevel"/>
    <w:tmpl w:val="DDFE122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0">
    <w:nsid w:val="372A75EB"/>
    <w:multiLevelType w:val="hybridMultilevel"/>
    <w:tmpl w:val="F97A7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37770534"/>
    <w:multiLevelType w:val="multilevel"/>
    <w:tmpl w:val="CD64101E"/>
    <w:lvl w:ilvl="0">
      <w:start w:val="1"/>
      <w:numFmt w:val="none"/>
      <w:lvlText w:val="%1"/>
      <w:lvlJc w:val="left"/>
      <w:pPr>
        <w:tabs>
          <w:tab w:val="num" w:pos="720"/>
        </w:tabs>
        <w:ind w:left="720" w:firstLine="0"/>
      </w:pPr>
      <w:rPr>
        <w:rFonts w:hint="default"/>
      </w:rPr>
    </w:lvl>
    <w:lvl w:ilvl="1">
      <w:start w:val="1"/>
      <w:numFmt w:val="decimal"/>
      <w:lvlText w:val="%2."/>
      <w:lvlJc w:val="left"/>
      <w:pPr>
        <w:tabs>
          <w:tab w:val="num" w:pos="1077"/>
        </w:tabs>
        <w:ind w:left="1077" w:hanging="357"/>
      </w:pPr>
      <w:rPr>
        <w:rFonts w:hint="default"/>
      </w:rPr>
    </w:lvl>
    <w:lvl w:ilvl="2">
      <w:start w:val="1"/>
      <w:numFmt w:val="lowerLetter"/>
      <w:lvlText w:val="%3."/>
      <w:lvlJc w:val="left"/>
      <w:pPr>
        <w:tabs>
          <w:tab w:val="num" w:pos="1440"/>
        </w:tabs>
        <w:ind w:left="1440" w:hanging="363"/>
      </w:pPr>
      <w:rPr>
        <w:rFonts w:hint="default"/>
      </w:rPr>
    </w:lvl>
    <w:lvl w:ilvl="3">
      <w:start w:val="1"/>
      <w:numFmt w:val="lowerRoman"/>
      <w:lvlText w:val="%4."/>
      <w:lvlJc w:val="left"/>
      <w:pPr>
        <w:tabs>
          <w:tab w:val="num" w:pos="1797"/>
        </w:tabs>
        <w:ind w:left="1797" w:hanging="357"/>
      </w:pPr>
      <w:rPr>
        <w:rFonts w:hint="default"/>
      </w:rPr>
    </w:lvl>
    <w:lvl w:ilvl="4">
      <w:start w:val="1"/>
      <w:numFmt w:val="lowerRoman"/>
      <w:lvlText w:val="(%5)"/>
      <w:lvlJc w:val="left"/>
      <w:pPr>
        <w:tabs>
          <w:tab w:val="num" w:pos="1174"/>
        </w:tabs>
        <w:ind w:left="1174" w:hanging="454"/>
      </w:pPr>
      <w:rPr>
        <w:rFonts w:hint="default"/>
      </w:rPr>
    </w:lvl>
    <w:lvl w:ilvl="5">
      <w:start w:val="1"/>
      <w:numFmt w:val="lowerLetter"/>
      <w:lvlText w:val="(%6)"/>
      <w:lvlJc w:val="left"/>
      <w:pPr>
        <w:tabs>
          <w:tab w:val="num" w:pos="1531"/>
        </w:tabs>
        <w:ind w:left="1531" w:hanging="357"/>
      </w:pPr>
      <w:rPr>
        <w:rFonts w:hint="default"/>
      </w:rPr>
    </w:lvl>
    <w:lvl w:ilvl="6">
      <w:start w:val="1"/>
      <w:numFmt w:val="lowerRoman"/>
      <w:lvlText w:val="(%7)"/>
      <w:lvlJc w:val="left"/>
      <w:pPr>
        <w:tabs>
          <w:tab w:val="num" w:pos="2166"/>
        </w:tabs>
        <w:ind w:left="2166" w:hanging="635"/>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62">
    <w:nsid w:val="37B96009"/>
    <w:multiLevelType w:val="hybridMultilevel"/>
    <w:tmpl w:val="264E0B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3830410F"/>
    <w:multiLevelType w:val="hybridMultilevel"/>
    <w:tmpl w:val="EA3EF8D6"/>
    <w:lvl w:ilvl="0" w:tplc="9F8891DC">
      <w:start w:val="1"/>
      <w:numFmt w:val="decimal"/>
      <w:pStyle w:val="Procedures"/>
      <w:lvlText w:val="%1."/>
      <w:lvlJc w:val="left"/>
      <w:pPr>
        <w:tabs>
          <w:tab w:val="num" w:pos="1304"/>
        </w:tabs>
        <w:ind w:left="1304" w:hanging="453"/>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4">
    <w:nsid w:val="383B797A"/>
    <w:multiLevelType w:val="hybridMultilevel"/>
    <w:tmpl w:val="FA66D60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5">
    <w:nsid w:val="38D50B0B"/>
    <w:multiLevelType w:val="hybridMultilevel"/>
    <w:tmpl w:val="9732E59C"/>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66">
    <w:nsid w:val="39221275"/>
    <w:multiLevelType w:val="hybridMultilevel"/>
    <w:tmpl w:val="8D8CB98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7">
    <w:nsid w:val="3A4C24E5"/>
    <w:multiLevelType w:val="hybridMultilevel"/>
    <w:tmpl w:val="385A23C2"/>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68">
    <w:nsid w:val="3B9C12BA"/>
    <w:multiLevelType w:val="hybridMultilevel"/>
    <w:tmpl w:val="56741F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BA26541"/>
    <w:multiLevelType w:val="hybridMultilevel"/>
    <w:tmpl w:val="31B69CCA"/>
    <w:lvl w:ilvl="0" w:tplc="96F01112">
      <w:start w:val="1"/>
      <w:numFmt w:val="lowerRoman"/>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70">
    <w:nsid w:val="3C00062E"/>
    <w:multiLevelType w:val="hybridMultilevel"/>
    <w:tmpl w:val="82FC783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71">
    <w:nsid w:val="3C5304D5"/>
    <w:multiLevelType w:val="hybridMultilevel"/>
    <w:tmpl w:val="32E836D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2">
    <w:nsid w:val="3C7C27CD"/>
    <w:multiLevelType w:val="multilevel"/>
    <w:tmpl w:val="C7104880"/>
    <w:lvl w:ilvl="0">
      <w:start w:val="1"/>
      <w:numFmt w:val="bullet"/>
      <w:lvlText w:val=""/>
      <w:lvlJc w:val="left"/>
      <w:pPr>
        <w:ind w:left="1409" w:hanging="340"/>
      </w:pPr>
      <w:rPr>
        <w:rFonts w:ascii="Symbol" w:hAnsi="Symbol" w:hint="default"/>
        <w:b w:val="0"/>
        <w:i w:val="0"/>
        <w:color w:val="auto"/>
        <w:sz w:val="20"/>
      </w:rPr>
    </w:lvl>
    <w:lvl w:ilvl="1">
      <w:start w:val="1"/>
      <w:numFmt w:val="bullet"/>
      <w:lvlText w:val=""/>
      <w:lvlJc w:val="left"/>
      <w:pPr>
        <w:ind w:left="1749" w:hanging="340"/>
      </w:pPr>
      <w:rPr>
        <w:rFonts w:ascii="Symbol" w:hAnsi="Symbol" w:hint="default"/>
        <w:color w:val="C2D69B" w:themeColor="accent3" w:themeTint="99"/>
        <w:sz w:val="20"/>
      </w:rPr>
    </w:lvl>
    <w:lvl w:ilvl="2">
      <w:start w:val="1"/>
      <w:numFmt w:val="bullet"/>
      <w:lvlText w:val=""/>
      <w:lvlJc w:val="left"/>
      <w:pPr>
        <w:ind w:left="2089" w:hanging="340"/>
      </w:pPr>
      <w:rPr>
        <w:rFonts w:ascii="Wingdings" w:hAnsi="Wingdings" w:hint="default"/>
        <w:color w:val="C2D69B" w:themeColor="accent3" w:themeTint="99"/>
        <w:sz w:val="20"/>
      </w:rPr>
    </w:lvl>
    <w:lvl w:ilvl="3">
      <w:numFmt w:val="bullet"/>
      <w:lvlText w:val="•"/>
      <w:lvlJc w:val="left"/>
      <w:pPr>
        <w:ind w:left="2429" w:hanging="340"/>
      </w:pPr>
      <w:rPr>
        <w:rFonts w:ascii="Arial" w:eastAsia="Times New Roman" w:hAnsi="Arial" w:cs="Arial" w:hint="default"/>
        <w:color w:val="auto"/>
      </w:rPr>
    </w:lvl>
    <w:lvl w:ilvl="4">
      <w:start w:val="1"/>
      <w:numFmt w:val="bullet"/>
      <w:lvlText w:val="–"/>
      <w:lvlJc w:val="left"/>
      <w:pPr>
        <w:ind w:left="2769" w:hanging="340"/>
      </w:pPr>
      <w:rPr>
        <w:rFonts w:ascii="Century Gothic" w:hAnsi="Century Gothic" w:hint="default"/>
        <w:color w:val="C2D69B" w:themeColor="accent3" w:themeTint="99"/>
      </w:rPr>
    </w:lvl>
    <w:lvl w:ilvl="5">
      <w:start w:val="1"/>
      <w:numFmt w:val="bullet"/>
      <w:lvlText w:val=""/>
      <w:lvlJc w:val="left"/>
      <w:pPr>
        <w:ind w:left="3109" w:hanging="340"/>
      </w:pPr>
      <w:rPr>
        <w:rFonts w:ascii="Wingdings" w:hAnsi="Wingdings" w:hint="default"/>
      </w:rPr>
    </w:lvl>
    <w:lvl w:ilvl="6">
      <w:start w:val="1"/>
      <w:numFmt w:val="bullet"/>
      <w:lvlText w:val=""/>
      <w:lvlJc w:val="left"/>
      <w:pPr>
        <w:ind w:left="3449" w:hanging="340"/>
      </w:pPr>
      <w:rPr>
        <w:rFonts w:ascii="Symbol" w:hAnsi="Symbol" w:hint="default"/>
      </w:rPr>
    </w:lvl>
    <w:lvl w:ilvl="7">
      <w:start w:val="1"/>
      <w:numFmt w:val="bullet"/>
      <w:lvlText w:val="o"/>
      <w:lvlJc w:val="left"/>
      <w:pPr>
        <w:ind w:left="3789" w:hanging="340"/>
      </w:pPr>
      <w:rPr>
        <w:rFonts w:ascii="Courier New" w:hAnsi="Courier New" w:cs="Courier New" w:hint="default"/>
      </w:rPr>
    </w:lvl>
    <w:lvl w:ilvl="8">
      <w:start w:val="1"/>
      <w:numFmt w:val="bullet"/>
      <w:lvlText w:val=""/>
      <w:lvlJc w:val="left"/>
      <w:pPr>
        <w:ind w:left="4129" w:hanging="340"/>
      </w:pPr>
      <w:rPr>
        <w:rFonts w:ascii="Wingdings" w:hAnsi="Wingdings" w:hint="default"/>
      </w:rPr>
    </w:lvl>
  </w:abstractNum>
  <w:abstractNum w:abstractNumId="73">
    <w:nsid w:val="40250F9A"/>
    <w:multiLevelType w:val="hybridMultilevel"/>
    <w:tmpl w:val="FBAA5932"/>
    <w:lvl w:ilvl="0" w:tplc="4D6462A8">
      <w:start w:val="1"/>
      <w:numFmt w:val="bullet"/>
      <w:pStyle w:val="hang2"/>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4">
    <w:nsid w:val="421F549E"/>
    <w:multiLevelType w:val="hybridMultilevel"/>
    <w:tmpl w:val="D7A2E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43BA0266"/>
    <w:multiLevelType w:val="hybridMultilevel"/>
    <w:tmpl w:val="4D2AA89C"/>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76">
    <w:nsid w:val="43CF0F4C"/>
    <w:multiLevelType w:val="hybridMultilevel"/>
    <w:tmpl w:val="12E099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nsid w:val="448327E3"/>
    <w:multiLevelType w:val="hybridMultilevel"/>
    <w:tmpl w:val="D2CEC8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45F927C3"/>
    <w:multiLevelType w:val="hybridMultilevel"/>
    <w:tmpl w:val="351609DE"/>
    <w:lvl w:ilvl="0" w:tplc="781A1AAC">
      <w:start w:val="1"/>
      <w:numFmt w:val="bullet"/>
      <w:lvlText w:val="–"/>
      <w:lvlJc w:val="left"/>
      <w:pPr>
        <w:ind w:left="1800" w:hanging="360"/>
      </w:pPr>
      <w:rPr>
        <w:rFonts w:ascii="Arial" w:hAnsi="Aria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nsid w:val="47D4539B"/>
    <w:multiLevelType w:val="hybridMultilevel"/>
    <w:tmpl w:val="4B4AEBF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0">
    <w:nsid w:val="48385907"/>
    <w:multiLevelType w:val="hybridMultilevel"/>
    <w:tmpl w:val="4F782706"/>
    <w:lvl w:ilvl="0" w:tplc="5DA6119E">
      <w:start w:val="1"/>
      <w:numFmt w:val="bullet"/>
      <w:lvlText w:val=""/>
      <w:lvlJc w:val="left"/>
      <w:pPr>
        <w:ind w:left="1800" w:hanging="360"/>
      </w:pPr>
      <w:rPr>
        <w:rFonts w:ascii="Symbol" w:hAnsi="Symbol" w:hint="default"/>
      </w:rPr>
    </w:lvl>
    <w:lvl w:ilvl="1" w:tplc="781A1AAC">
      <w:start w:val="1"/>
      <w:numFmt w:val="bullet"/>
      <w:lvlText w:val="–"/>
      <w:lvlJc w:val="left"/>
      <w:pPr>
        <w:ind w:left="2171" w:hanging="360"/>
      </w:pPr>
      <w:rPr>
        <w:rFonts w:ascii="Arial" w:hAnsi="Arial" w:hint="default"/>
      </w:rPr>
    </w:lvl>
    <w:lvl w:ilvl="2" w:tplc="886AD2E0">
      <w:start w:val="10"/>
      <w:numFmt w:val="bullet"/>
      <w:lvlText w:val=""/>
      <w:lvlJc w:val="left"/>
      <w:pPr>
        <w:ind w:left="1353" w:hanging="360"/>
      </w:pPr>
      <w:rPr>
        <w:rFonts w:ascii="Symbol" w:eastAsia="Times New Roman" w:hAnsi="Symbol" w:cs="Arial" w:hint="default"/>
        <w:i/>
      </w:rPr>
    </w:lvl>
    <w:lvl w:ilvl="3" w:tplc="0C090001" w:tentative="1">
      <w:start w:val="1"/>
      <w:numFmt w:val="bullet"/>
      <w:lvlText w:val=""/>
      <w:lvlJc w:val="left"/>
      <w:pPr>
        <w:ind w:left="3611" w:hanging="360"/>
      </w:pPr>
      <w:rPr>
        <w:rFonts w:ascii="Symbol" w:hAnsi="Symbol" w:hint="default"/>
      </w:rPr>
    </w:lvl>
    <w:lvl w:ilvl="4" w:tplc="0C090003" w:tentative="1">
      <w:start w:val="1"/>
      <w:numFmt w:val="bullet"/>
      <w:lvlText w:val="o"/>
      <w:lvlJc w:val="left"/>
      <w:pPr>
        <w:ind w:left="4331" w:hanging="360"/>
      </w:pPr>
      <w:rPr>
        <w:rFonts w:ascii="Courier New" w:hAnsi="Courier New" w:cs="Courier New" w:hint="default"/>
      </w:rPr>
    </w:lvl>
    <w:lvl w:ilvl="5" w:tplc="0C090005" w:tentative="1">
      <w:start w:val="1"/>
      <w:numFmt w:val="bullet"/>
      <w:lvlText w:val=""/>
      <w:lvlJc w:val="left"/>
      <w:pPr>
        <w:ind w:left="5051" w:hanging="360"/>
      </w:pPr>
      <w:rPr>
        <w:rFonts w:ascii="Wingdings" w:hAnsi="Wingdings" w:hint="default"/>
      </w:rPr>
    </w:lvl>
    <w:lvl w:ilvl="6" w:tplc="0C090001" w:tentative="1">
      <w:start w:val="1"/>
      <w:numFmt w:val="bullet"/>
      <w:lvlText w:val=""/>
      <w:lvlJc w:val="left"/>
      <w:pPr>
        <w:ind w:left="5771" w:hanging="360"/>
      </w:pPr>
      <w:rPr>
        <w:rFonts w:ascii="Symbol" w:hAnsi="Symbol" w:hint="default"/>
      </w:rPr>
    </w:lvl>
    <w:lvl w:ilvl="7" w:tplc="0C090003" w:tentative="1">
      <w:start w:val="1"/>
      <w:numFmt w:val="bullet"/>
      <w:lvlText w:val="o"/>
      <w:lvlJc w:val="left"/>
      <w:pPr>
        <w:ind w:left="6491" w:hanging="360"/>
      </w:pPr>
      <w:rPr>
        <w:rFonts w:ascii="Courier New" w:hAnsi="Courier New" w:cs="Courier New" w:hint="default"/>
      </w:rPr>
    </w:lvl>
    <w:lvl w:ilvl="8" w:tplc="0C090005" w:tentative="1">
      <w:start w:val="1"/>
      <w:numFmt w:val="bullet"/>
      <w:lvlText w:val=""/>
      <w:lvlJc w:val="left"/>
      <w:pPr>
        <w:ind w:left="7211" w:hanging="360"/>
      </w:pPr>
      <w:rPr>
        <w:rFonts w:ascii="Wingdings" w:hAnsi="Wingdings" w:hint="default"/>
      </w:rPr>
    </w:lvl>
  </w:abstractNum>
  <w:abstractNum w:abstractNumId="81">
    <w:nsid w:val="48A51B8B"/>
    <w:multiLevelType w:val="hybridMultilevel"/>
    <w:tmpl w:val="CB08658C"/>
    <w:lvl w:ilvl="0" w:tplc="03784E92">
      <w:start w:val="4"/>
      <w:numFmt w:val="bullet"/>
      <w:lvlText w:val="-"/>
      <w:lvlJc w:val="left"/>
      <w:pPr>
        <w:ind w:left="1211" w:hanging="360"/>
      </w:pPr>
      <w:rPr>
        <w:rFonts w:ascii="Arial" w:eastAsia="Times New Roman" w:hAnsi="Arial" w:cs="Aria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82">
    <w:nsid w:val="4CAB7DE0"/>
    <w:multiLevelType w:val="hybridMultilevel"/>
    <w:tmpl w:val="989AC3D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83">
    <w:nsid w:val="4FC15F42"/>
    <w:multiLevelType w:val="hybridMultilevel"/>
    <w:tmpl w:val="5E5E9A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nsid w:val="50423686"/>
    <w:multiLevelType w:val="hybridMultilevel"/>
    <w:tmpl w:val="DE12F456"/>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85">
    <w:nsid w:val="50811BBD"/>
    <w:multiLevelType w:val="hybridMultilevel"/>
    <w:tmpl w:val="A8E6F18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6">
    <w:nsid w:val="50EE0661"/>
    <w:multiLevelType w:val="hybridMultilevel"/>
    <w:tmpl w:val="CD781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nsid w:val="510210E2"/>
    <w:multiLevelType w:val="hybridMultilevel"/>
    <w:tmpl w:val="E330409C"/>
    <w:lvl w:ilvl="0" w:tplc="FFFFFFFF">
      <w:start w:val="1"/>
      <w:numFmt w:val="bullet"/>
      <w:pStyle w:val="HyphenAltH"/>
      <w:lvlText w:val=""/>
      <w:lvlJc w:val="left"/>
      <w:pPr>
        <w:tabs>
          <w:tab w:val="num" w:pos="4559"/>
        </w:tabs>
        <w:ind w:left="4559" w:hanging="360"/>
      </w:pPr>
      <w:rPr>
        <w:rFonts w:ascii="Symbol" w:hAnsi="Symbol" w:hint="default"/>
      </w:rPr>
    </w:lvl>
    <w:lvl w:ilvl="1" w:tplc="FFFFFFFF" w:tentative="1">
      <w:start w:val="1"/>
      <w:numFmt w:val="bullet"/>
      <w:lvlText w:val="o"/>
      <w:lvlJc w:val="left"/>
      <w:pPr>
        <w:tabs>
          <w:tab w:val="num" w:pos="4559"/>
        </w:tabs>
        <w:ind w:left="4559" w:hanging="360"/>
      </w:pPr>
      <w:rPr>
        <w:rFonts w:ascii="Courier New" w:hAnsi="Courier New" w:hint="default"/>
      </w:rPr>
    </w:lvl>
    <w:lvl w:ilvl="2" w:tplc="FFFFFFFF" w:tentative="1">
      <w:start w:val="1"/>
      <w:numFmt w:val="bullet"/>
      <w:lvlText w:val=""/>
      <w:lvlJc w:val="left"/>
      <w:pPr>
        <w:tabs>
          <w:tab w:val="num" w:pos="5279"/>
        </w:tabs>
        <w:ind w:left="5279" w:hanging="360"/>
      </w:pPr>
      <w:rPr>
        <w:rFonts w:ascii="Wingdings" w:hAnsi="Wingdings" w:hint="default"/>
      </w:rPr>
    </w:lvl>
    <w:lvl w:ilvl="3" w:tplc="FFFFFFFF" w:tentative="1">
      <w:start w:val="1"/>
      <w:numFmt w:val="bullet"/>
      <w:lvlText w:val=""/>
      <w:lvlJc w:val="left"/>
      <w:pPr>
        <w:tabs>
          <w:tab w:val="num" w:pos="5999"/>
        </w:tabs>
        <w:ind w:left="5999" w:hanging="360"/>
      </w:pPr>
      <w:rPr>
        <w:rFonts w:ascii="Symbol" w:hAnsi="Symbol" w:hint="default"/>
      </w:rPr>
    </w:lvl>
    <w:lvl w:ilvl="4" w:tplc="FFFFFFFF" w:tentative="1">
      <w:start w:val="1"/>
      <w:numFmt w:val="bullet"/>
      <w:lvlText w:val="o"/>
      <w:lvlJc w:val="left"/>
      <w:pPr>
        <w:tabs>
          <w:tab w:val="num" w:pos="6719"/>
        </w:tabs>
        <w:ind w:left="6719" w:hanging="360"/>
      </w:pPr>
      <w:rPr>
        <w:rFonts w:ascii="Courier New" w:hAnsi="Courier New" w:hint="default"/>
      </w:rPr>
    </w:lvl>
    <w:lvl w:ilvl="5" w:tplc="FFFFFFFF" w:tentative="1">
      <w:start w:val="1"/>
      <w:numFmt w:val="bullet"/>
      <w:lvlText w:val=""/>
      <w:lvlJc w:val="left"/>
      <w:pPr>
        <w:tabs>
          <w:tab w:val="num" w:pos="7439"/>
        </w:tabs>
        <w:ind w:left="7439" w:hanging="360"/>
      </w:pPr>
      <w:rPr>
        <w:rFonts w:ascii="Wingdings" w:hAnsi="Wingdings" w:hint="default"/>
      </w:rPr>
    </w:lvl>
    <w:lvl w:ilvl="6" w:tplc="FFFFFFFF" w:tentative="1">
      <w:start w:val="1"/>
      <w:numFmt w:val="bullet"/>
      <w:lvlText w:val=""/>
      <w:lvlJc w:val="left"/>
      <w:pPr>
        <w:tabs>
          <w:tab w:val="num" w:pos="8159"/>
        </w:tabs>
        <w:ind w:left="8159" w:hanging="360"/>
      </w:pPr>
      <w:rPr>
        <w:rFonts w:ascii="Symbol" w:hAnsi="Symbol" w:hint="default"/>
      </w:rPr>
    </w:lvl>
    <w:lvl w:ilvl="7" w:tplc="FFFFFFFF" w:tentative="1">
      <w:start w:val="1"/>
      <w:numFmt w:val="bullet"/>
      <w:lvlText w:val="o"/>
      <w:lvlJc w:val="left"/>
      <w:pPr>
        <w:tabs>
          <w:tab w:val="num" w:pos="8879"/>
        </w:tabs>
        <w:ind w:left="8879" w:hanging="360"/>
      </w:pPr>
      <w:rPr>
        <w:rFonts w:ascii="Courier New" w:hAnsi="Courier New" w:hint="default"/>
      </w:rPr>
    </w:lvl>
    <w:lvl w:ilvl="8" w:tplc="FFFFFFFF" w:tentative="1">
      <w:start w:val="1"/>
      <w:numFmt w:val="bullet"/>
      <w:lvlText w:val=""/>
      <w:lvlJc w:val="left"/>
      <w:pPr>
        <w:tabs>
          <w:tab w:val="num" w:pos="9599"/>
        </w:tabs>
        <w:ind w:left="9599" w:hanging="360"/>
      </w:pPr>
      <w:rPr>
        <w:rFonts w:ascii="Wingdings" w:hAnsi="Wingdings" w:hint="default"/>
      </w:rPr>
    </w:lvl>
  </w:abstractNum>
  <w:abstractNum w:abstractNumId="88">
    <w:nsid w:val="5135376D"/>
    <w:multiLevelType w:val="hybridMultilevel"/>
    <w:tmpl w:val="2AE8744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89">
    <w:nsid w:val="51450C1A"/>
    <w:multiLevelType w:val="hybridMultilevel"/>
    <w:tmpl w:val="0C6CDA0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0">
    <w:nsid w:val="51487971"/>
    <w:multiLevelType w:val="multilevel"/>
    <w:tmpl w:val="CD64101E"/>
    <w:styleLink w:val="AERnumberedlist"/>
    <w:lvl w:ilvl="0">
      <w:start w:val="1"/>
      <w:numFmt w:val="none"/>
      <w:lvlText w:val="%1"/>
      <w:lvlJc w:val="left"/>
      <w:pPr>
        <w:tabs>
          <w:tab w:val="num" w:pos="720"/>
        </w:tabs>
        <w:ind w:left="720" w:firstLine="0"/>
      </w:pPr>
      <w:rPr>
        <w:rFonts w:hint="default"/>
      </w:rPr>
    </w:lvl>
    <w:lvl w:ilvl="1">
      <w:start w:val="1"/>
      <w:numFmt w:val="decimal"/>
      <w:lvlText w:val="%2."/>
      <w:lvlJc w:val="left"/>
      <w:pPr>
        <w:tabs>
          <w:tab w:val="num" w:pos="1077"/>
        </w:tabs>
        <w:ind w:left="1077" w:hanging="357"/>
      </w:pPr>
      <w:rPr>
        <w:rFonts w:hint="default"/>
      </w:rPr>
    </w:lvl>
    <w:lvl w:ilvl="2">
      <w:start w:val="1"/>
      <w:numFmt w:val="lowerLetter"/>
      <w:lvlText w:val="%3."/>
      <w:lvlJc w:val="left"/>
      <w:pPr>
        <w:tabs>
          <w:tab w:val="num" w:pos="1440"/>
        </w:tabs>
        <w:ind w:left="1440" w:hanging="363"/>
      </w:pPr>
      <w:rPr>
        <w:rFonts w:hint="default"/>
      </w:rPr>
    </w:lvl>
    <w:lvl w:ilvl="3">
      <w:start w:val="1"/>
      <w:numFmt w:val="lowerRoman"/>
      <w:lvlText w:val="%4."/>
      <w:lvlJc w:val="left"/>
      <w:pPr>
        <w:tabs>
          <w:tab w:val="num" w:pos="1797"/>
        </w:tabs>
        <w:ind w:left="1797" w:hanging="357"/>
      </w:pPr>
      <w:rPr>
        <w:rFonts w:hint="default"/>
      </w:rPr>
    </w:lvl>
    <w:lvl w:ilvl="4">
      <w:start w:val="1"/>
      <w:numFmt w:val="lowerRoman"/>
      <w:lvlText w:val="(%5)"/>
      <w:lvlJc w:val="left"/>
      <w:pPr>
        <w:tabs>
          <w:tab w:val="num" w:pos="1174"/>
        </w:tabs>
        <w:ind w:left="1174" w:hanging="454"/>
      </w:pPr>
      <w:rPr>
        <w:rFonts w:hint="default"/>
      </w:rPr>
    </w:lvl>
    <w:lvl w:ilvl="5">
      <w:start w:val="1"/>
      <w:numFmt w:val="lowerLetter"/>
      <w:lvlText w:val="(%6)"/>
      <w:lvlJc w:val="left"/>
      <w:pPr>
        <w:tabs>
          <w:tab w:val="num" w:pos="1531"/>
        </w:tabs>
        <w:ind w:left="1531" w:hanging="357"/>
      </w:pPr>
      <w:rPr>
        <w:rFonts w:hint="default"/>
      </w:rPr>
    </w:lvl>
    <w:lvl w:ilvl="6">
      <w:start w:val="1"/>
      <w:numFmt w:val="lowerRoman"/>
      <w:lvlText w:val="(%7)"/>
      <w:lvlJc w:val="left"/>
      <w:pPr>
        <w:tabs>
          <w:tab w:val="num" w:pos="2166"/>
        </w:tabs>
        <w:ind w:left="2166" w:hanging="635"/>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1">
    <w:nsid w:val="528744F2"/>
    <w:multiLevelType w:val="singleLevel"/>
    <w:tmpl w:val="76A2924A"/>
    <w:lvl w:ilvl="0">
      <w:start w:val="1"/>
      <w:numFmt w:val="bullet"/>
      <w:pStyle w:val="bulletAltB0"/>
      <w:lvlText w:val=""/>
      <w:lvlJc w:val="left"/>
      <w:pPr>
        <w:tabs>
          <w:tab w:val="num" w:pos="360"/>
        </w:tabs>
        <w:ind w:left="360" w:hanging="360"/>
      </w:pPr>
      <w:rPr>
        <w:rFonts w:ascii="Symbol" w:hAnsi="Symbol" w:hint="default"/>
        <w:sz w:val="20"/>
      </w:rPr>
    </w:lvl>
  </w:abstractNum>
  <w:abstractNum w:abstractNumId="92">
    <w:nsid w:val="53A0616F"/>
    <w:multiLevelType w:val="hybridMultilevel"/>
    <w:tmpl w:val="4E9C0D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nsid w:val="54F636E8"/>
    <w:multiLevelType w:val="hybridMultilevel"/>
    <w:tmpl w:val="EEBEA498"/>
    <w:lvl w:ilvl="0" w:tplc="0C09000F">
      <w:start w:val="1"/>
      <w:numFmt w:val="decimal"/>
      <w:lvlText w:val="%1."/>
      <w:lvlJc w:val="left"/>
      <w:pPr>
        <w:ind w:left="1211" w:hanging="360"/>
      </w:pPr>
    </w:lvl>
    <w:lvl w:ilvl="1" w:tplc="FF225EFE">
      <w:start w:val="1"/>
      <w:numFmt w:val="decimal"/>
      <w:lvlText w:val="(%2)"/>
      <w:lvlJc w:val="left"/>
      <w:pPr>
        <w:ind w:left="1931" w:hanging="360"/>
      </w:pPr>
      <w:rPr>
        <w:rFonts w:hint="default"/>
      </w:r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94">
    <w:nsid w:val="59A31C7F"/>
    <w:multiLevelType w:val="hybridMultilevel"/>
    <w:tmpl w:val="C8282854"/>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95">
    <w:nsid w:val="5DE6151E"/>
    <w:multiLevelType w:val="hybridMultilevel"/>
    <w:tmpl w:val="980A586C"/>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96">
    <w:nsid w:val="5E0E14F7"/>
    <w:multiLevelType w:val="singleLevel"/>
    <w:tmpl w:val="0BF89BC2"/>
    <w:lvl w:ilvl="0">
      <w:start w:val="1"/>
      <w:numFmt w:val="bullet"/>
      <w:pStyle w:val="Bodyhang"/>
      <w:lvlText w:val=""/>
      <w:lvlJc w:val="left"/>
      <w:pPr>
        <w:tabs>
          <w:tab w:val="num" w:pos="360"/>
        </w:tabs>
        <w:ind w:left="360" w:hanging="360"/>
      </w:pPr>
      <w:rPr>
        <w:rFonts w:ascii="Symbol" w:hAnsi="Symbol" w:hint="default"/>
      </w:rPr>
    </w:lvl>
  </w:abstractNum>
  <w:abstractNum w:abstractNumId="97">
    <w:nsid w:val="5E8733B1"/>
    <w:multiLevelType w:val="hybridMultilevel"/>
    <w:tmpl w:val="9AE4A7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8">
    <w:nsid w:val="5F02240F"/>
    <w:multiLevelType w:val="hybridMultilevel"/>
    <w:tmpl w:val="02AA6B6A"/>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99">
    <w:nsid w:val="5FF50E1E"/>
    <w:multiLevelType w:val="hybridMultilevel"/>
    <w:tmpl w:val="70C6E02C"/>
    <w:lvl w:ilvl="0" w:tplc="4A063056">
      <w:start w:val="1"/>
      <w:numFmt w:val="bullet"/>
      <w:pStyle w:val="StyleBullet8pt"/>
      <w:lvlText w:val=""/>
      <w:lvlJc w:val="left"/>
      <w:pPr>
        <w:tabs>
          <w:tab w:val="num" w:pos="360"/>
        </w:tabs>
        <w:ind w:left="360" w:hanging="360"/>
      </w:pPr>
      <w:rPr>
        <w:rFonts w:ascii="Symbol" w:hAnsi="Symbol" w:hint="default"/>
        <w:sz w:val="22"/>
      </w:rPr>
    </w:lvl>
    <w:lvl w:ilvl="1" w:tplc="A53C60FE">
      <w:start w:val="1"/>
      <w:numFmt w:val="bullet"/>
      <w:lvlText w:val="o"/>
      <w:lvlJc w:val="left"/>
      <w:pPr>
        <w:tabs>
          <w:tab w:val="num" w:pos="1440"/>
        </w:tabs>
        <w:ind w:left="1440" w:hanging="360"/>
      </w:pPr>
      <w:rPr>
        <w:rFonts w:ascii="Courier New" w:hAnsi="Courier New" w:hint="default"/>
      </w:rPr>
    </w:lvl>
    <w:lvl w:ilvl="2" w:tplc="8C9CBC30" w:tentative="1">
      <w:start w:val="1"/>
      <w:numFmt w:val="bullet"/>
      <w:lvlText w:val=""/>
      <w:lvlJc w:val="left"/>
      <w:pPr>
        <w:tabs>
          <w:tab w:val="num" w:pos="2160"/>
        </w:tabs>
        <w:ind w:left="2160" w:hanging="360"/>
      </w:pPr>
      <w:rPr>
        <w:rFonts w:ascii="Wingdings" w:hAnsi="Wingdings" w:hint="default"/>
      </w:rPr>
    </w:lvl>
    <w:lvl w:ilvl="3" w:tplc="107EEF10" w:tentative="1">
      <w:start w:val="1"/>
      <w:numFmt w:val="bullet"/>
      <w:lvlText w:val=""/>
      <w:lvlJc w:val="left"/>
      <w:pPr>
        <w:tabs>
          <w:tab w:val="num" w:pos="2880"/>
        </w:tabs>
        <w:ind w:left="2880" w:hanging="360"/>
      </w:pPr>
      <w:rPr>
        <w:rFonts w:ascii="Symbol" w:hAnsi="Symbol" w:hint="default"/>
      </w:rPr>
    </w:lvl>
    <w:lvl w:ilvl="4" w:tplc="0344BFC4" w:tentative="1">
      <w:start w:val="1"/>
      <w:numFmt w:val="bullet"/>
      <w:lvlText w:val="o"/>
      <w:lvlJc w:val="left"/>
      <w:pPr>
        <w:tabs>
          <w:tab w:val="num" w:pos="3600"/>
        </w:tabs>
        <w:ind w:left="3600" w:hanging="360"/>
      </w:pPr>
      <w:rPr>
        <w:rFonts w:ascii="Courier New" w:hAnsi="Courier New" w:hint="default"/>
      </w:rPr>
    </w:lvl>
    <w:lvl w:ilvl="5" w:tplc="5E4CF87A" w:tentative="1">
      <w:start w:val="1"/>
      <w:numFmt w:val="bullet"/>
      <w:lvlText w:val=""/>
      <w:lvlJc w:val="left"/>
      <w:pPr>
        <w:tabs>
          <w:tab w:val="num" w:pos="4320"/>
        </w:tabs>
        <w:ind w:left="4320" w:hanging="360"/>
      </w:pPr>
      <w:rPr>
        <w:rFonts w:ascii="Wingdings" w:hAnsi="Wingdings" w:hint="default"/>
      </w:rPr>
    </w:lvl>
    <w:lvl w:ilvl="6" w:tplc="EDA0A4D6" w:tentative="1">
      <w:start w:val="1"/>
      <w:numFmt w:val="bullet"/>
      <w:lvlText w:val=""/>
      <w:lvlJc w:val="left"/>
      <w:pPr>
        <w:tabs>
          <w:tab w:val="num" w:pos="5040"/>
        </w:tabs>
        <w:ind w:left="5040" w:hanging="360"/>
      </w:pPr>
      <w:rPr>
        <w:rFonts w:ascii="Symbol" w:hAnsi="Symbol" w:hint="default"/>
      </w:rPr>
    </w:lvl>
    <w:lvl w:ilvl="7" w:tplc="14D0D0A8" w:tentative="1">
      <w:start w:val="1"/>
      <w:numFmt w:val="bullet"/>
      <w:lvlText w:val="o"/>
      <w:lvlJc w:val="left"/>
      <w:pPr>
        <w:tabs>
          <w:tab w:val="num" w:pos="5760"/>
        </w:tabs>
        <w:ind w:left="5760" w:hanging="360"/>
      </w:pPr>
      <w:rPr>
        <w:rFonts w:ascii="Courier New" w:hAnsi="Courier New" w:hint="default"/>
      </w:rPr>
    </w:lvl>
    <w:lvl w:ilvl="8" w:tplc="616E56F6" w:tentative="1">
      <w:start w:val="1"/>
      <w:numFmt w:val="bullet"/>
      <w:lvlText w:val=""/>
      <w:lvlJc w:val="left"/>
      <w:pPr>
        <w:tabs>
          <w:tab w:val="num" w:pos="6480"/>
        </w:tabs>
        <w:ind w:left="6480" w:hanging="360"/>
      </w:pPr>
      <w:rPr>
        <w:rFonts w:ascii="Wingdings" w:hAnsi="Wingdings" w:hint="default"/>
      </w:rPr>
    </w:lvl>
  </w:abstractNum>
  <w:abstractNum w:abstractNumId="100">
    <w:nsid w:val="60862F06"/>
    <w:multiLevelType w:val="hybridMultilevel"/>
    <w:tmpl w:val="D1949E86"/>
    <w:lvl w:ilvl="0" w:tplc="8E26B1E4">
      <w:start w:val="1"/>
      <w:numFmt w:val="bullet"/>
      <w:pStyle w:val="tablebullet"/>
      <w:lvlText w:val=""/>
      <w:lvlJc w:val="left"/>
      <w:pPr>
        <w:tabs>
          <w:tab w:val="num" w:pos="394"/>
        </w:tabs>
        <w:ind w:left="394" w:hanging="360"/>
      </w:pPr>
      <w:rPr>
        <w:rFonts w:ascii="Symbol" w:hAnsi="Symbol" w:hint="default"/>
        <w:sz w:val="20"/>
      </w:rPr>
    </w:lvl>
    <w:lvl w:ilvl="1" w:tplc="F270368E" w:tentative="1">
      <w:start w:val="1"/>
      <w:numFmt w:val="bullet"/>
      <w:lvlText w:val="o"/>
      <w:lvlJc w:val="left"/>
      <w:pPr>
        <w:tabs>
          <w:tab w:val="num" w:pos="1523"/>
        </w:tabs>
        <w:ind w:left="1523" w:hanging="360"/>
      </w:pPr>
      <w:rPr>
        <w:rFonts w:ascii="Courier New" w:hAnsi="Courier New" w:hint="default"/>
      </w:rPr>
    </w:lvl>
    <w:lvl w:ilvl="2" w:tplc="674AF992" w:tentative="1">
      <w:start w:val="1"/>
      <w:numFmt w:val="bullet"/>
      <w:lvlText w:val=""/>
      <w:lvlJc w:val="left"/>
      <w:pPr>
        <w:tabs>
          <w:tab w:val="num" w:pos="2243"/>
        </w:tabs>
        <w:ind w:left="2243" w:hanging="360"/>
      </w:pPr>
      <w:rPr>
        <w:rFonts w:ascii="Wingdings" w:hAnsi="Wingdings" w:hint="default"/>
      </w:rPr>
    </w:lvl>
    <w:lvl w:ilvl="3" w:tplc="0D141CE8" w:tentative="1">
      <w:start w:val="1"/>
      <w:numFmt w:val="bullet"/>
      <w:lvlText w:val=""/>
      <w:lvlJc w:val="left"/>
      <w:pPr>
        <w:tabs>
          <w:tab w:val="num" w:pos="2963"/>
        </w:tabs>
        <w:ind w:left="2963" w:hanging="360"/>
      </w:pPr>
      <w:rPr>
        <w:rFonts w:ascii="Symbol" w:hAnsi="Symbol" w:hint="default"/>
      </w:rPr>
    </w:lvl>
    <w:lvl w:ilvl="4" w:tplc="4BEE8088" w:tentative="1">
      <w:start w:val="1"/>
      <w:numFmt w:val="bullet"/>
      <w:lvlText w:val="o"/>
      <w:lvlJc w:val="left"/>
      <w:pPr>
        <w:tabs>
          <w:tab w:val="num" w:pos="3683"/>
        </w:tabs>
        <w:ind w:left="3683" w:hanging="360"/>
      </w:pPr>
      <w:rPr>
        <w:rFonts w:ascii="Courier New" w:hAnsi="Courier New" w:hint="default"/>
      </w:rPr>
    </w:lvl>
    <w:lvl w:ilvl="5" w:tplc="717E4DE4" w:tentative="1">
      <w:start w:val="1"/>
      <w:numFmt w:val="bullet"/>
      <w:lvlText w:val=""/>
      <w:lvlJc w:val="left"/>
      <w:pPr>
        <w:tabs>
          <w:tab w:val="num" w:pos="4403"/>
        </w:tabs>
        <w:ind w:left="4403" w:hanging="360"/>
      </w:pPr>
      <w:rPr>
        <w:rFonts w:ascii="Wingdings" w:hAnsi="Wingdings" w:hint="default"/>
      </w:rPr>
    </w:lvl>
    <w:lvl w:ilvl="6" w:tplc="BDBC8962" w:tentative="1">
      <w:start w:val="1"/>
      <w:numFmt w:val="bullet"/>
      <w:lvlText w:val=""/>
      <w:lvlJc w:val="left"/>
      <w:pPr>
        <w:tabs>
          <w:tab w:val="num" w:pos="5123"/>
        </w:tabs>
        <w:ind w:left="5123" w:hanging="360"/>
      </w:pPr>
      <w:rPr>
        <w:rFonts w:ascii="Symbol" w:hAnsi="Symbol" w:hint="default"/>
      </w:rPr>
    </w:lvl>
    <w:lvl w:ilvl="7" w:tplc="D5EEC70A" w:tentative="1">
      <w:start w:val="1"/>
      <w:numFmt w:val="bullet"/>
      <w:lvlText w:val="o"/>
      <w:lvlJc w:val="left"/>
      <w:pPr>
        <w:tabs>
          <w:tab w:val="num" w:pos="5843"/>
        </w:tabs>
        <w:ind w:left="5843" w:hanging="360"/>
      </w:pPr>
      <w:rPr>
        <w:rFonts w:ascii="Courier New" w:hAnsi="Courier New" w:hint="default"/>
      </w:rPr>
    </w:lvl>
    <w:lvl w:ilvl="8" w:tplc="3E582D10" w:tentative="1">
      <w:start w:val="1"/>
      <w:numFmt w:val="bullet"/>
      <w:lvlText w:val=""/>
      <w:lvlJc w:val="left"/>
      <w:pPr>
        <w:tabs>
          <w:tab w:val="num" w:pos="6563"/>
        </w:tabs>
        <w:ind w:left="6563" w:hanging="360"/>
      </w:pPr>
      <w:rPr>
        <w:rFonts w:ascii="Wingdings" w:hAnsi="Wingdings" w:hint="default"/>
      </w:rPr>
    </w:lvl>
  </w:abstractNum>
  <w:abstractNum w:abstractNumId="101">
    <w:nsid w:val="621D4E18"/>
    <w:multiLevelType w:val="hybridMultilevel"/>
    <w:tmpl w:val="5290B6CE"/>
    <w:lvl w:ilvl="0" w:tplc="0C09000F">
      <w:start w:val="1"/>
      <w:numFmt w:val="decimal"/>
      <w:lvlText w:val="%1."/>
      <w:lvlJc w:val="left"/>
      <w:pPr>
        <w:ind w:left="1211" w:hanging="360"/>
      </w:pPr>
      <w:rPr>
        <w:rFonts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02">
    <w:nsid w:val="63144EB5"/>
    <w:multiLevelType w:val="hybridMultilevel"/>
    <w:tmpl w:val="8D2A21FC"/>
    <w:lvl w:ilvl="0" w:tplc="2CA87AA6">
      <w:start w:val="1"/>
      <w:numFmt w:val="lowerLetter"/>
      <w:pStyle w:val="AlphaSubPara"/>
      <w:lvlText w:val="%1)"/>
      <w:lvlJc w:val="left"/>
      <w:pPr>
        <w:tabs>
          <w:tab w:val="num" w:pos="1276"/>
        </w:tabs>
        <w:ind w:left="1276" w:hanging="339"/>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3">
    <w:nsid w:val="636B4F3D"/>
    <w:multiLevelType w:val="hybridMultilevel"/>
    <w:tmpl w:val="34700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nsid w:val="642A6202"/>
    <w:multiLevelType w:val="hybridMultilevel"/>
    <w:tmpl w:val="B19C56D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05">
    <w:nsid w:val="65DF69A7"/>
    <w:multiLevelType w:val="hybridMultilevel"/>
    <w:tmpl w:val="39A4C26C"/>
    <w:lvl w:ilvl="0" w:tplc="E222B236">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nsid w:val="66BA41B8"/>
    <w:multiLevelType w:val="hybridMultilevel"/>
    <w:tmpl w:val="98E291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66BF6B16"/>
    <w:multiLevelType w:val="hybridMultilevel"/>
    <w:tmpl w:val="D10E9AC4"/>
    <w:lvl w:ilvl="0" w:tplc="0C090001">
      <w:start w:val="1"/>
      <w:numFmt w:val="bullet"/>
      <w:lvlText w:val=""/>
      <w:lvlJc w:val="left"/>
      <w:pPr>
        <w:ind w:left="612" w:hanging="360"/>
      </w:pPr>
      <w:rPr>
        <w:rFonts w:ascii="Symbol" w:hAnsi="Symbol" w:hint="default"/>
      </w:rPr>
    </w:lvl>
    <w:lvl w:ilvl="1" w:tplc="0C090003" w:tentative="1">
      <w:start w:val="1"/>
      <w:numFmt w:val="bullet"/>
      <w:lvlText w:val="o"/>
      <w:lvlJc w:val="left"/>
      <w:pPr>
        <w:ind w:left="1332" w:hanging="360"/>
      </w:pPr>
      <w:rPr>
        <w:rFonts w:ascii="Courier New" w:hAnsi="Courier New" w:cs="Courier New" w:hint="default"/>
      </w:rPr>
    </w:lvl>
    <w:lvl w:ilvl="2" w:tplc="0C090005" w:tentative="1">
      <w:start w:val="1"/>
      <w:numFmt w:val="bullet"/>
      <w:lvlText w:val=""/>
      <w:lvlJc w:val="left"/>
      <w:pPr>
        <w:ind w:left="2052" w:hanging="360"/>
      </w:pPr>
      <w:rPr>
        <w:rFonts w:ascii="Wingdings" w:hAnsi="Wingdings" w:hint="default"/>
      </w:rPr>
    </w:lvl>
    <w:lvl w:ilvl="3" w:tplc="0C090001" w:tentative="1">
      <w:start w:val="1"/>
      <w:numFmt w:val="bullet"/>
      <w:lvlText w:val=""/>
      <w:lvlJc w:val="left"/>
      <w:pPr>
        <w:ind w:left="2772" w:hanging="360"/>
      </w:pPr>
      <w:rPr>
        <w:rFonts w:ascii="Symbol" w:hAnsi="Symbol" w:hint="default"/>
      </w:rPr>
    </w:lvl>
    <w:lvl w:ilvl="4" w:tplc="0C090003" w:tentative="1">
      <w:start w:val="1"/>
      <w:numFmt w:val="bullet"/>
      <w:lvlText w:val="o"/>
      <w:lvlJc w:val="left"/>
      <w:pPr>
        <w:ind w:left="3492" w:hanging="360"/>
      </w:pPr>
      <w:rPr>
        <w:rFonts w:ascii="Courier New" w:hAnsi="Courier New" w:cs="Courier New" w:hint="default"/>
      </w:rPr>
    </w:lvl>
    <w:lvl w:ilvl="5" w:tplc="0C090005" w:tentative="1">
      <w:start w:val="1"/>
      <w:numFmt w:val="bullet"/>
      <w:lvlText w:val=""/>
      <w:lvlJc w:val="left"/>
      <w:pPr>
        <w:ind w:left="4212" w:hanging="360"/>
      </w:pPr>
      <w:rPr>
        <w:rFonts w:ascii="Wingdings" w:hAnsi="Wingdings" w:hint="default"/>
      </w:rPr>
    </w:lvl>
    <w:lvl w:ilvl="6" w:tplc="0C090001" w:tentative="1">
      <w:start w:val="1"/>
      <w:numFmt w:val="bullet"/>
      <w:lvlText w:val=""/>
      <w:lvlJc w:val="left"/>
      <w:pPr>
        <w:ind w:left="4932" w:hanging="360"/>
      </w:pPr>
      <w:rPr>
        <w:rFonts w:ascii="Symbol" w:hAnsi="Symbol" w:hint="default"/>
      </w:rPr>
    </w:lvl>
    <w:lvl w:ilvl="7" w:tplc="0C090003" w:tentative="1">
      <w:start w:val="1"/>
      <w:numFmt w:val="bullet"/>
      <w:lvlText w:val="o"/>
      <w:lvlJc w:val="left"/>
      <w:pPr>
        <w:ind w:left="5652" w:hanging="360"/>
      </w:pPr>
      <w:rPr>
        <w:rFonts w:ascii="Courier New" w:hAnsi="Courier New" w:cs="Courier New" w:hint="default"/>
      </w:rPr>
    </w:lvl>
    <w:lvl w:ilvl="8" w:tplc="0C090005" w:tentative="1">
      <w:start w:val="1"/>
      <w:numFmt w:val="bullet"/>
      <w:lvlText w:val=""/>
      <w:lvlJc w:val="left"/>
      <w:pPr>
        <w:ind w:left="6372" w:hanging="360"/>
      </w:pPr>
      <w:rPr>
        <w:rFonts w:ascii="Wingdings" w:hAnsi="Wingdings" w:hint="default"/>
      </w:rPr>
    </w:lvl>
  </w:abstractNum>
  <w:abstractNum w:abstractNumId="108">
    <w:nsid w:val="67E50BE3"/>
    <w:multiLevelType w:val="singleLevel"/>
    <w:tmpl w:val="C17C5D7C"/>
    <w:lvl w:ilvl="0">
      <w:start w:val="1"/>
      <w:numFmt w:val="bullet"/>
      <w:pStyle w:val="dots"/>
      <w:lvlText w:val=""/>
      <w:lvlJc w:val="left"/>
      <w:pPr>
        <w:tabs>
          <w:tab w:val="num" w:pos="360"/>
        </w:tabs>
        <w:ind w:left="360" w:hanging="360"/>
      </w:pPr>
      <w:rPr>
        <w:rFonts w:ascii="Symbol" w:hAnsi="Symbol" w:hint="default"/>
      </w:rPr>
    </w:lvl>
  </w:abstractNum>
  <w:abstractNum w:abstractNumId="109">
    <w:nsid w:val="694E3040"/>
    <w:multiLevelType w:val="hybridMultilevel"/>
    <w:tmpl w:val="7324938A"/>
    <w:lvl w:ilvl="0" w:tplc="2E76CF36">
      <w:start w:val="1"/>
      <w:numFmt w:val="decimal"/>
      <w:lvlText w:val="%1."/>
      <w:lvlJc w:val="left"/>
      <w:pPr>
        <w:ind w:left="180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nsid w:val="6A9773CD"/>
    <w:multiLevelType w:val="hybridMultilevel"/>
    <w:tmpl w:val="570017EA"/>
    <w:lvl w:ilvl="0" w:tplc="0C090001">
      <w:start w:val="1"/>
      <w:numFmt w:val="bullet"/>
      <w:lvlText w:val=""/>
      <w:lvlJc w:val="left"/>
      <w:pPr>
        <w:ind w:left="1571" w:hanging="360"/>
      </w:pPr>
      <w:rPr>
        <w:rFonts w:ascii="Symbol" w:hAnsi="Symbol" w:hint="default"/>
      </w:rPr>
    </w:lvl>
    <w:lvl w:ilvl="1" w:tplc="781A1AAC">
      <w:start w:val="1"/>
      <w:numFmt w:val="bullet"/>
      <w:lvlText w:val="–"/>
      <w:lvlJc w:val="left"/>
      <w:pPr>
        <w:ind w:left="2291" w:hanging="360"/>
      </w:pPr>
      <w:rPr>
        <w:rFonts w:ascii="Arial" w:hAnsi="Arial"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1">
    <w:nsid w:val="6DCC0368"/>
    <w:multiLevelType w:val="hybridMultilevel"/>
    <w:tmpl w:val="C198829A"/>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12">
    <w:nsid w:val="6E6C7BE1"/>
    <w:multiLevelType w:val="hybridMultilevel"/>
    <w:tmpl w:val="58BA2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3">
    <w:nsid w:val="6FC52E75"/>
    <w:multiLevelType w:val="hybridMultilevel"/>
    <w:tmpl w:val="E7843FA2"/>
    <w:lvl w:ilvl="0" w:tplc="0C090001">
      <w:start w:val="1"/>
      <w:numFmt w:val="bullet"/>
      <w:lvlText w:val=""/>
      <w:lvlJc w:val="left"/>
      <w:pPr>
        <w:ind w:left="1398" w:hanging="360"/>
      </w:pPr>
      <w:rPr>
        <w:rFonts w:ascii="Symbol" w:hAnsi="Symbol" w:hint="default"/>
      </w:rPr>
    </w:lvl>
    <w:lvl w:ilvl="1" w:tplc="0C090003" w:tentative="1">
      <w:start w:val="1"/>
      <w:numFmt w:val="bullet"/>
      <w:lvlText w:val="o"/>
      <w:lvlJc w:val="left"/>
      <w:pPr>
        <w:ind w:left="2118" w:hanging="360"/>
      </w:pPr>
      <w:rPr>
        <w:rFonts w:ascii="Courier New" w:hAnsi="Courier New" w:cs="Courier New" w:hint="default"/>
      </w:rPr>
    </w:lvl>
    <w:lvl w:ilvl="2" w:tplc="0C090005" w:tentative="1">
      <w:start w:val="1"/>
      <w:numFmt w:val="bullet"/>
      <w:lvlText w:val=""/>
      <w:lvlJc w:val="left"/>
      <w:pPr>
        <w:ind w:left="2838" w:hanging="360"/>
      </w:pPr>
      <w:rPr>
        <w:rFonts w:ascii="Wingdings" w:hAnsi="Wingdings" w:hint="default"/>
      </w:rPr>
    </w:lvl>
    <w:lvl w:ilvl="3" w:tplc="0C090001" w:tentative="1">
      <w:start w:val="1"/>
      <w:numFmt w:val="bullet"/>
      <w:lvlText w:val=""/>
      <w:lvlJc w:val="left"/>
      <w:pPr>
        <w:ind w:left="3558" w:hanging="360"/>
      </w:pPr>
      <w:rPr>
        <w:rFonts w:ascii="Symbol" w:hAnsi="Symbol" w:hint="default"/>
      </w:rPr>
    </w:lvl>
    <w:lvl w:ilvl="4" w:tplc="0C090003" w:tentative="1">
      <w:start w:val="1"/>
      <w:numFmt w:val="bullet"/>
      <w:lvlText w:val="o"/>
      <w:lvlJc w:val="left"/>
      <w:pPr>
        <w:ind w:left="4278" w:hanging="360"/>
      </w:pPr>
      <w:rPr>
        <w:rFonts w:ascii="Courier New" w:hAnsi="Courier New" w:cs="Courier New" w:hint="default"/>
      </w:rPr>
    </w:lvl>
    <w:lvl w:ilvl="5" w:tplc="0C090005" w:tentative="1">
      <w:start w:val="1"/>
      <w:numFmt w:val="bullet"/>
      <w:lvlText w:val=""/>
      <w:lvlJc w:val="left"/>
      <w:pPr>
        <w:ind w:left="4998" w:hanging="360"/>
      </w:pPr>
      <w:rPr>
        <w:rFonts w:ascii="Wingdings" w:hAnsi="Wingdings" w:hint="default"/>
      </w:rPr>
    </w:lvl>
    <w:lvl w:ilvl="6" w:tplc="0C090001" w:tentative="1">
      <w:start w:val="1"/>
      <w:numFmt w:val="bullet"/>
      <w:lvlText w:val=""/>
      <w:lvlJc w:val="left"/>
      <w:pPr>
        <w:ind w:left="5718" w:hanging="360"/>
      </w:pPr>
      <w:rPr>
        <w:rFonts w:ascii="Symbol" w:hAnsi="Symbol" w:hint="default"/>
      </w:rPr>
    </w:lvl>
    <w:lvl w:ilvl="7" w:tplc="0C090003" w:tentative="1">
      <w:start w:val="1"/>
      <w:numFmt w:val="bullet"/>
      <w:lvlText w:val="o"/>
      <w:lvlJc w:val="left"/>
      <w:pPr>
        <w:ind w:left="6438" w:hanging="360"/>
      </w:pPr>
      <w:rPr>
        <w:rFonts w:ascii="Courier New" w:hAnsi="Courier New" w:cs="Courier New" w:hint="default"/>
      </w:rPr>
    </w:lvl>
    <w:lvl w:ilvl="8" w:tplc="0C090005" w:tentative="1">
      <w:start w:val="1"/>
      <w:numFmt w:val="bullet"/>
      <w:lvlText w:val=""/>
      <w:lvlJc w:val="left"/>
      <w:pPr>
        <w:ind w:left="7158" w:hanging="360"/>
      </w:pPr>
      <w:rPr>
        <w:rFonts w:ascii="Wingdings" w:hAnsi="Wingdings" w:hint="default"/>
      </w:rPr>
    </w:lvl>
  </w:abstractNum>
  <w:abstractNum w:abstractNumId="114">
    <w:nsid w:val="73652E10"/>
    <w:multiLevelType w:val="hybridMultilevel"/>
    <w:tmpl w:val="D25A54B0"/>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15">
    <w:nsid w:val="76113C38"/>
    <w:multiLevelType w:val="hybridMultilevel"/>
    <w:tmpl w:val="00AC099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6">
    <w:nsid w:val="76B4371F"/>
    <w:multiLevelType w:val="hybridMultilevel"/>
    <w:tmpl w:val="ACE8AB7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7">
    <w:nsid w:val="76E2084C"/>
    <w:multiLevelType w:val="hybridMultilevel"/>
    <w:tmpl w:val="FCA4CCB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8">
    <w:nsid w:val="78B038C1"/>
    <w:multiLevelType w:val="hybridMultilevel"/>
    <w:tmpl w:val="EA4A9F1A"/>
    <w:lvl w:ilvl="0" w:tplc="4C281ED2">
      <w:start w:val="1"/>
      <w:numFmt w:val="decimal"/>
      <w:lvlText w:val="%1)"/>
      <w:lvlJc w:val="left"/>
      <w:pPr>
        <w:ind w:left="1276" w:hanging="360"/>
      </w:pPr>
      <w:rPr>
        <w:rFonts w:hint="default"/>
      </w:rPr>
    </w:lvl>
    <w:lvl w:ilvl="1" w:tplc="0C090019" w:tentative="1">
      <w:start w:val="1"/>
      <w:numFmt w:val="lowerLetter"/>
      <w:lvlText w:val="%2."/>
      <w:lvlJc w:val="left"/>
      <w:pPr>
        <w:ind w:left="1996" w:hanging="360"/>
      </w:pPr>
    </w:lvl>
    <w:lvl w:ilvl="2" w:tplc="0C09001B" w:tentative="1">
      <w:start w:val="1"/>
      <w:numFmt w:val="lowerRoman"/>
      <w:lvlText w:val="%3."/>
      <w:lvlJc w:val="right"/>
      <w:pPr>
        <w:ind w:left="2716" w:hanging="180"/>
      </w:pPr>
    </w:lvl>
    <w:lvl w:ilvl="3" w:tplc="0C09000F" w:tentative="1">
      <w:start w:val="1"/>
      <w:numFmt w:val="decimal"/>
      <w:lvlText w:val="%4."/>
      <w:lvlJc w:val="left"/>
      <w:pPr>
        <w:ind w:left="3436" w:hanging="360"/>
      </w:pPr>
    </w:lvl>
    <w:lvl w:ilvl="4" w:tplc="0C090019" w:tentative="1">
      <w:start w:val="1"/>
      <w:numFmt w:val="lowerLetter"/>
      <w:lvlText w:val="%5."/>
      <w:lvlJc w:val="left"/>
      <w:pPr>
        <w:ind w:left="4156" w:hanging="360"/>
      </w:pPr>
    </w:lvl>
    <w:lvl w:ilvl="5" w:tplc="0C09001B" w:tentative="1">
      <w:start w:val="1"/>
      <w:numFmt w:val="lowerRoman"/>
      <w:lvlText w:val="%6."/>
      <w:lvlJc w:val="right"/>
      <w:pPr>
        <w:ind w:left="4876" w:hanging="180"/>
      </w:pPr>
    </w:lvl>
    <w:lvl w:ilvl="6" w:tplc="0C09000F" w:tentative="1">
      <w:start w:val="1"/>
      <w:numFmt w:val="decimal"/>
      <w:lvlText w:val="%7."/>
      <w:lvlJc w:val="left"/>
      <w:pPr>
        <w:ind w:left="5596" w:hanging="360"/>
      </w:pPr>
    </w:lvl>
    <w:lvl w:ilvl="7" w:tplc="0C090019" w:tentative="1">
      <w:start w:val="1"/>
      <w:numFmt w:val="lowerLetter"/>
      <w:lvlText w:val="%8."/>
      <w:lvlJc w:val="left"/>
      <w:pPr>
        <w:ind w:left="6316" w:hanging="360"/>
      </w:pPr>
    </w:lvl>
    <w:lvl w:ilvl="8" w:tplc="0C09001B" w:tentative="1">
      <w:start w:val="1"/>
      <w:numFmt w:val="lowerRoman"/>
      <w:lvlText w:val="%9."/>
      <w:lvlJc w:val="right"/>
      <w:pPr>
        <w:ind w:left="7036" w:hanging="180"/>
      </w:pPr>
    </w:lvl>
  </w:abstractNum>
  <w:abstractNum w:abstractNumId="119">
    <w:nsid w:val="78C31322"/>
    <w:multiLevelType w:val="hybridMultilevel"/>
    <w:tmpl w:val="4112DB04"/>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20">
    <w:nsid w:val="79A801D4"/>
    <w:multiLevelType w:val="hybridMultilevel"/>
    <w:tmpl w:val="9084B32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1">
    <w:nsid w:val="7B082F82"/>
    <w:multiLevelType w:val="hybridMultilevel"/>
    <w:tmpl w:val="869EC810"/>
    <w:lvl w:ilvl="0" w:tplc="0C090001">
      <w:start w:val="1"/>
      <w:numFmt w:val="bullet"/>
      <w:lvlText w:val=""/>
      <w:lvlJc w:val="left"/>
      <w:pPr>
        <w:ind w:left="1436" w:hanging="585"/>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22">
    <w:nsid w:val="7CBE529E"/>
    <w:multiLevelType w:val="hybridMultilevel"/>
    <w:tmpl w:val="82EA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nsid w:val="7CBE53F2"/>
    <w:multiLevelType w:val="hybridMultilevel"/>
    <w:tmpl w:val="6BB2F8C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24">
    <w:nsid w:val="7D0163B4"/>
    <w:multiLevelType w:val="hybridMultilevel"/>
    <w:tmpl w:val="6A1ADA7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abstractNumId w:val="1"/>
  </w:num>
  <w:num w:numId="2">
    <w:abstractNumId w:val="0"/>
  </w:num>
  <w:num w:numId="3">
    <w:abstractNumId w:val="91"/>
  </w:num>
  <w:num w:numId="4">
    <w:abstractNumId w:val="43"/>
  </w:num>
  <w:num w:numId="5">
    <w:abstractNumId w:val="87"/>
  </w:num>
  <w:num w:numId="6">
    <w:abstractNumId w:val="40"/>
  </w:num>
  <w:num w:numId="7">
    <w:abstractNumId w:val="73"/>
  </w:num>
  <w:num w:numId="8">
    <w:abstractNumId w:val="4"/>
  </w:num>
  <w:num w:numId="9">
    <w:abstractNumId w:val="102"/>
  </w:num>
  <w:num w:numId="10">
    <w:abstractNumId w:val="56"/>
  </w:num>
  <w:num w:numId="11">
    <w:abstractNumId w:val="37"/>
  </w:num>
  <w:num w:numId="12">
    <w:abstractNumId w:val="63"/>
  </w:num>
  <w:num w:numId="13">
    <w:abstractNumId w:val="80"/>
  </w:num>
  <w:num w:numId="14">
    <w:abstractNumId w:val="39"/>
  </w:num>
  <w:num w:numId="15">
    <w:abstractNumId w:val="53"/>
  </w:num>
  <w:num w:numId="16">
    <w:abstractNumId w:val="2"/>
  </w:num>
  <w:num w:numId="17">
    <w:abstractNumId w:val="108"/>
  </w:num>
  <w:num w:numId="18">
    <w:abstractNumId w:val="100"/>
  </w:num>
  <w:num w:numId="19">
    <w:abstractNumId w:val="42"/>
  </w:num>
  <w:num w:numId="20">
    <w:abstractNumId w:val="5"/>
  </w:num>
  <w:num w:numId="21">
    <w:abstractNumId w:val="99"/>
  </w:num>
  <w:num w:numId="22">
    <w:abstractNumId w:val="96"/>
  </w:num>
  <w:num w:numId="23">
    <w:abstractNumId w:val="27"/>
  </w:num>
  <w:num w:numId="24">
    <w:abstractNumId w:val="92"/>
  </w:num>
  <w:num w:numId="25">
    <w:abstractNumId w:val="15"/>
  </w:num>
  <w:num w:numId="26">
    <w:abstractNumId w:val="49"/>
  </w:num>
  <w:num w:numId="27">
    <w:abstractNumId w:val="109"/>
  </w:num>
  <w:num w:numId="28">
    <w:abstractNumId w:val="47"/>
  </w:num>
  <w:num w:numId="29">
    <w:abstractNumId w:val="57"/>
  </w:num>
  <w:num w:numId="30">
    <w:abstractNumId w:val="90"/>
  </w:num>
  <w:num w:numId="31">
    <w:abstractNumId w:val="78"/>
  </w:num>
  <w:num w:numId="32">
    <w:abstractNumId w:val="20"/>
  </w:num>
  <w:num w:numId="33">
    <w:abstractNumId w:val="55"/>
  </w:num>
  <w:num w:numId="34">
    <w:abstractNumId w:val="68"/>
  </w:num>
  <w:num w:numId="35">
    <w:abstractNumId w:val="16"/>
  </w:num>
  <w:num w:numId="36">
    <w:abstractNumId w:val="76"/>
  </w:num>
  <w:num w:numId="37">
    <w:abstractNumId w:val="83"/>
  </w:num>
  <w:num w:numId="38">
    <w:abstractNumId w:val="12"/>
  </w:num>
  <w:num w:numId="39">
    <w:abstractNumId w:val="22"/>
  </w:num>
  <w:num w:numId="40">
    <w:abstractNumId w:val="13"/>
  </w:num>
  <w:num w:numId="41">
    <w:abstractNumId w:val="66"/>
  </w:num>
  <w:num w:numId="42">
    <w:abstractNumId w:val="124"/>
  </w:num>
  <w:num w:numId="43">
    <w:abstractNumId w:val="59"/>
  </w:num>
  <w:num w:numId="44">
    <w:abstractNumId w:val="104"/>
  </w:num>
  <w:num w:numId="45">
    <w:abstractNumId w:val="71"/>
  </w:num>
  <w:num w:numId="46">
    <w:abstractNumId w:val="97"/>
  </w:num>
  <w:num w:numId="47">
    <w:abstractNumId w:val="113"/>
  </w:num>
  <w:num w:numId="48">
    <w:abstractNumId w:val="77"/>
  </w:num>
  <w:num w:numId="49">
    <w:abstractNumId w:val="26"/>
  </w:num>
  <w:num w:numId="50">
    <w:abstractNumId w:val="119"/>
  </w:num>
  <w:num w:numId="51">
    <w:abstractNumId w:val="33"/>
  </w:num>
  <w:num w:numId="52">
    <w:abstractNumId w:val="69"/>
  </w:num>
  <w:num w:numId="53">
    <w:abstractNumId w:val="121"/>
  </w:num>
  <w:num w:numId="54">
    <w:abstractNumId w:val="51"/>
  </w:num>
  <w:num w:numId="55">
    <w:abstractNumId w:val="7"/>
  </w:num>
  <w:num w:numId="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9"/>
  </w:num>
  <w:num w:numId="58">
    <w:abstractNumId w:val="105"/>
  </w:num>
  <w:num w:numId="59">
    <w:abstractNumId w:val="14"/>
  </w:num>
  <w:num w:numId="60">
    <w:abstractNumId w:val="72"/>
  </w:num>
  <w:num w:numId="61">
    <w:abstractNumId w:val="48"/>
  </w:num>
  <w:num w:numId="62">
    <w:abstractNumId w:val="95"/>
  </w:num>
  <w:num w:numId="63">
    <w:abstractNumId w:val="9"/>
  </w:num>
  <w:num w:numId="64">
    <w:abstractNumId w:val="79"/>
  </w:num>
  <w:num w:numId="65">
    <w:abstractNumId w:val="64"/>
  </w:num>
  <w:num w:numId="66">
    <w:abstractNumId w:val="34"/>
  </w:num>
  <w:num w:numId="67">
    <w:abstractNumId w:val="30"/>
  </w:num>
  <w:num w:numId="68">
    <w:abstractNumId w:val="31"/>
  </w:num>
  <w:num w:numId="69">
    <w:abstractNumId w:val="117"/>
  </w:num>
  <w:num w:numId="70">
    <w:abstractNumId w:val="11"/>
  </w:num>
  <w:num w:numId="71">
    <w:abstractNumId w:val="6"/>
  </w:num>
  <w:num w:numId="72">
    <w:abstractNumId w:val="43"/>
  </w:num>
  <w:num w:numId="73">
    <w:abstractNumId w:val="43"/>
  </w:num>
  <w:num w:numId="74">
    <w:abstractNumId w:val="43"/>
  </w:num>
  <w:num w:numId="75">
    <w:abstractNumId w:val="43"/>
  </w:num>
  <w:num w:numId="76">
    <w:abstractNumId w:val="43"/>
  </w:num>
  <w:num w:numId="77">
    <w:abstractNumId w:val="43"/>
  </w:num>
  <w:num w:numId="78">
    <w:abstractNumId w:val="43"/>
  </w:num>
  <w:num w:numId="79">
    <w:abstractNumId w:val="43"/>
  </w:num>
  <w:num w:numId="80">
    <w:abstractNumId w:val="43"/>
  </w:num>
  <w:num w:numId="81">
    <w:abstractNumId w:val="43"/>
  </w:num>
  <w:num w:numId="82">
    <w:abstractNumId w:val="43"/>
  </w:num>
  <w:num w:numId="83">
    <w:abstractNumId w:val="112"/>
  </w:num>
  <w:num w:numId="84">
    <w:abstractNumId w:val="62"/>
  </w:num>
  <w:num w:numId="85">
    <w:abstractNumId w:val="38"/>
  </w:num>
  <w:num w:numId="86">
    <w:abstractNumId w:val="17"/>
  </w:num>
  <w:num w:numId="87">
    <w:abstractNumId w:val="106"/>
  </w:num>
  <w:num w:numId="88">
    <w:abstractNumId w:val="122"/>
  </w:num>
  <w:num w:numId="89">
    <w:abstractNumId w:val="93"/>
  </w:num>
  <w:num w:numId="90">
    <w:abstractNumId w:val="54"/>
  </w:num>
  <w:num w:numId="91">
    <w:abstractNumId w:val="115"/>
  </w:num>
  <w:num w:numId="92">
    <w:abstractNumId w:val="67"/>
  </w:num>
  <w:num w:numId="93">
    <w:abstractNumId w:val="41"/>
  </w:num>
  <w:num w:numId="94">
    <w:abstractNumId w:val="45"/>
  </w:num>
  <w:num w:numId="95">
    <w:abstractNumId w:val="88"/>
  </w:num>
  <w:num w:numId="96">
    <w:abstractNumId w:val="110"/>
  </w:num>
  <w:num w:numId="97">
    <w:abstractNumId w:val="89"/>
  </w:num>
  <w:num w:numId="98">
    <w:abstractNumId w:val="46"/>
  </w:num>
  <w:num w:numId="99">
    <w:abstractNumId w:val="44"/>
  </w:num>
  <w:num w:numId="100">
    <w:abstractNumId w:val="103"/>
  </w:num>
  <w:num w:numId="101">
    <w:abstractNumId w:val="86"/>
  </w:num>
  <w:num w:numId="102">
    <w:abstractNumId w:val="43"/>
  </w:num>
  <w:num w:numId="103">
    <w:abstractNumId w:val="43"/>
  </w:num>
  <w:num w:numId="104">
    <w:abstractNumId w:val="107"/>
  </w:num>
  <w:num w:numId="105">
    <w:abstractNumId w:val="43"/>
  </w:num>
  <w:num w:numId="106">
    <w:abstractNumId w:val="43"/>
  </w:num>
  <w:num w:numId="107">
    <w:abstractNumId w:val="23"/>
  </w:num>
  <w:num w:numId="108">
    <w:abstractNumId w:val="84"/>
  </w:num>
  <w:num w:numId="109">
    <w:abstractNumId w:val="43"/>
  </w:num>
  <w:num w:numId="110">
    <w:abstractNumId w:val="61"/>
  </w:num>
  <w:num w:numId="111">
    <w:abstractNumId w:val="70"/>
  </w:num>
  <w:num w:numId="112">
    <w:abstractNumId w:val="123"/>
  </w:num>
  <w:num w:numId="113">
    <w:abstractNumId w:val="25"/>
  </w:num>
  <w:num w:numId="114">
    <w:abstractNumId w:val="43"/>
  </w:num>
  <w:num w:numId="115">
    <w:abstractNumId w:val="28"/>
  </w:num>
  <w:num w:numId="116">
    <w:abstractNumId w:val="24"/>
  </w:num>
  <w:num w:numId="117">
    <w:abstractNumId w:val="8"/>
  </w:num>
  <w:num w:numId="118">
    <w:abstractNumId w:val="98"/>
  </w:num>
  <w:num w:numId="119">
    <w:abstractNumId w:val="50"/>
  </w:num>
  <w:num w:numId="120">
    <w:abstractNumId w:val="60"/>
  </w:num>
  <w:num w:numId="121">
    <w:abstractNumId w:val="65"/>
  </w:num>
  <w:num w:numId="122">
    <w:abstractNumId w:val="114"/>
  </w:num>
  <w:num w:numId="123">
    <w:abstractNumId w:val="43"/>
  </w:num>
  <w:num w:numId="124">
    <w:abstractNumId w:val="75"/>
  </w:num>
  <w:num w:numId="125">
    <w:abstractNumId w:val="43"/>
  </w:num>
  <w:num w:numId="126">
    <w:abstractNumId w:val="94"/>
  </w:num>
  <w:num w:numId="127">
    <w:abstractNumId w:val="58"/>
  </w:num>
  <w:num w:numId="128">
    <w:abstractNumId w:val="85"/>
  </w:num>
  <w:num w:numId="129">
    <w:abstractNumId w:val="43"/>
  </w:num>
  <w:num w:numId="130">
    <w:abstractNumId w:val="32"/>
  </w:num>
  <w:num w:numId="131">
    <w:abstractNumId w:val="43"/>
  </w:num>
  <w:num w:numId="132">
    <w:abstractNumId w:val="43"/>
  </w:num>
  <w:num w:numId="133">
    <w:abstractNumId w:val="43"/>
  </w:num>
  <w:num w:numId="134">
    <w:abstractNumId w:val="43"/>
  </w:num>
  <w:num w:numId="135">
    <w:abstractNumId w:val="43"/>
  </w:num>
  <w:num w:numId="136">
    <w:abstractNumId w:val="43"/>
  </w:num>
  <w:num w:numId="137">
    <w:abstractNumId w:val="43"/>
  </w:num>
  <w:num w:numId="138">
    <w:abstractNumId w:val="81"/>
  </w:num>
  <w:num w:numId="139">
    <w:abstractNumId w:val="43"/>
  </w:num>
  <w:num w:numId="140">
    <w:abstractNumId w:val="116"/>
  </w:num>
  <w:num w:numId="141">
    <w:abstractNumId w:val="43"/>
  </w:num>
  <w:num w:numId="142">
    <w:abstractNumId w:val="43"/>
  </w:num>
  <w:num w:numId="143">
    <w:abstractNumId w:val="43"/>
  </w:num>
  <w:num w:numId="144">
    <w:abstractNumId w:val="43"/>
  </w:num>
  <w:num w:numId="145">
    <w:abstractNumId w:val="43"/>
  </w:num>
  <w:num w:numId="146">
    <w:abstractNumId w:val="43"/>
  </w:num>
  <w:num w:numId="147">
    <w:abstractNumId w:val="43"/>
  </w:num>
  <w:num w:numId="148">
    <w:abstractNumId w:val="43"/>
  </w:num>
  <w:num w:numId="149">
    <w:abstractNumId w:val="43"/>
  </w:num>
  <w:num w:numId="150">
    <w:abstractNumId w:val="43"/>
  </w:num>
  <w:num w:numId="151">
    <w:abstractNumId w:val="111"/>
  </w:num>
  <w:num w:numId="152">
    <w:abstractNumId w:val="74"/>
  </w:num>
  <w:num w:numId="153">
    <w:abstractNumId w:val="43"/>
  </w:num>
  <w:num w:numId="154">
    <w:abstractNumId w:val="43"/>
  </w:num>
  <w:num w:numId="155">
    <w:abstractNumId w:val="43"/>
  </w:num>
  <w:num w:numId="156">
    <w:abstractNumId w:val="43"/>
  </w:num>
  <w:num w:numId="157">
    <w:abstractNumId w:val="43"/>
  </w:num>
  <w:num w:numId="158">
    <w:abstractNumId w:val="43"/>
  </w:num>
  <w:num w:numId="159">
    <w:abstractNumId w:val="43"/>
  </w:num>
  <w:num w:numId="160">
    <w:abstractNumId w:val="29"/>
  </w:num>
  <w:num w:numId="161">
    <w:abstractNumId w:val="43"/>
  </w:num>
  <w:num w:numId="162">
    <w:abstractNumId w:val="43"/>
  </w:num>
  <w:num w:numId="163">
    <w:abstractNumId w:val="101"/>
  </w:num>
  <w:num w:numId="164">
    <w:abstractNumId w:val="82"/>
  </w:num>
  <w:num w:numId="165">
    <w:abstractNumId w:val="43"/>
  </w:num>
  <w:num w:numId="166">
    <w:abstractNumId w:val="43"/>
  </w:num>
  <w:num w:numId="167">
    <w:abstractNumId w:val="43"/>
  </w:num>
  <w:num w:numId="168">
    <w:abstractNumId w:val="43"/>
  </w:num>
  <w:num w:numId="169">
    <w:abstractNumId w:val="43"/>
  </w:num>
  <w:num w:numId="170">
    <w:abstractNumId w:val="43"/>
  </w:num>
  <w:num w:numId="171">
    <w:abstractNumId w:val="43"/>
  </w:num>
  <w:num w:numId="172">
    <w:abstractNumId w:val="43"/>
  </w:num>
  <w:num w:numId="173">
    <w:abstractNumId w:val="43"/>
  </w:num>
  <w:num w:numId="174">
    <w:abstractNumId w:val="43"/>
  </w:num>
  <w:num w:numId="175">
    <w:abstractNumId w:val="43"/>
  </w:num>
  <w:num w:numId="176">
    <w:abstractNumId w:val="43"/>
  </w:num>
  <w:num w:numId="177">
    <w:abstractNumId w:val="43"/>
  </w:num>
  <w:num w:numId="178">
    <w:abstractNumId w:val="52"/>
  </w:num>
  <w:num w:numId="179">
    <w:abstractNumId w:val="43"/>
  </w:num>
  <w:num w:numId="180">
    <w:abstractNumId w:val="43"/>
  </w:num>
  <w:num w:numId="181">
    <w:abstractNumId w:val="43"/>
  </w:num>
  <w:num w:numId="182">
    <w:abstractNumId w:val="43"/>
  </w:num>
  <w:num w:numId="183">
    <w:abstractNumId w:val="18"/>
  </w:num>
  <w:num w:numId="184">
    <w:abstractNumId w:val="35"/>
  </w:num>
  <w:num w:numId="185">
    <w:abstractNumId w:val="3"/>
    <w:lvlOverride w:ilvl="0">
      <w:lvl w:ilvl="0">
        <w:numFmt w:val="bullet"/>
        <w:lvlText w:val=""/>
        <w:legacy w:legacy="1" w:legacySpace="0" w:legacyIndent="0"/>
        <w:lvlJc w:val="left"/>
        <w:rPr>
          <w:rFonts w:ascii="Symbol" w:hAnsi="Symbol" w:hint="default"/>
          <w:sz w:val="22"/>
        </w:rPr>
      </w:lvl>
    </w:lvlOverride>
  </w:num>
  <w:num w:numId="186">
    <w:abstractNumId w:val="36"/>
  </w:num>
  <w:num w:numId="187">
    <w:abstractNumId w:val="43"/>
  </w:num>
  <w:num w:numId="188">
    <w:abstractNumId w:val="43"/>
  </w:num>
  <w:num w:numId="189">
    <w:abstractNumId w:val="10"/>
  </w:num>
  <w:num w:numId="190">
    <w:abstractNumId w:val="43"/>
  </w:num>
  <w:num w:numId="191">
    <w:abstractNumId w:val="43"/>
  </w:num>
  <w:num w:numId="192">
    <w:abstractNumId w:val="118"/>
  </w:num>
  <w:num w:numId="193">
    <w:abstractNumId w:val="21"/>
  </w:num>
  <w:num w:numId="194">
    <w:abstractNumId w:val="120"/>
  </w:num>
  <w:numIdMacAtCleanup w:val="18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le Yeats">
    <w15:presenceInfo w15:providerId="AD" w15:userId="S-1-5-21-456472364-1834759173-2558681673-11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T:\AER\Tariff Structure Statements\New South Wales\Ausgrid 2017-19\Amendments to revised TSS\Amended Revised TSS - 22 Feb 2017(FINAL) - AER amendment v.1.docx"/>
  </w:docVars>
  <w:rsids>
    <w:rsidRoot w:val="009A0176"/>
    <w:rsid w:val="0000146F"/>
    <w:rsid w:val="00001CA2"/>
    <w:rsid w:val="00002900"/>
    <w:rsid w:val="00003622"/>
    <w:rsid w:val="0000384E"/>
    <w:rsid w:val="0000528C"/>
    <w:rsid w:val="00006C6F"/>
    <w:rsid w:val="00006D54"/>
    <w:rsid w:val="000072B4"/>
    <w:rsid w:val="00007ABD"/>
    <w:rsid w:val="0001021B"/>
    <w:rsid w:val="00010803"/>
    <w:rsid w:val="0001181A"/>
    <w:rsid w:val="00011C46"/>
    <w:rsid w:val="000132C2"/>
    <w:rsid w:val="00015A1D"/>
    <w:rsid w:val="0001613C"/>
    <w:rsid w:val="000165E1"/>
    <w:rsid w:val="0001671B"/>
    <w:rsid w:val="00016FE1"/>
    <w:rsid w:val="000174D6"/>
    <w:rsid w:val="000178E9"/>
    <w:rsid w:val="000179CF"/>
    <w:rsid w:val="00020B67"/>
    <w:rsid w:val="00020F74"/>
    <w:rsid w:val="00021174"/>
    <w:rsid w:val="00021EF3"/>
    <w:rsid w:val="00021F72"/>
    <w:rsid w:val="000229D4"/>
    <w:rsid w:val="000249A8"/>
    <w:rsid w:val="000249FA"/>
    <w:rsid w:val="00025324"/>
    <w:rsid w:val="00025BDF"/>
    <w:rsid w:val="00025BE8"/>
    <w:rsid w:val="00025E40"/>
    <w:rsid w:val="00025FA0"/>
    <w:rsid w:val="00026012"/>
    <w:rsid w:val="0002625A"/>
    <w:rsid w:val="000269E5"/>
    <w:rsid w:val="00026C2A"/>
    <w:rsid w:val="00026F77"/>
    <w:rsid w:val="000301AF"/>
    <w:rsid w:val="00030A9F"/>
    <w:rsid w:val="00030C01"/>
    <w:rsid w:val="00030E0A"/>
    <w:rsid w:val="00030ED5"/>
    <w:rsid w:val="000310B1"/>
    <w:rsid w:val="000312EB"/>
    <w:rsid w:val="000314C1"/>
    <w:rsid w:val="00032934"/>
    <w:rsid w:val="00032BBB"/>
    <w:rsid w:val="00032DFD"/>
    <w:rsid w:val="00032FA4"/>
    <w:rsid w:val="00033380"/>
    <w:rsid w:val="00033691"/>
    <w:rsid w:val="000342B5"/>
    <w:rsid w:val="00034A53"/>
    <w:rsid w:val="00035620"/>
    <w:rsid w:val="00036DD1"/>
    <w:rsid w:val="00036F6A"/>
    <w:rsid w:val="000371F7"/>
    <w:rsid w:val="0003734F"/>
    <w:rsid w:val="00037E99"/>
    <w:rsid w:val="000402C5"/>
    <w:rsid w:val="000409E8"/>
    <w:rsid w:val="000410E1"/>
    <w:rsid w:val="00041762"/>
    <w:rsid w:val="00041ABA"/>
    <w:rsid w:val="00041E21"/>
    <w:rsid w:val="000422D1"/>
    <w:rsid w:val="00042544"/>
    <w:rsid w:val="00042C27"/>
    <w:rsid w:val="00044532"/>
    <w:rsid w:val="00045337"/>
    <w:rsid w:val="00045C21"/>
    <w:rsid w:val="0004607F"/>
    <w:rsid w:val="00046DBD"/>
    <w:rsid w:val="00046DDA"/>
    <w:rsid w:val="0004761C"/>
    <w:rsid w:val="00050208"/>
    <w:rsid w:val="000506E7"/>
    <w:rsid w:val="0005182D"/>
    <w:rsid w:val="0005335D"/>
    <w:rsid w:val="00053425"/>
    <w:rsid w:val="00053D19"/>
    <w:rsid w:val="00054017"/>
    <w:rsid w:val="000555EB"/>
    <w:rsid w:val="00056EC0"/>
    <w:rsid w:val="00056FDF"/>
    <w:rsid w:val="000575DB"/>
    <w:rsid w:val="0005777C"/>
    <w:rsid w:val="00057FD2"/>
    <w:rsid w:val="0006295D"/>
    <w:rsid w:val="00064224"/>
    <w:rsid w:val="0006453C"/>
    <w:rsid w:val="00064876"/>
    <w:rsid w:val="0006588F"/>
    <w:rsid w:val="00066E7F"/>
    <w:rsid w:val="000671C1"/>
    <w:rsid w:val="000707CA"/>
    <w:rsid w:val="00070CFD"/>
    <w:rsid w:val="00071610"/>
    <w:rsid w:val="000720A2"/>
    <w:rsid w:val="00072491"/>
    <w:rsid w:val="00072E40"/>
    <w:rsid w:val="0007378E"/>
    <w:rsid w:val="00075285"/>
    <w:rsid w:val="0007577B"/>
    <w:rsid w:val="00075A90"/>
    <w:rsid w:val="00076035"/>
    <w:rsid w:val="0007614A"/>
    <w:rsid w:val="00076202"/>
    <w:rsid w:val="00076802"/>
    <w:rsid w:val="00076CF3"/>
    <w:rsid w:val="00077016"/>
    <w:rsid w:val="0007707E"/>
    <w:rsid w:val="000771D8"/>
    <w:rsid w:val="0007729E"/>
    <w:rsid w:val="00077B1D"/>
    <w:rsid w:val="000803DE"/>
    <w:rsid w:val="000805B0"/>
    <w:rsid w:val="00080AED"/>
    <w:rsid w:val="000814ED"/>
    <w:rsid w:val="00081DCC"/>
    <w:rsid w:val="00081FA3"/>
    <w:rsid w:val="00082127"/>
    <w:rsid w:val="0008245D"/>
    <w:rsid w:val="00082D88"/>
    <w:rsid w:val="000830C6"/>
    <w:rsid w:val="00083D79"/>
    <w:rsid w:val="000841FD"/>
    <w:rsid w:val="000842AB"/>
    <w:rsid w:val="000849A8"/>
    <w:rsid w:val="00084F9C"/>
    <w:rsid w:val="0008513E"/>
    <w:rsid w:val="00085E87"/>
    <w:rsid w:val="00086548"/>
    <w:rsid w:val="00086A9D"/>
    <w:rsid w:val="00086CAF"/>
    <w:rsid w:val="00087438"/>
    <w:rsid w:val="00090FCD"/>
    <w:rsid w:val="00091892"/>
    <w:rsid w:val="00091B4B"/>
    <w:rsid w:val="0009278B"/>
    <w:rsid w:val="000928C7"/>
    <w:rsid w:val="00092FA9"/>
    <w:rsid w:val="0009409E"/>
    <w:rsid w:val="000963EA"/>
    <w:rsid w:val="00097A8C"/>
    <w:rsid w:val="000A027E"/>
    <w:rsid w:val="000A1756"/>
    <w:rsid w:val="000A2096"/>
    <w:rsid w:val="000A3022"/>
    <w:rsid w:val="000A42EA"/>
    <w:rsid w:val="000A452C"/>
    <w:rsid w:val="000A4616"/>
    <w:rsid w:val="000A46CE"/>
    <w:rsid w:val="000A5521"/>
    <w:rsid w:val="000A61D7"/>
    <w:rsid w:val="000A66A3"/>
    <w:rsid w:val="000A717A"/>
    <w:rsid w:val="000A73CD"/>
    <w:rsid w:val="000A7ECE"/>
    <w:rsid w:val="000B19D8"/>
    <w:rsid w:val="000B1E59"/>
    <w:rsid w:val="000B34E4"/>
    <w:rsid w:val="000B37E9"/>
    <w:rsid w:val="000B3AD7"/>
    <w:rsid w:val="000B4257"/>
    <w:rsid w:val="000B4364"/>
    <w:rsid w:val="000B4FE6"/>
    <w:rsid w:val="000B532A"/>
    <w:rsid w:val="000B582C"/>
    <w:rsid w:val="000B6F56"/>
    <w:rsid w:val="000B71F2"/>
    <w:rsid w:val="000B761F"/>
    <w:rsid w:val="000B76B1"/>
    <w:rsid w:val="000B7A2D"/>
    <w:rsid w:val="000B7B69"/>
    <w:rsid w:val="000B7F09"/>
    <w:rsid w:val="000C0068"/>
    <w:rsid w:val="000C014D"/>
    <w:rsid w:val="000C0927"/>
    <w:rsid w:val="000C1CB2"/>
    <w:rsid w:val="000C1DCC"/>
    <w:rsid w:val="000C1FF9"/>
    <w:rsid w:val="000C20D8"/>
    <w:rsid w:val="000C21D4"/>
    <w:rsid w:val="000C28D1"/>
    <w:rsid w:val="000C2D7C"/>
    <w:rsid w:val="000C43BC"/>
    <w:rsid w:val="000C4EBA"/>
    <w:rsid w:val="000C571B"/>
    <w:rsid w:val="000C5876"/>
    <w:rsid w:val="000C58D9"/>
    <w:rsid w:val="000C65BB"/>
    <w:rsid w:val="000C6942"/>
    <w:rsid w:val="000D032C"/>
    <w:rsid w:val="000D09B2"/>
    <w:rsid w:val="000D15C6"/>
    <w:rsid w:val="000D1AE1"/>
    <w:rsid w:val="000D1CC0"/>
    <w:rsid w:val="000D1D64"/>
    <w:rsid w:val="000D1F66"/>
    <w:rsid w:val="000D2517"/>
    <w:rsid w:val="000D2853"/>
    <w:rsid w:val="000D29E6"/>
    <w:rsid w:val="000D39E9"/>
    <w:rsid w:val="000D3D75"/>
    <w:rsid w:val="000D3F7B"/>
    <w:rsid w:val="000D400E"/>
    <w:rsid w:val="000D554A"/>
    <w:rsid w:val="000D5A0D"/>
    <w:rsid w:val="000D5CA6"/>
    <w:rsid w:val="000D5F8D"/>
    <w:rsid w:val="000D6076"/>
    <w:rsid w:val="000D60D8"/>
    <w:rsid w:val="000D6560"/>
    <w:rsid w:val="000D6D95"/>
    <w:rsid w:val="000D725F"/>
    <w:rsid w:val="000D76C9"/>
    <w:rsid w:val="000D7C29"/>
    <w:rsid w:val="000D7E11"/>
    <w:rsid w:val="000D7E93"/>
    <w:rsid w:val="000E078B"/>
    <w:rsid w:val="000E0C97"/>
    <w:rsid w:val="000E2115"/>
    <w:rsid w:val="000E3282"/>
    <w:rsid w:val="000E3D27"/>
    <w:rsid w:val="000E4829"/>
    <w:rsid w:val="000E48FF"/>
    <w:rsid w:val="000E4AB7"/>
    <w:rsid w:val="000E525F"/>
    <w:rsid w:val="000E578D"/>
    <w:rsid w:val="000E59A7"/>
    <w:rsid w:val="000E663E"/>
    <w:rsid w:val="000E673F"/>
    <w:rsid w:val="000F0033"/>
    <w:rsid w:val="000F0595"/>
    <w:rsid w:val="000F208D"/>
    <w:rsid w:val="000F20FA"/>
    <w:rsid w:val="000F2175"/>
    <w:rsid w:val="000F24D7"/>
    <w:rsid w:val="000F25EB"/>
    <w:rsid w:val="000F2831"/>
    <w:rsid w:val="000F2979"/>
    <w:rsid w:val="000F2F8F"/>
    <w:rsid w:val="000F318F"/>
    <w:rsid w:val="000F4F8F"/>
    <w:rsid w:val="000F51E1"/>
    <w:rsid w:val="000F527E"/>
    <w:rsid w:val="000F5527"/>
    <w:rsid w:val="000F5F76"/>
    <w:rsid w:val="000F722C"/>
    <w:rsid w:val="001006CE"/>
    <w:rsid w:val="00101038"/>
    <w:rsid w:val="001016EC"/>
    <w:rsid w:val="00102E7D"/>
    <w:rsid w:val="001030C4"/>
    <w:rsid w:val="00103859"/>
    <w:rsid w:val="001047D6"/>
    <w:rsid w:val="0010703F"/>
    <w:rsid w:val="001075F0"/>
    <w:rsid w:val="0011062A"/>
    <w:rsid w:val="00110FD5"/>
    <w:rsid w:val="001112F1"/>
    <w:rsid w:val="00111407"/>
    <w:rsid w:val="00112135"/>
    <w:rsid w:val="00112FDB"/>
    <w:rsid w:val="001130B4"/>
    <w:rsid w:val="001139D5"/>
    <w:rsid w:val="00113A20"/>
    <w:rsid w:val="00114059"/>
    <w:rsid w:val="00114658"/>
    <w:rsid w:val="00114816"/>
    <w:rsid w:val="00114A39"/>
    <w:rsid w:val="00114DB2"/>
    <w:rsid w:val="0011656E"/>
    <w:rsid w:val="001171B4"/>
    <w:rsid w:val="0011737B"/>
    <w:rsid w:val="001173E7"/>
    <w:rsid w:val="00120EC7"/>
    <w:rsid w:val="001230F8"/>
    <w:rsid w:val="00125413"/>
    <w:rsid w:val="001259A0"/>
    <w:rsid w:val="00125FFA"/>
    <w:rsid w:val="00126335"/>
    <w:rsid w:val="00126F5F"/>
    <w:rsid w:val="001271F0"/>
    <w:rsid w:val="001277E5"/>
    <w:rsid w:val="0013010C"/>
    <w:rsid w:val="00130924"/>
    <w:rsid w:val="0013101A"/>
    <w:rsid w:val="00131473"/>
    <w:rsid w:val="00132600"/>
    <w:rsid w:val="0013306B"/>
    <w:rsid w:val="00133659"/>
    <w:rsid w:val="00133DD1"/>
    <w:rsid w:val="00133FAC"/>
    <w:rsid w:val="00134380"/>
    <w:rsid w:val="00134560"/>
    <w:rsid w:val="00134A35"/>
    <w:rsid w:val="00134AC1"/>
    <w:rsid w:val="0013608E"/>
    <w:rsid w:val="001361FE"/>
    <w:rsid w:val="001371FA"/>
    <w:rsid w:val="0014199D"/>
    <w:rsid w:val="00141CD9"/>
    <w:rsid w:val="00142134"/>
    <w:rsid w:val="00142E91"/>
    <w:rsid w:val="00142FF8"/>
    <w:rsid w:val="00143121"/>
    <w:rsid w:val="0014326E"/>
    <w:rsid w:val="00143934"/>
    <w:rsid w:val="001444CF"/>
    <w:rsid w:val="00144D1B"/>
    <w:rsid w:val="00144FB4"/>
    <w:rsid w:val="00144FD3"/>
    <w:rsid w:val="001454F8"/>
    <w:rsid w:val="00145DD3"/>
    <w:rsid w:val="0014615F"/>
    <w:rsid w:val="00146440"/>
    <w:rsid w:val="00146C0A"/>
    <w:rsid w:val="00146EBE"/>
    <w:rsid w:val="001500B3"/>
    <w:rsid w:val="0015041D"/>
    <w:rsid w:val="00150EED"/>
    <w:rsid w:val="001520D0"/>
    <w:rsid w:val="001536E6"/>
    <w:rsid w:val="00153D40"/>
    <w:rsid w:val="0015410A"/>
    <w:rsid w:val="001543EB"/>
    <w:rsid w:val="001547A0"/>
    <w:rsid w:val="00154EF7"/>
    <w:rsid w:val="001552D3"/>
    <w:rsid w:val="00156200"/>
    <w:rsid w:val="00160318"/>
    <w:rsid w:val="0016032E"/>
    <w:rsid w:val="0016098D"/>
    <w:rsid w:val="00161190"/>
    <w:rsid w:val="001621B1"/>
    <w:rsid w:val="001628C6"/>
    <w:rsid w:val="00162F8A"/>
    <w:rsid w:val="00164272"/>
    <w:rsid w:val="0016553C"/>
    <w:rsid w:val="001659D8"/>
    <w:rsid w:val="00165D4E"/>
    <w:rsid w:val="00166244"/>
    <w:rsid w:val="001671E2"/>
    <w:rsid w:val="00167950"/>
    <w:rsid w:val="00170BB7"/>
    <w:rsid w:val="00171187"/>
    <w:rsid w:val="00171555"/>
    <w:rsid w:val="001716B9"/>
    <w:rsid w:val="00171CC5"/>
    <w:rsid w:val="00172471"/>
    <w:rsid w:val="00172CF3"/>
    <w:rsid w:val="00174224"/>
    <w:rsid w:val="00174759"/>
    <w:rsid w:val="00174C0F"/>
    <w:rsid w:val="0017580D"/>
    <w:rsid w:val="001760ED"/>
    <w:rsid w:val="001762AC"/>
    <w:rsid w:val="00177F0E"/>
    <w:rsid w:val="00180420"/>
    <w:rsid w:val="00181B73"/>
    <w:rsid w:val="00182AFB"/>
    <w:rsid w:val="001834A9"/>
    <w:rsid w:val="00183BC0"/>
    <w:rsid w:val="00183E1B"/>
    <w:rsid w:val="00184594"/>
    <w:rsid w:val="001847F6"/>
    <w:rsid w:val="0018577C"/>
    <w:rsid w:val="001865F2"/>
    <w:rsid w:val="00186682"/>
    <w:rsid w:val="00186AD6"/>
    <w:rsid w:val="001871E6"/>
    <w:rsid w:val="001874D8"/>
    <w:rsid w:val="00187762"/>
    <w:rsid w:val="00190F6F"/>
    <w:rsid w:val="001910A1"/>
    <w:rsid w:val="00191E08"/>
    <w:rsid w:val="0019290F"/>
    <w:rsid w:val="0019324D"/>
    <w:rsid w:val="00194F7D"/>
    <w:rsid w:val="00196168"/>
    <w:rsid w:val="00197397"/>
    <w:rsid w:val="001A0002"/>
    <w:rsid w:val="001A023C"/>
    <w:rsid w:val="001A0AEE"/>
    <w:rsid w:val="001A12E7"/>
    <w:rsid w:val="001A2AA9"/>
    <w:rsid w:val="001A2B6C"/>
    <w:rsid w:val="001A46A8"/>
    <w:rsid w:val="001A5294"/>
    <w:rsid w:val="001A52EF"/>
    <w:rsid w:val="001A54C2"/>
    <w:rsid w:val="001A592E"/>
    <w:rsid w:val="001A62DC"/>
    <w:rsid w:val="001A6408"/>
    <w:rsid w:val="001A66BB"/>
    <w:rsid w:val="001A7AF2"/>
    <w:rsid w:val="001A7B49"/>
    <w:rsid w:val="001A7E39"/>
    <w:rsid w:val="001B083B"/>
    <w:rsid w:val="001B0FEC"/>
    <w:rsid w:val="001B124D"/>
    <w:rsid w:val="001B184F"/>
    <w:rsid w:val="001B18A3"/>
    <w:rsid w:val="001B21B2"/>
    <w:rsid w:val="001B24BE"/>
    <w:rsid w:val="001B2793"/>
    <w:rsid w:val="001B2EF0"/>
    <w:rsid w:val="001B2F49"/>
    <w:rsid w:val="001B352C"/>
    <w:rsid w:val="001B3C48"/>
    <w:rsid w:val="001B4025"/>
    <w:rsid w:val="001B46D6"/>
    <w:rsid w:val="001B4B87"/>
    <w:rsid w:val="001B5546"/>
    <w:rsid w:val="001B557A"/>
    <w:rsid w:val="001B55CB"/>
    <w:rsid w:val="001B5FF8"/>
    <w:rsid w:val="001B6440"/>
    <w:rsid w:val="001B666E"/>
    <w:rsid w:val="001B6773"/>
    <w:rsid w:val="001B7FC1"/>
    <w:rsid w:val="001C04BA"/>
    <w:rsid w:val="001C083A"/>
    <w:rsid w:val="001C0BC8"/>
    <w:rsid w:val="001C0BF0"/>
    <w:rsid w:val="001C133C"/>
    <w:rsid w:val="001C190C"/>
    <w:rsid w:val="001C1A24"/>
    <w:rsid w:val="001C1EF9"/>
    <w:rsid w:val="001C2443"/>
    <w:rsid w:val="001C286D"/>
    <w:rsid w:val="001C4662"/>
    <w:rsid w:val="001C4930"/>
    <w:rsid w:val="001C49BB"/>
    <w:rsid w:val="001C66C6"/>
    <w:rsid w:val="001C6D9A"/>
    <w:rsid w:val="001C6E09"/>
    <w:rsid w:val="001C7286"/>
    <w:rsid w:val="001C7CF7"/>
    <w:rsid w:val="001D0361"/>
    <w:rsid w:val="001D0400"/>
    <w:rsid w:val="001D1730"/>
    <w:rsid w:val="001D1791"/>
    <w:rsid w:val="001D19FE"/>
    <w:rsid w:val="001D1D01"/>
    <w:rsid w:val="001D1FFF"/>
    <w:rsid w:val="001D211F"/>
    <w:rsid w:val="001D3CCA"/>
    <w:rsid w:val="001D5782"/>
    <w:rsid w:val="001D5EF1"/>
    <w:rsid w:val="001D64DD"/>
    <w:rsid w:val="001D6C60"/>
    <w:rsid w:val="001D6F22"/>
    <w:rsid w:val="001D6F8D"/>
    <w:rsid w:val="001D7541"/>
    <w:rsid w:val="001D7CAD"/>
    <w:rsid w:val="001E0516"/>
    <w:rsid w:val="001E09A6"/>
    <w:rsid w:val="001E23D8"/>
    <w:rsid w:val="001E2F74"/>
    <w:rsid w:val="001E3020"/>
    <w:rsid w:val="001E38C6"/>
    <w:rsid w:val="001E445C"/>
    <w:rsid w:val="001E497D"/>
    <w:rsid w:val="001E5958"/>
    <w:rsid w:val="001E5A39"/>
    <w:rsid w:val="001E5B1F"/>
    <w:rsid w:val="001E5E5A"/>
    <w:rsid w:val="001E66B6"/>
    <w:rsid w:val="001E6794"/>
    <w:rsid w:val="001E76A5"/>
    <w:rsid w:val="001E79E0"/>
    <w:rsid w:val="001E7A9F"/>
    <w:rsid w:val="001E7DAF"/>
    <w:rsid w:val="001E7F29"/>
    <w:rsid w:val="001E7F4C"/>
    <w:rsid w:val="001F062C"/>
    <w:rsid w:val="001F12EA"/>
    <w:rsid w:val="001F13E0"/>
    <w:rsid w:val="001F1CD0"/>
    <w:rsid w:val="001F2658"/>
    <w:rsid w:val="001F27CF"/>
    <w:rsid w:val="001F2A56"/>
    <w:rsid w:val="001F2BAA"/>
    <w:rsid w:val="001F2F43"/>
    <w:rsid w:val="001F3B8D"/>
    <w:rsid w:val="001F3F4A"/>
    <w:rsid w:val="001F450F"/>
    <w:rsid w:val="001F45BD"/>
    <w:rsid w:val="001F50C5"/>
    <w:rsid w:val="001F549D"/>
    <w:rsid w:val="001F5C83"/>
    <w:rsid w:val="001F62D7"/>
    <w:rsid w:val="001F71C6"/>
    <w:rsid w:val="00200078"/>
    <w:rsid w:val="00200576"/>
    <w:rsid w:val="00200E3F"/>
    <w:rsid w:val="002018EA"/>
    <w:rsid w:val="00202E92"/>
    <w:rsid w:val="00203210"/>
    <w:rsid w:val="002035DB"/>
    <w:rsid w:val="00204FFC"/>
    <w:rsid w:val="00205C32"/>
    <w:rsid w:val="00206F15"/>
    <w:rsid w:val="00207F59"/>
    <w:rsid w:val="002110C6"/>
    <w:rsid w:val="0021158E"/>
    <w:rsid w:val="00212F15"/>
    <w:rsid w:val="0021384E"/>
    <w:rsid w:val="00214998"/>
    <w:rsid w:val="002174F7"/>
    <w:rsid w:val="00217A07"/>
    <w:rsid w:val="0022002B"/>
    <w:rsid w:val="002207EF"/>
    <w:rsid w:val="0022091A"/>
    <w:rsid w:val="00221519"/>
    <w:rsid w:val="00221FA4"/>
    <w:rsid w:val="0022201A"/>
    <w:rsid w:val="00224363"/>
    <w:rsid w:val="002248B0"/>
    <w:rsid w:val="00224C0D"/>
    <w:rsid w:val="002261BF"/>
    <w:rsid w:val="00226DC7"/>
    <w:rsid w:val="00227F16"/>
    <w:rsid w:val="0023056F"/>
    <w:rsid w:val="002308E8"/>
    <w:rsid w:val="00231589"/>
    <w:rsid w:val="00231754"/>
    <w:rsid w:val="002320CB"/>
    <w:rsid w:val="00232B2A"/>
    <w:rsid w:val="00232F9B"/>
    <w:rsid w:val="002331A3"/>
    <w:rsid w:val="0023321A"/>
    <w:rsid w:val="00233609"/>
    <w:rsid w:val="002338AD"/>
    <w:rsid w:val="00233C5C"/>
    <w:rsid w:val="00233C76"/>
    <w:rsid w:val="00234386"/>
    <w:rsid w:val="002343A3"/>
    <w:rsid w:val="00234B44"/>
    <w:rsid w:val="00234E33"/>
    <w:rsid w:val="0023553F"/>
    <w:rsid w:val="002356B2"/>
    <w:rsid w:val="00236D2E"/>
    <w:rsid w:val="00236E48"/>
    <w:rsid w:val="002375DC"/>
    <w:rsid w:val="00237CAA"/>
    <w:rsid w:val="00237FEA"/>
    <w:rsid w:val="00241C45"/>
    <w:rsid w:val="0024227E"/>
    <w:rsid w:val="002428AE"/>
    <w:rsid w:val="0024290D"/>
    <w:rsid w:val="00242B59"/>
    <w:rsid w:val="0024419A"/>
    <w:rsid w:val="002448D9"/>
    <w:rsid w:val="00244DD1"/>
    <w:rsid w:val="0024615E"/>
    <w:rsid w:val="002462BB"/>
    <w:rsid w:val="00246611"/>
    <w:rsid w:val="00247423"/>
    <w:rsid w:val="00247681"/>
    <w:rsid w:val="00247684"/>
    <w:rsid w:val="0024771F"/>
    <w:rsid w:val="00247E17"/>
    <w:rsid w:val="00250B65"/>
    <w:rsid w:val="00252051"/>
    <w:rsid w:val="0025287E"/>
    <w:rsid w:val="00252A61"/>
    <w:rsid w:val="00252AE8"/>
    <w:rsid w:val="00252D37"/>
    <w:rsid w:val="002552F5"/>
    <w:rsid w:val="0025555C"/>
    <w:rsid w:val="0025592B"/>
    <w:rsid w:val="0025634B"/>
    <w:rsid w:val="00257276"/>
    <w:rsid w:val="002574A3"/>
    <w:rsid w:val="002575DA"/>
    <w:rsid w:val="0026002E"/>
    <w:rsid w:val="00260B36"/>
    <w:rsid w:val="00260E81"/>
    <w:rsid w:val="0026147F"/>
    <w:rsid w:val="002616F9"/>
    <w:rsid w:val="00261B0A"/>
    <w:rsid w:val="0026223E"/>
    <w:rsid w:val="002627D6"/>
    <w:rsid w:val="00262862"/>
    <w:rsid w:val="0026415A"/>
    <w:rsid w:val="002642C2"/>
    <w:rsid w:val="002644E9"/>
    <w:rsid w:val="002648DA"/>
    <w:rsid w:val="00264C29"/>
    <w:rsid w:val="00264D10"/>
    <w:rsid w:val="00264E7E"/>
    <w:rsid w:val="00264FA0"/>
    <w:rsid w:val="00265684"/>
    <w:rsid w:val="00265D0C"/>
    <w:rsid w:val="00266417"/>
    <w:rsid w:val="002666D7"/>
    <w:rsid w:val="0026709B"/>
    <w:rsid w:val="0027081C"/>
    <w:rsid w:val="00270956"/>
    <w:rsid w:val="00272BE3"/>
    <w:rsid w:val="00272EC4"/>
    <w:rsid w:val="002732AB"/>
    <w:rsid w:val="0027382D"/>
    <w:rsid w:val="0027476F"/>
    <w:rsid w:val="00274A1D"/>
    <w:rsid w:val="00275D18"/>
    <w:rsid w:val="00275E07"/>
    <w:rsid w:val="00276B36"/>
    <w:rsid w:val="00276EDC"/>
    <w:rsid w:val="0027712C"/>
    <w:rsid w:val="00277517"/>
    <w:rsid w:val="002804CB"/>
    <w:rsid w:val="002813A6"/>
    <w:rsid w:val="002823C9"/>
    <w:rsid w:val="00282F24"/>
    <w:rsid w:val="002830D1"/>
    <w:rsid w:val="002834F9"/>
    <w:rsid w:val="00283AD8"/>
    <w:rsid w:val="00284160"/>
    <w:rsid w:val="002850D5"/>
    <w:rsid w:val="00286121"/>
    <w:rsid w:val="00286937"/>
    <w:rsid w:val="00286CB7"/>
    <w:rsid w:val="00287065"/>
    <w:rsid w:val="00287C44"/>
    <w:rsid w:val="00290046"/>
    <w:rsid w:val="0029027D"/>
    <w:rsid w:val="00290CC6"/>
    <w:rsid w:val="0029125B"/>
    <w:rsid w:val="0029131E"/>
    <w:rsid w:val="002913ED"/>
    <w:rsid w:val="0029143B"/>
    <w:rsid w:val="002920D5"/>
    <w:rsid w:val="00292532"/>
    <w:rsid w:val="002926B3"/>
    <w:rsid w:val="00292C28"/>
    <w:rsid w:val="00292F08"/>
    <w:rsid w:val="00292F37"/>
    <w:rsid w:val="00293393"/>
    <w:rsid w:val="00294BC1"/>
    <w:rsid w:val="00294D9B"/>
    <w:rsid w:val="00294ED6"/>
    <w:rsid w:val="00295DB7"/>
    <w:rsid w:val="00296A3E"/>
    <w:rsid w:val="00296E46"/>
    <w:rsid w:val="002970EE"/>
    <w:rsid w:val="00297342"/>
    <w:rsid w:val="00297681"/>
    <w:rsid w:val="00297812"/>
    <w:rsid w:val="002A0CE4"/>
    <w:rsid w:val="002A129B"/>
    <w:rsid w:val="002A25F7"/>
    <w:rsid w:val="002A3A6C"/>
    <w:rsid w:val="002A433C"/>
    <w:rsid w:val="002A4AA1"/>
    <w:rsid w:val="002A5B3E"/>
    <w:rsid w:val="002A5BE1"/>
    <w:rsid w:val="002A6B5D"/>
    <w:rsid w:val="002A6FF3"/>
    <w:rsid w:val="002A75FF"/>
    <w:rsid w:val="002A780B"/>
    <w:rsid w:val="002A7B32"/>
    <w:rsid w:val="002A7C31"/>
    <w:rsid w:val="002B003E"/>
    <w:rsid w:val="002B10D5"/>
    <w:rsid w:val="002B15F9"/>
    <w:rsid w:val="002B267A"/>
    <w:rsid w:val="002B2992"/>
    <w:rsid w:val="002B30C6"/>
    <w:rsid w:val="002B35AC"/>
    <w:rsid w:val="002B3B96"/>
    <w:rsid w:val="002B3D7A"/>
    <w:rsid w:val="002B3ED0"/>
    <w:rsid w:val="002B3FE2"/>
    <w:rsid w:val="002B4373"/>
    <w:rsid w:val="002B5557"/>
    <w:rsid w:val="002B56AE"/>
    <w:rsid w:val="002B5A50"/>
    <w:rsid w:val="002B5C11"/>
    <w:rsid w:val="002B5C5A"/>
    <w:rsid w:val="002B5D06"/>
    <w:rsid w:val="002B5E59"/>
    <w:rsid w:val="002B65DB"/>
    <w:rsid w:val="002B6F22"/>
    <w:rsid w:val="002B6FF5"/>
    <w:rsid w:val="002B7132"/>
    <w:rsid w:val="002B7888"/>
    <w:rsid w:val="002C09F0"/>
    <w:rsid w:val="002C1816"/>
    <w:rsid w:val="002C1827"/>
    <w:rsid w:val="002C20BD"/>
    <w:rsid w:val="002C28C4"/>
    <w:rsid w:val="002C298B"/>
    <w:rsid w:val="002C3151"/>
    <w:rsid w:val="002C3CE1"/>
    <w:rsid w:val="002C4E69"/>
    <w:rsid w:val="002C5A09"/>
    <w:rsid w:val="002C7187"/>
    <w:rsid w:val="002C7243"/>
    <w:rsid w:val="002C7BB9"/>
    <w:rsid w:val="002C7E8B"/>
    <w:rsid w:val="002D149E"/>
    <w:rsid w:val="002D15FB"/>
    <w:rsid w:val="002D17D2"/>
    <w:rsid w:val="002D34A2"/>
    <w:rsid w:val="002D3E19"/>
    <w:rsid w:val="002D3FE4"/>
    <w:rsid w:val="002D430F"/>
    <w:rsid w:val="002D44AC"/>
    <w:rsid w:val="002D6173"/>
    <w:rsid w:val="002D634A"/>
    <w:rsid w:val="002D64CF"/>
    <w:rsid w:val="002D680F"/>
    <w:rsid w:val="002D6954"/>
    <w:rsid w:val="002D718C"/>
    <w:rsid w:val="002D742D"/>
    <w:rsid w:val="002D748C"/>
    <w:rsid w:val="002E0DDC"/>
    <w:rsid w:val="002E11B5"/>
    <w:rsid w:val="002E1994"/>
    <w:rsid w:val="002E31D5"/>
    <w:rsid w:val="002E371E"/>
    <w:rsid w:val="002E3934"/>
    <w:rsid w:val="002E3CA8"/>
    <w:rsid w:val="002E3EF0"/>
    <w:rsid w:val="002E4532"/>
    <w:rsid w:val="002E4907"/>
    <w:rsid w:val="002E4A5E"/>
    <w:rsid w:val="002E5B7B"/>
    <w:rsid w:val="002E6679"/>
    <w:rsid w:val="002E6955"/>
    <w:rsid w:val="002E772F"/>
    <w:rsid w:val="002E7D20"/>
    <w:rsid w:val="002E7E17"/>
    <w:rsid w:val="002F009F"/>
    <w:rsid w:val="002F10D4"/>
    <w:rsid w:val="002F2403"/>
    <w:rsid w:val="002F40FB"/>
    <w:rsid w:val="002F4422"/>
    <w:rsid w:val="002F5059"/>
    <w:rsid w:val="002F50B1"/>
    <w:rsid w:val="002F5511"/>
    <w:rsid w:val="002F5692"/>
    <w:rsid w:val="002F65D2"/>
    <w:rsid w:val="002F69A9"/>
    <w:rsid w:val="002F750A"/>
    <w:rsid w:val="002F7672"/>
    <w:rsid w:val="00300370"/>
    <w:rsid w:val="00300455"/>
    <w:rsid w:val="00300EE5"/>
    <w:rsid w:val="0030149D"/>
    <w:rsid w:val="003022DE"/>
    <w:rsid w:val="0030265A"/>
    <w:rsid w:val="00302760"/>
    <w:rsid w:val="00302EDA"/>
    <w:rsid w:val="00302F2B"/>
    <w:rsid w:val="00305685"/>
    <w:rsid w:val="003056D4"/>
    <w:rsid w:val="00305705"/>
    <w:rsid w:val="00305D46"/>
    <w:rsid w:val="00306DB1"/>
    <w:rsid w:val="003102F1"/>
    <w:rsid w:val="00310E9E"/>
    <w:rsid w:val="00310EC5"/>
    <w:rsid w:val="00311404"/>
    <w:rsid w:val="0031198F"/>
    <w:rsid w:val="00312FC8"/>
    <w:rsid w:val="003146AE"/>
    <w:rsid w:val="00315581"/>
    <w:rsid w:val="0031623F"/>
    <w:rsid w:val="0031768D"/>
    <w:rsid w:val="00317DD2"/>
    <w:rsid w:val="003203D9"/>
    <w:rsid w:val="003203F9"/>
    <w:rsid w:val="0032067F"/>
    <w:rsid w:val="00321446"/>
    <w:rsid w:val="00321879"/>
    <w:rsid w:val="00322B91"/>
    <w:rsid w:val="003233FE"/>
    <w:rsid w:val="003235D1"/>
    <w:rsid w:val="00323B58"/>
    <w:rsid w:val="00323E14"/>
    <w:rsid w:val="00323EC3"/>
    <w:rsid w:val="00324596"/>
    <w:rsid w:val="00325E6B"/>
    <w:rsid w:val="003266CB"/>
    <w:rsid w:val="00326899"/>
    <w:rsid w:val="003276E0"/>
    <w:rsid w:val="00327E39"/>
    <w:rsid w:val="00330408"/>
    <w:rsid w:val="0033076F"/>
    <w:rsid w:val="0033127B"/>
    <w:rsid w:val="0033159A"/>
    <w:rsid w:val="00331C11"/>
    <w:rsid w:val="00332673"/>
    <w:rsid w:val="003329CC"/>
    <w:rsid w:val="00333D28"/>
    <w:rsid w:val="00333EF3"/>
    <w:rsid w:val="003340E0"/>
    <w:rsid w:val="0033441A"/>
    <w:rsid w:val="00334FE2"/>
    <w:rsid w:val="00336A17"/>
    <w:rsid w:val="00336C58"/>
    <w:rsid w:val="00336ED2"/>
    <w:rsid w:val="00336F7B"/>
    <w:rsid w:val="003376A0"/>
    <w:rsid w:val="00340499"/>
    <w:rsid w:val="00340569"/>
    <w:rsid w:val="00340BD0"/>
    <w:rsid w:val="003411A5"/>
    <w:rsid w:val="003415E1"/>
    <w:rsid w:val="003420F9"/>
    <w:rsid w:val="00342953"/>
    <w:rsid w:val="00342F79"/>
    <w:rsid w:val="00344428"/>
    <w:rsid w:val="00344A00"/>
    <w:rsid w:val="00344C43"/>
    <w:rsid w:val="003452B6"/>
    <w:rsid w:val="00345838"/>
    <w:rsid w:val="00345D48"/>
    <w:rsid w:val="0034635B"/>
    <w:rsid w:val="00347021"/>
    <w:rsid w:val="00347193"/>
    <w:rsid w:val="00347426"/>
    <w:rsid w:val="003476D5"/>
    <w:rsid w:val="00351280"/>
    <w:rsid w:val="00351904"/>
    <w:rsid w:val="00352B09"/>
    <w:rsid w:val="00352C5B"/>
    <w:rsid w:val="0035398B"/>
    <w:rsid w:val="00353A70"/>
    <w:rsid w:val="0035407C"/>
    <w:rsid w:val="00354882"/>
    <w:rsid w:val="00354C4D"/>
    <w:rsid w:val="00354FCC"/>
    <w:rsid w:val="00355378"/>
    <w:rsid w:val="00355BA6"/>
    <w:rsid w:val="00356BDC"/>
    <w:rsid w:val="00357BDC"/>
    <w:rsid w:val="00360395"/>
    <w:rsid w:val="0036047F"/>
    <w:rsid w:val="0036060E"/>
    <w:rsid w:val="00360C60"/>
    <w:rsid w:val="003611A0"/>
    <w:rsid w:val="00361693"/>
    <w:rsid w:val="003626C4"/>
    <w:rsid w:val="00362A54"/>
    <w:rsid w:val="0036300A"/>
    <w:rsid w:val="003638A5"/>
    <w:rsid w:val="00363B0E"/>
    <w:rsid w:val="00364339"/>
    <w:rsid w:val="003648D9"/>
    <w:rsid w:val="003657F3"/>
    <w:rsid w:val="003658FC"/>
    <w:rsid w:val="003659EE"/>
    <w:rsid w:val="00365E2A"/>
    <w:rsid w:val="00366043"/>
    <w:rsid w:val="00366942"/>
    <w:rsid w:val="00366CEF"/>
    <w:rsid w:val="00367E03"/>
    <w:rsid w:val="003715DF"/>
    <w:rsid w:val="003717A0"/>
    <w:rsid w:val="00371CCD"/>
    <w:rsid w:val="00372175"/>
    <w:rsid w:val="003725E1"/>
    <w:rsid w:val="0037298E"/>
    <w:rsid w:val="003737C6"/>
    <w:rsid w:val="003737E1"/>
    <w:rsid w:val="0037465F"/>
    <w:rsid w:val="00374C15"/>
    <w:rsid w:val="00374DE1"/>
    <w:rsid w:val="00375431"/>
    <w:rsid w:val="00376583"/>
    <w:rsid w:val="00377E65"/>
    <w:rsid w:val="003800B0"/>
    <w:rsid w:val="00380580"/>
    <w:rsid w:val="00380A31"/>
    <w:rsid w:val="00380B56"/>
    <w:rsid w:val="00380C44"/>
    <w:rsid w:val="00381003"/>
    <w:rsid w:val="003813A9"/>
    <w:rsid w:val="00381CB4"/>
    <w:rsid w:val="0038261C"/>
    <w:rsid w:val="0038268B"/>
    <w:rsid w:val="00382813"/>
    <w:rsid w:val="00382D58"/>
    <w:rsid w:val="00383735"/>
    <w:rsid w:val="003838E7"/>
    <w:rsid w:val="00383A64"/>
    <w:rsid w:val="00383AF1"/>
    <w:rsid w:val="0038458E"/>
    <w:rsid w:val="00384884"/>
    <w:rsid w:val="00384BCC"/>
    <w:rsid w:val="00385136"/>
    <w:rsid w:val="003857D7"/>
    <w:rsid w:val="00386286"/>
    <w:rsid w:val="00386B6B"/>
    <w:rsid w:val="00386E1F"/>
    <w:rsid w:val="00386FA9"/>
    <w:rsid w:val="003872C5"/>
    <w:rsid w:val="00387702"/>
    <w:rsid w:val="00387FB0"/>
    <w:rsid w:val="00391AD9"/>
    <w:rsid w:val="00393CDE"/>
    <w:rsid w:val="0039425C"/>
    <w:rsid w:val="00394AC6"/>
    <w:rsid w:val="00394C1F"/>
    <w:rsid w:val="00394F48"/>
    <w:rsid w:val="003951D3"/>
    <w:rsid w:val="00396081"/>
    <w:rsid w:val="003964B7"/>
    <w:rsid w:val="0039741F"/>
    <w:rsid w:val="003A047C"/>
    <w:rsid w:val="003A0ACC"/>
    <w:rsid w:val="003A0ADB"/>
    <w:rsid w:val="003A20D7"/>
    <w:rsid w:val="003A24E9"/>
    <w:rsid w:val="003A3A81"/>
    <w:rsid w:val="003A3F6A"/>
    <w:rsid w:val="003A4420"/>
    <w:rsid w:val="003A46A9"/>
    <w:rsid w:val="003A538D"/>
    <w:rsid w:val="003A5C60"/>
    <w:rsid w:val="003A63F4"/>
    <w:rsid w:val="003A6917"/>
    <w:rsid w:val="003A6BD7"/>
    <w:rsid w:val="003A735B"/>
    <w:rsid w:val="003A795C"/>
    <w:rsid w:val="003A7C4D"/>
    <w:rsid w:val="003A7D0E"/>
    <w:rsid w:val="003B0038"/>
    <w:rsid w:val="003B006E"/>
    <w:rsid w:val="003B04F7"/>
    <w:rsid w:val="003B0CC7"/>
    <w:rsid w:val="003B1043"/>
    <w:rsid w:val="003B13E5"/>
    <w:rsid w:val="003B2595"/>
    <w:rsid w:val="003B28D8"/>
    <w:rsid w:val="003B3979"/>
    <w:rsid w:val="003B3FF6"/>
    <w:rsid w:val="003B41C9"/>
    <w:rsid w:val="003B69B9"/>
    <w:rsid w:val="003B7593"/>
    <w:rsid w:val="003C0133"/>
    <w:rsid w:val="003C0875"/>
    <w:rsid w:val="003C0BB4"/>
    <w:rsid w:val="003C2043"/>
    <w:rsid w:val="003C24E6"/>
    <w:rsid w:val="003C2E3F"/>
    <w:rsid w:val="003C39CC"/>
    <w:rsid w:val="003C3A43"/>
    <w:rsid w:val="003C3C6C"/>
    <w:rsid w:val="003C44B8"/>
    <w:rsid w:val="003C4C76"/>
    <w:rsid w:val="003C52EB"/>
    <w:rsid w:val="003C563C"/>
    <w:rsid w:val="003C5A46"/>
    <w:rsid w:val="003C636B"/>
    <w:rsid w:val="003C7825"/>
    <w:rsid w:val="003C7BD7"/>
    <w:rsid w:val="003C7F79"/>
    <w:rsid w:val="003D0D95"/>
    <w:rsid w:val="003D1659"/>
    <w:rsid w:val="003D17B7"/>
    <w:rsid w:val="003D18C1"/>
    <w:rsid w:val="003D1DD0"/>
    <w:rsid w:val="003D2BB3"/>
    <w:rsid w:val="003D4135"/>
    <w:rsid w:val="003D47A7"/>
    <w:rsid w:val="003D47AA"/>
    <w:rsid w:val="003D4861"/>
    <w:rsid w:val="003D49D7"/>
    <w:rsid w:val="003D536A"/>
    <w:rsid w:val="003D5C63"/>
    <w:rsid w:val="003D6453"/>
    <w:rsid w:val="003D67D9"/>
    <w:rsid w:val="003D6878"/>
    <w:rsid w:val="003D69A3"/>
    <w:rsid w:val="003D6DB5"/>
    <w:rsid w:val="003D78DA"/>
    <w:rsid w:val="003D7F43"/>
    <w:rsid w:val="003E0184"/>
    <w:rsid w:val="003E05B4"/>
    <w:rsid w:val="003E0CB7"/>
    <w:rsid w:val="003E0DBD"/>
    <w:rsid w:val="003E0F99"/>
    <w:rsid w:val="003E1975"/>
    <w:rsid w:val="003E1FCD"/>
    <w:rsid w:val="003E245D"/>
    <w:rsid w:val="003E2890"/>
    <w:rsid w:val="003E2ED0"/>
    <w:rsid w:val="003E3D5D"/>
    <w:rsid w:val="003E5104"/>
    <w:rsid w:val="003E59C2"/>
    <w:rsid w:val="003E698D"/>
    <w:rsid w:val="003E72AC"/>
    <w:rsid w:val="003E7AA5"/>
    <w:rsid w:val="003E7FBA"/>
    <w:rsid w:val="003F00EC"/>
    <w:rsid w:val="003F056C"/>
    <w:rsid w:val="003F0F50"/>
    <w:rsid w:val="003F1961"/>
    <w:rsid w:val="003F20B9"/>
    <w:rsid w:val="003F25AD"/>
    <w:rsid w:val="003F2FC6"/>
    <w:rsid w:val="003F4636"/>
    <w:rsid w:val="003F4747"/>
    <w:rsid w:val="003F4D57"/>
    <w:rsid w:val="003F4FBE"/>
    <w:rsid w:val="003F53EA"/>
    <w:rsid w:val="003F745A"/>
    <w:rsid w:val="003F756C"/>
    <w:rsid w:val="003F7C77"/>
    <w:rsid w:val="003F7D09"/>
    <w:rsid w:val="004000DB"/>
    <w:rsid w:val="0040013F"/>
    <w:rsid w:val="0040090F"/>
    <w:rsid w:val="00401C8D"/>
    <w:rsid w:val="004024DE"/>
    <w:rsid w:val="00402709"/>
    <w:rsid w:val="00402B78"/>
    <w:rsid w:val="00402BD1"/>
    <w:rsid w:val="00403A4D"/>
    <w:rsid w:val="00403B3A"/>
    <w:rsid w:val="00404AD7"/>
    <w:rsid w:val="004050C3"/>
    <w:rsid w:val="0040525D"/>
    <w:rsid w:val="00405F2E"/>
    <w:rsid w:val="00406BDC"/>
    <w:rsid w:val="00406E9C"/>
    <w:rsid w:val="00406EAF"/>
    <w:rsid w:val="004076B1"/>
    <w:rsid w:val="004100ED"/>
    <w:rsid w:val="00411083"/>
    <w:rsid w:val="00411821"/>
    <w:rsid w:val="00411977"/>
    <w:rsid w:val="004119B5"/>
    <w:rsid w:val="00411F0F"/>
    <w:rsid w:val="004122F8"/>
    <w:rsid w:val="00412A35"/>
    <w:rsid w:val="00412B9D"/>
    <w:rsid w:val="00412E07"/>
    <w:rsid w:val="00414021"/>
    <w:rsid w:val="00414D8B"/>
    <w:rsid w:val="00415448"/>
    <w:rsid w:val="00415E56"/>
    <w:rsid w:val="00415E71"/>
    <w:rsid w:val="0041663A"/>
    <w:rsid w:val="00416904"/>
    <w:rsid w:val="00417775"/>
    <w:rsid w:val="00420024"/>
    <w:rsid w:val="00420DD9"/>
    <w:rsid w:val="0042206E"/>
    <w:rsid w:val="0042241B"/>
    <w:rsid w:val="00422973"/>
    <w:rsid w:val="004235D8"/>
    <w:rsid w:val="00423F6C"/>
    <w:rsid w:val="0042459E"/>
    <w:rsid w:val="004246BB"/>
    <w:rsid w:val="0042490E"/>
    <w:rsid w:val="00424A17"/>
    <w:rsid w:val="00425686"/>
    <w:rsid w:val="00425783"/>
    <w:rsid w:val="0042588B"/>
    <w:rsid w:val="00425B5B"/>
    <w:rsid w:val="00425C20"/>
    <w:rsid w:val="00425E69"/>
    <w:rsid w:val="004263CC"/>
    <w:rsid w:val="004276BB"/>
    <w:rsid w:val="00430A06"/>
    <w:rsid w:val="00431102"/>
    <w:rsid w:val="004316B2"/>
    <w:rsid w:val="00431912"/>
    <w:rsid w:val="00431A0D"/>
    <w:rsid w:val="00431A51"/>
    <w:rsid w:val="00432DC1"/>
    <w:rsid w:val="004336FD"/>
    <w:rsid w:val="0043397B"/>
    <w:rsid w:val="00434487"/>
    <w:rsid w:val="00434940"/>
    <w:rsid w:val="00434B8A"/>
    <w:rsid w:val="00435509"/>
    <w:rsid w:val="00435909"/>
    <w:rsid w:val="00435F39"/>
    <w:rsid w:val="004368F6"/>
    <w:rsid w:val="00436AB6"/>
    <w:rsid w:val="004370C5"/>
    <w:rsid w:val="004370DC"/>
    <w:rsid w:val="00437847"/>
    <w:rsid w:val="00437891"/>
    <w:rsid w:val="004379D5"/>
    <w:rsid w:val="00440119"/>
    <w:rsid w:val="00440E33"/>
    <w:rsid w:val="0044102E"/>
    <w:rsid w:val="004414EF"/>
    <w:rsid w:val="00441CC9"/>
    <w:rsid w:val="004426C9"/>
    <w:rsid w:val="0044291F"/>
    <w:rsid w:val="00442D92"/>
    <w:rsid w:val="0044313F"/>
    <w:rsid w:val="00443768"/>
    <w:rsid w:val="00443A4A"/>
    <w:rsid w:val="00443C42"/>
    <w:rsid w:val="00443E93"/>
    <w:rsid w:val="004440F1"/>
    <w:rsid w:val="0044411B"/>
    <w:rsid w:val="004449B4"/>
    <w:rsid w:val="00445162"/>
    <w:rsid w:val="00445789"/>
    <w:rsid w:val="00445DE1"/>
    <w:rsid w:val="0044766E"/>
    <w:rsid w:val="00451742"/>
    <w:rsid w:val="00452A5E"/>
    <w:rsid w:val="00452C37"/>
    <w:rsid w:val="004538BD"/>
    <w:rsid w:val="00453A9D"/>
    <w:rsid w:val="00454564"/>
    <w:rsid w:val="004547AB"/>
    <w:rsid w:val="00454998"/>
    <w:rsid w:val="004556C7"/>
    <w:rsid w:val="00456916"/>
    <w:rsid w:val="00456BF5"/>
    <w:rsid w:val="00456FD5"/>
    <w:rsid w:val="00457392"/>
    <w:rsid w:val="004574BD"/>
    <w:rsid w:val="004614B4"/>
    <w:rsid w:val="00461B60"/>
    <w:rsid w:val="00461C73"/>
    <w:rsid w:val="00461E45"/>
    <w:rsid w:val="00462222"/>
    <w:rsid w:val="00462263"/>
    <w:rsid w:val="004626D7"/>
    <w:rsid w:val="0046281E"/>
    <w:rsid w:val="00462DA3"/>
    <w:rsid w:val="00462E85"/>
    <w:rsid w:val="004644BE"/>
    <w:rsid w:val="00465398"/>
    <w:rsid w:val="0046647C"/>
    <w:rsid w:val="00467187"/>
    <w:rsid w:val="00467E33"/>
    <w:rsid w:val="0047098E"/>
    <w:rsid w:val="0047104B"/>
    <w:rsid w:val="004711CF"/>
    <w:rsid w:val="004713D3"/>
    <w:rsid w:val="00472FAC"/>
    <w:rsid w:val="00472FE8"/>
    <w:rsid w:val="00473271"/>
    <w:rsid w:val="0047344A"/>
    <w:rsid w:val="00473BC9"/>
    <w:rsid w:val="00473E12"/>
    <w:rsid w:val="0047547F"/>
    <w:rsid w:val="0047597F"/>
    <w:rsid w:val="00475A7D"/>
    <w:rsid w:val="00475BD7"/>
    <w:rsid w:val="00477CD3"/>
    <w:rsid w:val="00480647"/>
    <w:rsid w:val="004811AC"/>
    <w:rsid w:val="00481889"/>
    <w:rsid w:val="004828C3"/>
    <w:rsid w:val="00483665"/>
    <w:rsid w:val="0048560F"/>
    <w:rsid w:val="004858E0"/>
    <w:rsid w:val="00485A2B"/>
    <w:rsid w:val="00485E8E"/>
    <w:rsid w:val="00485EEF"/>
    <w:rsid w:val="004862A9"/>
    <w:rsid w:val="0048646D"/>
    <w:rsid w:val="00486C2E"/>
    <w:rsid w:val="0048747A"/>
    <w:rsid w:val="004878F6"/>
    <w:rsid w:val="00487B3E"/>
    <w:rsid w:val="004908CA"/>
    <w:rsid w:val="00490BD1"/>
    <w:rsid w:val="00490BE4"/>
    <w:rsid w:val="00490DAD"/>
    <w:rsid w:val="00490E9E"/>
    <w:rsid w:val="00491425"/>
    <w:rsid w:val="0049191E"/>
    <w:rsid w:val="00491AD3"/>
    <w:rsid w:val="00492E0B"/>
    <w:rsid w:val="004932C2"/>
    <w:rsid w:val="004932EA"/>
    <w:rsid w:val="00494979"/>
    <w:rsid w:val="00494DC8"/>
    <w:rsid w:val="0049516A"/>
    <w:rsid w:val="0049538A"/>
    <w:rsid w:val="00495BE2"/>
    <w:rsid w:val="0049750D"/>
    <w:rsid w:val="004978C9"/>
    <w:rsid w:val="00497C66"/>
    <w:rsid w:val="00497E1C"/>
    <w:rsid w:val="004A0119"/>
    <w:rsid w:val="004A080E"/>
    <w:rsid w:val="004A0E49"/>
    <w:rsid w:val="004A19C4"/>
    <w:rsid w:val="004A1B51"/>
    <w:rsid w:val="004A24C9"/>
    <w:rsid w:val="004A29F7"/>
    <w:rsid w:val="004A2EDD"/>
    <w:rsid w:val="004A35D8"/>
    <w:rsid w:val="004A3A53"/>
    <w:rsid w:val="004A42DB"/>
    <w:rsid w:val="004A448C"/>
    <w:rsid w:val="004A4B58"/>
    <w:rsid w:val="004A5046"/>
    <w:rsid w:val="004A519B"/>
    <w:rsid w:val="004A55B8"/>
    <w:rsid w:val="004A5CAA"/>
    <w:rsid w:val="004A6D90"/>
    <w:rsid w:val="004A73C5"/>
    <w:rsid w:val="004A7650"/>
    <w:rsid w:val="004A76F1"/>
    <w:rsid w:val="004B02B0"/>
    <w:rsid w:val="004B1E9C"/>
    <w:rsid w:val="004B2549"/>
    <w:rsid w:val="004B3877"/>
    <w:rsid w:val="004B3998"/>
    <w:rsid w:val="004B3D41"/>
    <w:rsid w:val="004B3ED9"/>
    <w:rsid w:val="004B409E"/>
    <w:rsid w:val="004B40B7"/>
    <w:rsid w:val="004B5964"/>
    <w:rsid w:val="004B66D3"/>
    <w:rsid w:val="004B6728"/>
    <w:rsid w:val="004B7312"/>
    <w:rsid w:val="004B73A0"/>
    <w:rsid w:val="004B75BA"/>
    <w:rsid w:val="004B7E93"/>
    <w:rsid w:val="004C0654"/>
    <w:rsid w:val="004C1071"/>
    <w:rsid w:val="004C1462"/>
    <w:rsid w:val="004C157C"/>
    <w:rsid w:val="004C2748"/>
    <w:rsid w:val="004C2BDC"/>
    <w:rsid w:val="004C2D22"/>
    <w:rsid w:val="004C33DA"/>
    <w:rsid w:val="004C34E7"/>
    <w:rsid w:val="004C466A"/>
    <w:rsid w:val="004C5A5C"/>
    <w:rsid w:val="004C5D7E"/>
    <w:rsid w:val="004C630F"/>
    <w:rsid w:val="004C66DF"/>
    <w:rsid w:val="004C723E"/>
    <w:rsid w:val="004C7B9B"/>
    <w:rsid w:val="004D0439"/>
    <w:rsid w:val="004D0743"/>
    <w:rsid w:val="004D0770"/>
    <w:rsid w:val="004D0A9A"/>
    <w:rsid w:val="004D1A5A"/>
    <w:rsid w:val="004D24B0"/>
    <w:rsid w:val="004D2599"/>
    <w:rsid w:val="004D4F67"/>
    <w:rsid w:val="004D506D"/>
    <w:rsid w:val="004D5083"/>
    <w:rsid w:val="004D547B"/>
    <w:rsid w:val="004D57AA"/>
    <w:rsid w:val="004D63BE"/>
    <w:rsid w:val="004D7163"/>
    <w:rsid w:val="004D78E3"/>
    <w:rsid w:val="004E0230"/>
    <w:rsid w:val="004E0492"/>
    <w:rsid w:val="004E04CD"/>
    <w:rsid w:val="004E0656"/>
    <w:rsid w:val="004E0BB8"/>
    <w:rsid w:val="004E0DEE"/>
    <w:rsid w:val="004E10FF"/>
    <w:rsid w:val="004E1BE0"/>
    <w:rsid w:val="004E20A7"/>
    <w:rsid w:val="004E3295"/>
    <w:rsid w:val="004E3854"/>
    <w:rsid w:val="004E3BD7"/>
    <w:rsid w:val="004E3C9A"/>
    <w:rsid w:val="004E4E92"/>
    <w:rsid w:val="004E504D"/>
    <w:rsid w:val="004E518E"/>
    <w:rsid w:val="004E5B45"/>
    <w:rsid w:val="004E6493"/>
    <w:rsid w:val="004E689C"/>
    <w:rsid w:val="004E70E1"/>
    <w:rsid w:val="004E741A"/>
    <w:rsid w:val="004E75FD"/>
    <w:rsid w:val="004F0481"/>
    <w:rsid w:val="004F0C18"/>
    <w:rsid w:val="004F0CDD"/>
    <w:rsid w:val="004F0EF5"/>
    <w:rsid w:val="004F1F43"/>
    <w:rsid w:val="004F2916"/>
    <w:rsid w:val="004F29EA"/>
    <w:rsid w:val="004F407F"/>
    <w:rsid w:val="004F577C"/>
    <w:rsid w:val="004F57D0"/>
    <w:rsid w:val="004F57D1"/>
    <w:rsid w:val="004F5909"/>
    <w:rsid w:val="004F5AFC"/>
    <w:rsid w:val="004F5C16"/>
    <w:rsid w:val="004F63D8"/>
    <w:rsid w:val="004F64A6"/>
    <w:rsid w:val="004F6CB4"/>
    <w:rsid w:val="004F76BD"/>
    <w:rsid w:val="004F76F1"/>
    <w:rsid w:val="004F7A20"/>
    <w:rsid w:val="004F7D26"/>
    <w:rsid w:val="0050171E"/>
    <w:rsid w:val="00501D98"/>
    <w:rsid w:val="00502164"/>
    <w:rsid w:val="005026BD"/>
    <w:rsid w:val="00502C74"/>
    <w:rsid w:val="00502FA5"/>
    <w:rsid w:val="005031E4"/>
    <w:rsid w:val="0050351E"/>
    <w:rsid w:val="00503989"/>
    <w:rsid w:val="00503AB6"/>
    <w:rsid w:val="00503E45"/>
    <w:rsid w:val="00504ECD"/>
    <w:rsid w:val="00505020"/>
    <w:rsid w:val="00505175"/>
    <w:rsid w:val="00505882"/>
    <w:rsid w:val="005062E2"/>
    <w:rsid w:val="005065FB"/>
    <w:rsid w:val="00506E5B"/>
    <w:rsid w:val="00507AED"/>
    <w:rsid w:val="00510072"/>
    <w:rsid w:val="00511CBF"/>
    <w:rsid w:val="005123C4"/>
    <w:rsid w:val="00513C68"/>
    <w:rsid w:val="00514EA0"/>
    <w:rsid w:val="0051676B"/>
    <w:rsid w:val="005170D1"/>
    <w:rsid w:val="005179F3"/>
    <w:rsid w:val="00520D31"/>
    <w:rsid w:val="00520F42"/>
    <w:rsid w:val="0052212B"/>
    <w:rsid w:val="0052311C"/>
    <w:rsid w:val="00523185"/>
    <w:rsid w:val="005248BB"/>
    <w:rsid w:val="00524C4B"/>
    <w:rsid w:val="00524CEB"/>
    <w:rsid w:val="00525550"/>
    <w:rsid w:val="005256B9"/>
    <w:rsid w:val="005261F4"/>
    <w:rsid w:val="00526258"/>
    <w:rsid w:val="00526503"/>
    <w:rsid w:val="00526522"/>
    <w:rsid w:val="00526868"/>
    <w:rsid w:val="00526D58"/>
    <w:rsid w:val="00526E19"/>
    <w:rsid w:val="005270C4"/>
    <w:rsid w:val="00527ABC"/>
    <w:rsid w:val="00527D54"/>
    <w:rsid w:val="00530703"/>
    <w:rsid w:val="00530A97"/>
    <w:rsid w:val="00530E6B"/>
    <w:rsid w:val="00531B88"/>
    <w:rsid w:val="00531FC6"/>
    <w:rsid w:val="00532025"/>
    <w:rsid w:val="00532787"/>
    <w:rsid w:val="005330EC"/>
    <w:rsid w:val="0053338B"/>
    <w:rsid w:val="00533461"/>
    <w:rsid w:val="00533E81"/>
    <w:rsid w:val="00534247"/>
    <w:rsid w:val="0053427E"/>
    <w:rsid w:val="005346F0"/>
    <w:rsid w:val="00535AA4"/>
    <w:rsid w:val="005371AF"/>
    <w:rsid w:val="00537CF3"/>
    <w:rsid w:val="005407C9"/>
    <w:rsid w:val="00540CFA"/>
    <w:rsid w:val="00541644"/>
    <w:rsid w:val="00541AD4"/>
    <w:rsid w:val="005421F7"/>
    <w:rsid w:val="005425BB"/>
    <w:rsid w:val="0054439B"/>
    <w:rsid w:val="00544728"/>
    <w:rsid w:val="00545570"/>
    <w:rsid w:val="005457E2"/>
    <w:rsid w:val="00545826"/>
    <w:rsid w:val="005464F4"/>
    <w:rsid w:val="005466CE"/>
    <w:rsid w:val="00550031"/>
    <w:rsid w:val="005500F4"/>
    <w:rsid w:val="00550373"/>
    <w:rsid w:val="005508D5"/>
    <w:rsid w:val="005512F7"/>
    <w:rsid w:val="00551A50"/>
    <w:rsid w:val="00552276"/>
    <w:rsid w:val="005523CF"/>
    <w:rsid w:val="00552AFD"/>
    <w:rsid w:val="005538BC"/>
    <w:rsid w:val="00553E18"/>
    <w:rsid w:val="00554D17"/>
    <w:rsid w:val="00554F45"/>
    <w:rsid w:val="0055502D"/>
    <w:rsid w:val="00555A83"/>
    <w:rsid w:val="005562BC"/>
    <w:rsid w:val="005567DC"/>
    <w:rsid w:val="005568F6"/>
    <w:rsid w:val="00556B2A"/>
    <w:rsid w:val="00557263"/>
    <w:rsid w:val="00557D57"/>
    <w:rsid w:val="00557DC5"/>
    <w:rsid w:val="00560C80"/>
    <w:rsid w:val="0056182F"/>
    <w:rsid w:val="00561A06"/>
    <w:rsid w:val="00561F2D"/>
    <w:rsid w:val="00563536"/>
    <w:rsid w:val="00563D53"/>
    <w:rsid w:val="00564096"/>
    <w:rsid w:val="005640B6"/>
    <w:rsid w:val="0056485B"/>
    <w:rsid w:val="00564AD2"/>
    <w:rsid w:val="005670C9"/>
    <w:rsid w:val="00567950"/>
    <w:rsid w:val="00570994"/>
    <w:rsid w:val="00570F10"/>
    <w:rsid w:val="0057203E"/>
    <w:rsid w:val="005724C2"/>
    <w:rsid w:val="00573152"/>
    <w:rsid w:val="00573C94"/>
    <w:rsid w:val="00573F51"/>
    <w:rsid w:val="0057426F"/>
    <w:rsid w:val="0057543B"/>
    <w:rsid w:val="00575F0D"/>
    <w:rsid w:val="00577310"/>
    <w:rsid w:val="0058021F"/>
    <w:rsid w:val="0058089E"/>
    <w:rsid w:val="00580D6A"/>
    <w:rsid w:val="005819D2"/>
    <w:rsid w:val="00581EB2"/>
    <w:rsid w:val="00582379"/>
    <w:rsid w:val="005826B6"/>
    <w:rsid w:val="00582B4F"/>
    <w:rsid w:val="005830C7"/>
    <w:rsid w:val="0058359F"/>
    <w:rsid w:val="00583E32"/>
    <w:rsid w:val="00583F28"/>
    <w:rsid w:val="00584A70"/>
    <w:rsid w:val="0058541F"/>
    <w:rsid w:val="00585659"/>
    <w:rsid w:val="00585BD4"/>
    <w:rsid w:val="00585F79"/>
    <w:rsid w:val="00585FD3"/>
    <w:rsid w:val="005864DB"/>
    <w:rsid w:val="00586857"/>
    <w:rsid w:val="00586F9F"/>
    <w:rsid w:val="00587692"/>
    <w:rsid w:val="005877CE"/>
    <w:rsid w:val="0059175D"/>
    <w:rsid w:val="00591C70"/>
    <w:rsid w:val="00591F53"/>
    <w:rsid w:val="00592359"/>
    <w:rsid w:val="005923BA"/>
    <w:rsid w:val="005927D9"/>
    <w:rsid w:val="00593146"/>
    <w:rsid w:val="005944D7"/>
    <w:rsid w:val="00594BA8"/>
    <w:rsid w:val="0059561F"/>
    <w:rsid w:val="00595A0C"/>
    <w:rsid w:val="00596182"/>
    <w:rsid w:val="005964E5"/>
    <w:rsid w:val="00596E0F"/>
    <w:rsid w:val="00597101"/>
    <w:rsid w:val="00597679"/>
    <w:rsid w:val="0059779E"/>
    <w:rsid w:val="00597A4E"/>
    <w:rsid w:val="005A1720"/>
    <w:rsid w:val="005A19C7"/>
    <w:rsid w:val="005A2152"/>
    <w:rsid w:val="005A2600"/>
    <w:rsid w:val="005A297C"/>
    <w:rsid w:val="005A311A"/>
    <w:rsid w:val="005A31DC"/>
    <w:rsid w:val="005A34C1"/>
    <w:rsid w:val="005A3751"/>
    <w:rsid w:val="005A3E34"/>
    <w:rsid w:val="005A457B"/>
    <w:rsid w:val="005A471D"/>
    <w:rsid w:val="005A49DF"/>
    <w:rsid w:val="005A4F6A"/>
    <w:rsid w:val="005A5496"/>
    <w:rsid w:val="005A58FE"/>
    <w:rsid w:val="005A5FD5"/>
    <w:rsid w:val="005A6607"/>
    <w:rsid w:val="005A67C6"/>
    <w:rsid w:val="005A78C8"/>
    <w:rsid w:val="005B0426"/>
    <w:rsid w:val="005B08FA"/>
    <w:rsid w:val="005B112C"/>
    <w:rsid w:val="005B12AB"/>
    <w:rsid w:val="005B174D"/>
    <w:rsid w:val="005B1F50"/>
    <w:rsid w:val="005B2139"/>
    <w:rsid w:val="005B2373"/>
    <w:rsid w:val="005B2812"/>
    <w:rsid w:val="005B357A"/>
    <w:rsid w:val="005B5060"/>
    <w:rsid w:val="005B58F9"/>
    <w:rsid w:val="005B5D00"/>
    <w:rsid w:val="005B7261"/>
    <w:rsid w:val="005C0319"/>
    <w:rsid w:val="005C07E9"/>
    <w:rsid w:val="005C2324"/>
    <w:rsid w:val="005C274F"/>
    <w:rsid w:val="005C3596"/>
    <w:rsid w:val="005C37D4"/>
    <w:rsid w:val="005C3D40"/>
    <w:rsid w:val="005C4D53"/>
    <w:rsid w:val="005C59E9"/>
    <w:rsid w:val="005C63DA"/>
    <w:rsid w:val="005D0A9E"/>
    <w:rsid w:val="005D1C5B"/>
    <w:rsid w:val="005D1ED3"/>
    <w:rsid w:val="005D28C1"/>
    <w:rsid w:val="005D2998"/>
    <w:rsid w:val="005D43B1"/>
    <w:rsid w:val="005D4619"/>
    <w:rsid w:val="005D5197"/>
    <w:rsid w:val="005D5C0D"/>
    <w:rsid w:val="005D5F93"/>
    <w:rsid w:val="005D73A9"/>
    <w:rsid w:val="005D7878"/>
    <w:rsid w:val="005E004F"/>
    <w:rsid w:val="005E02D9"/>
    <w:rsid w:val="005E031F"/>
    <w:rsid w:val="005E0717"/>
    <w:rsid w:val="005E0A9D"/>
    <w:rsid w:val="005E1097"/>
    <w:rsid w:val="005E1695"/>
    <w:rsid w:val="005E1ABA"/>
    <w:rsid w:val="005E262D"/>
    <w:rsid w:val="005E314D"/>
    <w:rsid w:val="005E3677"/>
    <w:rsid w:val="005E5090"/>
    <w:rsid w:val="005E555B"/>
    <w:rsid w:val="005E5831"/>
    <w:rsid w:val="005E5C93"/>
    <w:rsid w:val="005E6261"/>
    <w:rsid w:val="005E6367"/>
    <w:rsid w:val="005E67D0"/>
    <w:rsid w:val="005E73A4"/>
    <w:rsid w:val="005F019B"/>
    <w:rsid w:val="005F035A"/>
    <w:rsid w:val="005F0656"/>
    <w:rsid w:val="005F1CA8"/>
    <w:rsid w:val="005F3895"/>
    <w:rsid w:val="005F3B06"/>
    <w:rsid w:val="005F3C03"/>
    <w:rsid w:val="005F4FCA"/>
    <w:rsid w:val="005F5227"/>
    <w:rsid w:val="005F59F0"/>
    <w:rsid w:val="005F6340"/>
    <w:rsid w:val="00600007"/>
    <w:rsid w:val="00600B31"/>
    <w:rsid w:val="00602BF6"/>
    <w:rsid w:val="00603060"/>
    <w:rsid w:val="006031D0"/>
    <w:rsid w:val="006040C3"/>
    <w:rsid w:val="0060647C"/>
    <w:rsid w:val="00606553"/>
    <w:rsid w:val="00606C82"/>
    <w:rsid w:val="0060704E"/>
    <w:rsid w:val="006078B1"/>
    <w:rsid w:val="00607B8E"/>
    <w:rsid w:val="006107A1"/>
    <w:rsid w:val="006107E1"/>
    <w:rsid w:val="00612126"/>
    <w:rsid w:val="00612498"/>
    <w:rsid w:val="006131A4"/>
    <w:rsid w:val="006132E4"/>
    <w:rsid w:val="0061385B"/>
    <w:rsid w:val="006148CF"/>
    <w:rsid w:val="00614DE7"/>
    <w:rsid w:val="00615147"/>
    <w:rsid w:val="006157AD"/>
    <w:rsid w:val="00616B0C"/>
    <w:rsid w:val="006178BD"/>
    <w:rsid w:val="00617A87"/>
    <w:rsid w:val="00620976"/>
    <w:rsid w:val="00622928"/>
    <w:rsid w:val="00622D4B"/>
    <w:rsid w:val="006234BD"/>
    <w:rsid w:val="0062378B"/>
    <w:rsid w:val="00624463"/>
    <w:rsid w:val="00624775"/>
    <w:rsid w:val="00625068"/>
    <w:rsid w:val="00625BFC"/>
    <w:rsid w:val="00625EA0"/>
    <w:rsid w:val="0062601A"/>
    <w:rsid w:val="006262CD"/>
    <w:rsid w:val="00626AA4"/>
    <w:rsid w:val="00630036"/>
    <w:rsid w:val="00630E2D"/>
    <w:rsid w:val="0063108E"/>
    <w:rsid w:val="006325E6"/>
    <w:rsid w:val="00632849"/>
    <w:rsid w:val="00632852"/>
    <w:rsid w:val="0063333D"/>
    <w:rsid w:val="00634655"/>
    <w:rsid w:val="00635A17"/>
    <w:rsid w:val="00635DB2"/>
    <w:rsid w:val="00636306"/>
    <w:rsid w:val="006369E4"/>
    <w:rsid w:val="00636D94"/>
    <w:rsid w:val="00637C60"/>
    <w:rsid w:val="00637DBF"/>
    <w:rsid w:val="00640B75"/>
    <w:rsid w:val="00641014"/>
    <w:rsid w:val="00641F75"/>
    <w:rsid w:val="00642320"/>
    <w:rsid w:val="0064297C"/>
    <w:rsid w:val="00643E12"/>
    <w:rsid w:val="00644E35"/>
    <w:rsid w:val="00644FDA"/>
    <w:rsid w:val="006450E3"/>
    <w:rsid w:val="0064532A"/>
    <w:rsid w:val="006458AA"/>
    <w:rsid w:val="00645FDD"/>
    <w:rsid w:val="006466A7"/>
    <w:rsid w:val="00646F1D"/>
    <w:rsid w:val="006474B8"/>
    <w:rsid w:val="00647D3F"/>
    <w:rsid w:val="00647E28"/>
    <w:rsid w:val="00647ED0"/>
    <w:rsid w:val="00650234"/>
    <w:rsid w:val="0065094D"/>
    <w:rsid w:val="0065213B"/>
    <w:rsid w:val="00652821"/>
    <w:rsid w:val="00652883"/>
    <w:rsid w:val="00653B80"/>
    <w:rsid w:val="00655F79"/>
    <w:rsid w:val="00656880"/>
    <w:rsid w:val="006568BA"/>
    <w:rsid w:val="0065708B"/>
    <w:rsid w:val="00657553"/>
    <w:rsid w:val="00657F88"/>
    <w:rsid w:val="0066140F"/>
    <w:rsid w:val="006629B2"/>
    <w:rsid w:val="00663084"/>
    <w:rsid w:val="006649AA"/>
    <w:rsid w:val="00664BA8"/>
    <w:rsid w:val="00665F9B"/>
    <w:rsid w:val="00666D7E"/>
    <w:rsid w:val="0066714C"/>
    <w:rsid w:val="006702E4"/>
    <w:rsid w:val="006714A1"/>
    <w:rsid w:val="0067240E"/>
    <w:rsid w:val="0067290C"/>
    <w:rsid w:val="006748A8"/>
    <w:rsid w:val="00674A1D"/>
    <w:rsid w:val="00674EB9"/>
    <w:rsid w:val="00675266"/>
    <w:rsid w:val="0067607E"/>
    <w:rsid w:val="006769E6"/>
    <w:rsid w:val="006770A1"/>
    <w:rsid w:val="00680097"/>
    <w:rsid w:val="00680211"/>
    <w:rsid w:val="006806EB"/>
    <w:rsid w:val="00680DF2"/>
    <w:rsid w:val="00682734"/>
    <w:rsid w:val="0068285F"/>
    <w:rsid w:val="006836D4"/>
    <w:rsid w:val="00683B1E"/>
    <w:rsid w:val="00685163"/>
    <w:rsid w:val="00685B14"/>
    <w:rsid w:val="00685F27"/>
    <w:rsid w:val="006861F0"/>
    <w:rsid w:val="00686F69"/>
    <w:rsid w:val="00686FB9"/>
    <w:rsid w:val="0068721E"/>
    <w:rsid w:val="006872D1"/>
    <w:rsid w:val="00687326"/>
    <w:rsid w:val="006878C6"/>
    <w:rsid w:val="00687BB2"/>
    <w:rsid w:val="00687DE7"/>
    <w:rsid w:val="00687FF0"/>
    <w:rsid w:val="006908B0"/>
    <w:rsid w:val="00690F23"/>
    <w:rsid w:val="006910D6"/>
    <w:rsid w:val="006913F0"/>
    <w:rsid w:val="00691AAC"/>
    <w:rsid w:val="00692645"/>
    <w:rsid w:val="00692E25"/>
    <w:rsid w:val="00692E9E"/>
    <w:rsid w:val="00693AD5"/>
    <w:rsid w:val="00693C1F"/>
    <w:rsid w:val="00693C3D"/>
    <w:rsid w:val="00695D43"/>
    <w:rsid w:val="00695D78"/>
    <w:rsid w:val="00696664"/>
    <w:rsid w:val="00696EE2"/>
    <w:rsid w:val="00697454"/>
    <w:rsid w:val="00697FDC"/>
    <w:rsid w:val="006A096E"/>
    <w:rsid w:val="006A0A47"/>
    <w:rsid w:val="006A0C39"/>
    <w:rsid w:val="006A1C41"/>
    <w:rsid w:val="006A1F0E"/>
    <w:rsid w:val="006A27B9"/>
    <w:rsid w:val="006A28BE"/>
    <w:rsid w:val="006A2B84"/>
    <w:rsid w:val="006A2DE4"/>
    <w:rsid w:val="006A2E68"/>
    <w:rsid w:val="006A450F"/>
    <w:rsid w:val="006A4FD9"/>
    <w:rsid w:val="006A5667"/>
    <w:rsid w:val="006A5739"/>
    <w:rsid w:val="006A6761"/>
    <w:rsid w:val="006A6CDB"/>
    <w:rsid w:val="006A76A6"/>
    <w:rsid w:val="006A7D8E"/>
    <w:rsid w:val="006B0525"/>
    <w:rsid w:val="006B0DA1"/>
    <w:rsid w:val="006B0F2D"/>
    <w:rsid w:val="006B2B12"/>
    <w:rsid w:val="006B2D77"/>
    <w:rsid w:val="006B7859"/>
    <w:rsid w:val="006B7ED6"/>
    <w:rsid w:val="006C0A19"/>
    <w:rsid w:val="006C0B59"/>
    <w:rsid w:val="006C28E4"/>
    <w:rsid w:val="006C3C7C"/>
    <w:rsid w:val="006C3D0A"/>
    <w:rsid w:val="006C4BBB"/>
    <w:rsid w:val="006C4EEA"/>
    <w:rsid w:val="006C505C"/>
    <w:rsid w:val="006C5F66"/>
    <w:rsid w:val="006C6636"/>
    <w:rsid w:val="006C6D19"/>
    <w:rsid w:val="006C73DD"/>
    <w:rsid w:val="006C7A7A"/>
    <w:rsid w:val="006C7D9A"/>
    <w:rsid w:val="006C7EA9"/>
    <w:rsid w:val="006D1700"/>
    <w:rsid w:val="006D32FA"/>
    <w:rsid w:val="006D3E09"/>
    <w:rsid w:val="006D5573"/>
    <w:rsid w:val="006D5668"/>
    <w:rsid w:val="006D583F"/>
    <w:rsid w:val="006D61DF"/>
    <w:rsid w:val="006D66E7"/>
    <w:rsid w:val="006D683E"/>
    <w:rsid w:val="006D7463"/>
    <w:rsid w:val="006D7B21"/>
    <w:rsid w:val="006E0532"/>
    <w:rsid w:val="006E094B"/>
    <w:rsid w:val="006E0BC1"/>
    <w:rsid w:val="006E0BEC"/>
    <w:rsid w:val="006E190D"/>
    <w:rsid w:val="006E1972"/>
    <w:rsid w:val="006E1D96"/>
    <w:rsid w:val="006E2037"/>
    <w:rsid w:val="006E2138"/>
    <w:rsid w:val="006E30B7"/>
    <w:rsid w:val="006E403E"/>
    <w:rsid w:val="006E411E"/>
    <w:rsid w:val="006E41BD"/>
    <w:rsid w:val="006E55A1"/>
    <w:rsid w:val="006E5DEB"/>
    <w:rsid w:val="006E6303"/>
    <w:rsid w:val="006E790D"/>
    <w:rsid w:val="006E7AA9"/>
    <w:rsid w:val="006E7FFE"/>
    <w:rsid w:val="006F06F6"/>
    <w:rsid w:val="006F13EF"/>
    <w:rsid w:val="006F19BC"/>
    <w:rsid w:val="006F1B6C"/>
    <w:rsid w:val="006F2EC6"/>
    <w:rsid w:val="006F36B6"/>
    <w:rsid w:val="006F3EEB"/>
    <w:rsid w:val="006F5C6C"/>
    <w:rsid w:val="006F6189"/>
    <w:rsid w:val="006F65E7"/>
    <w:rsid w:val="006F7B04"/>
    <w:rsid w:val="007000DC"/>
    <w:rsid w:val="00700377"/>
    <w:rsid w:val="00700AEE"/>
    <w:rsid w:val="007014E2"/>
    <w:rsid w:val="0070257A"/>
    <w:rsid w:val="00702D9E"/>
    <w:rsid w:val="0070469D"/>
    <w:rsid w:val="007055C1"/>
    <w:rsid w:val="00706DAF"/>
    <w:rsid w:val="00707153"/>
    <w:rsid w:val="0070732F"/>
    <w:rsid w:val="00707533"/>
    <w:rsid w:val="00711216"/>
    <w:rsid w:val="0071162E"/>
    <w:rsid w:val="00711753"/>
    <w:rsid w:val="00711AD5"/>
    <w:rsid w:val="0071206A"/>
    <w:rsid w:val="00713574"/>
    <w:rsid w:val="00715D79"/>
    <w:rsid w:val="00720164"/>
    <w:rsid w:val="0072080E"/>
    <w:rsid w:val="00720EA6"/>
    <w:rsid w:val="007210EB"/>
    <w:rsid w:val="0072180D"/>
    <w:rsid w:val="00721D35"/>
    <w:rsid w:val="00721DE0"/>
    <w:rsid w:val="00721FE4"/>
    <w:rsid w:val="007220B3"/>
    <w:rsid w:val="00722BA3"/>
    <w:rsid w:val="00722C28"/>
    <w:rsid w:val="00722C30"/>
    <w:rsid w:val="00722FA7"/>
    <w:rsid w:val="007230CF"/>
    <w:rsid w:val="00723A27"/>
    <w:rsid w:val="00724201"/>
    <w:rsid w:val="00724260"/>
    <w:rsid w:val="00724DC5"/>
    <w:rsid w:val="00726832"/>
    <w:rsid w:val="00726888"/>
    <w:rsid w:val="00726AC3"/>
    <w:rsid w:val="00726F7C"/>
    <w:rsid w:val="00726F9D"/>
    <w:rsid w:val="0072730E"/>
    <w:rsid w:val="007276FF"/>
    <w:rsid w:val="00727D6C"/>
    <w:rsid w:val="00727E8F"/>
    <w:rsid w:val="00727FB8"/>
    <w:rsid w:val="007301A4"/>
    <w:rsid w:val="007318B2"/>
    <w:rsid w:val="0073236D"/>
    <w:rsid w:val="00732DE4"/>
    <w:rsid w:val="00732E2B"/>
    <w:rsid w:val="00732F4F"/>
    <w:rsid w:val="00733AE5"/>
    <w:rsid w:val="007344C1"/>
    <w:rsid w:val="00734626"/>
    <w:rsid w:val="007346D3"/>
    <w:rsid w:val="00734719"/>
    <w:rsid w:val="0073484E"/>
    <w:rsid w:val="00734AA9"/>
    <w:rsid w:val="00735419"/>
    <w:rsid w:val="00735A01"/>
    <w:rsid w:val="00735C47"/>
    <w:rsid w:val="0073634E"/>
    <w:rsid w:val="00736C7F"/>
    <w:rsid w:val="00737004"/>
    <w:rsid w:val="00737313"/>
    <w:rsid w:val="007379B8"/>
    <w:rsid w:val="0074075F"/>
    <w:rsid w:val="007411C9"/>
    <w:rsid w:val="00742D55"/>
    <w:rsid w:val="00743997"/>
    <w:rsid w:val="00743B12"/>
    <w:rsid w:val="00744032"/>
    <w:rsid w:val="0074422E"/>
    <w:rsid w:val="00744D81"/>
    <w:rsid w:val="00744ED9"/>
    <w:rsid w:val="00745072"/>
    <w:rsid w:val="007451ED"/>
    <w:rsid w:val="00746A83"/>
    <w:rsid w:val="007477EF"/>
    <w:rsid w:val="00747A0B"/>
    <w:rsid w:val="007502DD"/>
    <w:rsid w:val="00750347"/>
    <w:rsid w:val="0075060F"/>
    <w:rsid w:val="0075101A"/>
    <w:rsid w:val="00751A5F"/>
    <w:rsid w:val="00751C46"/>
    <w:rsid w:val="00752142"/>
    <w:rsid w:val="0075252D"/>
    <w:rsid w:val="00752992"/>
    <w:rsid w:val="007532A8"/>
    <w:rsid w:val="00753945"/>
    <w:rsid w:val="0075402E"/>
    <w:rsid w:val="00754292"/>
    <w:rsid w:val="007547C1"/>
    <w:rsid w:val="007547C9"/>
    <w:rsid w:val="00756957"/>
    <w:rsid w:val="007578B3"/>
    <w:rsid w:val="00757C3F"/>
    <w:rsid w:val="00757F3F"/>
    <w:rsid w:val="00760589"/>
    <w:rsid w:val="00760953"/>
    <w:rsid w:val="007613F4"/>
    <w:rsid w:val="0076142C"/>
    <w:rsid w:val="00761C35"/>
    <w:rsid w:val="00762275"/>
    <w:rsid w:val="00762725"/>
    <w:rsid w:val="007627B8"/>
    <w:rsid w:val="00762BDE"/>
    <w:rsid w:val="0076318F"/>
    <w:rsid w:val="00763BA5"/>
    <w:rsid w:val="007649C5"/>
    <w:rsid w:val="007660AD"/>
    <w:rsid w:val="0076655C"/>
    <w:rsid w:val="00770C9A"/>
    <w:rsid w:val="00770CF0"/>
    <w:rsid w:val="00770F40"/>
    <w:rsid w:val="007711B6"/>
    <w:rsid w:val="00771497"/>
    <w:rsid w:val="00771F8B"/>
    <w:rsid w:val="007728C0"/>
    <w:rsid w:val="00772AA1"/>
    <w:rsid w:val="007734B5"/>
    <w:rsid w:val="00773DE5"/>
    <w:rsid w:val="007740F6"/>
    <w:rsid w:val="007742D0"/>
    <w:rsid w:val="007750EE"/>
    <w:rsid w:val="00775B9E"/>
    <w:rsid w:val="00775C76"/>
    <w:rsid w:val="00777111"/>
    <w:rsid w:val="00777456"/>
    <w:rsid w:val="00780FEF"/>
    <w:rsid w:val="00783A1D"/>
    <w:rsid w:val="00783D42"/>
    <w:rsid w:val="007847A1"/>
    <w:rsid w:val="00784CC6"/>
    <w:rsid w:val="00784D49"/>
    <w:rsid w:val="00785CE9"/>
    <w:rsid w:val="00786561"/>
    <w:rsid w:val="007867F4"/>
    <w:rsid w:val="007868B9"/>
    <w:rsid w:val="007874E7"/>
    <w:rsid w:val="00787CE5"/>
    <w:rsid w:val="00787CFB"/>
    <w:rsid w:val="00787FFB"/>
    <w:rsid w:val="00790395"/>
    <w:rsid w:val="00790A3F"/>
    <w:rsid w:val="00791388"/>
    <w:rsid w:val="00791428"/>
    <w:rsid w:val="0079143E"/>
    <w:rsid w:val="00791AF7"/>
    <w:rsid w:val="007921FE"/>
    <w:rsid w:val="00792EE4"/>
    <w:rsid w:val="00793E06"/>
    <w:rsid w:val="00793FF3"/>
    <w:rsid w:val="00794BB0"/>
    <w:rsid w:val="00795BBE"/>
    <w:rsid w:val="00795C22"/>
    <w:rsid w:val="00797E4B"/>
    <w:rsid w:val="00797EF5"/>
    <w:rsid w:val="007A0695"/>
    <w:rsid w:val="007A24F3"/>
    <w:rsid w:val="007A2D40"/>
    <w:rsid w:val="007A3098"/>
    <w:rsid w:val="007A30AC"/>
    <w:rsid w:val="007A3180"/>
    <w:rsid w:val="007A33BE"/>
    <w:rsid w:val="007A416C"/>
    <w:rsid w:val="007A441D"/>
    <w:rsid w:val="007A5595"/>
    <w:rsid w:val="007A5922"/>
    <w:rsid w:val="007A7361"/>
    <w:rsid w:val="007A76FD"/>
    <w:rsid w:val="007A7ADA"/>
    <w:rsid w:val="007A7C71"/>
    <w:rsid w:val="007B06BA"/>
    <w:rsid w:val="007B0BFA"/>
    <w:rsid w:val="007B0C4D"/>
    <w:rsid w:val="007B0D59"/>
    <w:rsid w:val="007B0FED"/>
    <w:rsid w:val="007B14F9"/>
    <w:rsid w:val="007B27A2"/>
    <w:rsid w:val="007B347D"/>
    <w:rsid w:val="007B39C1"/>
    <w:rsid w:val="007B3EA7"/>
    <w:rsid w:val="007B4C10"/>
    <w:rsid w:val="007B5FDA"/>
    <w:rsid w:val="007B6A26"/>
    <w:rsid w:val="007B6D78"/>
    <w:rsid w:val="007B6E2C"/>
    <w:rsid w:val="007B72AE"/>
    <w:rsid w:val="007B7872"/>
    <w:rsid w:val="007B7B12"/>
    <w:rsid w:val="007C17AA"/>
    <w:rsid w:val="007C1AC8"/>
    <w:rsid w:val="007C1DB2"/>
    <w:rsid w:val="007C326B"/>
    <w:rsid w:val="007C3566"/>
    <w:rsid w:val="007C3595"/>
    <w:rsid w:val="007C406D"/>
    <w:rsid w:val="007C45F3"/>
    <w:rsid w:val="007C49C9"/>
    <w:rsid w:val="007C4B7F"/>
    <w:rsid w:val="007C54B4"/>
    <w:rsid w:val="007C5C27"/>
    <w:rsid w:val="007C5CB6"/>
    <w:rsid w:val="007C6232"/>
    <w:rsid w:val="007C7FCE"/>
    <w:rsid w:val="007D0321"/>
    <w:rsid w:val="007D1543"/>
    <w:rsid w:val="007D16EB"/>
    <w:rsid w:val="007D1DC3"/>
    <w:rsid w:val="007D21C8"/>
    <w:rsid w:val="007D43D2"/>
    <w:rsid w:val="007D4442"/>
    <w:rsid w:val="007D641B"/>
    <w:rsid w:val="007D6670"/>
    <w:rsid w:val="007D740C"/>
    <w:rsid w:val="007D781A"/>
    <w:rsid w:val="007E135E"/>
    <w:rsid w:val="007E140C"/>
    <w:rsid w:val="007E1962"/>
    <w:rsid w:val="007E1CFE"/>
    <w:rsid w:val="007E1EFF"/>
    <w:rsid w:val="007E2D41"/>
    <w:rsid w:val="007E37C3"/>
    <w:rsid w:val="007E39B4"/>
    <w:rsid w:val="007E3A5D"/>
    <w:rsid w:val="007E3D5F"/>
    <w:rsid w:val="007E429E"/>
    <w:rsid w:val="007E4482"/>
    <w:rsid w:val="007E451E"/>
    <w:rsid w:val="007E4EDC"/>
    <w:rsid w:val="007E5604"/>
    <w:rsid w:val="007E58A7"/>
    <w:rsid w:val="007E59B2"/>
    <w:rsid w:val="007E6277"/>
    <w:rsid w:val="007E6864"/>
    <w:rsid w:val="007E6A35"/>
    <w:rsid w:val="007E6A59"/>
    <w:rsid w:val="007E7ACB"/>
    <w:rsid w:val="007F04D1"/>
    <w:rsid w:val="007F0B5E"/>
    <w:rsid w:val="007F2E9C"/>
    <w:rsid w:val="007F3D9E"/>
    <w:rsid w:val="007F3F03"/>
    <w:rsid w:val="007F3FC5"/>
    <w:rsid w:val="007F40F1"/>
    <w:rsid w:val="007F4B4D"/>
    <w:rsid w:val="007F4BFC"/>
    <w:rsid w:val="007F5087"/>
    <w:rsid w:val="007F5366"/>
    <w:rsid w:val="007F5C83"/>
    <w:rsid w:val="007F6E61"/>
    <w:rsid w:val="007F7A81"/>
    <w:rsid w:val="0080017F"/>
    <w:rsid w:val="0080037D"/>
    <w:rsid w:val="00800B00"/>
    <w:rsid w:val="00800CFE"/>
    <w:rsid w:val="00800DC1"/>
    <w:rsid w:val="00800FF3"/>
    <w:rsid w:val="00801744"/>
    <w:rsid w:val="00801FBA"/>
    <w:rsid w:val="0080276F"/>
    <w:rsid w:val="0080283E"/>
    <w:rsid w:val="0080289D"/>
    <w:rsid w:val="008035D6"/>
    <w:rsid w:val="00803AE5"/>
    <w:rsid w:val="00803DF0"/>
    <w:rsid w:val="00804411"/>
    <w:rsid w:val="00804461"/>
    <w:rsid w:val="00804B32"/>
    <w:rsid w:val="00805ADA"/>
    <w:rsid w:val="00806475"/>
    <w:rsid w:val="00806CF9"/>
    <w:rsid w:val="008076B4"/>
    <w:rsid w:val="00810A08"/>
    <w:rsid w:val="008112CE"/>
    <w:rsid w:val="00811837"/>
    <w:rsid w:val="00811C00"/>
    <w:rsid w:val="00811C8E"/>
    <w:rsid w:val="00812A33"/>
    <w:rsid w:val="00812C9B"/>
    <w:rsid w:val="008132AD"/>
    <w:rsid w:val="00814B37"/>
    <w:rsid w:val="008160B5"/>
    <w:rsid w:val="00816A42"/>
    <w:rsid w:val="00816AF6"/>
    <w:rsid w:val="00817141"/>
    <w:rsid w:val="00817481"/>
    <w:rsid w:val="008208D0"/>
    <w:rsid w:val="008231EF"/>
    <w:rsid w:val="0082322A"/>
    <w:rsid w:val="0082361B"/>
    <w:rsid w:val="008245B3"/>
    <w:rsid w:val="00825A42"/>
    <w:rsid w:val="0082600A"/>
    <w:rsid w:val="0082605B"/>
    <w:rsid w:val="008261C0"/>
    <w:rsid w:val="00827DA8"/>
    <w:rsid w:val="00830D07"/>
    <w:rsid w:val="00830E67"/>
    <w:rsid w:val="00831DF6"/>
    <w:rsid w:val="008321C6"/>
    <w:rsid w:val="008327B1"/>
    <w:rsid w:val="00833342"/>
    <w:rsid w:val="00833FAC"/>
    <w:rsid w:val="00834089"/>
    <w:rsid w:val="00834156"/>
    <w:rsid w:val="008341BD"/>
    <w:rsid w:val="00834413"/>
    <w:rsid w:val="00834463"/>
    <w:rsid w:val="0083454E"/>
    <w:rsid w:val="00834D56"/>
    <w:rsid w:val="00836597"/>
    <w:rsid w:val="0083753E"/>
    <w:rsid w:val="00840DB8"/>
    <w:rsid w:val="00841128"/>
    <w:rsid w:val="008414D2"/>
    <w:rsid w:val="00841FBD"/>
    <w:rsid w:val="00842419"/>
    <w:rsid w:val="0084254F"/>
    <w:rsid w:val="00843069"/>
    <w:rsid w:val="0084358A"/>
    <w:rsid w:val="008444AD"/>
    <w:rsid w:val="008449B1"/>
    <w:rsid w:val="00844C9A"/>
    <w:rsid w:val="00844D90"/>
    <w:rsid w:val="008450E4"/>
    <w:rsid w:val="00845495"/>
    <w:rsid w:val="00845856"/>
    <w:rsid w:val="008468BC"/>
    <w:rsid w:val="0084763D"/>
    <w:rsid w:val="00847CE4"/>
    <w:rsid w:val="00850539"/>
    <w:rsid w:val="00850F34"/>
    <w:rsid w:val="008514A2"/>
    <w:rsid w:val="00851589"/>
    <w:rsid w:val="0085191B"/>
    <w:rsid w:val="0085296B"/>
    <w:rsid w:val="00852B12"/>
    <w:rsid w:val="0085350E"/>
    <w:rsid w:val="00854942"/>
    <w:rsid w:val="00854D3C"/>
    <w:rsid w:val="00855424"/>
    <w:rsid w:val="00855CB8"/>
    <w:rsid w:val="00855E67"/>
    <w:rsid w:val="00856450"/>
    <w:rsid w:val="008566CE"/>
    <w:rsid w:val="00856852"/>
    <w:rsid w:val="0085709C"/>
    <w:rsid w:val="0085717B"/>
    <w:rsid w:val="00860311"/>
    <w:rsid w:val="008603D3"/>
    <w:rsid w:val="0086076C"/>
    <w:rsid w:val="00861560"/>
    <w:rsid w:val="00861D8F"/>
    <w:rsid w:val="008623C6"/>
    <w:rsid w:val="0086254A"/>
    <w:rsid w:val="008628F9"/>
    <w:rsid w:val="00862F28"/>
    <w:rsid w:val="0086305F"/>
    <w:rsid w:val="00863737"/>
    <w:rsid w:val="00863E9F"/>
    <w:rsid w:val="008646D1"/>
    <w:rsid w:val="0086557E"/>
    <w:rsid w:val="008655C2"/>
    <w:rsid w:val="00865760"/>
    <w:rsid w:val="008657C8"/>
    <w:rsid w:val="008657DC"/>
    <w:rsid w:val="008658DB"/>
    <w:rsid w:val="00865B9D"/>
    <w:rsid w:val="00866FB9"/>
    <w:rsid w:val="0086707A"/>
    <w:rsid w:val="00867A7B"/>
    <w:rsid w:val="00867EA8"/>
    <w:rsid w:val="00870B89"/>
    <w:rsid w:val="00870FFF"/>
    <w:rsid w:val="00871D95"/>
    <w:rsid w:val="0087216C"/>
    <w:rsid w:val="008725DF"/>
    <w:rsid w:val="00873088"/>
    <w:rsid w:val="00873C1D"/>
    <w:rsid w:val="00873C79"/>
    <w:rsid w:val="00873D87"/>
    <w:rsid w:val="00874FC1"/>
    <w:rsid w:val="008756C8"/>
    <w:rsid w:val="008764C2"/>
    <w:rsid w:val="008764D8"/>
    <w:rsid w:val="0087682F"/>
    <w:rsid w:val="00876FFF"/>
    <w:rsid w:val="0087765C"/>
    <w:rsid w:val="00877B35"/>
    <w:rsid w:val="008802B2"/>
    <w:rsid w:val="00880495"/>
    <w:rsid w:val="00880904"/>
    <w:rsid w:val="00881CBB"/>
    <w:rsid w:val="00883393"/>
    <w:rsid w:val="008846AA"/>
    <w:rsid w:val="008847F1"/>
    <w:rsid w:val="008849B3"/>
    <w:rsid w:val="00884C92"/>
    <w:rsid w:val="008859BF"/>
    <w:rsid w:val="00885BFA"/>
    <w:rsid w:val="00885EB9"/>
    <w:rsid w:val="008870E3"/>
    <w:rsid w:val="00887373"/>
    <w:rsid w:val="008875B4"/>
    <w:rsid w:val="0088791B"/>
    <w:rsid w:val="00890939"/>
    <w:rsid w:val="00890C85"/>
    <w:rsid w:val="00891BD3"/>
    <w:rsid w:val="00892168"/>
    <w:rsid w:val="008925BF"/>
    <w:rsid w:val="008927B2"/>
    <w:rsid w:val="00892C6E"/>
    <w:rsid w:val="0089335E"/>
    <w:rsid w:val="00893904"/>
    <w:rsid w:val="00894258"/>
    <w:rsid w:val="00894497"/>
    <w:rsid w:val="00894C82"/>
    <w:rsid w:val="00895B59"/>
    <w:rsid w:val="0089685D"/>
    <w:rsid w:val="008974EF"/>
    <w:rsid w:val="0089756B"/>
    <w:rsid w:val="0089764B"/>
    <w:rsid w:val="0089782D"/>
    <w:rsid w:val="008A0F95"/>
    <w:rsid w:val="008A1888"/>
    <w:rsid w:val="008A260A"/>
    <w:rsid w:val="008A2725"/>
    <w:rsid w:val="008A2823"/>
    <w:rsid w:val="008A3551"/>
    <w:rsid w:val="008A43FD"/>
    <w:rsid w:val="008A5775"/>
    <w:rsid w:val="008A5CCB"/>
    <w:rsid w:val="008A5DBC"/>
    <w:rsid w:val="008A600A"/>
    <w:rsid w:val="008A6C28"/>
    <w:rsid w:val="008A6F15"/>
    <w:rsid w:val="008A70C8"/>
    <w:rsid w:val="008A71F9"/>
    <w:rsid w:val="008A77FD"/>
    <w:rsid w:val="008B1BA9"/>
    <w:rsid w:val="008B227A"/>
    <w:rsid w:val="008B37E5"/>
    <w:rsid w:val="008B3D2A"/>
    <w:rsid w:val="008B4A06"/>
    <w:rsid w:val="008B5155"/>
    <w:rsid w:val="008B53AA"/>
    <w:rsid w:val="008B6CEB"/>
    <w:rsid w:val="008B717F"/>
    <w:rsid w:val="008C1B23"/>
    <w:rsid w:val="008C1CB0"/>
    <w:rsid w:val="008C1E2C"/>
    <w:rsid w:val="008C23AA"/>
    <w:rsid w:val="008C26E7"/>
    <w:rsid w:val="008C2B14"/>
    <w:rsid w:val="008C2F15"/>
    <w:rsid w:val="008C4AEC"/>
    <w:rsid w:val="008C4F13"/>
    <w:rsid w:val="008C5C7F"/>
    <w:rsid w:val="008D0334"/>
    <w:rsid w:val="008D0390"/>
    <w:rsid w:val="008D0BBE"/>
    <w:rsid w:val="008D11AF"/>
    <w:rsid w:val="008D28AD"/>
    <w:rsid w:val="008D2BEC"/>
    <w:rsid w:val="008D45A8"/>
    <w:rsid w:val="008D4818"/>
    <w:rsid w:val="008D5B68"/>
    <w:rsid w:val="008D67D5"/>
    <w:rsid w:val="008E00AB"/>
    <w:rsid w:val="008E0765"/>
    <w:rsid w:val="008E0F61"/>
    <w:rsid w:val="008E119E"/>
    <w:rsid w:val="008E144F"/>
    <w:rsid w:val="008E26ED"/>
    <w:rsid w:val="008E293E"/>
    <w:rsid w:val="008E3246"/>
    <w:rsid w:val="008E3C6C"/>
    <w:rsid w:val="008E4DA1"/>
    <w:rsid w:val="008E6149"/>
    <w:rsid w:val="008E66B8"/>
    <w:rsid w:val="008E7D4B"/>
    <w:rsid w:val="008F033D"/>
    <w:rsid w:val="008F0EBD"/>
    <w:rsid w:val="008F1435"/>
    <w:rsid w:val="008F2D38"/>
    <w:rsid w:val="008F3ADF"/>
    <w:rsid w:val="008F3C9C"/>
    <w:rsid w:val="008F3F2B"/>
    <w:rsid w:val="008F4D6D"/>
    <w:rsid w:val="008F5B1D"/>
    <w:rsid w:val="008F701C"/>
    <w:rsid w:val="008F728C"/>
    <w:rsid w:val="009016E1"/>
    <w:rsid w:val="00901EAD"/>
    <w:rsid w:val="00902075"/>
    <w:rsid w:val="009024A6"/>
    <w:rsid w:val="009038B2"/>
    <w:rsid w:val="009045D6"/>
    <w:rsid w:val="00904CBE"/>
    <w:rsid w:val="00904D5E"/>
    <w:rsid w:val="00906BE7"/>
    <w:rsid w:val="00907803"/>
    <w:rsid w:val="009078DD"/>
    <w:rsid w:val="00907C54"/>
    <w:rsid w:val="00907CF8"/>
    <w:rsid w:val="00907EDC"/>
    <w:rsid w:val="009105F9"/>
    <w:rsid w:val="00910806"/>
    <w:rsid w:val="00911C8F"/>
    <w:rsid w:val="00911DD4"/>
    <w:rsid w:val="009128D5"/>
    <w:rsid w:val="00912B4C"/>
    <w:rsid w:val="00913098"/>
    <w:rsid w:val="00913A44"/>
    <w:rsid w:val="009146ED"/>
    <w:rsid w:val="00917A4E"/>
    <w:rsid w:val="0092008B"/>
    <w:rsid w:val="00920349"/>
    <w:rsid w:val="009205EA"/>
    <w:rsid w:val="0092070A"/>
    <w:rsid w:val="00920931"/>
    <w:rsid w:val="00920D11"/>
    <w:rsid w:val="00921AC1"/>
    <w:rsid w:val="00921C21"/>
    <w:rsid w:val="009222C2"/>
    <w:rsid w:val="009224B9"/>
    <w:rsid w:val="009230A0"/>
    <w:rsid w:val="00924656"/>
    <w:rsid w:val="00924A37"/>
    <w:rsid w:val="00924BC0"/>
    <w:rsid w:val="00924FEC"/>
    <w:rsid w:val="009250CB"/>
    <w:rsid w:val="009257F0"/>
    <w:rsid w:val="00925C25"/>
    <w:rsid w:val="00925C34"/>
    <w:rsid w:val="009263FA"/>
    <w:rsid w:val="0092640A"/>
    <w:rsid w:val="00926A9B"/>
    <w:rsid w:val="00926BB2"/>
    <w:rsid w:val="00927399"/>
    <w:rsid w:val="00927941"/>
    <w:rsid w:val="009303CF"/>
    <w:rsid w:val="00930A8B"/>
    <w:rsid w:val="00931048"/>
    <w:rsid w:val="00931213"/>
    <w:rsid w:val="009313B6"/>
    <w:rsid w:val="009314AC"/>
    <w:rsid w:val="0093169E"/>
    <w:rsid w:val="00932512"/>
    <w:rsid w:val="00932BA4"/>
    <w:rsid w:val="00933672"/>
    <w:rsid w:val="00934A08"/>
    <w:rsid w:val="009353D6"/>
    <w:rsid w:val="00935F17"/>
    <w:rsid w:val="009367CC"/>
    <w:rsid w:val="00936A61"/>
    <w:rsid w:val="00940200"/>
    <w:rsid w:val="00940234"/>
    <w:rsid w:val="00940ED5"/>
    <w:rsid w:val="0094129B"/>
    <w:rsid w:val="00941BAC"/>
    <w:rsid w:val="00941FE2"/>
    <w:rsid w:val="0094273A"/>
    <w:rsid w:val="00942D6F"/>
    <w:rsid w:val="00943765"/>
    <w:rsid w:val="0094395A"/>
    <w:rsid w:val="00943B2D"/>
    <w:rsid w:val="009441D2"/>
    <w:rsid w:val="0094464A"/>
    <w:rsid w:val="009447F3"/>
    <w:rsid w:val="0094629E"/>
    <w:rsid w:val="009479B6"/>
    <w:rsid w:val="009509E8"/>
    <w:rsid w:val="00950A2C"/>
    <w:rsid w:val="009512AC"/>
    <w:rsid w:val="00951C14"/>
    <w:rsid w:val="009520D7"/>
    <w:rsid w:val="009523C8"/>
    <w:rsid w:val="00952501"/>
    <w:rsid w:val="00953316"/>
    <w:rsid w:val="009534B5"/>
    <w:rsid w:val="00953CDD"/>
    <w:rsid w:val="0095429E"/>
    <w:rsid w:val="009545F3"/>
    <w:rsid w:val="0095483D"/>
    <w:rsid w:val="0095597B"/>
    <w:rsid w:val="00956A54"/>
    <w:rsid w:val="00957219"/>
    <w:rsid w:val="009573BD"/>
    <w:rsid w:val="00957968"/>
    <w:rsid w:val="0096017A"/>
    <w:rsid w:val="009605FC"/>
    <w:rsid w:val="00960671"/>
    <w:rsid w:val="00960DDD"/>
    <w:rsid w:val="00960E41"/>
    <w:rsid w:val="009610C9"/>
    <w:rsid w:val="00961D6B"/>
    <w:rsid w:val="00961F97"/>
    <w:rsid w:val="009620D8"/>
    <w:rsid w:val="00962275"/>
    <w:rsid w:val="00962AB0"/>
    <w:rsid w:val="00962BF1"/>
    <w:rsid w:val="00962FD7"/>
    <w:rsid w:val="00963A6E"/>
    <w:rsid w:val="00963B0C"/>
    <w:rsid w:val="00964C0D"/>
    <w:rsid w:val="0096591D"/>
    <w:rsid w:val="009660E5"/>
    <w:rsid w:val="009661CA"/>
    <w:rsid w:val="009679BE"/>
    <w:rsid w:val="009705F3"/>
    <w:rsid w:val="00972288"/>
    <w:rsid w:val="0097264F"/>
    <w:rsid w:val="00972E22"/>
    <w:rsid w:val="0097352E"/>
    <w:rsid w:val="009741C9"/>
    <w:rsid w:val="00974F5E"/>
    <w:rsid w:val="009751DA"/>
    <w:rsid w:val="009759CF"/>
    <w:rsid w:val="0097679F"/>
    <w:rsid w:val="00976910"/>
    <w:rsid w:val="0097700C"/>
    <w:rsid w:val="009770BD"/>
    <w:rsid w:val="009776A7"/>
    <w:rsid w:val="00977F35"/>
    <w:rsid w:val="00980606"/>
    <w:rsid w:val="00980DB6"/>
    <w:rsid w:val="00981126"/>
    <w:rsid w:val="00981B97"/>
    <w:rsid w:val="00982E88"/>
    <w:rsid w:val="0098314C"/>
    <w:rsid w:val="00983EA3"/>
    <w:rsid w:val="00984016"/>
    <w:rsid w:val="00984678"/>
    <w:rsid w:val="00984D8D"/>
    <w:rsid w:val="00986D55"/>
    <w:rsid w:val="009873A0"/>
    <w:rsid w:val="0098795B"/>
    <w:rsid w:val="00990957"/>
    <w:rsid w:val="00990A12"/>
    <w:rsid w:val="00990FAB"/>
    <w:rsid w:val="00991800"/>
    <w:rsid w:val="009919FD"/>
    <w:rsid w:val="00991FB1"/>
    <w:rsid w:val="00992249"/>
    <w:rsid w:val="009923E6"/>
    <w:rsid w:val="009925A0"/>
    <w:rsid w:val="00992670"/>
    <w:rsid w:val="00994050"/>
    <w:rsid w:val="00994D76"/>
    <w:rsid w:val="00995400"/>
    <w:rsid w:val="009959C9"/>
    <w:rsid w:val="00996AEF"/>
    <w:rsid w:val="009A0176"/>
    <w:rsid w:val="009A05E1"/>
    <w:rsid w:val="009A2399"/>
    <w:rsid w:val="009A3C7F"/>
    <w:rsid w:val="009A3F14"/>
    <w:rsid w:val="009A563B"/>
    <w:rsid w:val="009A5A53"/>
    <w:rsid w:val="009A6285"/>
    <w:rsid w:val="009A688D"/>
    <w:rsid w:val="009A7C02"/>
    <w:rsid w:val="009B00F3"/>
    <w:rsid w:val="009B1848"/>
    <w:rsid w:val="009B1CD0"/>
    <w:rsid w:val="009B3051"/>
    <w:rsid w:val="009B364B"/>
    <w:rsid w:val="009B415A"/>
    <w:rsid w:val="009B43AD"/>
    <w:rsid w:val="009B4DCD"/>
    <w:rsid w:val="009B52A9"/>
    <w:rsid w:val="009B5D67"/>
    <w:rsid w:val="009B5FCD"/>
    <w:rsid w:val="009B6434"/>
    <w:rsid w:val="009B6A9B"/>
    <w:rsid w:val="009B6FD3"/>
    <w:rsid w:val="009B746B"/>
    <w:rsid w:val="009B7864"/>
    <w:rsid w:val="009B7D5C"/>
    <w:rsid w:val="009C032B"/>
    <w:rsid w:val="009C0C43"/>
    <w:rsid w:val="009C1556"/>
    <w:rsid w:val="009C160D"/>
    <w:rsid w:val="009C161E"/>
    <w:rsid w:val="009C1827"/>
    <w:rsid w:val="009C18BD"/>
    <w:rsid w:val="009C1900"/>
    <w:rsid w:val="009C1B23"/>
    <w:rsid w:val="009C1BA3"/>
    <w:rsid w:val="009C1F73"/>
    <w:rsid w:val="009C22B9"/>
    <w:rsid w:val="009C2933"/>
    <w:rsid w:val="009C2AB2"/>
    <w:rsid w:val="009C345C"/>
    <w:rsid w:val="009C3A85"/>
    <w:rsid w:val="009C42E4"/>
    <w:rsid w:val="009C453A"/>
    <w:rsid w:val="009C4F6F"/>
    <w:rsid w:val="009C556D"/>
    <w:rsid w:val="009C615C"/>
    <w:rsid w:val="009C6462"/>
    <w:rsid w:val="009C64A5"/>
    <w:rsid w:val="009C6DFC"/>
    <w:rsid w:val="009C7E0F"/>
    <w:rsid w:val="009D0B58"/>
    <w:rsid w:val="009D0B99"/>
    <w:rsid w:val="009D1122"/>
    <w:rsid w:val="009D11C1"/>
    <w:rsid w:val="009D2E90"/>
    <w:rsid w:val="009D3061"/>
    <w:rsid w:val="009D5799"/>
    <w:rsid w:val="009D5AB0"/>
    <w:rsid w:val="009D5E31"/>
    <w:rsid w:val="009D7873"/>
    <w:rsid w:val="009D7945"/>
    <w:rsid w:val="009E000B"/>
    <w:rsid w:val="009E0182"/>
    <w:rsid w:val="009E01A4"/>
    <w:rsid w:val="009E0779"/>
    <w:rsid w:val="009E0C1C"/>
    <w:rsid w:val="009E12D0"/>
    <w:rsid w:val="009E1B05"/>
    <w:rsid w:val="009E2663"/>
    <w:rsid w:val="009E32C3"/>
    <w:rsid w:val="009E3DA8"/>
    <w:rsid w:val="009E401E"/>
    <w:rsid w:val="009E4AC7"/>
    <w:rsid w:val="009E5608"/>
    <w:rsid w:val="009E5AFB"/>
    <w:rsid w:val="009E5E78"/>
    <w:rsid w:val="009E5FD9"/>
    <w:rsid w:val="009E626F"/>
    <w:rsid w:val="009E644E"/>
    <w:rsid w:val="009E681A"/>
    <w:rsid w:val="009E7B39"/>
    <w:rsid w:val="009E7B8C"/>
    <w:rsid w:val="009F1CF1"/>
    <w:rsid w:val="009F2B91"/>
    <w:rsid w:val="009F3073"/>
    <w:rsid w:val="009F312B"/>
    <w:rsid w:val="009F37BE"/>
    <w:rsid w:val="009F3C44"/>
    <w:rsid w:val="009F4E75"/>
    <w:rsid w:val="009F534B"/>
    <w:rsid w:val="009F5A4A"/>
    <w:rsid w:val="009F5D85"/>
    <w:rsid w:val="009F61AE"/>
    <w:rsid w:val="009F632C"/>
    <w:rsid w:val="009F6435"/>
    <w:rsid w:val="009F666E"/>
    <w:rsid w:val="009F6D72"/>
    <w:rsid w:val="00A00200"/>
    <w:rsid w:val="00A0021E"/>
    <w:rsid w:val="00A00769"/>
    <w:rsid w:val="00A00ADC"/>
    <w:rsid w:val="00A00E2A"/>
    <w:rsid w:val="00A018FF"/>
    <w:rsid w:val="00A019C1"/>
    <w:rsid w:val="00A02895"/>
    <w:rsid w:val="00A028BF"/>
    <w:rsid w:val="00A02A24"/>
    <w:rsid w:val="00A038C9"/>
    <w:rsid w:val="00A045D4"/>
    <w:rsid w:val="00A0492D"/>
    <w:rsid w:val="00A04A07"/>
    <w:rsid w:val="00A04FAD"/>
    <w:rsid w:val="00A0527A"/>
    <w:rsid w:val="00A05410"/>
    <w:rsid w:val="00A05BDD"/>
    <w:rsid w:val="00A06ECA"/>
    <w:rsid w:val="00A06FFC"/>
    <w:rsid w:val="00A070C5"/>
    <w:rsid w:val="00A074EE"/>
    <w:rsid w:val="00A07DA9"/>
    <w:rsid w:val="00A10773"/>
    <w:rsid w:val="00A119CA"/>
    <w:rsid w:val="00A1259F"/>
    <w:rsid w:val="00A129C0"/>
    <w:rsid w:val="00A12F71"/>
    <w:rsid w:val="00A1422A"/>
    <w:rsid w:val="00A148E5"/>
    <w:rsid w:val="00A14940"/>
    <w:rsid w:val="00A15586"/>
    <w:rsid w:val="00A176AF"/>
    <w:rsid w:val="00A179DF"/>
    <w:rsid w:val="00A20120"/>
    <w:rsid w:val="00A20122"/>
    <w:rsid w:val="00A205D6"/>
    <w:rsid w:val="00A206D5"/>
    <w:rsid w:val="00A2104B"/>
    <w:rsid w:val="00A2179F"/>
    <w:rsid w:val="00A21C49"/>
    <w:rsid w:val="00A23477"/>
    <w:rsid w:val="00A239E7"/>
    <w:rsid w:val="00A23E0F"/>
    <w:rsid w:val="00A240E5"/>
    <w:rsid w:val="00A2410A"/>
    <w:rsid w:val="00A24396"/>
    <w:rsid w:val="00A24CA1"/>
    <w:rsid w:val="00A250F8"/>
    <w:rsid w:val="00A25B30"/>
    <w:rsid w:val="00A25BE0"/>
    <w:rsid w:val="00A25C29"/>
    <w:rsid w:val="00A25C4E"/>
    <w:rsid w:val="00A262F7"/>
    <w:rsid w:val="00A2787D"/>
    <w:rsid w:val="00A30989"/>
    <w:rsid w:val="00A31081"/>
    <w:rsid w:val="00A3138F"/>
    <w:rsid w:val="00A3289C"/>
    <w:rsid w:val="00A331F1"/>
    <w:rsid w:val="00A33565"/>
    <w:rsid w:val="00A33B00"/>
    <w:rsid w:val="00A34517"/>
    <w:rsid w:val="00A346AD"/>
    <w:rsid w:val="00A346F6"/>
    <w:rsid w:val="00A34A60"/>
    <w:rsid w:val="00A351FD"/>
    <w:rsid w:val="00A3537F"/>
    <w:rsid w:val="00A36721"/>
    <w:rsid w:val="00A3682E"/>
    <w:rsid w:val="00A36998"/>
    <w:rsid w:val="00A36A70"/>
    <w:rsid w:val="00A3762A"/>
    <w:rsid w:val="00A37C7F"/>
    <w:rsid w:val="00A37C9A"/>
    <w:rsid w:val="00A4003D"/>
    <w:rsid w:val="00A40105"/>
    <w:rsid w:val="00A4029D"/>
    <w:rsid w:val="00A414E8"/>
    <w:rsid w:val="00A4191F"/>
    <w:rsid w:val="00A420BA"/>
    <w:rsid w:val="00A42AEB"/>
    <w:rsid w:val="00A42C69"/>
    <w:rsid w:val="00A43083"/>
    <w:rsid w:val="00A4317C"/>
    <w:rsid w:val="00A43669"/>
    <w:rsid w:val="00A43946"/>
    <w:rsid w:val="00A43ADB"/>
    <w:rsid w:val="00A447DE"/>
    <w:rsid w:val="00A456E1"/>
    <w:rsid w:val="00A458ED"/>
    <w:rsid w:val="00A46144"/>
    <w:rsid w:val="00A47111"/>
    <w:rsid w:val="00A47134"/>
    <w:rsid w:val="00A47347"/>
    <w:rsid w:val="00A47968"/>
    <w:rsid w:val="00A47998"/>
    <w:rsid w:val="00A47C54"/>
    <w:rsid w:val="00A47CA6"/>
    <w:rsid w:val="00A47DB7"/>
    <w:rsid w:val="00A5034C"/>
    <w:rsid w:val="00A51DAF"/>
    <w:rsid w:val="00A52F8D"/>
    <w:rsid w:val="00A53031"/>
    <w:rsid w:val="00A54531"/>
    <w:rsid w:val="00A54D7D"/>
    <w:rsid w:val="00A55C55"/>
    <w:rsid w:val="00A56273"/>
    <w:rsid w:val="00A57401"/>
    <w:rsid w:val="00A61621"/>
    <w:rsid w:val="00A61645"/>
    <w:rsid w:val="00A61A06"/>
    <w:rsid w:val="00A61A95"/>
    <w:rsid w:val="00A61B54"/>
    <w:rsid w:val="00A623F1"/>
    <w:rsid w:val="00A62431"/>
    <w:rsid w:val="00A62ECC"/>
    <w:rsid w:val="00A63880"/>
    <w:rsid w:val="00A63AF8"/>
    <w:rsid w:val="00A63DA0"/>
    <w:rsid w:val="00A643B9"/>
    <w:rsid w:val="00A64614"/>
    <w:rsid w:val="00A64CE1"/>
    <w:rsid w:val="00A652D2"/>
    <w:rsid w:val="00A665A0"/>
    <w:rsid w:val="00A66A5C"/>
    <w:rsid w:val="00A67598"/>
    <w:rsid w:val="00A71BD0"/>
    <w:rsid w:val="00A72AA0"/>
    <w:rsid w:val="00A72C9F"/>
    <w:rsid w:val="00A73600"/>
    <w:rsid w:val="00A73D68"/>
    <w:rsid w:val="00A75A74"/>
    <w:rsid w:val="00A75E9C"/>
    <w:rsid w:val="00A75F8C"/>
    <w:rsid w:val="00A7757C"/>
    <w:rsid w:val="00A77B77"/>
    <w:rsid w:val="00A809F8"/>
    <w:rsid w:val="00A8130E"/>
    <w:rsid w:val="00A81365"/>
    <w:rsid w:val="00A81691"/>
    <w:rsid w:val="00A82094"/>
    <w:rsid w:val="00A82EEA"/>
    <w:rsid w:val="00A83C17"/>
    <w:rsid w:val="00A85450"/>
    <w:rsid w:val="00A8571E"/>
    <w:rsid w:val="00A85D1C"/>
    <w:rsid w:val="00A86D9F"/>
    <w:rsid w:val="00A8781A"/>
    <w:rsid w:val="00A87911"/>
    <w:rsid w:val="00A87AA8"/>
    <w:rsid w:val="00A9016D"/>
    <w:rsid w:val="00A90BA1"/>
    <w:rsid w:val="00A90D2A"/>
    <w:rsid w:val="00A9192B"/>
    <w:rsid w:val="00A91FDA"/>
    <w:rsid w:val="00A92B19"/>
    <w:rsid w:val="00A9319B"/>
    <w:rsid w:val="00A93971"/>
    <w:rsid w:val="00A9472B"/>
    <w:rsid w:val="00A97377"/>
    <w:rsid w:val="00A974F3"/>
    <w:rsid w:val="00A97B2B"/>
    <w:rsid w:val="00A97BE8"/>
    <w:rsid w:val="00A97E9E"/>
    <w:rsid w:val="00AA0B38"/>
    <w:rsid w:val="00AA1001"/>
    <w:rsid w:val="00AA1532"/>
    <w:rsid w:val="00AA1661"/>
    <w:rsid w:val="00AA176C"/>
    <w:rsid w:val="00AA1E0F"/>
    <w:rsid w:val="00AA2233"/>
    <w:rsid w:val="00AA2CD6"/>
    <w:rsid w:val="00AA305E"/>
    <w:rsid w:val="00AA3631"/>
    <w:rsid w:val="00AA3C02"/>
    <w:rsid w:val="00AA3D76"/>
    <w:rsid w:val="00AA413B"/>
    <w:rsid w:val="00AA4B6B"/>
    <w:rsid w:val="00AA4D4B"/>
    <w:rsid w:val="00AA4EA8"/>
    <w:rsid w:val="00AA5ABF"/>
    <w:rsid w:val="00AA6F6C"/>
    <w:rsid w:val="00AA755B"/>
    <w:rsid w:val="00AA7B5E"/>
    <w:rsid w:val="00AA7D46"/>
    <w:rsid w:val="00AB0849"/>
    <w:rsid w:val="00AB09E4"/>
    <w:rsid w:val="00AB1023"/>
    <w:rsid w:val="00AB136D"/>
    <w:rsid w:val="00AB2481"/>
    <w:rsid w:val="00AB3288"/>
    <w:rsid w:val="00AB3E8C"/>
    <w:rsid w:val="00AB3F97"/>
    <w:rsid w:val="00AB41DF"/>
    <w:rsid w:val="00AB4D5A"/>
    <w:rsid w:val="00AB4E43"/>
    <w:rsid w:val="00AB4F32"/>
    <w:rsid w:val="00AB5C00"/>
    <w:rsid w:val="00AB71FC"/>
    <w:rsid w:val="00AB734D"/>
    <w:rsid w:val="00AB7562"/>
    <w:rsid w:val="00AB7621"/>
    <w:rsid w:val="00AC05BE"/>
    <w:rsid w:val="00AC0EDF"/>
    <w:rsid w:val="00AC1136"/>
    <w:rsid w:val="00AC1242"/>
    <w:rsid w:val="00AC1417"/>
    <w:rsid w:val="00AC1A56"/>
    <w:rsid w:val="00AC285D"/>
    <w:rsid w:val="00AC3D50"/>
    <w:rsid w:val="00AC4625"/>
    <w:rsid w:val="00AC469E"/>
    <w:rsid w:val="00AC47ED"/>
    <w:rsid w:val="00AC495F"/>
    <w:rsid w:val="00AC5132"/>
    <w:rsid w:val="00AC55A4"/>
    <w:rsid w:val="00AC5D88"/>
    <w:rsid w:val="00AC73C7"/>
    <w:rsid w:val="00AC7A46"/>
    <w:rsid w:val="00AC7F64"/>
    <w:rsid w:val="00AC7FCC"/>
    <w:rsid w:val="00AD041A"/>
    <w:rsid w:val="00AD067F"/>
    <w:rsid w:val="00AD0AF7"/>
    <w:rsid w:val="00AD0EAF"/>
    <w:rsid w:val="00AD105B"/>
    <w:rsid w:val="00AD1232"/>
    <w:rsid w:val="00AD168D"/>
    <w:rsid w:val="00AD196B"/>
    <w:rsid w:val="00AD19DE"/>
    <w:rsid w:val="00AD1F7D"/>
    <w:rsid w:val="00AD2131"/>
    <w:rsid w:val="00AD235E"/>
    <w:rsid w:val="00AD2C86"/>
    <w:rsid w:val="00AD3334"/>
    <w:rsid w:val="00AD3D5B"/>
    <w:rsid w:val="00AD3DC5"/>
    <w:rsid w:val="00AD3ED4"/>
    <w:rsid w:val="00AD4C34"/>
    <w:rsid w:val="00AD59B3"/>
    <w:rsid w:val="00AD653A"/>
    <w:rsid w:val="00AD67D2"/>
    <w:rsid w:val="00AD69A7"/>
    <w:rsid w:val="00AD750B"/>
    <w:rsid w:val="00AD7594"/>
    <w:rsid w:val="00AD761D"/>
    <w:rsid w:val="00AD7641"/>
    <w:rsid w:val="00AE14A6"/>
    <w:rsid w:val="00AE242A"/>
    <w:rsid w:val="00AE2660"/>
    <w:rsid w:val="00AE465D"/>
    <w:rsid w:val="00AE666E"/>
    <w:rsid w:val="00AF0513"/>
    <w:rsid w:val="00AF192C"/>
    <w:rsid w:val="00AF24B9"/>
    <w:rsid w:val="00AF2981"/>
    <w:rsid w:val="00AF2C12"/>
    <w:rsid w:val="00AF3DC9"/>
    <w:rsid w:val="00AF3F27"/>
    <w:rsid w:val="00AF4673"/>
    <w:rsid w:val="00AF4C48"/>
    <w:rsid w:val="00AF5064"/>
    <w:rsid w:val="00AF5C5B"/>
    <w:rsid w:val="00AF5EA0"/>
    <w:rsid w:val="00AF66BA"/>
    <w:rsid w:val="00AF67E7"/>
    <w:rsid w:val="00AF7D2D"/>
    <w:rsid w:val="00B027B6"/>
    <w:rsid w:val="00B02813"/>
    <w:rsid w:val="00B02C43"/>
    <w:rsid w:val="00B03271"/>
    <w:rsid w:val="00B039AC"/>
    <w:rsid w:val="00B03EF2"/>
    <w:rsid w:val="00B0438B"/>
    <w:rsid w:val="00B044FB"/>
    <w:rsid w:val="00B04564"/>
    <w:rsid w:val="00B04AC0"/>
    <w:rsid w:val="00B053D4"/>
    <w:rsid w:val="00B05C60"/>
    <w:rsid w:val="00B05E4C"/>
    <w:rsid w:val="00B063D3"/>
    <w:rsid w:val="00B06676"/>
    <w:rsid w:val="00B07CA0"/>
    <w:rsid w:val="00B121DB"/>
    <w:rsid w:val="00B1270A"/>
    <w:rsid w:val="00B12BF0"/>
    <w:rsid w:val="00B13823"/>
    <w:rsid w:val="00B1478A"/>
    <w:rsid w:val="00B14F83"/>
    <w:rsid w:val="00B161E4"/>
    <w:rsid w:val="00B16674"/>
    <w:rsid w:val="00B16930"/>
    <w:rsid w:val="00B17145"/>
    <w:rsid w:val="00B17230"/>
    <w:rsid w:val="00B177C6"/>
    <w:rsid w:val="00B1792E"/>
    <w:rsid w:val="00B17C8B"/>
    <w:rsid w:val="00B2182D"/>
    <w:rsid w:val="00B21967"/>
    <w:rsid w:val="00B21B90"/>
    <w:rsid w:val="00B21FAB"/>
    <w:rsid w:val="00B22297"/>
    <w:rsid w:val="00B2262F"/>
    <w:rsid w:val="00B227AE"/>
    <w:rsid w:val="00B23148"/>
    <w:rsid w:val="00B24985"/>
    <w:rsid w:val="00B24DE2"/>
    <w:rsid w:val="00B24FEF"/>
    <w:rsid w:val="00B257AA"/>
    <w:rsid w:val="00B263AF"/>
    <w:rsid w:val="00B26583"/>
    <w:rsid w:val="00B26760"/>
    <w:rsid w:val="00B26972"/>
    <w:rsid w:val="00B26AB0"/>
    <w:rsid w:val="00B26CBE"/>
    <w:rsid w:val="00B27A3A"/>
    <w:rsid w:val="00B300E7"/>
    <w:rsid w:val="00B30731"/>
    <w:rsid w:val="00B30A18"/>
    <w:rsid w:val="00B30B99"/>
    <w:rsid w:val="00B319EC"/>
    <w:rsid w:val="00B31CCB"/>
    <w:rsid w:val="00B32988"/>
    <w:rsid w:val="00B32B84"/>
    <w:rsid w:val="00B332EF"/>
    <w:rsid w:val="00B33F3B"/>
    <w:rsid w:val="00B347AF"/>
    <w:rsid w:val="00B36472"/>
    <w:rsid w:val="00B36FB9"/>
    <w:rsid w:val="00B376F0"/>
    <w:rsid w:val="00B37C86"/>
    <w:rsid w:val="00B37E07"/>
    <w:rsid w:val="00B40045"/>
    <w:rsid w:val="00B40E11"/>
    <w:rsid w:val="00B4116D"/>
    <w:rsid w:val="00B413E1"/>
    <w:rsid w:val="00B41CFE"/>
    <w:rsid w:val="00B41DFA"/>
    <w:rsid w:val="00B41FE8"/>
    <w:rsid w:val="00B42731"/>
    <w:rsid w:val="00B42CFD"/>
    <w:rsid w:val="00B42D89"/>
    <w:rsid w:val="00B433CB"/>
    <w:rsid w:val="00B43774"/>
    <w:rsid w:val="00B43776"/>
    <w:rsid w:val="00B43B6A"/>
    <w:rsid w:val="00B447F6"/>
    <w:rsid w:val="00B450DE"/>
    <w:rsid w:val="00B461A7"/>
    <w:rsid w:val="00B46267"/>
    <w:rsid w:val="00B46417"/>
    <w:rsid w:val="00B47B33"/>
    <w:rsid w:val="00B5061B"/>
    <w:rsid w:val="00B5075A"/>
    <w:rsid w:val="00B5081C"/>
    <w:rsid w:val="00B50A16"/>
    <w:rsid w:val="00B50A6A"/>
    <w:rsid w:val="00B50D0D"/>
    <w:rsid w:val="00B51887"/>
    <w:rsid w:val="00B51E05"/>
    <w:rsid w:val="00B52323"/>
    <w:rsid w:val="00B52BAD"/>
    <w:rsid w:val="00B52E74"/>
    <w:rsid w:val="00B537D4"/>
    <w:rsid w:val="00B53DA5"/>
    <w:rsid w:val="00B53E45"/>
    <w:rsid w:val="00B547B1"/>
    <w:rsid w:val="00B54EB6"/>
    <w:rsid w:val="00B5596E"/>
    <w:rsid w:val="00B55D6C"/>
    <w:rsid w:val="00B55EF3"/>
    <w:rsid w:val="00B565A1"/>
    <w:rsid w:val="00B56962"/>
    <w:rsid w:val="00B56A1B"/>
    <w:rsid w:val="00B56D42"/>
    <w:rsid w:val="00B57271"/>
    <w:rsid w:val="00B57320"/>
    <w:rsid w:val="00B609DE"/>
    <w:rsid w:val="00B60B75"/>
    <w:rsid w:val="00B60E51"/>
    <w:rsid w:val="00B61A4C"/>
    <w:rsid w:val="00B61F9A"/>
    <w:rsid w:val="00B62040"/>
    <w:rsid w:val="00B63011"/>
    <w:rsid w:val="00B632CB"/>
    <w:rsid w:val="00B63418"/>
    <w:rsid w:val="00B6368C"/>
    <w:rsid w:val="00B63BBE"/>
    <w:rsid w:val="00B64040"/>
    <w:rsid w:val="00B64328"/>
    <w:rsid w:val="00B65FC9"/>
    <w:rsid w:val="00B66023"/>
    <w:rsid w:val="00B664F7"/>
    <w:rsid w:val="00B66B9D"/>
    <w:rsid w:val="00B67562"/>
    <w:rsid w:val="00B7047B"/>
    <w:rsid w:val="00B71D6D"/>
    <w:rsid w:val="00B739AB"/>
    <w:rsid w:val="00B73EC7"/>
    <w:rsid w:val="00B73FCE"/>
    <w:rsid w:val="00B743A9"/>
    <w:rsid w:val="00B74F99"/>
    <w:rsid w:val="00B75531"/>
    <w:rsid w:val="00B75758"/>
    <w:rsid w:val="00B7585D"/>
    <w:rsid w:val="00B75F88"/>
    <w:rsid w:val="00B76A9C"/>
    <w:rsid w:val="00B77E5A"/>
    <w:rsid w:val="00B77EEA"/>
    <w:rsid w:val="00B80603"/>
    <w:rsid w:val="00B80CB7"/>
    <w:rsid w:val="00B80ED1"/>
    <w:rsid w:val="00B81A4A"/>
    <w:rsid w:val="00B81B0E"/>
    <w:rsid w:val="00B827BE"/>
    <w:rsid w:val="00B82A37"/>
    <w:rsid w:val="00B83494"/>
    <w:rsid w:val="00B836DC"/>
    <w:rsid w:val="00B847F0"/>
    <w:rsid w:val="00B8575D"/>
    <w:rsid w:val="00B85CC4"/>
    <w:rsid w:val="00B8719F"/>
    <w:rsid w:val="00B87253"/>
    <w:rsid w:val="00B87856"/>
    <w:rsid w:val="00B87CD1"/>
    <w:rsid w:val="00B91E1D"/>
    <w:rsid w:val="00B91E72"/>
    <w:rsid w:val="00B924F5"/>
    <w:rsid w:val="00B92637"/>
    <w:rsid w:val="00B929B0"/>
    <w:rsid w:val="00B92DBC"/>
    <w:rsid w:val="00B93509"/>
    <w:rsid w:val="00B935C6"/>
    <w:rsid w:val="00B935DB"/>
    <w:rsid w:val="00B93676"/>
    <w:rsid w:val="00B94929"/>
    <w:rsid w:val="00B9502A"/>
    <w:rsid w:val="00B95A36"/>
    <w:rsid w:val="00B95AB4"/>
    <w:rsid w:val="00B9631D"/>
    <w:rsid w:val="00BA06A3"/>
    <w:rsid w:val="00BA08D6"/>
    <w:rsid w:val="00BA1C01"/>
    <w:rsid w:val="00BA22BA"/>
    <w:rsid w:val="00BA2C2B"/>
    <w:rsid w:val="00BA2C2C"/>
    <w:rsid w:val="00BA3315"/>
    <w:rsid w:val="00BA3577"/>
    <w:rsid w:val="00BA3AB4"/>
    <w:rsid w:val="00BA3DD2"/>
    <w:rsid w:val="00BA548D"/>
    <w:rsid w:val="00BA6766"/>
    <w:rsid w:val="00BA6781"/>
    <w:rsid w:val="00BA6F06"/>
    <w:rsid w:val="00BB003D"/>
    <w:rsid w:val="00BB109A"/>
    <w:rsid w:val="00BB185B"/>
    <w:rsid w:val="00BB1F56"/>
    <w:rsid w:val="00BB2039"/>
    <w:rsid w:val="00BB2165"/>
    <w:rsid w:val="00BB2B7D"/>
    <w:rsid w:val="00BB321D"/>
    <w:rsid w:val="00BB3320"/>
    <w:rsid w:val="00BB35A9"/>
    <w:rsid w:val="00BB53E0"/>
    <w:rsid w:val="00BB553C"/>
    <w:rsid w:val="00BB5B79"/>
    <w:rsid w:val="00BB6763"/>
    <w:rsid w:val="00BB684A"/>
    <w:rsid w:val="00BB6AB7"/>
    <w:rsid w:val="00BB6FEF"/>
    <w:rsid w:val="00BB7AD4"/>
    <w:rsid w:val="00BB7D77"/>
    <w:rsid w:val="00BC01C6"/>
    <w:rsid w:val="00BC04C5"/>
    <w:rsid w:val="00BC0898"/>
    <w:rsid w:val="00BC0DCB"/>
    <w:rsid w:val="00BC1372"/>
    <w:rsid w:val="00BC1969"/>
    <w:rsid w:val="00BC1EC9"/>
    <w:rsid w:val="00BC1EF6"/>
    <w:rsid w:val="00BC2973"/>
    <w:rsid w:val="00BC2C56"/>
    <w:rsid w:val="00BC309F"/>
    <w:rsid w:val="00BC3813"/>
    <w:rsid w:val="00BC3A1C"/>
    <w:rsid w:val="00BC3B76"/>
    <w:rsid w:val="00BC3E56"/>
    <w:rsid w:val="00BC4049"/>
    <w:rsid w:val="00BC61F8"/>
    <w:rsid w:val="00BC7899"/>
    <w:rsid w:val="00BC791C"/>
    <w:rsid w:val="00BC798D"/>
    <w:rsid w:val="00BD033D"/>
    <w:rsid w:val="00BD0383"/>
    <w:rsid w:val="00BD071E"/>
    <w:rsid w:val="00BD07A7"/>
    <w:rsid w:val="00BD0E77"/>
    <w:rsid w:val="00BD2029"/>
    <w:rsid w:val="00BD271D"/>
    <w:rsid w:val="00BD2CE9"/>
    <w:rsid w:val="00BD38DF"/>
    <w:rsid w:val="00BD410A"/>
    <w:rsid w:val="00BD4305"/>
    <w:rsid w:val="00BD451B"/>
    <w:rsid w:val="00BD498C"/>
    <w:rsid w:val="00BD72E6"/>
    <w:rsid w:val="00BD7A0B"/>
    <w:rsid w:val="00BE0834"/>
    <w:rsid w:val="00BE0A26"/>
    <w:rsid w:val="00BE1DC5"/>
    <w:rsid w:val="00BE31B9"/>
    <w:rsid w:val="00BE3674"/>
    <w:rsid w:val="00BE3717"/>
    <w:rsid w:val="00BE383D"/>
    <w:rsid w:val="00BE3A96"/>
    <w:rsid w:val="00BE3AD4"/>
    <w:rsid w:val="00BE45F2"/>
    <w:rsid w:val="00BE4DB2"/>
    <w:rsid w:val="00BE4FFF"/>
    <w:rsid w:val="00BE61EB"/>
    <w:rsid w:val="00BE669B"/>
    <w:rsid w:val="00BE6CC1"/>
    <w:rsid w:val="00BE6D2A"/>
    <w:rsid w:val="00BE6EF6"/>
    <w:rsid w:val="00BE72A9"/>
    <w:rsid w:val="00BE7663"/>
    <w:rsid w:val="00BE77C6"/>
    <w:rsid w:val="00BF0570"/>
    <w:rsid w:val="00BF0940"/>
    <w:rsid w:val="00BF1080"/>
    <w:rsid w:val="00BF1438"/>
    <w:rsid w:val="00BF1C05"/>
    <w:rsid w:val="00BF1ECD"/>
    <w:rsid w:val="00BF3017"/>
    <w:rsid w:val="00BF3A6D"/>
    <w:rsid w:val="00BF3B6E"/>
    <w:rsid w:val="00BF42F4"/>
    <w:rsid w:val="00BF53BD"/>
    <w:rsid w:val="00BF5449"/>
    <w:rsid w:val="00BF5947"/>
    <w:rsid w:val="00BF5D10"/>
    <w:rsid w:val="00BF67EC"/>
    <w:rsid w:val="00BF6C63"/>
    <w:rsid w:val="00BF6E6F"/>
    <w:rsid w:val="00BF7035"/>
    <w:rsid w:val="00BF722A"/>
    <w:rsid w:val="00BF783F"/>
    <w:rsid w:val="00BF7F14"/>
    <w:rsid w:val="00C01449"/>
    <w:rsid w:val="00C03241"/>
    <w:rsid w:val="00C03524"/>
    <w:rsid w:val="00C03BDE"/>
    <w:rsid w:val="00C04796"/>
    <w:rsid w:val="00C04946"/>
    <w:rsid w:val="00C0515E"/>
    <w:rsid w:val="00C06CDF"/>
    <w:rsid w:val="00C07B02"/>
    <w:rsid w:val="00C10C94"/>
    <w:rsid w:val="00C1114A"/>
    <w:rsid w:val="00C11D55"/>
    <w:rsid w:val="00C123C5"/>
    <w:rsid w:val="00C1249E"/>
    <w:rsid w:val="00C13256"/>
    <w:rsid w:val="00C133B2"/>
    <w:rsid w:val="00C13B54"/>
    <w:rsid w:val="00C142C5"/>
    <w:rsid w:val="00C14B9A"/>
    <w:rsid w:val="00C15945"/>
    <w:rsid w:val="00C15DF8"/>
    <w:rsid w:val="00C162DC"/>
    <w:rsid w:val="00C1688C"/>
    <w:rsid w:val="00C20EBE"/>
    <w:rsid w:val="00C21ADE"/>
    <w:rsid w:val="00C21F32"/>
    <w:rsid w:val="00C223CF"/>
    <w:rsid w:val="00C2257F"/>
    <w:rsid w:val="00C22820"/>
    <w:rsid w:val="00C2292A"/>
    <w:rsid w:val="00C22938"/>
    <w:rsid w:val="00C23808"/>
    <w:rsid w:val="00C2436E"/>
    <w:rsid w:val="00C260CC"/>
    <w:rsid w:val="00C26DFB"/>
    <w:rsid w:val="00C27237"/>
    <w:rsid w:val="00C3096B"/>
    <w:rsid w:val="00C317D1"/>
    <w:rsid w:val="00C31F90"/>
    <w:rsid w:val="00C323DD"/>
    <w:rsid w:val="00C32C63"/>
    <w:rsid w:val="00C33AE9"/>
    <w:rsid w:val="00C33E83"/>
    <w:rsid w:val="00C34439"/>
    <w:rsid w:val="00C3601D"/>
    <w:rsid w:val="00C401AB"/>
    <w:rsid w:val="00C43092"/>
    <w:rsid w:val="00C44349"/>
    <w:rsid w:val="00C44E22"/>
    <w:rsid w:val="00C4606D"/>
    <w:rsid w:val="00C471CF"/>
    <w:rsid w:val="00C474B3"/>
    <w:rsid w:val="00C47775"/>
    <w:rsid w:val="00C5063A"/>
    <w:rsid w:val="00C50D8E"/>
    <w:rsid w:val="00C50DFD"/>
    <w:rsid w:val="00C50E42"/>
    <w:rsid w:val="00C51311"/>
    <w:rsid w:val="00C515BE"/>
    <w:rsid w:val="00C51E59"/>
    <w:rsid w:val="00C51F05"/>
    <w:rsid w:val="00C52733"/>
    <w:rsid w:val="00C52A58"/>
    <w:rsid w:val="00C52ADB"/>
    <w:rsid w:val="00C54371"/>
    <w:rsid w:val="00C551B7"/>
    <w:rsid w:val="00C555F5"/>
    <w:rsid w:val="00C55F0A"/>
    <w:rsid w:val="00C56D56"/>
    <w:rsid w:val="00C56DBD"/>
    <w:rsid w:val="00C56F3F"/>
    <w:rsid w:val="00C57935"/>
    <w:rsid w:val="00C607F7"/>
    <w:rsid w:val="00C60B33"/>
    <w:rsid w:val="00C60BCD"/>
    <w:rsid w:val="00C61796"/>
    <w:rsid w:val="00C61872"/>
    <w:rsid w:val="00C625A1"/>
    <w:rsid w:val="00C6268A"/>
    <w:rsid w:val="00C62777"/>
    <w:rsid w:val="00C637B6"/>
    <w:rsid w:val="00C642A9"/>
    <w:rsid w:val="00C64FAE"/>
    <w:rsid w:val="00C657DD"/>
    <w:rsid w:val="00C65846"/>
    <w:rsid w:val="00C65A0A"/>
    <w:rsid w:val="00C6669E"/>
    <w:rsid w:val="00C66CA6"/>
    <w:rsid w:val="00C7099C"/>
    <w:rsid w:val="00C70A6E"/>
    <w:rsid w:val="00C7134F"/>
    <w:rsid w:val="00C72320"/>
    <w:rsid w:val="00C72A54"/>
    <w:rsid w:val="00C73A3F"/>
    <w:rsid w:val="00C73FBD"/>
    <w:rsid w:val="00C7429B"/>
    <w:rsid w:val="00C75006"/>
    <w:rsid w:val="00C75E95"/>
    <w:rsid w:val="00C766DC"/>
    <w:rsid w:val="00C77C75"/>
    <w:rsid w:val="00C80ECA"/>
    <w:rsid w:val="00C81967"/>
    <w:rsid w:val="00C825D9"/>
    <w:rsid w:val="00C82F38"/>
    <w:rsid w:val="00C82F3D"/>
    <w:rsid w:val="00C85A44"/>
    <w:rsid w:val="00C868E0"/>
    <w:rsid w:val="00C86D90"/>
    <w:rsid w:val="00C87823"/>
    <w:rsid w:val="00C90118"/>
    <w:rsid w:val="00C9064C"/>
    <w:rsid w:val="00C9111A"/>
    <w:rsid w:val="00C91172"/>
    <w:rsid w:val="00C9124B"/>
    <w:rsid w:val="00C93B62"/>
    <w:rsid w:val="00C93F94"/>
    <w:rsid w:val="00C93FC6"/>
    <w:rsid w:val="00C9408A"/>
    <w:rsid w:val="00C9457A"/>
    <w:rsid w:val="00C95048"/>
    <w:rsid w:val="00C953B6"/>
    <w:rsid w:val="00C953CD"/>
    <w:rsid w:val="00C95B14"/>
    <w:rsid w:val="00C95D5D"/>
    <w:rsid w:val="00C96845"/>
    <w:rsid w:val="00C97A01"/>
    <w:rsid w:val="00CA0399"/>
    <w:rsid w:val="00CA0BA4"/>
    <w:rsid w:val="00CA1555"/>
    <w:rsid w:val="00CA1CFE"/>
    <w:rsid w:val="00CA2684"/>
    <w:rsid w:val="00CA28E1"/>
    <w:rsid w:val="00CA2EAF"/>
    <w:rsid w:val="00CA2F0B"/>
    <w:rsid w:val="00CA2F83"/>
    <w:rsid w:val="00CA4265"/>
    <w:rsid w:val="00CA4CC6"/>
    <w:rsid w:val="00CA4F17"/>
    <w:rsid w:val="00CA5B9C"/>
    <w:rsid w:val="00CA61DB"/>
    <w:rsid w:val="00CA6C58"/>
    <w:rsid w:val="00CA7DA0"/>
    <w:rsid w:val="00CB05AF"/>
    <w:rsid w:val="00CB06B5"/>
    <w:rsid w:val="00CB0893"/>
    <w:rsid w:val="00CB1421"/>
    <w:rsid w:val="00CB16BA"/>
    <w:rsid w:val="00CB4E56"/>
    <w:rsid w:val="00CB552B"/>
    <w:rsid w:val="00CB5804"/>
    <w:rsid w:val="00CB5C63"/>
    <w:rsid w:val="00CB6381"/>
    <w:rsid w:val="00CB6A0D"/>
    <w:rsid w:val="00CB73D4"/>
    <w:rsid w:val="00CC09A2"/>
    <w:rsid w:val="00CC0F77"/>
    <w:rsid w:val="00CC102C"/>
    <w:rsid w:val="00CC10C5"/>
    <w:rsid w:val="00CC1DF8"/>
    <w:rsid w:val="00CC1ED3"/>
    <w:rsid w:val="00CC25B4"/>
    <w:rsid w:val="00CC272C"/>
    <w:rsid w:val="00CC2A8E"/>
    <w:rsid w:val="00CC3747"/>
    <w:rsid w:val="00CC3757"/>
    <w:rsid w:val="00CC3EB1"/>
    <w:rsid w:val="00CC435C"/>
    <w:rsid w:val="00CC47ED"/>
    <w:rsid w:val="00CC48F3"/>
    <w:rsid w:val="00CC49CF"/>
    <w:rsid w:val="00CC4CC7"/>
    <w:rsid w:val="00CC50DA"/>
    <w:rsid w:val="00CC552D"/>
    <w:rsid w:val="00CC6E6C"/>
    <w:rsid w:val="00CC6F1A"/>
    <w:rsid w:val="00CC7659"/>
    <w:rsid w:val="00CC7903"/>
    <w:rsid w:val="00CD016A"/>
    <w:rsid w:val="00CD04C4"/>
    <w:rsid w:val="00CD0E52"/>
    <w:rsid w:val="00CD0F45"/>
    <w:rsid w:val="00CD1851"/>
    <w:rsid w:val="00CD2640"/>
    <w:rsid w:val="00CD2FC2"/>
    <w:rsid w:val="00CD3D7E"/>
    <w:rsid w:val="00CD4145"/>
    <w:rsid w:val="00CD4F44"/>
    <w:rsid w:val="00CD54FF"/>
    <w:rsid w:val="00CD5FDC"/>
    <w:rsid w:val="00CD6F80"/>
    <w:rsid w:val="00CD6F83"/>
    <w:rsid w:val="00CD7780"/>
    <w:rsid w:val="00CD7D32"/>
    <w:rsid w:val="00CD7DA2"/>
    <w:rsid w:val="00CE02A8"/>
    <w:rsid w:val="00CE0781"/>
    <w:rsid w:val="00CE104D"/>
    <w:rsid w:val="00CE1570"/>
    <w:rsid w:val="00CE236F"/>
    <w:rsid w:val="00CE2DD3"/>
    <w:rsid w:val="00CE31FE"/>
    <w:rsid w:val="00CE3ABF"/>
    <w:rsid w:val="00CE4619"/>
    <w:rsid w:val="00CE533D"/>
    <w:rsid w:val="00CE55DF"/>
    <w:rsid w:val="00CE5ED8"/>
    <w:rsid w:val="00CE63FE"/>
    <w:rsid w:val="00CE6AC0"/>
    <w:rsid w:val="00CE7254"/>
    <w:rsid w:val="00CF0358"/>
    <w:rsid w:val="00CF0F70"/>
    <w:rsid w:val="00CF1C06"/>
    <w:rsid w:val="00CF2056"/>
    <w:rsid w:val="00CF2B3A"/>
    <w:rsid w:val="00CF3117"/>
    <w:rsid w:val="00CF33B3"/>
    <w:rsid w:val="00CF34FE"/>
    <w:rsid w:val="00CF3A67"/>
    <w:rsid w:val="00CF3D65"/>
    <w:rsid w:val="00CF62C2"/>
    <w:rsid w:val="00CF70AD"/>
    <w:rsid w:val="00CF71BE"/>
    <w:rsid w:val="00CF7EF9"/>
    <w:rsid w:val="00D010DC"/>
    <w:rsid w:val="00D012BA"/>
    <w:rsid w:val="00D01A78"/>
    <w:rsid w:val="00D01F34"/>
    <w:rsid w:val="00D02424"/>
    <w:rsid w:val="00D024E6"/>
    <w:rsid w:val="00D02767"/>
    <w:rsid w:val="00D02F1C"/>
    <w:rsid w:val="00D033A8"/>
    <w:rsid w:val="00D0343A"/>
    <w:rsid w:val="00D034EE"/>
    <w:rsid w:val="00D04277"/>
    <w:rsid w:val="00D04F7F"/>
    <w:rsid w:val="00D04FF8"/>
    <w:rsid w:val="00D05686"/>
    <w:rsid w:val="00D059B5"/>
    <w:rsid w:val="00D059BF"/>
    <w:rsid w:val="00D05ACD"/>
    <w:rsid w:val="00D05C92"/>
    <w:rsid w:val="00D05CC8"/>
    <w:rsid w:val="00D062CD"/>
    <w:rsid w:val="00D0678A"/>
    <w:rsid w:val="00D06D72"/>
    <w:rsid w:val="00D07397"/>
    <w:rsid w:val="00D0750E"/>
    <w:rsid w:val="00D075AE"/>
    <w:rsid w:val="00D1018C"/>
    <w:rsid w:val="00D1056B"/>
    <w:rsid w:val="00D1067A"/>
    <w:rsid w:val="00D10DA6"/>
    <w:rsid w:val="00D11617"/>
    <w:rsid w:val="00D1208F"/>
    <w:rsid w:val="00D12A42"/>
    <w:rsid w:val="00D13C0E"/>
    <w:rsid w:val="00D14C17"/>
    <w:rsid w:val="00D15D12"/>
    <w:rsid w:val="00D16338"/>
    <w:rsid w:val="00D21754"/>
    <w:rsid w:val="00D21BC6"/>
    <w:rsid w:val="00D21D8A"/>
    <w:rsid w:val="00D225A5"/>
    <w:rsid w:val="00D23320"/>
    <w:rsid w:val="00D24176"/>
    <w:rsid w:val="00D2446E"/>
    <w:rsid w:val="00D24D5B"/>
    <w:rsid w:val="00D24F25"/>
    <w:rsid w:val="00D25B6E"/>
    <w:rsid w:val="00D25E18"/>
    <w:rsid w:val="00D25F4C"/>
    <w:rsid w:val="00D2628B"/>
    <w:rsid w:val="00D26E65"/>
    <w:rsid w:val="00D27419"/>
    <w:rsid w:val="00D309FD"/>
    <w:rsid w:val="00D313FD"/>
    <w:rsid w:val="00D31569"/>
    <w:rsid w:val="00D31D2A"/>
    <w:rsid w:val="00D31E78"/>
    <w:rsid w:val="00D31FF3"/>
    <w:rsid w:val="00D320FF"/>
    <w:rsid w:val="00D327C1"/>
    <w:rsid w:val="00D330C6"/>
    <w:rsid w:val="00D3388E"/>
    <w:rsid w:val="00D338D3"/>
    <w:rsid w:val="00D3410D"/>
    <w:rsid w:val="00D3469C"/>
    <w:rsid w:val="00D34764"/>
    <w:rsid w:val="00D3476B"/>
    <w:rsid w:val="00D347FB"/>
    <w:rsid w:val="00D34AE4"/>
    <w:rsid w:val="00D34BB6"/>
    <w:rsid w:val="00D35A88"/>
    <w:rsid w:val="00D36384"/>
    <w:rsid w:val="00D36707"/>
    <w:rsid w:val="00D368EF"/>
    <w:rsid w:val="00D36941"/>
    <w:rsid w:val="00D36A13"/>
    <w:rsid w:val="00D36AA0"/>
    <w:rsid w:val="00D37A29"/>
    <w:rsid w:val="00D37DAD"/>
    <w:rsid w:val="00D41D02"/>
    <w:rsid w:val="00D4211F"/>
    <w:rsid w:val="00D432C4"/>
    <w:rsid w:val="00D434C7"/>
    <w:rsid w:val="00D43A42"/>
    <w:rsid w:val="00D43B88"/>
    <w:rsid w:val="00D43D6B"/>
    <w:rsid w:val="00D440D7"/>
    <w:rsid w:val="00D441D3"/>
    <w:rsid w:val="00D44AF7"/>
    <w:rsid w:val="00D44BAA"/>
    <w:rsid w:val="00D44BFB"/>
    <w:rsid w:val="00D44CDF"/>
    <w:rsid w:val="00D44D66"/>
    <w:rsid w:val="00D44F3D"/>
    <w:rsid w:val="00D455C6"/>
    <w:rsid w:val="00D45AB8"/>
    <w:rsid w:val="00D465EC"/>
    <w:rsid w:val="00D504E6"/>
    <w:rsid w:val="00D50649"/>
    <w:rsid w:val="00D5073A"/>
    <w:rsid w:val="00D50C43"/>
    <w:rsid w:val="00D50EA4"/>
    <w:rsid w:val="00D51433"/>
    <w:rsid w:val="00D51653"/>
    <w:rsid w:val="00D51726"/>
    <w:rsid w:val="00D5196D"/>
    <w:rsid w:val="00D51A51"/>
    <w:rsid w:val="00D51DFC"/>
    <w:rsid w:val="00D52168"/>
    <w:rsid w:val="00D52433"/>
    <w:rsid w:val="00D5290D"/>
    <w:rsid w:val="00D52AF6"/>
    <w:rsid w:val="00D52B34"/>
    <w:rsid w:val="00D52D77"/>
    <w:rsid w:val="00D53353"/>
    <w:rsid w:val="00D53689"/>
    <w:rsid w:val="00D53920"/>
    <w:rsid w:val="00D539A3"/>
    <w:rsid w:val="00D54EB5"/>
    <w:rsid w:val="00D54FEB"/>
    <w:rsid w:val="00D55B9A"/>
    <w:rsid w:val="00D57741"/>
    <w:rsid w:val="00D5793F"/>
    <w:rsid w:val="00D60BAD"/>
    <w:rsid w:val="00D60FD8"/>
    <w:rsid w:val="00D614F3"/>
    <w:rsid w:val="00D627AE"/>
    <w:rsid w:val="00D62EE2"/>
    <w:rsid w:val="00D640BE"/>
    <w:rsid w:val="00D64E14"/>
    <w:rsid w:val="00D652AB"/>
    <w:rsid w:val="00D65415"/>
    <w:rsid w:val="00D65CC6"/>
    <w:rsid w:val="00D65E88"/>
    <w:rsid w:val="00D667C5"/>
    <w:rsid w:val="00D66EE1"/>
    <w:rsid w:val="00D67FCF"/>
    <w:rsid w:val="00D700EA"/>
    <w:rsid w:val="00D7079C"/>
    <w:rsid w:val="00D710CC"/>
    <w:rsid w:val="00D713D1"/>
    <w:rsid w:val="00D71D78"/>
    <w:rsid w:val="00D71FD6"/>
    <w:rsid w:val="00D7245C"/>
    <w:rsid w:val="00D72A1E"/>
    <w:rsid w:val="00D73155"/>
    <w:rsid w:val="00D738AC"/>
    <w:rsid w:val="00D73B90"/>
    <w:rsid w:val="00D7562A"/>
    <w:rsid w:val="00D75A76"/>
    <w:rsid w:val="00D75DAA"/>
    <w:rsid w:val="00D76A2B"/>
    <w:rsid w:val="00D76ADD"/>
    <w:rsid w:val="00D7723D"/>
    <w:rsid w:val="00D77EE3"/>
    <w:rsid w:val="00D77FFD"/>
    <w:rsid w:val="00D80237"/>
    <w:rsid w:val="00D80F7C"/>
    <w:rsid w:val="00D81A12"/>
    <w:rsid w:val="00D82255"/>
    <w:rsid w:val="00D824FE"/>
    <w:rsid w:val="00D82AB2"/>
    <w:rsid w:val="00D84E97"/>
    <w:rsid w:val="00D855B6"/>
    <w:rsid w:val="00D85A94"/>
    <w:rsid w:val="00D85B1E"/>
    <w:rsid w:val="00D864C1"/>
    <w:rsid w:val="00D86684"/>
    <w:rsid w:val="00D8700E"/>
    <w:rsid w:val="00D87D43"/>
    <w:rsid w:val="00D87F99"/>
    <w:rsid w:val="00D903C6"/>
    <w:rsid w:val="00D90897"/>
    <w:rsid w:val="00D90F2E"/>
    <w:rsid w:val="00D913EC"/>
    <w:rsid w:val="00D920A1"/>
    <w:rsid w:val="00D93267"/>
    <w:rsid w:val="00D932FD"/>
    <w:rsid w:val="00D943F7"/>
    <w:rsid w:val="00D950B5"/>
    <w:rsid w:val="00D9612B"/>
    <w:rsid w:val="00D962CD"/>
    <w:rsid w:val="00D96414"/>
    <w:rsid w:val="00D97452"/>
    <w:rsid w:val="00D97AE5"/>
    <w:rsid w:val="00DA00C3"/>
    <w:rsid w:val="00DA025A"/>
    <w:rsid w:val="00DA100A"/>
    <w:rsid w:val="00DA13CF"/>
    <w:rsid w:val="00DA1440"/>
    <w:rsid w:val="00DA1632"/>
    <w:rsid w:val="00DA1DE4"/>
    <w:rsid w:val="00DA261A"/>
    <w:rsid w:val="00DA2620"/>
    <w:rsid w:val="00DA29F9"/>
    <w:rsid w:val="00DA2B69"/>
    <w:rsid w:val="00DA309F"/>
    <w:rsid w:val="00DA34C8"/>
    <w:rsid w:val="00DA4925"/>
    <w:rsid w:val="00DA51BE"/>
    <w:rsid w:val="00DA56AF"/>
    <w:rsid w:val="00DA648D"/>
    <w:rsid w:val="00DA7425"/>
    <w:rsid w:val="00DB09D4"/>
    <w:rsid w:val="00DB0EF1"/>
    <w:rsid w:val="00DB0FEA"/>
    <w:rsid w:val="00DB1C5B"/>
    <w:rsid w:val="00DB1E67"/>
    <w:rsid w:val="00DB2043"/>
    <w:rsid w:val="00DB2061"/>
    <w:rsid w:val="00DB28F2"/>
    <w:rsid w:val="00DB2C91"/>
    <w:rsid w:val="00DB333F"/>
    <w:rsid w:val="00DB3CFB"/>
    <w:rsid w:val="00DB4114"/>
    <w:rsid w:val="00DB51C0"/>
    <w:rsid w:val="00DB6415"/>
    <w:rsid w:val="00DB67E6"/>
    <w:rsid w:val="00DB74AC"/>
    <w:rsid w:val="00DB7E57"/>
    <w:rsid w:val="00DC00D8"/>
    <w:rsid w:val="00DC04D9"/>
    <w:rsid w:val="00DC0B9F"/>
    <w:rsid w:val="00DC1652"/>
    <w:rsid w:val="00DC1D33"/>
    <w:rsid w:val="00DC1FA4"/>
    <w:rsid w:val="00DC274D"/>
    <w:rsid w:val="00DC35A8"/>
    <w:rsid w:val="00DC3C08"/>
    <w:rsid w:val="00DC462A"/>
    <w:rsid w:val="00DC569E"/>
    <w:rsid w:val="00DC68FA"/>
    <w:rsid w:val="00DC6EC3"/>
    <w:rsid w:val="00DC7C3F"/>
    <w:rsid w:val="00DC7FD8"/>
    <w:rsid w:val="00DD12D8"/>
    <w:rsid w:val="00DD1425"/>
    <w:rsid w:val="00DD2677"/>
    <w:rsid w:val="00DD356C"/>
    <w:rsid w:val="00DD4379"/>
    <w:rsid w:val="00DD4DA6"/>
    <w:rsid w:val="00DD4E13"/>
    <w:rsid w:val="00DD559F"/>
    <w:rsid w:val="00DD5FD4"/>
    <w:rsid w:val="00DD656A"/>
    <w:rsid w:val="00DD78CE"/>
    <w:rsid w:val="00DD7AD2"/>
    <w:rsid w:val="00DE08F5"/>
    <w:rsid w:val="00DE0CE0"/>
    <w:rsid w:val="00DE0FB4"/>
    <w:rsid w:val="00DE1432"/>
    <w:rsid w:val="00DE2666"/>
    <w:rsid w:val="00DE2D7C"/>
    <w:rsid w:val="00DE3162"/>
    <w:rsid w:val="00DE3919"/>
    <w:rsid w:val="00DE407C"/>
    <w:rsid w:val="00DE40B1"/>
    <w:rsid w:val="00DE444B"/>
    <w:rsid w:val="00DE586D"/>
    <w:rsid w:val="00DE5F5D"/>
    <w:rsid w:val="00DE5FEF"/>
    <w:rsid w:val="00DE7FAC"/>
    <w:rsid w:val="00DF0481"/>
    <w:rsid w:val="00DF0ABD"/>
    <w:rsid w:val="00DF0B9C"/>
    <w:rsid w:val="00DF0BE0"/>
    <w:rsid w:val="00DF24F9"/>
    <w:rsid w:val="00DF319B"/>
    <w:rsid w:val="00DF3781"/>
    <w:rsid w:val="00DF569F"/>
    <w:rsid w:val="00DF627F"/>
    <w:rsid w:val="00DF694F"/>
    <w:rsid w:val="00DF7DCA"/>
    <w:rsid w:val="00E00017"/>
    <w:rsid w:val="00E004DD"/>
    <w:rsid w:val="00E00754"/>
    <w:rsid w:val="00E00BD9"/>
    <w:rsid w:val="00E00D42"/>
    <w:rsid w:val="00E021EE"/>
    <w:rsid w:val="00E0251D"/>
    <w:rsid w:val="00E02AE8"/>
    <w:rsid w:val="00E031A5"/>
    <w:rsid w:val="00E037EA"/>
    <w:rsid w:val="00E0472F"/>
    <w:rsid w:val="00E053CF"/>
    <w:rsid w:val="00E059BF"/>
    <w:rsid w:val="00E05A36"/>
    <w:rsid w:val="00E07714"/>
    <w:rsid w:val="00E07A10"/>
    <w:rsid w:val="00E07A61"/>
    <w:rsid w:val="00E07F76"/>
    <w:rsid w:val="00E10EAB"/>
    <w:rsid w:val="00E11297"/>
    <w:rsid w:val="00E122A2"/>
    <w:rsid w:val="00E12D9F"/>
    <w:rsid w:val="00E13ED7"/>
    <w:rsid w:val="00E15C9F"/>
    <w:rsid w:val="00E16165"/>
    <w:rsid w:val="00E1626E"/>
    <w:rsid w:val="00E174D7"/>
    <w:rsid w:val="00E17826"/>
    <w:rsid w:val="00E17D68"/>
    <w:rsid w:val="00E201DA"/>
    <w:rsid w:val="00E210E8"/>
    <w:rsid w:val="00E21AEC"/>
    <w:rsid w:val="00E22147"/>
    <w:rsid w:val="00E223EE"/>
    <w:rsid w:val="00E22BA8"/>
    <w:rsid w:val="00E24470"/>
    <w:rsid w:val="00E2473D"/>
    <w:rsid w:val="00E249E7"/>
    <w:rsid w:val="00E2550A"/>
    <w:rsid w:val="00E25D11"/>
    <w:rsid w:val="00E2795A"/>
    <w:rsid w:val="00E30361"/>
    <w:rsid w:val="00E308E1"/>
    <w:rsid w:val="00E30A5B"/>
    <w:rsid w:val="00E31BFC"/>
    <w:rsid w:val="00E32284"/>
    <w:rsid w:val="00E3241E"/>
    <w:rsid w:val="00E3251D"/>
    <w:rsid w:val="00E32A6F"/>
    <w:rsid w:val="00E33732"/>
    <w:rsid w:val="00E33F47"/>
    <w:rsid w:val="00E344D9"/>
    <w:rsid w:val="00E34A26"/>
    <w:rsid w:val="00E34E58"/>
    <w:rsid w:val="00E34E98"/>
    <w:rsid w:val="00E35552"/>
    <w:rsid w:val="00E3633F"/>
    <w:rsid w:val="00E36B72"/>
    <w:rsid w:val="00E3757D"/>
    <w:rsid w:val="00E375C2"/>
    <w:rsid w:val="00E37F75"/>
    <w:rsid w:val="00E402A1"/>
    <w:rsid w:val="00E408D0"/>
    <w:rsid w:val="00E4095A"/>
    <w:rsid w:val="00E40C46"/>
    <w:rsid w:val="00E41223"/>
    <w:rsid w:val="00E4280A"/>
    <w:rsid w:val="00E44364"/>
    <w:rsid w:val="00E44842"/>
    <w:rsid w:val="00E44E1B"/>
    <w:rsid w:val="00E45A15"/>
    <w:rsid w:val="00E46A90"/>
    <w:rsid w:val="00E46B04"/>
    <w:rsid w:val="00E502DD"/>
    <w:rsid w:val="00E50A6F"/>
    <w:rsid w:val="00E516E9"/>
    <w:rsid w:val="00E51AB7"/>
    <w:rsid w:val="00E51F40"/>
    <w:rsid w:val="00E52075"/>
    <w:rsid w:val="00E52118"/>
    <w:rsid w:val="00E52ED7"/>
    <w:rsid w:val="00E53587"/>
    <w:rsid w:val="00E53F2D"/>
    <w:rsid w:val="00E54DBC"/>
    <w:rsid w:val="00E550D8"/>
    <w:rsid w:val="00E5528C"/>
    <w:rsid w:val="00E553AF"/>
    <w:rsid w:val="00E554F5"/>
    <w:rsid w:val="00E56023"/>
    <w:rsid w:val="00E563C9"/>
    <w:rsid w:val="00E569C0"/>
    <w:rsid w:val="00E56DF9"/>
    <w:rsid w:val="00E57507"/>
    <w:rsid w:val="00E575B8"/>
    <w:rsid w:val="00E6040F"/>
    <w:rsid w:val="00E60932"/>
    <w:rsid w:val="00E60BE6"/>
    <w:rsid w:val="00E60D9D"/>
    <w:rsid w:val="00E61FC4"/>
    <w:rsid w:val="00E62133"/>
    <w:rsid w:val="00E62599"/>
    <w:rsid w:val="00E636D0"/>
    <w:rsid w:val="00E644A6"/>
    <w:rsid w:val="00E653B2"/>
    <w:rsid w:val="00E65515"/>
    <w:rsid w:val="00E656DB"/>
    <w:rsid w:val="00E659FA"/>
    <w:rsid w:val="00E65B4C"/>
    <w:rsid w:val="00E663FD"/>
    <w:rsid w:val="00E67B59"/>
    <w:rsid w:val="00E67F95"/>
    <w:rsid w:val="00E71292"/>
    <w:rsid w:val="00E713A7"/>
    <w:rsid w:val="00E7170C"/>
    <w:rsid w:val="00E718AA"/>
    <w:rsid w:val="00E7269A"/>
    <w:rsid w:val="00E72DE0"/>
    <w:rsid w:val="00E73377"/>
    <w:rsid w:val="00E73A67"/>
    <w:rsid w:val="00E744D0"/>
    <w:rsid w:val="00E7484F"/>
    <w:rsid w:val="00E748AA"/>
    <w:rsid w:val="00E75104"/>
    <w:rsid w:val="00E76D99"/>
    <w:rsid w:val="00E7723B"/>
    <w:rsid w:val="00E77390"/>
    <w:rsid w:val="00E775A2"/>
    <w:rsid w:val="00E778D7"/>
    <w:rsid w:val="00E77E2F"/>
    <w:rsid w:val="00E815C7"/>
    <w:rsid w:val="00E816B1"/>
    <w:rsid w:val="00E8219B"/>
    <w:rsid w:val="00E82570"/>
    <w:rsid w:val="00E8289B"/>
    <w:rsid w:val="00E834F3"/>
    <w:rsid w:val="00E83596"/>
    <w:rsid w:val="00E838BE"/>
    <w:rsid w:val="00E84303"/>
    <w:rsid w:val="00E84474"/>
    <w:rsid w:val="00E846BE"/>
    <w:rsid w:val="00E85156"/>
    <w:rsid w:val="00E867A2"/>
    <w:rsid w:val="00E86A42"/>
    <w:rsid w:val="00E86D9F"/>
    <w:rsid w:val="00E87088"/>
    <w:rsid w:val="00E8726D"/>
    <w:rsid w:val="00E87392"/>
    <w:rsid w:val="00E87467"/>
    <w:rsid w:val="00E874A3"/>
    <w:rsid w:val="00E87E1E"/>
    <w:rsid w:val="00E9135E"/>
    <w:rsid w:val="00E91DA5"/>
    <w:rsid w:val="00E93969"/>
    <w:rsid w:val="00E93978"/>
    <w:rsid w:val="00E93D0C"/>
    <w:rsid w:val="00E945F0"/>
    <w:rsid w:val="00E957A4"/>
    <w:rsid w:val="00E95E20"/>
    <w:rsid w:val="00E97630"/>
    <w:rsid w:val="00E97B48"/>
    <w:rsid w:val="00E97C10"/>
    <w:rsid w:val="00E97CCF"/>
    <w:rsid w:val="00EA017C"/>
    <w:rsid w:val="00EA1169"/>
    <w:rsid w:val="00EA1D6B"/>
    <w:rsid w:val="00EA25D2"/>
    <w:rsid w:val="00EA3324"/>
    <w:rsid w:val="00EA41E1"/>
    <w:rsid w:val="00EA49DA"/>
    <w:rsid w:val="00EA50A4"/>
    <w:rsid w:val="00EA654E"/>
    <w:rsid w:val="00EA6903"/>
    <w:rsid w:val="00EA6A5E"/>
    <w:rsid w:val="00EA7229"/>
    <w:rsid w:val="00EA7EEE"/>
    <w:rsid w:val="00EB0406"/>
    <w:rsid w:val="00EB0553"/>
    <w:rsid w:val="00EB0714"/>
    <w:rsid w:val="00EB0839"/>
    <w:rsid w:val="00EB19AD"/>
    <w:rsid w:val="00EB1D8F"/>
    <w:rsid w:val="00EB1DE3"/>
    <w:rsid w:val="00EB24D4"/>
    <w:rsid w:val="00EB354B"/>
    <w:rsid w:val="00EB3550"/>
    <w:rsid w:val="00EB3623"/>
    <w:rsid w:val="00EB3627"/>
    <w:rsid w:val="00EB46DA"/>
    <w:rsid w:val="00EB6260"/>
    <w:rsid w:val="00EB6535"/>
    <w:rsid w:val="00EB6FCC"/>
    <w:rsid w:val="00EB705E"/>
    <w:rsid w:val="00EB7370"/>
    <w:rsid w:val="00EB743D"/>
    <w:rsid w:val="00EB7BD0"/>
    <w:rsid w:val="00EB7EE3"/>
    <w:rsid w:val="00EC1061"/>
    <w:rsid w:val="00EC1633"/>
    <w:rsid w:val="00EC18CD"/>
    <w:rsid w:val="00EC1F3A"/>
    <w:rsid w:val="00EC1F45"/>
    <w:rsid w:val="00EC1FEC"/>
    <w:rsid w:val="00EC3407"/>
    <w:rsid w:val="00EC3862"/>
    <w:rsid w:val="00EC38C9"/>
    <w:rsid w:val="00EC419D"/>
    <w:rsid w:val="00EC4944"/>
    <w:rsid w:val="00EC4974"/>
    <w:rsid w:val="00EC63D9"/>
    <w:rsid w:val="00EC6AA4"/>
    <w:rsid w:val="00EC7B6C"/>
    <w:rsid w:val="00EC7BB9"/>
    <w:rsid w:val="00ED0623"/>
    <w:rsid w:val="00ED09C2"/>
    <w:rsid w:val="00ED0D10"/>
    <w:rsid w:val="00ED1A66"/>
    <w:rsid w:val="00ED1E4F"/>
    <w:rsid w:val="00ED2C73"/>
    <w:rsid w:val="00ED3577"/>
    <w:rsid w:val="00ED35B0"/>
    <w:rsid w:val="00ED41E2"/>
    <w:rsid w:val="00ED5821"/>
    <w:rsid w:val="00ED5CA3"/>
    <w:rsid w:val="00ED5D1C"/>
    <w:rsid w:val="00ED6014"/>
    <w:rsid w:val="00ED6820"/>
    <w:rsid w:val="00ED78F4"/>
    <w:rsid w:val="00EE0620"/>
    <w:rsid w:val="00EE06D6"/>
    <w:rsid w:val="00EE08C1"/>
    <w:rsid w:val="00EE0A05"/>
    <w:rsid w:val="00EE10D1"/>
    <w:rsid w:val="00EE1742"/>
    <w:rsid w:val="00EE1772"/>
    <w:rsid w:val="00EE17FD"/>
    <w:rsid w:val="00EE2024"/>
    <w:rsid w:val="00EE24E1"/>
    <w:rsid w:val="00EE2692"/>
    <w:rsid w:val="00EE27AE"/>
    <w:rsid w:val="00EE3309"/>
    <w:rsid w:val="00EE35F3"/>
    <w:rsid w:val="00EE3B35"/>
    <w:rsid w:val="00EE441F"/>
    <w:rsid w:val="00EE47A0"/>
    <w:rsid w:val="00EE5A31"/>
    <w:rsid w:val="00EE6145"/>
    <w:rsid w:val="00EE73B8"/>
    <w:rsid w:val="00EE7B9A"/>
    <w:rsid w:val="00EE7ED2"/>
    <w:rsid w:val="00EF0DA8"/>
    <w:rsid w:val="00EF0DD5"/>
    <w:rsid w:val="00EF1D58"/>
    <w:rsid w:val="00EF2044"/>
    <w:rsid w:val="00EF358B"/>
    <w:rsid w:val="00EF3981"/>
    <w:rsid w:val="00EF3B1E"/>
    <w:rsid w:val="00EF3B7E"/>
    <w:rsid w:val="00EF428E"/>
    <w:rsid w:val="00EF45C2"/>
    <w:rsid w:val="00EF6297"/>
    <w:rsid w:val="00EF656D"/>
    <w:rsid w:val="00F016B5"/>
    <w:rsid w:val="00F018E1"/>
    <w:rsid w:val="00F01F66"/>
    <w:rsid w:val="00F02093"/>
    <w:rsid w:val="00F02154"/>
    <w:rsid w:val="00F03167"/>
    <w:rsid w:val="00F03424"/>
    <w:rsid w:val="00F0353D"/>
    <w:rsid w:val="00F043D4"/>
    <w:rsid w:val="00F04403"/>
    <w:rsid w:val="00F044B8"/>
    <w:rsid w:val="00F04B4B"/>
    <w:rsid w:val="00F066B9"/>
    <w:rsid w:val="00F06D3F"/>
    <w:rsid w:val="00F0703F"/>
    <w:rsid w:val="00F07249"/>
    <w:rsid w:val="00F0732A"/>
    <w:rsid w:val="00F077FD"/>
    <w:rsid w:val="00F1058A"/>
    <w:rsid w:val="00F10680"/>
    <w:rsid w:val="00F108B2"/>
    <w:rsid w:val="00F11808"/>
    <w:rsid w:val="00F11B13"/>
    <w:rsid w:val="00F1238E"/>
    <w:rsid w:val="00F12A05"/>
    <w:rsid w:val="00F12E18"/>
    <w:rsid w:val="00F12F72"/>
    <w:rsid w:val="00F14284"/>
    <w:rsid w:val="00F14FC6"/>
    <w:rsid w:val="00F154B1"/>
    <w:rsid w:val="00F154C1"/>
    <w:rsid w:val="00F15900"/>
    <w:rsid w:val="00F15903"/>
    <w:rsid w:val="00F169F3"/>
    <w:rsid w:val="00F176F6"/>
    <w:rsid w:val="00F1789E"/>
    <w:rsid w:val="00F20102"/>
    <w:rsid w:val="00F203ED"/>
    <w:rsid w:val="00F2048B"/>
    <w:rsid w:val="00F21285"/>
    <w:rsid w:val="00F21676"/>
    <w:rsid w:val="00F23A18"/>
    <w:rsid w:val="00F2487D"/>
    <w:rsid w:val="00F24C3E"/>
    <w:rsid w:val="00F25982"/>
    <w:rsid w:val="00F2628D"/>
    <w:rsid w:val="00F3026E"/>
    <w:rsid w:val="00F30563"/>
    <w:rsid w:val="00F3081B"/>
    <w:rsid w:val="00F31624"/>
    <w:rsid w:val="00F32738"/>
    <w:rsid w:val="00F3298A"/>
    <w:rsid w:val="00F335B3"/>
    <w:rsid w:val="00F3394F"/>
    <w:rsid w:val="00F33C0A"/>
    <w:rsid w:val="00F33D45"/>
    <w:rsid w:val="00F33E1E"/>
    <w:rsid w:val="00F342A8"/>
    <w:rsid w:val="00F34872"/>
    <w:rsid w:val="00F35338"/>
    <w:rsid w:val="00F368BB"/>
    <w:rsid w:val="00F3707F"/>
    <w:rsid w:val="00F3773D"/>
    <w:rsid w:val="00F4040D"/>
    <w:rsid w:val="00F40EDF"/>
    <w:rsid w:val="00F41160"/>
    <w:rsid w:val="00F42235"/>
    <w:rsid w:val="00F424E0"/>
    <w:rsid w:val="00F43CE7"/>
    <w:rsid w:val="00F451DF"/>
    <w:rsid w:val="00F4561A"/>
    <w:rsid w:val="00F45E55"/>
    <w:rsid w:val="00F46088"/>
    <w:rsid w:val="00F461C3"/>
    <w:rsid w:val="00F46280"/>
    <w:rsid w:val="00F4649E"/>
    <w:rsid w:val="00F47A21"/>
    <w:rsid w:val="00F47DD1"/>
    <w:rsid w:val="00F507D9"/>
    <w:rsid w:val="00F509EB"/>
    <w:rsid w:val="00F50F24"/>
    <w:rsid w:val="00F51AA0"/>
    <w:rsid w:val="00F51D68"/>
    <w:rsid w:val="00F5207B"/>
    <w:rsid w:val="00F525C7"/>
    <w:rsid w:val="00F52ABC"/>
    <w:rsid w:val="00F53A1C"/>
    <w:rsid w:val="00F54C6B"/>
    <w:rsid w:val="00F54E79"/>
    <w:rsid w:val="00F55218"/>
    <w:rsid w:val="00F55598"/>
    <w:rsid w:val="00F563CD"/>
    <w:rsid w:val="00F56C9E"/>
    <w:rsid w:val="00F572F3"/>
    <w:rsid w:val="00F57310"/>
    <w:rsid w:val="00F576D2"/>
    <w:rsid w:val="00F57873"/>
    <w:rsid w:val="00F60180"/>
    <w:rsid w:val="00F6045A"/>
    <w:rsid w:val="00F61006"/>
    <w:rsid w:val="00F61328"/>
    <w:rsid w:val="00F61415"/>
    <w:rsid w:val="00F6144C"/>
    <w:rsid w:val="00F614C9"/>
    <w:rsid w:val="00F61B88"/>
    <w:rsid w:val="00F61BBF"/>
    <w:rsid w:val="00F61FA0"/>
    <w:rsid w:val="00F63257"/>
    <w:rsid w:val="00F641E4"/>
    <w:rsid w:val="00F65B9D"/>
    <w:rsid w:val="00F65C1D"/>
    <w:rsid w:val="00F65FA4"/>
    <w:rsid w:val="00F66DCA"/>
    <w:rsid w:val="00F6797F"/>
    <w:rsid w:val="00F67EA5"/>
    <w:rsid w:val="00F712D7"/>
    <w:rsid w:val="00F71AD6"/>
    <w:rsid w:val="00F71AE5"/>
    <w:rsid w:val="00F72166"/>
    <w:rsid w:val="00F72BC5"/>
    <w:rsid w:val="00F72D18"/>
    <w:rsid w:val="00F765A3"/>
    <w:rsid w:val="00F771C4"/>
    <w:rsid w:val="00F7741F"/>
    <w:rsid w:val="00F779BB"/>
    <w:rsid w:val="00F77D5A"/>
    <w:rsid w:val="00F801AB"/>
    <w:rsid w:val="00F802E0"/>
    <w:rsid w:val="00F80525"/>
    <w:rsid w:val="00F810C5"/>
    <w:rsid w:val="00F813C7"/>
    <w:rsid w:val="00F818DF"/>
    <w:rsid w:val="00F819CA"/>
    <w:rsid w:val="00F81BBD"/>
    <w:rsid w:val="00F81D4B"/>
    <w:rsid w:val="00F81E63"/>
    <w:rsid w:val="00F83532"/>
    <w:rsid w:val="00F837F2"/>
    <w:rsid w:val="00F85A42"/>
    <w:rsid w:val="00F869EE"/>
    <w:rsid w:val="00F86D42"/>
    <w:rsid w:val="00F87484"/>
    <w:rsid w:val="00F87F79"/>
    <w:rsid w:val="00F903B9"/>
    <w:rsid w:val="00F905EB"/>
    <w:rsid w:val="00F907EA"/>
    <w:rsid w:val="00F909E9"/>
    <w:rsid w:val="00F919CB"/>
    <w:rsid w:val="00F919DF"/>
    <w:rsid w:val="00F91AEA"/>
    <w:rsid w:val="00F91CB9"/>
    <w:rsid w:val="00F923BD"/>
    <w:rsid w:val="00F929DE"/>
    <w:rsid w:val="00F92FFC"/>
    <w:rsid w:val="00F938E2"/>
    <w:rsid w:val="00F93A72"/>
    <w:rsid w:val="00F93F33"/>
    <w:rsid w:val="00F9580B"/>
    <w:rsid w:val="00F958F8"/>
    <w:rsid w:val="00F97AB0"/>
    <w:rsid w:val="00F97E2E"/>
    <w:rsid w:val="00FA0417"/>
    <w:rsid w:val="00FA0968"/>
    <w:rsid w:val="00FA0EC5"/>
    <w:rsid w:val="00FA1754"/>
    <w:rsid w:val="00FA1B1A"/>
    <w:rsid w:val="00FA1B32"/>
    <w:rsid w:val="00FA1F2F"/>
    <w:rsid w:val="00FA1F82"/>
    <w:rsid w:val="00FA36C0"/>
    <w:rsid w:val="00FA3FAC"/>
    <w:rsid w:val="00FA4D6B"/>
    <w:rsid w:val="00FA5353"/>
    <w:rsid w:val="00FA5D52"/>
    <w:rsid w:val="00FA74EB"/>
    <w:rsid w:val="00FA75F9"/>
    <w:rsid w:val="00FA777C"/>
    <w:rsid w:val="00FA7AFE"/>
    <w:rsid w:val="00FB04D1"/>
    <w:rsid w:val="00FB1065"/>
    <w:rsid w:val="00FB1BC8"/>
    <w:rsid w:val="00FB1F98"/>
    <w:rsid w:val="00FB260A"/>
    <w:rsid w:val="00FB29AE"/>
    <w:rsid w:val="00FB311D"/>
    <w:rsid w:val="00FB33F3"/>
    <w:rsid w:val="00FB35DD"/>
    <w:rsid w:val="00FB3EC6"/>
    <w:rsid w:val="00FB4A18"/>
    <w:rsid w:val="00FB5376"/>
    <w:rsid w:val="00FB6052"/>
    <w:rsid w:val="00FC0981"/>
    <w:rsid w:val="00FC27F3"/>
    <w:rsid w:val="00FC2CFB"/>
    <w:rsid w:val="00FC37F9"/>
    <w:rsid w:val="00FC393E"/>
    <w:rsid w:val="00FC4D59"/>
    <w:rsid w:val="00FC4EB6"/>
    <w:rsid w:val="00FC50F8"/>
    <w:rsid w:val="00FC5F05"/>
    <w:rsid w:val="00FC62DD"/>
    <w:rsid w:val="00FC6881"/>
    <w:rsid w:val="00FC7A62"/>
    <w:rsid w:val="00FD02B2"/>
    <w:rsid w:val="00FD033D"/>
    <w:rsid w:val="00FD18B5"/>
    <w:rsid w:val="00FD1F8B"/>
    <w:rsid w:val="00FD2B34"/>
    <w:rsid w:val="00FD375C"/>
    <w:rsid w:val="00FD3D9A"/>
    <w:rsid w:val="00FD40E1"/>
    <w:rsid w:val="00FD4118"/>
    <w:rsid w:val="00FD435D"/>
    <w:rsid w:val="00FD5970"/>
    <w:rsid w:val="00FD5B18"/>
    <w:rsid w:val="00FD62E3"/>
    <w:rsid w:val="00FD69D3"/>
    <w:rsid w:val="00FD6C67"/>
    <w:rsid w:val="00FD7114"/>
    <w:rsid w:val="00FD7172"/>
    <w:rsid w:val="00FD7439"/>
    <w:rsid w:val="00FD74C3"/>
    <w:rsid w:val="00FD7A48"/>
    <w:rsid w:val="00FD7F18"/>
    <w:rsid w:val="00FE02C1"/>
    <w:rsid w:val="00FE03DA"/>
    <w:rsid w:val="00FE0B8C"/>
    <w:rsid w:val="00FE1362"/>
    <w:rsid w:val="00FE1549"/>
    <w:rsid w:val="00FE1FAD"/>
    <w:rsid w:val="00FE39B1"/>
    <w:rsid w:val="00FE3F2B"/>
    <w:rsid w:val="00FE4A64"/>
    <w:rsid w:val="00FE5DBA"/>
    <w:rsid w:val="00FE6101"/>
    <w:rsid w:val="00FE6DCF"/>
    <w:rsid w:val="00FF01DB"/>
    <w:rsid w:val="00FF02B2"/>
    <w:rsid w:val="00FF0C0E"/>
    <w:rsid w:val="00FF0EB2"/>
    <w:rsid w:val="00FF18CF"/>
    <w:rsid w:val="00FF2929"/>
    <w:rsid w:val="00FF2CD8"/>
    <w:rsid w:val="00FF2E45"/>
    <w:rsid w:val="00FF3655"/>
    <w:rsid w:val="00FF3B6D"/>
    <w:rsid w:val="00FF3EC5"/>
    <w:rsid w:val="00FF423D"/>
    <w:rsid w:val="00FF45D7"/>
    <w:rsid w:val="00FF524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qFormat="1"/>
    <w:lsdException w:name="annotation text" w:uiPriority="99"/>
    <w:lsdException w:name="footer" w:uiPriority="99"/>
    <w:lsdException w:name="caption" w:locked="1"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List Number 4" w:uiPriority="99"/>
    <w:lsdException w:name="Title" w:locked="1" w:semiHidden="0" w:uiPriority="99" w:unhideWhenUsed="0" w:qFormat="1"/>
    <w:lsdException w:name="Default Paragraph Font" w:locked="1"/>
    <w:lsdException w:name="Body Text" w:uiPriority="99"/>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locked="1" w:semiHidden="0" w:unhideWhenUsed="0" w:qFormat="1"/>
    <w:lsdException w:name="Emphasis" w:locked="1" w:semiHidden="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locked="1"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754"/>
    <w:pPr>
      <w:spacing w:after="200"/>
    </w:pPr>
    <w:rPr>
      <w:rFonts w:ascii="Arial" w:eastAsia="Times New Roman" w:hAnsi="Arial"/>
      <w:sz w:val="18"/>
      <w:szCs w:val="24"/>
      <w:lang w:val="en-US" w:eastAsia="en-US"/>
    </w:rPr>
  </w:style>
  <w:style w:type="paragraph" w:styleId="Heading1">
    <w:name w:val="heading 1"/>
    <w:aliases w:val="(Alt + 1),H1"/>
    <w:next w:val="Heading2"/>
    <w:link w:val="Heading1Char"/>
    <w:qFormat/>
    <w:rsid w:val="00B50A16"/>
    <w:pPr>
      <w:keepNext/>
      <w:pageBreakBefore/>
      <w:numPr>
        <w:numId w:val="4"/>
      </w:numPr>
      <w:tabs>
        <w:tab w:val="left" w:pos="851"/>
      </w:tabs>
      <w:spacing w:after="960"/>
      <w:outlineLvl w:val="0"/>
    </w:pPr>
    <w:rPr>
      <w:rFonts w:ascii="Arial Bold" w:hAnsi="Arial Bold"/>
      <w:b/>
      <w:noProof/>
      <w:color w:val="0065A6"/>
      <w:kern w:val="28"/>
      <w:sz w:val="36"/>
      <w:szCs w:val="40"/>
    </w:rPr>
  </w:style>
  <w:style w:type="paragraph" w:styleId="Heading2">
    <w:name w:val="heading 2"/>
    <w:aliases w:val="(Alt + 2)"/>
    <w:next w:val="Normal"/>
    <w:link w:val="Heading2Char"/>
    <w:qFormat/>
    <w:rsid w:val="00B55EF3"/>
    <w:pPr>
      <w:numPr>
        <w:ilvl w:val="1"/>
        <w:numId w:val="4"/>
      </w:numPr>
      <w:tabs>
        <w:tab w:val="clear" w:pos="851"/>
      </w:tabs>
      <w:spacing w:before="120" w:after="60"/>
      <w:outlineLvl w:val="1"/>
    </w:pPr>
    <w:rPr>
      <w:rFonts w:ascii="Arial" w:hAnsi="Arial"/>
      <w:b/>
      <w:noProof/>
      <w:color w:val="0065A6"/>
      <w:sz w:val="26"/>
      <w:szCs w:val="30"/>
    </w:rPr>
  </w:style>
  <w:style w:type="paragraph" w:styleId="Heading3">
    <w:name w:val="heading 3"/>
    <w:aliases w:val="H3"/>
    <w:basedOn w:val="Heading2"/>
    <w:next w:val="Normal"/>
    <w:link w:val="Heading3Char"/>
    <w:qFormat/>
    <w:rsid w:val="00212F15"/>
    <w:pPr>
      <w:keepNext/>
      <w:numPr>
        <w:ilvl w:val="2"/>
      </w:numPr>
      <w:outlineLvl w:val="2"/>
    </w:pPr>
    <w:rPr>
      <w:sz w:val="22"/>
      <w:szCs w:val="26"/>
    </w:rPr>
  </w:style>
  <w:style w:type="paragraph" w:styleId="Heading4">
    <w:name w:val="heading 4"/>
    <w:aliases w:val="(Alt + 4)"/>
    <w:basedOn w:val="Heading3"/>
    <w:next w:val="Normal"/>
    <w:link w:val="Heading4Char"/>
    <w:qFormat/>
    <w:rsid w:val="00511CBF"/>
    <w:pPr>
      <w:numPr>
        <w:ilvl w:val="3"/>
      </w:numPr>
      <w:outlineLvl w:val="3"/>
    </w:pPr>
    <w:rPr>
      <w:sz w:val="20"/>
      <w:szCs w:val="22"/>
    </w:rPr>
  </w:style>
  <w:style w:type="paragraph" w:styleId="Heading5">
    <w:name w:val="heading 5"/>
    <w:aliases w:val="Appendix 1,Section &lt;Letter&gt;"/>
    <w:basedOn w:val="Normal"/>
    <w:next w:val="Normal"/>
    <w:link w:val="Heading5Char"/>
    <w:qFormat/>
    <w:rsid w:val="00F712D7"/>
    <w:pPr>
      <w:numPr>
        <w:ilvl w:val="4"/>
        <w:numId w:val="4"/>
      </w:numPr>
      <w:tabs>
        <w:tab w:val="left" w:pos="851"/>
      </w:tabs>
      <w:spacing w:before="120" w:after="60"/>
      <w:outlineLvl w:val="4"/>
    </w:pPr>
    <w:rPr>
      <w:rFonts w:eastAsia="Cambria"/>
      <w:sz w:val="20"/>
      <w:szCs w:val="20"/>
      <w:lang w:val="en-GB" w:eastAsia="en-AU"/>
    </w:rPr>
  </w:style>
  <w:style w:type="paragraph" w:styleId="Heading6">
    <w:name w:val="heading 6"/>
    <w:aliases w:val="Section &lt;Name&gt;"/>
    <w:basedOn w:val="Normal"/>
    <w:next w:val="Normal"/>
    <w:link w:val="Heading6Char"/>
    <w:qFormat/>
    <w:rsid w:val="00CD0E52"/>
    <w:pPr>
      <w:numPr>
        <w:ilvl w:val="5"/>
        <w:numId w:val="4"/>
      </w:numPr>
      <w:spacing w:before="240" w:after="60"/>
      <w:outlineLvl w:val="5"/>
    </w:pPr>
    <w:rPr>
      <w:rFonts w:eastAsia="Cambria"/>
      <w:i/>
      <w:noProof/>
      <w:sz w:val="22"/>
      <w:szCs w:val="20"/>
      <w:lang w:val="en-AU" w:eastAsia="en-AU"/>
    </w:rPr>
  </w:style>
  <w:style w:type="paragraph" w:styleId="Heading7">
    <w:name w:val="heading 7"/>
    <w:aliases w:val="(Appen),t,Appendix 3,Topic Title Name"/>
    <w:basedOn w:val="Heading1"/>
    <w:next w:val="Heading8"/>
    <w:link w:val="Heading7Char"/>
    <w:qFormat/>
    <w:rsid w:val="00CD0E52"/>
    <w:pPr>
      <w:numPr>
        <w:ilvl w:val="6"/>
      </w:numPr>
      <w:jc w:val="center"/>
      <w:outlineLvl w:val="6"/>
    </w:pPr>
    <w:rPr>
      <w:caps/>
    </w:rPr>
  </w:style>
  <w:style w:type="paragraph" w:styleId="Heading8">
    <w:name w:val="heading 8"/>
    <w:basedOn w:val="Heading2"/>
    <w:next w:val="Normal"/>
    <w:link w:val="Heading8Char"/>
    <w:qFormat/>
    <w:rsid w:val="00CD0E52"/>
    <w:pPr>
      <w:numPr>
        <w:ilvl w:val="7"/>
      </w:numPr>
      <w:outlineLvl w:val="7"/>
    </w:pPr>
  </w:style>
  <w:style w:type="paragraph" w:styleId="Heading9">
    <w:name w:val="heading 9"/>
    <w:basedOn w:val="Normal"/>
    <w:next w:val="Normal"/>
    <w:link w:val="Heading9Char"/>
    <w:qFormat/>
    <w:rsid w:val="00CD0E52"/>
    <w:pPr>
      <w:numPr>
        <w:ilvl w:val="8"/>
        <w:numId w:val="4"/>
      </w:numPr>
      <w:tabs>
        <w:tab w:val="left" w:pos="907"/>
      </w:tabs>
      <w:spacing w:before="240" w:after="60"/>
      <w:outlineLvl w:val="8"/>
    </w:pPr>
    <w:rPr>
      <w:rFonts w:eastAsia="Cambria"/>
      <w:i/>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lt + 2) Char"/>
    <w:link w:val="Heading2"/>
    <w:locked/>
    <w:rsid w:val="00B55EF3"/>
    <w:rPr>
      <w:rFonts w:ascii="Arial" w:hAnsi="Arial"/>
      <w:b/>
      <w:noProof/>
      <w:color w:val="0065A6"/>
      <w:sz w:val="26"/>
      <w:szCs w:val="30"/>
    </w:rPr>
  </w:style>
  <w:style w:type="character" w:customStyle="1" w:styleId="Heading1Char">
    <w:name w:val="Heading 1 Char"/>
    <w:aliases w:val="(Alt + 1) Char,H1 Char"/>
    <w:link w:val="Heading1"/>
    <w:locked/>
    <w:rsid w:val="00B50A16"/>
    <w:rPr>
      <w:rFonts w:ascii="Arial Bold" w:hAnsi="Arial Bold"/>
      <w:b/>
      <w:noProof/>
      <w:color w:val="0065A6"/>
      <w:kern w:val="28"/>
      <w:sz w:val="36"/>
      <w:szCs w:val="40"/>
    </w:rPr>
  </w:style>
  <w:style w:type="character" w:customStyle="1" w:styleId="Heading3Char">
    <w:name w:val="Heading 3 Char"/>
    <w:aliases w:val="H3 Char"/>
    <w:link w:val="Heading3"/>
    <w:locked/>
    <w:rsid w:val="00212F15"/>
    <w:rPr>
      <w:rFonts w:ascii="Arial" w:hAnsi="Arial"/>
      <w:noProof/>
      <w:sz w:val="22"/>
      <w:szCs w:val="26"/>
    </w:rPr>
  </w:style>
  <w:style w:type="character" w:customStyle="1" w:styleId="Heading4Char">
    <w:name w:val="Heading 4 Char"/>
    <w:aliases w:val="(Alt + 4) Char"/>
    <w:link w:val="Heading4"/>
    <w:locked/>
    <w:rsid w:val="00511CBF"/>
    <w:rPr>
      <w:rFonts w:ascii="Arial" w:hAnsi="Arial"/>
      <w:noProof/>
      <w:szCs w:val="22"/>
    </w:rPr>
  </w:style>
  <w:style w:type="character" w:customStyle="1" w:styleId="Heading5Char">
    <w:name w:val="Heading 5 Char"/>
    <w:aliases w:val="Appendix 1 Char,Section &lt;Letter&gt; Char"/>
    <w:link w:val="Heading5"/>
    <w:locked/>
    <w:rsid w:val="00F712D7"/>
    <w:rPr>
      <w:rFonts w:ascii="Arial" w:hAnsi="Arial"/>
      <w:lang w:val="en-GB"/>
    </w:rPr>
  </w:style>
  <w:style w:type="character" w:customStyle="1" w:styleId="Heading6Char">
    <w:name w:val="Heading 6 Char"/>
    <w:aliases w:val="Section &lt;Name&gt; Char"/>
    <w:link w:val="Heading6"/>
    <w:locked/>
    <w:rsid w:val="00CD0E52"/>
    <w:rPr>
      <w:rFonts w:ascii="Arial" w:hAnsi="Arial"/>
      <w:i/>
      <w:noProof/>
      <w:sz w:val="22"/>
    </w:rPr>
  </w:style>
  <w:style w:type="character" w:customStyle="1" w:styleId="Heading8Char">
    <w:name w:val="Heading 8 Char"/>
    <w:link w:val="Heading8"/>
    <w:locked/>
    <w:rsid w:val="00CD0E52"/>
    <w:rPr>
      <w:rFonts w:ascii="Arial" w:hAnsi="Arial"/>
      <w:noProof/>
      <w:sz w:val="24"/>
      <w:szCs w:val="30"/>
    </w:rPr>
  </w:style>
  <w:style w:type="character" w:customStyle="1" w:styleId="Heading7Char">
    <w:name w:val="Heading 7 Char"/>
    <w:aliases w:val="(Appen) Char,t Char,Appendix 3 Char,Topic Title Name Char"/>
    <w:link w:val="Heading7"/>
    <w:locked/>
    <w:rsid w:val="00CD0E52"/>
    <w:rPr>
      <w:rFonts w:ascii="Arial Bold" w:hAnsi="Arial Bold"/>
      <w:b/>
      <w:caps/>
      <w:noProof/>
      <w:color w:val="4D4D4D"/>
      <w:kern w:val="28"/>
      <w:sz w:val="30"/>
      <w:szCs w:val="40"/>
    </w:rPr>
  </w:style>
  <w:style w:type="character" w:customStyle="1" w:styleId="Heading9Char">
    <w:name w:val="Heading 9 Char"/>
    <w:link w:val="Heading9"/>
    <w:locked/>
    <w:rsid w:val="00CD0E52"/>
    <w:rPr>
      <w:rFonts w:ascii="Arial" w:hAnsi="Arial"/>
      <w:i/>
      <w:sz w:val="18"/>
      <w:lang w:val="en-GB"/>
    </w:rPr>
  </w:style>
  <w:style w:type="paragraph" w:styleId="Footer">
    <w:name w:val="footer"/>
    <w:aliases w:val="Footer Base"/>
    <w:basedOn w:val="Normal"/>
    <w:link w:val="FooterChar"/>
    <w:uiPriority w:val="99"/>
    <w:rsid w:val="00511CBF"/>
    <w:pPr>
      <w:tabs>
        <w:tab w:val="center" w:pos="4320"/>
        <w:tab w:val="right" w:pos="8640"/>
      </w:tabs>
      <w:spacing w:after="0"/>
    </w:pPr>
  </w:style>
  <w:style w:type="character" w:customStyle="1" w:styleId="FooterChar">
    <w:name w:val="Footer Char"/>
    <w:aliases w:val="Footer Base Char"/>
    <w:link w:val="Footer"/>
    <w:uiPriority w:val="99"/>
    <w:locked/>
    <w:rsid w:val="00511CBF"/>
    <w:rPr>
      <w:rFonts w:ascii="Arial" w:hAnsi="Arial"/>
      <w:sz w:val="18"/>
      <w:szCs w:val="24"/>
      <w:lang w:val="en-US" w:eastAsia="en-US" w:bidi="ar-SA"/>
    </w:rPr>
  </w:style>
  <w:style w:type="paragraph" w:customStyle="1" w:styleId="boxed9ptBoldAltX">
    <w:name w:val="boxed 9pt Bold Alt + X"/>
    <w:basedOn w:val="Normal"/>
    <w:link w:val="boxed9ptBoldAltXChar"/>
    <w:rsid w:val="00CD0E52"/>
    <w:pPr>
      <w:pBdr>
        <w:top w:val="single" w:sz="4" w:space="4" w:color="777777"/>
        <w:left w:val="single" w:sz="4" w:space="4" w:color="777777"/>
        <w:bottom w:val="single" w:sz="4" w:space="4" w:color="777777"/>
        <w:right w:val="single" w:sz="4" w:space="4" w:color="777777"/>
      </w:pBdr>
      <w:tabs>
        <w:tab w:val="left" w:pos="3402"/>
        <w:tab w:val="center" w:pos="6240"/>
      </w:tabs>
      <w:spacing w:before="60" w:after="160"/>
      <w:ind w:left="964" w:right="340"/>
    </w:pPr>
    <w:rPr>
      <w:rFonts w:ascii="Arial Bold" w:eastAsia="Cambria" w:hAnsi="Arial Bold"/>
      <w:b/>
      <w:szCs w:val="18"/>
      <w:lang w:val="en-AU"/>
    </w:rPr>
  </w:style>
  <w:style w:type="character" w:customStyle="1" w:styleId="boxed9ptBoldAltXChar">
    <w:name w:val="boxed 9pt Bold Alt + X Char"/>
    <w:link w:val="boxed9ptBoldAltX"/>
    <w:locked/>
    <w:rsid w:val="00CD0E52"/>
    <w:rPr>
      <w:rFonts w:ascii="Arial Bold" w:hAnsi="Arial Bold" w:cs="Times New Roman"/>
      <w:b/>
      <w:sz w:val="18"/>
      <w:szCs w:val="18"/>
      <w:lang w:val="en-AU" w:eastAsia="x-none"/>
    </w:rPr>
  </w:style>
  <w:style w:type="paragraph" w:styleId="TOC1">
    <w:name w:val="toc 1"/>
    <w:basedOn w:val="Normal"/>
    <w:uiPriority w:val="39"/>
    <w:rsid w:val="0024227E"/>
    <w:pPr>
      <w:tabs>
        <w:tab w:val="left" w:pos="1418"/>
        <w:tab w:val="right" w:leader="dot" w:pos="8931"/>
      </w:tabs>
      <w:spacing w:before="160" w:after="0"/>
      <w:ind w:left="1582" w:right="2268" w:hanging="720"/>
    </w:pPr>
    <w:rPr>
      <w:rFonts w:ascii="Arial Bold" w:eastAsia="Cambria" w:hAnsi="Arial Bold"/>
      <w:b/>
      <w:color w:val="0065A6"/>
      <w:sz w:val="22"/>
      <w:szCs w:val="20"/>
      <w:lang w:val="en-GB" w:eastAsia="en-AU"/>
    </w:rPr>
  </w:style>
  <w:style w:type="paragraph" w:styleId="TOC2">
    <w:name w:val="toc 2"/>
    <w:basedOn w:val="Normal"/>
    <w:uiPriority w:val="39"/>
    <w:rsid w:val="000E3D27"/>
    <w:pPr>
      <w:tabs>
        <w:tab w:val="left" w:pos="1985"/>
        <w:tab w:val="right" w:leader="dot" w:pos="8913"/>
      </w:tabs>
      <w:spacing w:after="0"/>
      <w:ind w:left="2001" w:right="1134" w:hanging="561"/>
    </w:pPr>
    <w:rPr>
      <w:rFonts w:eastAsia="Cambria"/>
      <w:sz w:val="20"/>
      <w:szCs w:val="18"/>
      <w:lang w:val="en-GB" w:eastAsia="en-AU"/>
    </w:rPr>
  </w:style>
  <w:style w:type="paragraph" w:styleId="TOC3">
    <w:name w:val="toc 3"/>
    <w:basedOn w:val="Normal"/>
    <w:next w:val="Normal"/>
    <w:uiPriority w:val="39"/>
    <w:rsid w:val="007C17AA"/>
    <w:pPr>
      <w:tabs>
        <w:tab w:val="left" w:pos="2466"/>
        <w:tab w:val="right" w:leader="dot" w:pos="8913"/>
      </w:tabs>
      <w:spacing w:before="40" w:after="40"/>
      <w:ind w:left="2467" w:right="1134" w:hanging="766"/>
    </w:pPr>
    <w:rPr>
      <w:rFonts w:eastAsia="Cambria"/>
      <w:sz w:val="20"/>
      <w:szCs w:val="18"/>
      <w:lang w:val="en-GB" w:eastAsia="en-AU"/>
    </w:rPr>
  </w:style>
  <w:style w:type="paragraph" w:customStyle="1" w:styleId="AppendixAltA">
    <w:name w:val="Appendix (Alt + A)"/>
    <w:rsid w:val="00490E9E"/>
    <w:pPr>
      <w:pBdr>
        <w:bottom w:val="single" w:sz="4" w:space="1" w:color="auto"/>
      </w:pBdr>
      <w:tabs>
        <w:tab w:val="left" w:pos="1814"/>
      </w:tabs>
      <w:spacing w:after="400"/>
      <w:ind w:left="1814" w:hanging="1814"/>
    </w:pPr>
    <w:rPr>
      <w:rFonts w:ascii="Arial Bold" w:hAnsi="Arial Bold"/>
      <w:b/>
      <w:noProof/>
      <w:color w:val="333333"/>
      <w:sz w:val="30"/>
      <w:szCs w:val="40"/>
    </w:rPr>
  </w:style>
  <w:style w:type="paragraph" w:styleId="TOC4">
    <w:name w:val="toc 4"/>
    <w:basedOn w:val="Normal"/>
    <w:next w:val="Normal"/>
    <w:autoRedefine/>
    <w:uiPriority w:val="39"/>
    <w:rsid w:val="00CD0E52"/>
    <w:pPr>
      <w:tabs>
        <w:tab w:val="left" w:pos="2835"/>
        <w:tab w:val="right" w:leader="dot" w:pos="8930"/>
      </w:tabs>
      <w:spacing w:after="20"/>
      <w:ind w:left="1985"/>
    </w:pPr>
    <w:rPr>
      <w:rFonts w:eastAsia="Cambria"/>
      <w:noProof/>
      <w:szCs w:val="18"/>
      <w:lang w:val="en-GB" w:eastAsia="en-AU"/>
    </w:rPr>
  </w:style>
  <w:style w:type="paragraph" w:customStyle="1" w:styleId="bulletAltB0">
    <w:name w:val="bullet Alt + B"/>
    <w:basedOn w:val="Normal"/>
    <w:link w:val="bulletAltBChar"/>
    <w:uiPriority w:val="99"/>
    <w:rsid w:val="00CD0E52"/>
    <w:pPr>
      <w:numPr>
        <w:numId w:val="3"/>
      </w:numPr>
      <w:tabs>
        <w:tab w:val="clear" w:pos="360"/>
        <w:tab w:val="left" w:pos="1304"/>
      </w:tabs>
      <w:spacing w:after="100"/>
      <w:ind w:left="1304" w:hanging="227"/>
    </w:pPr>
    <w:rPr>
      <w:rFonts w:eastAsia="Cambria"/>
      <w:szCs w:val="18"/>
      <w:lang w:val="en-GB" w:eastAsia="en-AU"/>
    </w:rPr>
  </w:style>
  <w:style w:type="character" w:customStyle="1" w:styleId="bulletAltBChar">
    <w:name w:val="bullet Alt + B Char"/>
    <w:link w:val="bulletAltB0"/>
    <w:uiPriority w:val="99"/>
    <w:locked/>
    <w:rsid w:val="00CD0E52"/>
    <w:rPr>
      <w:rFonts w:ascii="Arial" w:hAnsi="Arial"/>
      <w:sz w:val="18"/>
      <w:szCs w:val="18"/>
      <w:lang w:val="en-GB"/>
    </w:rPr>
  </w:style>
  <w:style w:type="character" w:styleId="PageNumber">
    <w:name w:val="page number"/>
    <w:rsid w:val="00CD0E52"/>
    <w:rPr>
      <w:rFonts w:cs="Times New Roman"/>
    </w:rPr>
  </w:style>
  <w:style w:type="paragraph" w:styleId="BodyText">
    <w:name w:val="Body Text"/>
    <w:aliases w:val="(Alt + p)"/>
    <w:basedOn w:val="Normal"/>
    <w:link w:val="BodyTextChar"/>
    <w:autoRedefine/>
    <w:uiPriority w:val="99"/>
    <w:rsid w:val="00505882"/>
    <w:pPr>
      <w:tabs>
        <w:tab w:val="left" w:pos="2835"/>
      </w:tabs>
      <w:spacing w:after="160" w:line="260" w:lineRule="exact"/>
      <w:ind w:left="851"/>
    </w:pPr>
    <w:rPr>
      <w:rFonts w:eastAsia="Cambria" w:cs="Arial"/>
      <w:noProof/>
      <w:sz w:val="20"/>
      <w:szCs w:val="20"/>
      <w:lang w:val="en-AU" w:eastAsia="en-AU"/>
    </w:rPr>
  </w:style>
  <w:style w:type="character" w:customStyle="1" w:styleId="BodyTextChar">
    <w:name w:val="Body Text Char"/>
    <w:aliases w:val="(Alt + p) Char"/>
    <w:link w:val="BodyText"/>
    <w:uiPriority w:val="99"/>
    <w:locked/>
    <w:rsid w:val="00505882"/>
    <w:rPr>
      <w:rFonts w:ascii="Arial" w:hAnsi="Arial" w:cs="Arial"/>
      <w:noProof/>
    </w:rPr>
  </w:style>
  <w:style w:type="paragraph" w:customStyle="1" w:styleId="HyphenAltH">
    <w:name w:val="Hyphen Alt + H"/>
    <w:basedOn w:val="Normal"/>
    <w:rsid w:val="002A6FF3"/>
    <w:pPr>
      <w:numPr>
        <w:numId w:val="5"/>
      </w:numPr>
      <w:tabs>
        <w:tab w:val="clear" w:pos="4559"/>
        <w:tab w:val="left" w:pos="1588"/>
      </w:tabs>
      <w:spacing w:after="120" w:line="240" w:lineRule="exact"/>
      <w:ind w:left="1588" w:hanging="284"/>
    </w:pPr>
    <w:rPr>
      <w:rFonts w:eastAsia="Cambria"/>
      <w:szCs w:val="18"/>
      <w:lang w:val="en-GB" w:eastAsia="en-AU"/>
    </w:rPr>
  </w:style>
  <w:style w:type="paragraph" w:customStyle="1" w:styleId="Body9ptAltP">
    <w:name w:val="Body 9 pt Alt + P"/>
    <w:basedOn w:val="Normal"/>
    <w:link w:val="Body9ptAltPChar"/>
    <w:uiPriority w:val="99"/>
    <w:rsid w:val="00CD0E52"/>
    <w:pPr>
      <w:tabs>
        <w:tab w:val="left" w:pos="1134"/>
      </w:tabs>
      <w:spacing w:after="120"/>
      <w:ind w:left="851"/>
    </w:pPr>
    <w:rPr>
      <w:rFonts w:eastAsia="Cambria"/>
      <w:szCs w:val="18"/>
      <w:lang w:val="en-GB" w:eastAsia="en-AU"/>
    </w:rPr>
  </w:style>
  <w:style w:type="character" w:customStyle="1" w:styleId="Body9ptAltPChar">
    <w:name w:val="Body 9 pt Alt + P Char"/>
    <w:link w:val="Body9ptAltP"/>
    <w:uiPriority w:val="99"/>
    <w:locked/>
    <w:rsid w:val="00CD0E52"/>
    <w:rPr>
      <w:rFonts w:ascii="Arial" w:hAnsi="Arial" w:cs="Times New Roman"/>
      <w:sz w:val="18"/>
      <w:szCs w:val="18"/>
      <w:lang w:val="en-GB" w:eastAsia="en-AU"/>
    </w:rPr>
  </w:style>
  <w:style w:type="table" w:styleId="TableGrid">
    <w:name w:val="Table Grid"/>
    <w:basedOn w:val="TableNormal"/>
    <w:uiPriority w:val="99"/>
    <w:rsid w:val="00F712D7"/>
    <w:pPr>
      <w:tabs>
        <w:tab w:val="left" w:pos="907"/>
      </w:tabs>
      <w:spacing w:before="80" w:after="8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Titlename">
    <w:name w:val="Title name"/>
    <w:uiPriority w:val="99"/>
    <w:rsid w:val="00CD0E52"/>
    <w:pPr>
      <w:spacing w:after="120" w:line="380" w:lineRule="exact"/>
      <w:ind w:left="-153" w:right="318" w:firstLine="153"/>
      <w:jc w:val="right"/>
    </w:pPr>
    <w:rPr>
      <w:rFonts w:ascii="Arial Bold" w:hAnsi="Arial Bold" w:cs="Arial"/>
      <w:b/>
      <w:color w:val="777777"/>
      <w:spacing w:val="-12"/>
      <w:sz w:val="40"/>
      <w:szCs w:val="40"/>
    </w:rPr>
  </w:style>
  <w:style w:type="paragraph" w:customStyle="1" w:styleId="StyleHeading1Before0pt">
    <w:name w:val="Style Heading 1 + Before:  0 pt"/>
    <w:basedOn w:val="Heading1"/>
    <w:rsid w:val="00CD0E52"/>
    <w:rPr>
      <w:bCs/>
      <w:color w:val="777777"/>
      <w:szCs w:val="36"/>
    </w:rPr>
  </w:style>
  <w:style w:type="paragraph" w:customStyle="1" w:styleId="CaptionAltC">
    <w:name w:val="Caption Alt + C"/>
    <w:basedOn w:val="Normal"/>
    <w:rsid w:val="00212F15"/>
    <w:pPr>
      <w:tabs>
        <w:tab w:val="left" w:pos="907"/>
      </w:tabs>
      <w:spacing w:before="140" w:line="240" w:lineRule="exact"/>
      <w:ind w:left="851"/>
    </w:pPr>
    <w:rPr>
      <w:rFonts w:ascii="Arial Bold" w:eastAsia="Cambria" w:hAnsi="Arial Bold"/>
      <w:b/>
      <w:bCs/>
      <w:i/>
      <w:iCs/>
      <w:szCs w:val="18"/>
      <w:lang w:val="en-GB" w:eastAsia="en-AU"/>
    </w:rPr>
  </w:style>
  <w:style w:type="paragraph" w:customStyle="1" w:styleId="AppendixLevel2Alte">
    <w:name w:val="Appendix Level 2 Alt + e"/>
    <w:basedOn w:val="Body9ptAltP"/>
    <w:rsid w:val="00CD0E52"/>
    <w:pPr>
      <w:spacing w:after="60"/>
    </w:pPr>
    <w:rPr>
      <w:rFonts w:ascii="Arial Narrow" w:hAnsi="Arial Narrow"/>
      <w:b/>
      <w:sz w:val="30"/>
      <w:szCs w:val="30"/>
    </w:rPr>
  </w:style>
  <w:style w:type="paragraph" w:styleId="Date">
    <w:name w:val="Date"/>
    <w:basedOn w:val="Normal"/>
    <w:next w:val="Normal"/>
    <w:link w:val="DateChar"/>
    <w:rsid w:val="001E09A6"/>
    <w:rPr>
      <w:sz w:val="20"/>
    </w:rPr>
  </w:style>
  <w:style w:type="character" w:customStyle="1" w:styleId="DateChar">
    <w:name w:val="Date Char"/>
    <w:link w:val="Date"/>
    <w:locked/>
    <w:rsid w:val="001E09A6"/>
    <w:rPr>
      <w:rFonts w:ascii="Arial" w:hAnsi="Arial" w:cs="Times New Roman"/>
      <w:sz w:val="20"/>
    </w:rPr>
  </w:style>
  <w:style w:type="paragraph" w:styleId="Header">
    <w:name w:val="header"/>
    <w:basedOn w:val="Normal"/>
    <w:link w:val="HeaderChar"/>
    <w:rsid w:val="00CA1CFE"/>
    <w:pPr>
      <w:tabs>
        <w:tab w:val="center" w:pos="4320"/>
        <w:tab w:val="right" w:pos="8640"/>
      </w:tabs>
      <w:spacing w:after="0"/>
    </w:pPr>
  </w:style>
  <w:style w:type="character" w:customStyle="1" w:styleId="HeaderChar">
    <w:name w:val="Header Char"/>
    <w:link w:val="Header"/>
    <w:locked/>
    <w:rsid w:val="00CA1CFE"/>
    <w:rPr>
      <w:rFonts w:ascii="Arial" w:hAnsi="Arial"/>
      <w:sz w:val="18"/>
      <w:szCs w:val="24"/>
      <w:lang w:val="en-US" w:eastAsia="en-US" w:bidi="ar-SA"/>
    </w:rPr>
  </w:style>
  <w:style w:type="paragraph" w:customStyle="1" w:styleId="BasicParagraph">
    <w:name w:val="[Basic Paragraph]"/>
    <w:basedOn w:val="Normal"/>
    <w:rsid w:val="006913F0"/>
    <w:pPr>
      <w:widowControl w:val="0"/>
      <w:autoSpaceDE w:val="0"/>
      <w:autoSpaceDN w:val="0"/>
      <w:adjustRightInd w:val="0"/>
      <w:spacing w:after="0" w:line="288" w:lineRule="auto"/>
      <w:textAlignment w:val="center"/>
    </w:pPr>
    <w:rPr>
      <w:rFonts w:ascii="Times-Roman" w:hAnsi="Times-Roman" w:cs="Times-Roman"/>
      <w:color w:val="000000"/>
      <w:lang w:val="en-GB"/>
    </w:rPr>
  </w:style>
  <w:style w:type="paragraph" w:customStyle="1" w:styleId="BulletAltb">
    <w:name w:val="Bullet(Alt + b)"/>
    <w:rsid w:val="002A6FF3"/>
    <w:pPr>
      <w:numPr>
        <w:numId w:val="6"/>
      </w:numPr>
      <w:tabs>
        <w:tab w:val="clear" w:pos="2062"/>
        <w:tab w:val="left" w:pos="1208"/>
      </w:tabs>
      <w:spacing w:after="120" w:line="240" w:lineRule="exact"/>
      <w:ind w:left="1208" w:hanging="357"/>
    </w:pPr>
    <w:rPr>
      <w:rFonts w:ascii="Arial" w:hAnsi="Arial"/>
      <w:sz w:val="18"/>
      <w:szCs w:val="18"/>
      <w:lang w:val="en-GB"/>
    </w:rPr>
  </w:style>
  <w:style w:type="character" w:customStyle="1" w:styleId="SectionLetterChar">
    <w:name w:val="Section (Letter) Char"/>
    <w:aliases w:val="Part (No) Char Char"/>
    <w:rsid w:val="0067607E"/>
    <w:rPr>
      <w:rFonts w:ascii="Arial Narrow" w:hAnsi="Arial Narrow"/>
      <w:b/>
      <w:noProof/>
      <w:sz w:val="30"/>
      <w:szCs w:val="30"/>
      <w:lang w:val="en-AU" w:eastAsia="en-AU" w:bidi="ar-SA"/>
    </w:rPr>
  </w:style>
  <w:style w:type="paragraph" w:customStyle="1" w:styleId="Note">
    <w:name w:val="Note"/>
    <w:aliases w:val="(Alt + n)"/>
    <w:basedOn w:val="Body9ptAltP"/>
    <w:next w:val="Normal"/>
    <w:link w:val="NoteChar"/>
    <w:uiPriority w:val="99"/>
    <w:rsid w:val="003415E1"/>
    <w:pPr>
      <w:tabs>
        <w:tab w:val="clear" w:pos="1134"/>
        <w:tab w:val="left" w:pos="1814"/>
      </w:tabs>
      <w:spacing w:after="200" w:line="240" w:lineRule="exact"/>
      <w:ind w:left="1815" w:hanging="964"/>
    </w:pPr>
    <w:rPr>
      <w:lang w:val="en-AU"/>
    </w:rPr>
  </w:style>
  <w:style w:type="paragraph" w:styleId="Caption">
    <w:name w:val="caption"/>
    <w:basedOn w:val="Normal"/>
    <w:next w:val="Normal"/>
    <w:uiPriority w:val="35"/>
    <w:qFormat/>
    <w:locked/>
    <w:rsid w:val="00D652AB"/>
    <w:pPr>
      <w:tabs>
        <w:tab w:val="left" w:pos="907"/>
      </w:tabs>
      <w:spacing w:after="140" w:line="240" w:lineRule="atLeast"/>
      <w:ind w:left="851"/>
    </w:pPr>
    <w:rPr>
      <w:rFonts w:ascii="Arial Bold" w:hAnsi="Arial Bold"/>
      <w:b/>
      <w:szCs w:val="18"/>
      <w:lang w:val="en-AU" w:eastAsia="en-AU"/>
    </w:rPr>
  </w:style>
  <w:style w:type="paragraph" w:customStyle="1" w:styleId="bullet">
    <w:name w:val="bullet"/>
    <w:basedOn w:val="Normal"/>
    <w:uiPriority w:val="99"/>
    <w:rsid w:val="0067607E"/>
    <w:pPr>
      <w:tabs>
        <w:tab w:val="num" w:pos="1210"/>
        <w:tab w:val="left" w:pos="1304"/>
      </w:tabs>
      <w:spacing w:after="100"/>
      <w:ind w:left="1210" w:hanging="360"/>
      <w:jc w:val="both"/>
    </w:pPr>
    <w:rPr>
      <w:sz w:val="20"/>
      <w:szCs w:val="18"/>
      <w:lang w:val="en-AU" w:eastAsia="en-AU"/>
    </w:rPr>
  </w:style>
  <w:style w:type="paragraph" w:styleId="DocumentMap">
    <w:name w:val="Document Map"/>
    <w:basedOn w:val="Normal"/>
    <w:link w:val="DocumentMapChar"/>
    <w:semiHidden/>
    <w:rsid w:val="0067607E"/>
    <w:pPr>
      <w:shd w:val="clear" w:color="auto" w:fill="000080"/>
      <w:tabs>
        <w:tab w:val="left" w:pos="907"/>
      </w:tabs>
      <w:spacing w:after="140"/>
      <w:ind w:left="851"/>
      <w:jc w:val="both"/>
    </w:pPr>
    <w:rPr>
      <w:rFonts w:ascii="Tahoma" w:hAnsi="Tahoma"/>
      <w:szCs w:val="20"/>
      <w:lang w:val="en-AU" w:eastAsia="en-AU"/>
    </w:rPr>
  </w:style>
  <w:style w:type="paragraph" w:styleId="TOC5">
    <w:name w:val="toc 5"/>
    <w:basedOn w:val="Normal"/>
    <w:next w:val="Normal"/>
    <w:autoRedefine/>
    <w:uiPriority w:val="39"/>
    <w:locked/>
    <w:rsid w:val="0067607E"/>
    <w:pPr>
      <w:spacing w:after="140"/>
      <w:ind w:left="960"/>
      <w:jc w:val="both"/>
    </w:pPr>
    <w:rPr>
      <w:szCs w:val="20"/>
      <w:lang w:val="en-AU" w:eastAsia="en-AU"/>
    </w:rPr>
  </w:style>
  <w:style w:type="paragraph" w:styleId="TOC6">
    <w:name w:val="toc 6"/>
    <w:basedOn w:val="Normal"/>
    <w:next w:val="Normal"/>
    <w:autoRedefine/>
    <w:uiPriority w:val="39"/>
    <w:locked/>
    <w:rsid w:val="0067607E"/>
    <w:pPr>
      <w:spacing w:after="140"/>
      <w:ind w:left="1200"/>
      <w:jc w:val="both"/>
    </w:pPr>
    <w:rPr>
      <w:szCs w:val="20"/>
      <w:lang w:val="en-AU" w:eastAsia="en-AU"/>
    </w:rPr>
  </w:style>
  <w:style w:type="paragraph" w:styleId="TOC7">
    <w:name w:val="toc 7"/>
    <w:basedOn w:val="Normal"/>
    <w:next w:val="Normal"/>
    <w:autoRedefine/>
    <w:uiPriority w:val="39"/>
    <w:locked/>
    <w:rsid w:val="0067607E"/>
    <w:pPr>
      <w:spacing w:after="140"/>
      <w:ind w:left="1440"/>
      <w:jc w:val="both"/>
    </w:pPr>
    <w:rPr>
      <w:szCs w:val="20"/>
      <w:lang w:val="en-AU" w:eastAsia="en-AU"/>
    </w:rPr>
  </w:style>
  <w:style w:type="paragraph" w:styleId="TOC8">
    <w:name w:val="toc 8"/>
    <w:aliases w:val="(Appen2)"/>
    <w:basedOn w:val="Normal"/>
    <w:next w:val="Normal"/>
    <w:autoRedefine/>
    <w:uiPriority w:val="39"/>
    <w:locked/>
    <w:rsid w:val="0067607E"/>
    <w:pPr>
      <w:spacing w:after="140"/>
      <w:ind w:left="1680"/>
      <w:jc w:val="both"/>
    </w:pPr>
    <w:rPr>
      <w:szCs w:val="20"/>
      <w:lang w:val="en-AU" w:eastAsia="en-AU"/>
    </w:rPr>
  </w:style>
  <w:style w:type="paragraph" w:styleId="TOC9">
    <w:name w:val="toc 9"/>
    <w:basedOn w:val="Normal"/>
    <w:next w:val="Normal"/>
    <w:autoRedefine/>
    <w:uiPriority w:val="39"/>
    <w:locked/>
    <w:rsid w:val="0067607E"/>
    <w:pPr>
      <w:spacing w:after="140"/>
      <w:ind w:left="1920"/>
      <w:jc w:val="both"/>
    </w:pPr>
    <w:rPr>
      <w:szCs w:val="20"/>
      <w:lang w:val="en-AU" w:eastAsia="en-AU"/>
    </w:rPr>
  </w:style>
  <w:style w:type="paragraph" w:customStyle="1" w:styleId="hang2">
    <w:name w:val="hang2"/>
    <w:basedOn w:val="bullet"/>
    <w:uiPriority w:val="99"/>
    <w:rsid w:val="0067607E"/>
    <w:pPr>
      <w:numPr>
        <w:numId w:val="7"/>
      </w:numPr>
      <w:jc w:val="left"/>
    </w:pPr>
  </w:style>
  <w:style w:type="paragraph" w:customStyle="1" w:styleId="Appendix2">
    <w:name w:val="Appendix2"/>
    <w:aliases w:val="(Alt + d)"/>
    <w:basedOn w:val="Normal"/>
    <w:link w:val="Appendix2Char"/>
    <w:uiPriority w:val="99"/>
    <w:rsid w:val="00490E9E"/>
    <w:pPr>
      <w:keepNext/>
      <w:tabs>
        <w:tab w:val="left" w:pos="1814"/>
      </w:tabs>
      <w:spacing w:before="120" w:after="80"/>
      <w:ind w:left="1814" w:hanging="1814"/>
      <w:jc w:val="both"/>
    </w:pPr>
    <w:rPr>
      <w:szCs w:val="30"/>
      <w:lang w:val="en-AU" w:eastAsia="en-AU"/>
    </w:rPr>
  </w:style>
  <w:style w:type="character" w:customStyle="1" w:styleId="Appendix2Char">
    <w:name w:val="Appendix2 Char"/>
    <w:aliases w:val="(Alt + d) Char Char"/>
    <w:link w:val="Appendix2"/>
    <w:uiPriority w:val="99"/>
    <w:rsid w:val="00490E9E"/>
    <w:rPr>
      <w:rFonts w:ascii="Arial" w:hAnsi="Arial"/>
      <w:sz w:val="24"/>
      <w:szCs w:val="30"/>
      <w:lang w:val="en-AU" w:eastAsia="en-AU" w:bidi="ar-SA"/>
    </w:rPr>
  </w:style>
  <w:style w:type="paragraph" w:customStyle="1" w:styleId="Appendix3">
    <w:name w:val="Appendix3"/>
    <w:aliases w:val="(Alt + f)"/>
    <w:basedOn w:val="Appendix2"/>
    <w:link w:val="Appendix3Char"/>
    <w:uiPriority w:val="99"/>
    <w:rsid w:val="00490E9E"/>
    <w:pPr>
      <w:jc w:val="left"/>
    </w:pPr>
    <w:rPr>
      <w:sz w:val="22"/>
      <w:szCs w:val="26"/>
    </w:rPr>
  </w:style>
  <w:style w:type="character" w:customStyle="1" w:styleId="Appendix3Char">
    <w:name w:val="Appendix3 Char"/>
    <w:aliases w:val="(Alt + f) Char Char"/>
    <w:link w:val="Appendix3"/>
    <w:uiPriority w:val="99"/>
    <w:rsid w:val="00490E9E"/>
    <w:rPr>
      <w:rFonts w:ascii="Arial" w:hAnsi="Arial"/>
      <w:sz w:val="22"/>
      <w:szCs w:val="26"/>
      <w:lang w:val="en-AU" w:eastAsia="en-AU" w:bidi="ar-SA"/>
    </w:rPr>
  </w:style>
  <w:style w:type="paragraph" w:customStyle="1" w:styleId="Title1">
    <w:name w:val="Title1"/>
    <w:basedOn w:val="Caption"/>
    <w:uiPriority w:val="99"/>
    <w:rsid w:val="0067607E"/>
    <w:pPr>
      <w:ind w:left="5812"/>
    </w:pPr>
    <w:rPr>
      <w:rFonts w:ascii="Arial Narrow" w:hAnsi="Arial Narrow"/>
      <w:sz w:val="40"/>
    </w:rPr>
  </w:style>
  <w:style w:type="paragraph" w:styleId="FootnoteText">
    <w:name w:val="footnote text"/>
    <w:aliases w:val="ALTS FOOTNOTE,(NECG) Footnote Text,Note de bas de page Car5,Note de bas de page Car4 Car,Note de bas de page Car4 Car Car Car Car Car Car Car  Car,Note de bas de page Car4 Car Car,Note de bas de page Car4,AR Footnote Tex,AR Footnote Text,f"/>
    <w:basedOn w:val="Normal"/>
    <w:link w:val="FootnoteTextChar"/>
    <w:uiPriority w:val="99"/>
    <w:qFormat/>
    <w:rsid w:val="001E7F29"/>
    <w:pPr>
      <w:spacing w:after="0"/>
      <w:jc w:val="both"/>
    </w:pPr>
    <w:rPr>
      <w:sz w:val="14"/>
      <w:szCs w:val="20"/>
      <w:lang w:eastAsia="en-AU"/>
    </w:rPr>
  </w:style>
  <w:style w:type="paragraph" w:customStyle="1" w:styleId="tabletext">
    <w:name w:val="table text"/>
    <w:basedOn w:val="BodyText"/>
    <w:uiPriority w:val="99"/>
    <w:rsid w:val="0067607E"/>
    <w:pPr>
      <w:spacing w:before="60" w:after="60"/>
    </w:pPr>
    <w:rPr>
      <w:rFonts w:eastAsia="Times New Roman"/>
    </w:rPr>
  </w:style>
  <w:style w:type="character" w:styleId="Hyperlink">
    <w:name w:val="Hyperlink"/>
    <w:uiPriority w:val="99"/>
    <w:rsid w:val="0067607E"/>
    <w:rPr>
      <w:color w:val="0000FF"/>
      <w:u w:val="single"/>
    </w:rPr>
  </w:style>
  <w:style w:type="paragraph" w:customStyle="1" w:styleId="Hangingindent">
    <w:name w:val="Hanging indent"/>
    <w:basedOn w:val="Normal"/>
    <w:autoRedefine/>
    <w:rsid w:val="0067607E"/>
    <w:pPr>
      <w:tabs>
        <w:tab w:val="left" w:pos="3402"/>
      </w:tabs>
      <w:spacing w:after="120" w:line="260" w:lineRule="exact"/>
      <w:ind w:left="3403" w:hanging="284"/>
      <w:jc w:val="both"/>
    </w:pPr>
    <w:rPr>
      <w:szCs w:val="20"/>
      <w:lang w:val="en-AU" w:eastAsia="en-AU"/>
    </w:rPr>
  </w:style>
  <w:style w:type="paragraph" w:customStyle="1" w:styleId="StyleHyphenhangLeft55mm">
    <w:name w:val="Style Hyphen hang + Left:  55 mm"/>
    <w:basedOn w:val="Normal"/>
    <w:rsid w:val="0067607E"/>
    <w:pPr>
      <w:tabs>
        <w:tab w:val="num" w:pos="1492"/>
        <w:tab w:val="left" w:pos="1531"/>
      </w:tabs>
      <w:spacing w:after="80"/>
      <w:ind w:left="1531" w:hanging="227"/>
      <w:jc w:val="both"/>
    </w:pPr>
    <w:rPr>
      <w:szCs w:val="18"/>
      <w:lang w:val="en-AU" w:eastAsia="en-AU"/>
    </w:rPr>
  </w:style>
  <w:style w:type="paragraph" w:customStyle="1" w:styleId="Stylehang2Left35mm">
    <w:name w:val="Style hang2 + Left:  35 mm"/>
    <w:basedOn w:val="hang2"/>
    <w:autoRedefine/>
    <w:rsid w:val="0067607E"/>
    <w:pPr>
      <w:tabs>
        <w:tab w:val="clear" w:pos="1304"/>
        <w:tab w:val="left" w:pos="2268"/>
      </w:tabs>
      <w:ind w:left="1985"/>
    </w:pPr>
  </w:style>
  <w:style w:type="paragraph" w:customStyle="1" w:styleId="StyleCaptionArial8pt">
    <w:name w:val="Style Caption + Arial 8 pt"/>
    <w:basedOn w:val="Caption"/>
    <w:rsid w:val="0067607E"/>
    <w:rPr>
      <w:bCs/>
      <w:iCs/>
    </w:rPr>
  </w:style>
  <w:style w:type="paragraph" w:customStyle="1" w:styleId="Standardparagraph">
    <w:name w:val="Standard paragraph"/>
    <w:link w:val="StandardparagraphChar"/>
    <w:uiPriority w:val="99"/>
    <w:rsid w:val="0067607E"/>
    <w:pPr>
      <w:spacing w:after="200"/>
      <w:ind w:left="720"/>
      <w:jc w:val="both"/>
    </w:pPr>
    <w:rPr>
      <w:rFonts w:ascii="Arial" w:eastAsia="Times New Roman" w:hAnsi="Arial"/>
      <w:lang w:val="en-GB"/>
    </w:rPr>
  </w:style>
  <w:style w:type="paragraph" w:styleId="NormalWeb">
    <w:name w:val="Normal (Web)"/>
    <w:basedOn w:val="Normal"/>
    <w:uiPriority w:val="99"/>
    <w:rsid w:val="0067607E"/>
    <w:pPr>
      <w:spacing w:before="100" w:beforeAutospacing="1" w:after="100" w:afterAutospacing="1"/>
      <w:jc w:val="both"/>
    </w:pPr>
    <w:rPr>
      <w:rFonts w:ascii="Times New Roman" w:hAnsi="Times New Roman"/>
      <w:lang w:val="en-AU" w:eastAsia="en-AU"/>
    </w:rPr>
  </w:style>
  <w:style w:type="paragraph" w:customStyle="1" w:styleId="TOCHeading1">
    <w:name w:val="TOC Heading1"/>
    <w:basedOn w:val="Normal"/>
    <w:link w:val="TOCHEADINGChar"/>
    <w:rsid w:val="0067607E"/>
    <w:pPr>
      <w:tabs>
        <w:tab w:val="right" w:pos="9356"/>
      </w:tabs>
      <w:autoSpaceDE w:val="0"/>
      <w:autoSpaceDN w:val="0"/>
      <w:adjustRightInd w:val="0"/>
      <w:spacing w:after="0" w:line="240" w:lineRule="atLeast"/>
      <w:jc w:val="both"/>
    </w:pPr>
    <w:rPr>
      <w:rFonts w:ascii="Helvetica" w:hAnsi="Helvetica" w:cs="Arial"/>
      <w:b/>
      <w:color w:val="000000"/>
      <w:sz w:val="32"/>
      <w:szCs w:val="20"/>
      <w:lang w:val="en-AU" w:eastAsia="en-AU"/>
    </w:rPr>
  </w:style>
  <w:style w:type="character" w:customStyle="1" w:styleId="TOCHEADINGChar">
    <w:name w:val="TOC HEADING Char"/>
    <w:link w:val="TOCHeading1"/>
    <w:rsid w:val="0067607E"/>
    <w:rPr>
      <w:rFonts w:ascii="Helvetica" w:hAnsi="Helvetica" w:cs="Arial"/>
      <w:b/>
      <w:color w:val="000000"/>
      <w:sz w:val="32"/>
      <w:lang w:val="en-AU" w:eastAsia="en-AU" w:bidi="ar-SA"/>
    </w:rPr>
  </w:style>
  <w:style w:type="paragraph" w:customStyle="1" w:styleId="bullettext">
    <w:name w:val="bullet text"/>
    <w:basedOn w:val="Normal"/>
    <w:link w:val="bullettextChar"/>
    <w:rsid w:val="0067607E"/>
    <w:pPr>
      <w:numPr>
        <w:numId w:val="2"/>
      </w:numPr>
      <w:tabs>
        <w:tab w:val="left" w:pos="1304"/>
      </w:tabs>
      <w:autoSpaceDE w:val="0"/>
      <w:autoSpaceDN w:val="0"/>
      <w:adjustRightInd w:val="0"/>
      <w:spacing w:before="40" w:after="40" w:line="160" w:lineRule="atLeast"/>
      <w:jc w:val="both"/>
    </w:pPr>
    <w:rPr>
      <w:rFonts w:cs="Arial"/>
      <w:color w:val="000000"/>
      <w:szCs w:val="20"/>
      <w:lang w:val="en-AU" w:eastAsia="en-AU"/>
    </w:rPr>
  </w:style>
  <w:style w:type="character" w:customStyle="1" w:styleId="bullettextChar">
    <w:name w:val="bullet text Char"/>
    <w:link w:val="bullettext"/>
    <w:rsid w:val="0067607E"/>
    <w:rPr>
      <w:rFonts w:ascii="Arial" w:eastAsia="Times New Roman" w:hAnsi="Arial" w:cs="Arial"/>
      <w:color w:val="000000"/>
      <w:sz w:val="18"/>
    </w:rPr>
  </w:style>
  <w:style w:type="paragraph" w:customStyle="1" w:styleId="Default">
    <w:name w:val="Default"/>
    <w:uiPriority w:val="99"/>
    <w:rsid w:val="0067607E"/>
    <w:pPr>
      <w:autoSpaceDE w:val="0"/>
      <w:autoSpaceDN w:val="0"/>
      <w:adjustRightInd w:val="0"/>
    </w:pPr>
    <w:rPr>
      <w:rFonts w:ascii="Arial" w:eastAsia="Times New Roman" w:hAnsi="Arial" w:cs="Arial"/>
    </w:rPr>
  </w:style>
  <w:style w:type="paragraph" w:customStyle="1" w:styleId="TOC1Heading">
    <w:name w:val="TOC 1 Heading"/>
    <w:basedOn w:val="TOC1"/>
    <w:rsid w:val="0067607E"/>
    <w:pPr>
      <w:spacing w:before="120" w:after="120"/>
    </w:pPr>
    <w:rPr>
      <w:rFonts w:eastAsia="Times New Roman"/>
      <w:sz w:val="28"/>
      <w:szCs w:val="28"/>
      <w:lang w:val="en-AU"/>
    </w:rPr>
  </w:style>
  <w:style w:type="character" w:styleId="Strong">
    <w:name w:val="Strong"/>
    <w:aliases w:val="AER text bold"/>
    <w:qFormat/>
    <w:locked/>
    <w:rsid w:val="0067607E"/>
    <w:rPr>
      <w:b/>
      <w:bCs/>
    </w:rPr>
  </w:style>
  <w:style w:type="paragraph" w:styleId="BalloonText">
    <w:name w:val="Balloon Text"/>
    <w:basedOn w:val="Normal"/>
    <w:link w:val="BalloonTextChar"/>
    <w:uiPriority w:val="99"/>
    <w:semiHidden/>
    <w:rsid w:val="0067607E"/>
    <w:pPr>
      <w:tabs>
        <w:tab w:val="left" w:pos="907"/>
      </w:tabs>
      <w:spacing w:after="140"/>
      <w:ind w:left="851"/>
      <w:jc w:val="both"/>
    </w:pPr>
    <w:rPr>
      <w:rFonts w:ascii="Tahoma" w:hAnsi="Tahoma" w:cs="Tahoma"/>
      <w:sz w:val="16"/>
      <w:szCs w:val="16"/>
      <w:lang w:val="en-AU" w:eastAsia="en-AU"/>
    </w:rPr>
  </w:style>
  <w:style w:type="paragraph" w:customStyle="1" w:styleId="DocumentControl">
    <w:name w:val="Document Control"/>
    <w:basedOn w:val="Normal"/>
    <w:rsid w:val="0067607E"/>
    <w:pPr>
      <w:numPr>
        <w:numId w:val="8"/>
      </w:numPr>
      <w:tabs>
        <w:tab w:val="clear" w:pos="1440"/>
        <w:tab w:val="left" w:pos="907"/>
      </w:tabs>
      <w:spacing w:after="140"/>
      <w:ind w:left="0" w:firstLine="0"/>
    </w:pPr>
    <w:rPr>
      <w:sz w:val="20"/>
      <w:szCs w:val="20"/>
      <w:lang w:val="en-AU" w:eastAsia="en-AU"/>
    </w:rPr>
  </w:style>
  <w:style w:type="paragraph" w:customStyle="1" w:styleId="TableTextBold">
    <w:name w:val="Table Text Bold"/>
    <w:aliases w:val="(Alt + o)"/>
    <w:basedOn w:val="Tabletext0"/>
    <w:rsid w:val="00BF1ECD"/>
    <w:pPr>
      <w:tabs>
        <w:tab w:val="left" w:pos="907"/>
      </w:tabs>
    </w:pPr>
    <w:rPr>
      <w:b/>
    </w:rPr>
  </w:style>
  <w:style w:type="paragraph" w:customStyle="1" w:styleId="HeaderPlainCentred">
    <w:name w:val="Header Plain Centred"/>
    <w:basedOn w:val="Normal"/>
    <w:next w:val="BodyText"/>
    <w:rsid w:val="0067607E"/>
    <w:pPr>
      <w:tabs>
        <w:tab w:val="left" w:pos="907"/>
      </w:tabs>
      <w:spacing w:after="60"/>
      <w:ind w:left="851" w:right="720"/>
      <w:jc w:val="center"/>
    </w:pPr>
    <w:rPr>
      <w:sz w:val="20"/>
      <w:szCs w:val="20"/>
      <w:lang w:val="en-GB" w:eastAsia="en-AU"/>
    </w:rPr>
  </w:style>
  <w:style w:type="paragraph" w:customStyle="1" w:styleId="Boxtext">
    <w:name w:val="Box text"/>
    <w:aliases w:val="(Alt + x)"/>
    <w:basedOn w:val="BodyText"/>
    <w:rsid w:val="00CA1CFE"/>
    <w:rPr>
      <w:rFonts w:eastAsia="Times New Roman"/>
    </w:rPr>
  </w:style>
  <w:style w:type="paragraph" w:styleId="CommentText">
    <w:name w:val="annotation text"/>
    <w:basedOn w:val="Normal"/>
    <w:link w:val="CommentTextChar"/>
    <w:uiPriority w:val="99"/>
    <w:semiHidden/>
    <w:rsid w:val="0067607E"/>
    <w:pPr>
      <w:tabs>
        <w:tab w:val="left" w:pos="907"/>
      </w:tabs>
      <w:spacing w:after="180"/>
      <w:ind w:left="851"/>
    </w:pPr>
    <w:rPr>
      <w:sz w:val="20"/>
      <w:szCs w:val="20"/>
      <w:lang w:val="en-AU" w:eastAsia="en-AU"/>
    </w:rPr>
  </w:style>
  <w:style w:type="paragraph" w:styleId="CommentSubject">
    <w:name w:val="annotation subject"/>
    <w:basedOn w:val="CommentText"/>
    <w:next w:val="CommentText"/>
    <w:link w:val="CommentSubjectChar"/>
    <w:uiPriority w:val="99"/>
    <w:semiHidden/>
    <w:rsid w:val="0067607E"/>
    <w:pPr>
      <w:spacing w:after="140"/>
      <w:jc w:val="both"/>
    </w:pPr>
    <w:rPr>
      <w:b/>
      <w:bCs/>
    </w:rPr>
  </w:style>
  <w:style w:type="paragraph" w:customStyle="1" w:styleId="StyleAppendix3Left0cmHanging15cm">
    <w:name w:val="Style Appendix3 + Left:  0 cm Hanging:  1.5 cm"/>
    <w:basedOn w:val="Appendix3"/>
    <w:rsid w:val="0067607E"/>
    <w:pPr>
      <w:ind w:left="851" w:hanging="851"/>
    </w:pPr>
    <w:rPr>
      <w:bCs/>
      <w:szCs w:val="20"/>
    </w:rPr>
  </w:style>
  <w:style w:type="paragraph" w:customStyle="1" w:styleId="NumberedSubPara">
    <w:name w:val="Numbered Sub Para"/>
    <w:basedOn w:val="Normal"/>
    <w:rsid w:val="0067607E"/>
    <w:pPr>
      <w:numPr>
        <w:numId w:val="10"/>
      </w:numPr>
      <w:tabs>
        <w:tab w:val="left" w:pos="907"/>
      </w:tabs>
      <w:spacing w:after="120"/>
      <w:jc w:val="both"/>
    </w:pPr>
    <w:rPr>
      <w:szCs w:val="18"/>
      <w:lang w:val="en-AU" w:eastAsia="en-AU"/>
    </w:rPr>
  </w:style>
  <w:style w:type="paragraph" w:customStyle="1" w:styleId="AlphaSubPara">
    <w:name w:val="Alpha Sub Para"/>
    <w:basedOn w:val="Normal"/>
    <w:rsid w:val="0067607E"/>
    <w:pPr>
      <w:numPr>
        <w:numId w:val="9"/>
      </w:numPr>
      <w:tabs>
        <w:tab w:val="left" w:pos="851"/>
      </w:tabs>
      <w:spacing w:after="120"/>
      <w:jc w:val="both"/>
    </w:pPr>
    <w:rPr>
      <w:rFonts w:eastAsia="TTCBFo00"/>
      <w:snapToGrid w:val="0"/>
      <w:szCs w:val="18"/>
      <w:lang w:val="en-AU"/>
    </w:rPr>
  </w:style>
  <w:style w:type="paragraph" w:customStyle="1" w:styleId="TitleNumber">
    <w:name w:val="Title Number"/>
    <w:basedOn w:val="Normal"/>
    <w:link w:val="TitleNumberChar"/>
    <w:rsid w:val="0067607E"/>
    <w:pPr>
      <w:tabs>
        <w:tab w:val="left" w:pos="907"/>
      </w:tabs>
      <w:spacing w:before="60" w:after="140"/>
      <w:ind w:left="851"/>
      <w:jc w:val="right"/>
    </w:pPr>
    <w:rPr>
      <w:rFonts w:ascii="Arial Narrow" w:hAnsi="Arial Narrow"/>
      <w:b/>
      <w:iCs/>
      <w:color w:val="808080"/>
      <w:sz w:val="52"/>
      <w:szCs w:val="52"/>
      <w:lang w:val="en-AU" w:eastAsia="en-AU"/>
    </w:rPr>
  </w:style>
  <w:style w:type="character" w:customStyle="1" w:styleId="TitleNumberChar">
    <w:name w:val="Title Number Char"/>
    <w:link w:val="TitleNumber"/>
    <w:rsid w:val="0067607E"/>
    <w:rPr>
      <w:rFonts w:ascii="Arial Narrow" w:hAnsi="Arial Narrow"/>
      <w:b/>
      <w:iCs/>
      <w:color w:val="808080"/>
      <w:sz w:val="52"/>
      <w:szCs w:val="52"/>
      <w:lang w:val="en-AU" w:eastAsia="en-AU" w:bidi="ar-SA"/>
    </w:rPr>
  </w:style>
  <w:style w:type="paragraph" w:customStyle="1" w:styleId="TitleText">
    <w:name w:val="Title Text"/>
    <w:basedOn w:val="Normal"/>
    <w:link w:val="TitleTextChar"/>
    <w:rsid w:val="0067607E"/>
    <w:pPr>
      <w:tabs>
        <w:tab w:val="left" w:pos="907"/>
      </w:tabs>
      <w:spacing w:after="140"/>
      <w:ind w:left="851"/>
      <w:jc w:val="both"/>
    </w:pPr>
    <w:rPr>
      <w:bCs/>
      <w:iCs/>
      <w:sz w:val="36"/>
      <w:szCs w:val="36"/>
      <w:lang w:val="en-AU" w:eastAsia="en-AU"/>
    </w:rPr>
  </w:style>
  <w:style w:type="character" w:customStyle="1" w:styleId="TitleTextChar">
    <w:name w:val="Title Text Char"/>
    <w:link w:val="TitleText"/>
    <w:rsid w:val="0067607E"/>
    <w:rPr>
      <w:rFonts w:ascii="Arial" w:hAnsi="Arial"/>
      <w:bCs/>
      <w:iCs/>
      <w:sz w:val="36"/>
      <w:szCs w:val="36"/>
      <w:lang w:val="en-AU" w:eastAsia="en-AU" w:bidi="ar-SA"/>
    </w:rPr>
  </w:style>
  <w:style w:type="paragraph" w:customStyle="1" w:styleId="TitleDate">
    <w:name w:val="Title Date"/>
    <w:basedOn w:val="Normal"/>
    <w:rsid w:val="0067607E"/>
    <w:pPr>
      <w:tabs>
        <w:tab w:val="left" w:pos="907"/>
      </w:tabs>
      <w:spacing w:after="140"/>
      <w:ind w:left="851"/>
      <w:jc w:val="right"/>
    </w:pPr>
    <w:rPr>
      <w:rFonts w:ascii="Arial Narrow" w:hAnsi="Arial Narrow"/>
      <w:caps/>
      <w:szCs w:val="20"/>
      <w:lang w:val="en-AU" w:eastAsia="en-AU"/>
    </w:rPr>
  </w:style>
  <w:style w:type="paragraph" w:customStyle="1" w:styleId="WARNINGCAUTION">
    <w:name w:val="WARNING+CAUTION"/>
    <w:basedOn w:val="BodyText"/>
    <w:rsid w:val="0067607E"/>
    <w:pPr>
      <w:pBdr>
        <w:top w:val="single" w:sz="4" w:space="1" w:color="auto"/>
        <w:left w:val="single" w:sz="4" w:space="4" w:color="auto"/>
        <w:bottom w:val="single" w:sz="4" w:space="1" w:color="auto"/>
        <w:right w:val="single" w:sz="4" w:space="4" w:color="auto"/>
      </w:pBdr>
      <w:spacing w:after="140"/>
      <w:ind w:left="1418" w:right="1786"/>
      <w:jc w:val="center"/>
    </w:pPr>
    <w:rPr>
      <w:rFonts w:eastAsia="Times New Roman"/>
    </w:rPr>
  </w:style>
  <w:style w:type="paragraph" w:customStyle="1" w:styleId="TableTitle">
    <w:name w:val="Table Title"/>
    <w:basedOn w:val="Normal"/>
    <w:rsid w:val="0067607E"/>
    <w:pPr>
      <w:keepNext/>
      <w:tabs>
        <w:tab w:val="left" w:pos="907"/>
      </w:tabs>
      <w:spacing w:after="180"/>
      <w:ind w:left="851"/>
      <w:jc w:val="center"/>
    </w:pPr>
    <w:rPr>
      <w:b/>
      <w:bCs/>
      <w:szCs w:val="20"/>
      <w:lang w:val="en-GB" w:eastAsia="en-AU"/>
    </w:rPr>
  </w:style>
  <w:style w:type="paragraph" w:customStyle="1" w:styleId="TableTextLeft">
    <w:name w:val="Table Text Left"/>
    <w:basedOn w:val="Normal"/>
    <w:rsid w:val="0067607E"/>
    <w:pPr>
      <w:tabs>
        <w:tab w:val="left" w:pos="907"/>
      </w:tabs>
      <w:spacing w:before="40" w:after="40"/>
    </w:pPr>
    <w:rPr>
      <w:szCs w:val="18"/>
      <w:lang w:val="en-GB" w:eastAsia="en-AU"/>
    </w:rPr>
  </w:style>
  <w:style w:type="paragraph" w:customStyle="1" w:styleId="Standardpara">
    <w:name w:val="Standard para"/>
    <w:basedOn w:val="Normal"/>
    <w:link w:val="StandardparaChar"/>
    <w:uiPriority w:val="99"/>
    <w:rsid w:val="0067607E"/>
    <w:pPr>
      <w:tabs>
        <w:tab w:val="left" w:pos="1418"/>
      </w:tabs>
      <w:spacing w:after="160"/>
      <w:ind w:left="851"/>
      <w:jc w:val="both"/>
    </w:pPr>
    <w:rPr>
      <w:szCs w:val="20"/>
      <w:lang w:val="en-GB"/>
    </w:rPr>
  </w:style>
  <w:style w:type="character" w:customStyle="1" w:styleId="StandardparaChar">
    <w:name w:val="Standard para Char"/>
    <w:link w:val="Standardpara"/>
    <w:uiPriority w:val="99"/>
    <w:rsid w:val="0067607E"/>
    <w:rPr>
      <w:rFonts w:ascii="Arial" w:hAnsi="Arial"/>
      <w:sz w:val="18"/>
      <w:lang w:val="en-GB" w:eastAsia="en-US" w:bidi="ar-SA"/>
    </w:rPr>
  </w:style>
  <w:style w:type="paragraph" w:customStyle="1" w:styleId="Tabletext0">
    <w:name w:val="Table text"/>
    <w:aliases w:val="(Alt + t)"/>
    <w:basedOn w:val="Normal"/>
    <w:link w:val="TabletextChar"/>
    <w:rsid w:val="00647ED0"/>
    <w:pPr>
      <w:tabs>
        <w:tab w:val="left" w:pos="3969"/>
      </w:tabs>
      <w:spacing w:before="80" w:after="80" w:line="240" w:lineRule="exact"/>
    </w:pPr>
    <w:rPr>
      <w:szCs w:val="20"/>
      <w:lang w:val="en-AU" w:eastAsia="en-AU"/>
    </w:rPr>
  </w:style>
  <w:style w:type="character" w:customStyle="1" w:styleId="TabletextChar">
    <w:name w:val="Table text Char"/>
    <w:aliases w:val="(Alt + t) Char Char"/>
    <w:link w:val="Tabletext0"/>
    <w:rsid w:val="00647ED0"/>
    <w:rPr>
      <w:rFonts w:ascii="Arial" w:hAnsi="Arial"/>
      <w:sz w:val="18"/>
      <w:lang w:val="en-AU" w:eastAsia="en-AU" w:bidi="ar-SA"/>
    </w:rPr>
  </w:style>
  <w:style w:type="paragraph" w:customStyle="1" w:styleId="fullhang">
    <w:name w:val="full hang"/>
    <w:basedOn w:val="Normal"/>
    <w:rsid w:val="0067607E"/>
    <w:pPr>
      <w:tabs>
        <w:tab w:val="left" w:pos="2891"/>
      </w:tabs>
      <w:spacing w:after="120"/>
      <w:ind w:left="2891" w:hanging="2880"/>
    </w:pPr>
    <w:rPr>
      <w:snapToGrid w:val="0"/>
      <w:sz w:val="22"/>
      <w:szCs w:val="20"/>
      <w:lang w:val="en-AU"/>
    </w:rPr>
  </w:style>
  <w:style w:type="paragraph" w:customStyle="1" w:styleId="bulletlist">
    <w:name w:val="bullet list"/>
    <w:link w:val="bulletlistChar"/>
    <w:rsid w:val="0067607E"/>
    <w:pPr>
      <w:tabs>
        <w:tab w:val="left" w:pos="2608"/>
      </w:tabs>
      <w:spacing w:after="119"/>
      <w:ind w:left="2608" w:hanging="340"/>
    </w:pPr>
    <w:rPr>
      <w:rFonts w:ascii="Arial" w:eastAsia="Times New Roman" w:hAnsi="Arial"/>
      <w:snapToGrid w:val="0"/>
      <w:sz w:val="22"/>
      <w:lang w:eastAsia="en-US"/>
    </w:rPr>
  </w:style>
  <w:style w:type="character" w:customStyle="1" w:styleId="bulletlistChar">
    <w:name w:val="bullet list Char"/>
    <w:link w:val="bulletlist"/>
    <w:rsid w:val="0067607E"/>
    <w:rPr>
      <w:rFonts w:ascii="Arial" w:eastAsia="Times New Roman" w:hAnsi="Arial"/>
      <w:snapToGrid w:val="0"/>
      <w:sz w:val="22"/>
      <w:lang w:val="en-AU" w:eastAsia="en-US" w:bidi="ar-SA"/>
    </w:rPr>
  </w:style>
  <w:style w:type="paragraph" w:customStyle="1" w:styleId="warninglist">
    <w:name w:val="warninglist"/>
    <w:basedOn w:val="Normal"/>
    <w:next w:val="Normal"/>
    <w:rsid w:val="0067607E"/>
    <w:pPr>
      <w:tabs>
        <w:tab w:val="left" w:pos="2608"/>
        <w:tab w:val="left" w:pos="3260"/>
      </w:tabs>
      <w:spacing w:after="120"/>
      <w:ind w:left="3260" w:hanging="1559"/>
    </w:pPr>
    <w:rPr>
      <w:rFonts w:ascii="Times New Roman" w:hAnsi="Times New Roman"/>
      <w:b/>
      <w:snapToGrid w:val="0"/>
      <w:sz w:val="22"/>
      <w:szCs w:val="20"/>
      <w:lang w:val="en-AU"/>
    </w:rPr>
  </w:style>
  <w:style w:type="paragraph" w:customStyle="1" w:styleId="Subparagraph">
    <w:name w:val="Subparagraph"/>
    <w:basedOn w:val="BulletAltb"/>
    <w:rsid w:val="0067607E"/>
    <w:pPr>
      <w:numPr>
        <w:numId w:val="11"/>
      </w:numPr>
      <w:tabs>
        <w:tab w:val="clear" w:pos="1208"/>
      </w:tabs>
      <w:spacing w:line="240" w:lineRule="auto"/>
      <w:jc w:val="both"/>
    </w:pPr>
    <w:rPr>
      <w:rFonts w:eastAsia="Times New Roman"/>
      <w:sz w:val="20"/>
    </w:rPr>
  </w:style>
  <w:style w:type="paragraph" w:customStyle="1" w:styleId="Procedures">
    <w:name w:val="Procedures"/>
    <w:basedOn w:val="BulletAltb"/>
    <w:link w:val="ProceduresChar"/>
    <w:rsid w:val="0067607E"/>
    <w:pPr>
      <w:numPr>
        <w:numId w:val="12"/>
      </w:numPr>
      <w:tabs>
        <w:tab w:val="clear" w:pos="1208"/>
      </w:tabs>
      <w:spacing w:line="240" w:lineRule="auto"/>
      <w:jc w:val="both"/>
    </w:pPr>
    <w:rPr>
      <w:rFonts w:eastAsia="Times New Roman"/>
      <w:sz w:val="20"/>
    </w:rPr>
  </w:style>
  <w:style w:type="character" w:customStyle="1" w:styleId="ProceduresChar">
    <w:name w:val="Procedures Char"/>
    <w:link w:val="Procedures"/>
    <w:rsid w:val="0067607E"/>
    <w:rPr>
      <w:rFonts w:ascii="Arial" w:eastAsia="Times New Roman" w:hAnsi="Arial"/>
      <w:szCs w:val="18"/>
      <w:lang w:val="en-GB"/>
    </w:rPr>
  </w:style>
  <w:style w:type="paragraph" w:customStyle="1" w:styleId="Sub-paragraph">
    <w:name w:val="Sub-paragraph"/>
    <w:basedOn w:val="Normal"/>
    <w:uiPriority w:val="99"/>
    <w:rsid w:val="0067607E"/>
    <w:pPr>
      <w:tabs>
        <w:tab w:val="left" w:pos="907"/>
      </w:tabs>
      <w:spacing w:after="180"/>
      <w:ind w:left="1701"/>
    </w:pPr>
    <w:rPr>
      <w:rFonts w:ascii="Times New Roman" w:hAnsi="Times New Roman"/>
      <w:szCs w:val="20"/>
      <w:lang w:val="en-GB"/>
    </w:rPr>
  </w:style>
  <w:style w:type="paragraph" w:customStyle="1" w:styleId="tabletextcentred">
    <w:name w:val="table text centred"/>
    <w:basedOn w:val="tabletext"/>
    <w:rsid w:val="0067607E"/>
    <w:pPr>
      <w:spacing w:before="40" w:after="40"/>
      <w:jc w:val="center"/>
    </w:pPr>
  </w:style>
  <w:style w:type="paragraph" w:customStyle="1" w:styleId="alphaindenttext">
    <w:name w:val="alpha indent text"/>
    <w:aliases w:val="(Alt + l)"/>
    <w:basedOn w:val="BodyText"/>
    <w:rsid w:val="006702E4"/>
    <w:pPr>
      <w:ind w:left="1361" w:hanging="510"/>
    </w:pPr>
  </w:style>
  <w:style w:type="paragraph" w:customStyle="1" w:styleId="Appendix20">
    <w:name w:val="Appendix 2"/>
    <w:aliases w:val="(Alt +d)"/>
    <w:rsid w:val="00D53689"/>
    <w:pPr>
      <w:tabs>
        <w:tab w:val="left" w:pos="1814"/>
      </w:tabs>
      <w:spacing w:after="80"/>
      <w:ind w:left="1814" w:hanging="1814"/>
    </w:pPr>
    <w:rPr>
      <w:rFonts w:ascii="Arial" w:eastAsia="Times New Roman" w:hAnsi="Arial"/>
      <w:sz w:val="24"/>
      <w:szCs w:val="26"/>
    </w:rPr>
  </w:style>
  <w:style w:type="paragraph" w:customStyle="1" w:styleId="AppendixHeading2">
    <w:name w:val="Appendix Heading 2"/>
    <w:basedOn w:val="Normal"/>
    <w:link w:val="AppendixHeading2Char"/>
    <w:qFormat/>
    <w:rsid w:val="00E91DA5"/>
    <w:pPr>
      <w:tabs>
        <w:tab w:val="left" w:pos="851"/>
      </w:tabs>
      <w:ind w:left="851" w:hanging="851"/>
    </w:pPr>
    <w:rPr>
      <w:sz w:val="24"/>
      <w:lang w:val="en-AU" w:eastAsia="en-AU"/>
    </w:rPr>
  </w:style>
  <w:style w:type="paragraph" w:customStyle="1" w:styleId="AppendixHeading1">
    <w:name w:val="Appendix Heading 1"/>
    <w:basedOn w:val="Normal"/>
    <w:link w:val="AppendixHeading1Char"/>
    <w:qFormat/>
    <w:rsid w:val="00EA41E1"/>
    <w:pPr>
      <w:pBdr>
        <w:bottom w:val="single" w:sz="4" w:space="1" w:color="auto"/>
      </w:pBdr>
      <w:tabs>
        <w:tab w:val="left" w:pos="1814"/>
      </w:tabs>
      <w:spacing w:after="400"/>
      <w:ind w:left="1814" w:hanging="1814"/>
    </w:pPr>
    <w:rPr>
      <w:rFonts w:ascii="Arial Bold" w:eastAsia="Cambria" w:hAnsi="Arial Bold"/>
      <w:b/>
      <w:noProof/>
      <w:color w:val="333333"/>
      <w:sz w:val="30"/>
      <w:szCs w:val="40"/>
      <w:lang w:val="en-AU" w:eastAsia="en-AU"/>
    </w:rPr>
  </w:style>
  <w:style w:type="character" w:customStyle="1" w:styleId="AppendixHeading2Char">
    <w:name w:val="Appendix Heading 2 Char"/>
    <w:link w:val="AppendixHeading2"/>
    <w:rsid w:val="00E91DA5"/>
    <w:rPr>
      <w:rFonts w:ascii="Arial" w:eastAsia="Times New Roman" w:hAnsi="Arial"/>
      <w:sz w:val="24"/>
      <w:szCs w:val="24"/>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uiPriority w:val="99"/>
    <w:rsid w:val="00015A1D"/>
    <w:rPr>
      <w:vertAlign w:val="superscript"/>
    </w:rPr>
  </w:style>
  <w:style w:type="character" w:customStyle="1" w:styleId="AppendixHeading1Char">
    <w:name w:val="Appendix Heading 1 Char"/>
    <w:link w:val="AppendixHeading1"/>
    <w:rsid w:val="00EA41E1"/>
    <w:rPr>
      <w:rFonts w:ascii="Arial Bold" w:hAnsi="Arial Bold"/>
      <w:b/>
      <w:noProof/>
      <w:color w:val="333333"/>
      <w:sz w:val="30"/>
      <w:szCs w:val="40"/>
    </w:rPr>
  </w:style>
  <w:style w:type="paragraph" w:styleId="ListParagraph">
    <w:name w:val="List Paragraph"/>
    <w:basedOn w:val="Normal"/>
    <w:uiPriority w:val="34"/>
    <w:qFormat/>
    <w:rsid w:val="00457392"/>
    <w:pPr>
      <w:ind w:left="720"/>
      <w:contextualSpacing/>
    </w:pPr>
  </w:style>
  <w:style w:type="numbering" w:customStyle="1" w:styleId="StyleBulletedCourierNewLeft19cmHanging063cm2">
    <w:name w:val="Style Bulleted Courier New Left:  1.9 cm Hanging:  0.63 cm2"/>
    <w:basedOn w:val="NoList"/>
    <w:rsid w:val="00603060"/>
    <w:pPr>
      <w:numPr>
        <w:numId w:val="15"/>
      </w:numPr>
    </w:pPr>
  </w:style>
  <w:style w:type="table" w:customStyle="1" w:styleId="TableGrid1">
    <w:name w:val="Table Grid1"/>
    <w:basedOn w:val="TableNormal"/>
    <w:next w:val="TableGrid"/>
    <w:rsid w:val="00787CFB"/>
    <w:pPr>
      <w:tabs>
        <w:tab w:val="left" w:pos="907"/>
      </w:tabs>
      <w:spacing w:before="80" w:after="8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FootnoteTextChar">
    <w:name w:val="Footnote Text Char"/>
    <w:aliases w:val="ALTS FOOTNOTE Char,(NECG) Footnote Text Char,Note de bas de page Car5 Char,Note de bas de page Car4 Car Char,Note de bas de page Car4 Car Car Car Car Car Car Car  Car Char,Note de bas de page Car4 Car Car Char,AR Footnote Tex Char"/>
    <w:link w:val="FootnoteText"/>
    <w:uiPriority w:val="99"/>
    <w:locked/>
    <w:rsid w:val="001E7F29"/>
    <w:rPr>
      <w:rFonts w:ascii="Arial" w:eastAsia="Times New Roman" w:hAnsi="Arial"/>
      <w:sz w:val="14"/>
      <w:lang w:val="en-US"/>
    </w:rPr>
  </w:style>
  <w:style w:type="character" w:styleId="PlaceholderText">
    <w:name w:val="Placeholder Text"/>
    <w:basedOn w:val="DefaultParagraphFont"/>
    <w:uiPriority w:val="99"/>
    <w:semiHidden/>
    <w:rsid w:val="00636D94"/>
    <w:rPr>
      <w:color w:val="808080"/>
    </w:rPr>
  </w:style>
  <w:style w:type="paragraph" w:customStyle="1" w:styleId="TableHeading">
    <w:name w:val="Table Heading"/>
    <w:basedOn w:val="Normal"/>
    <w:qFormat/>
    <w:rsid w:val="000506E7"/>
    <w:pPr>
      <w:spacing w:after="120"/>
    </w:pPr>
    <w:rPr>
      <w:color w:val="5E6A71"/>
      <w:sz w:val="22"/>
      <w:lang w:val="en-AU" w:eastAsia="en-AU"/>
    </w:rPr>
  </w:style>
  <w:style w:type="character" w:customStyle="1" w:styleId="HeaderChar1">
    <w:name w:val="Header Char1"/>
    <w:rsid w:val="00A809F8"/>
    <w:rPr>
      <w:rFonts w:ascii="Arial Bold" w:hAnsi="Arial Bold"/>
      <w:b/>
      <w:color w:val="5E6A71"/>
      <w:sz w:val="56"/>
      <w:szCs w:val="24"/>
      <w:lang w:val="en-AU" w:eastAsia="en-AU" w:bidi="ar-SA"/>
    </w:rPr>
  </w:style>
  <w:style w:type="paragraph" w:styleId="BodyText2">
    <w:name w:val="Body Text 2"/>
    <w:basedOn w:val="Normal"/>
    <w:link w:val="BodyText2Char"/>
    <w:uiPriority w:val="99"/>
    <w:rsid w:val="001D1FFF"/>
    <w:pPr>
      <w:spacing w:after="120" w:line="480" w:lineRule="auto"/>
    </w:pPr>
    <w:rPr>
      <w:color w:val="5E6A71"/>
      <w:sz w:val="22"/>
      <w:lang w:val="en-AU" w:eastAsia="en-AU"/>
    </w:rPr>
  </w:style>
  <w:style w:type="character" w:customStyle="1" w:styleId="BodyText2Char">
    <w:name w:val="Body Text 2 Char"/>
    <w:basedOn w:val="DefaultParagraphFont"/>
    <w:link w:val="BodyText2"/>
    <w:uiPriority w:val="99"/>
    <w:rsid w:val="001D1FFF"/>
    <w:rPr>
      <w:rFonts w:ascii="Arial" w:eastAsia="Times New Roman" w:hAnsi="Arial"/>
      <w:color w:val="5E6A71"/>
      <w:sz w:val="22"/>
      <w:szCs w:val="24"/>
    </w:rPr>
  </w:style>
  <w:style w:type="paragraph" w:customStyle="1" w:styleId="AGTBodycopy">
    <w:name w:val="AGT Body copy"/>
    <w:basedOn w:val="Normal"/>
    <w:link w:val="AGTBodycopyChar"/>
    <w:rsid w:val="0065213B"/>
    <w:pPr>
      <w:spacing w:after="0" w:line="360" w:lineRule="auto"/>
    </w:pPr>
    <w:rPr>
      <w:sz w:val="22"/>
      <w:lang w:val="en-AU" w:eastAsia="en-AU"/>
    </w:rPr>
  </w:style>
  <w:style w:type="character" w:customStyle="1" w:styleId="AGTBodycopyChar">
    <w:name w:val="AGT Body copy Char"/>
    <w:basedOn w:val="DefaultParagraphFont"/>
    <w:link w:val="AGTBodycopy"/>
    <w:rsid w:val="0065213B"/>
    <w:rPr>
      <w:rFonts w:ascii="Arial" w:eastAsia="Times New Roman" w:hAnsi="Arial"/>
      <w:sz w:val="22"/>
      <w:szCs w:val="24"/>
    </w:rPr>
  </w:style>
  <w:style w:type="character" w:customStyle="1" w:styleId="Appendix2CharChar">
    <w:name w:val="Appendix2 Char Char"/>
    <w:basedOn w:val="DefaultParagraphFont"/>
    <w:uiPriority w:val="99"/>
    <w:locked/>
    <w:rsid w:val="00932512"/>
    <w:rPr>
      <w:rFonts w:ascii="Arial Bold" w:hAnsi="Arial Bold" w:cs="Times New Roman"/>
      <w:b/>
      <w:sz w:val="26"/>
      <w:lang w:val="en-GB" w:eastAsia="en-AU" w:bidi="ar-SA"/>
    </w:rPr>
  </w:style>
  <w:style w:type="character" w:customStyle="1" w:styleId="StyleStyleappendix1Expandedby01pt12ptBoldChar">
    <w:name w:val="Style Style appendix 1 + Expanded by  0.1 pt + 12 pt Bold Char"/>
    <w:basedOn w:val="DefaultParagraphFont"/>
    <w:link w:val="StyleStyleappendix1Expandedby01pt12ptBold"/>
    <w:uiPriority w:val="99"/>
    <w:locked/>
    <w:rsid w:val="00932512"/>
    <w:rPr>
      <w:rFonts w:ascii="Arial" w:hAnsi="Arial"/>
      <w:b/>
      <w:bCs/>
      <w:spacing w:val="2"/>
      <w:sz w:val="24"/>
      <w:lang w:val="en-US"/>
    </w:rPr>
  </w:style>
  <w:style w:type="paragraph" w:customStyle="1" w:styleId="StyleStyleappendix1Expandedby01pt12ptBold">
    <w:name w:val="Style Style appendix 1 + Expanded by  0.1 pt + 12 pt Bold"/>
    <w:basedOn w:val="Normal"/>
    <w:link w:val="StyleStyleappendix1Expandedby01pt12ptBoldChar"/>
    <w:uiPriority w:val="99"/>
    <w:rsid w:val="00932512"/>
    <w:pPr>
      <w:tabs>
        <w:tab w:val="left" w:pos="851"/>
      </w:tabs>
      <w:spacing w:after="0"/>
      <w:ind w:left="851" w:hanging="851"/>
    </w:pPr>
    <w:rPr>
      <w:rFonts w:eastAsia="Cambria"/>
      <w:b/>
      <w:bCs/>
      <w:spacing w:val="2"/>
      <w:sz w:val="24"/>
      <w:szCs w:val="20"/>
      <w:lang w:eastAsia="en-AU"/>
    </w:rPr>
  </w:style>
  <w:style w:type="paragraph" w:customStyle="1" w:styleId="Paranote">
    <w:name w:val="Para note"/>
    <w:basedOn w:val="Normal"/>
    <w:uiPriority w:val="99"/>
    <w:rsid w:val="00481889"/>
    <w:pPr>
      <w:tabs>
        <w:tab w:val="left" w:pos="3600"/>
      </w:tabs>
      <w:spacing w:after="120"/>
      <w:ind w:left="3600" w:hanging="720"/>
    </w:pPr>
    <w:rPr>
      <w:rFonts w:ascii="UniversCond" w:hAnsi="UniversCond"/>
      <w:sz w:val="24"/>
      <w:szCs w:val="20"/>
      <w:lang w:eastAsia="en-AU"/>
    </w:rPr>
  </w:style>
  <w:style w:type="paragraph" w:customStyle="1" w:styleId="Sub-note">
    <w:name w:val="Sub-note"/>
    <w:basedOn w:val="Sub-paragraph"/>
    <w:uiPriority w:val="99"/>
    <w:rsid w:val="00481889"/>
    <w:pPr>
      <w:tabs>
        <w:tab w:val="clear" w:pos="907"/>
        <w:tab w:val="left" w:pos="4032"/>
      </w:tabs>
      <w:spacing w:after="160"/>
      <w:ind w:left="3430" w:hanging="720"/>
    </w:pPr>
    <w:rPr>
      <w:i/>
      <w:sz w:val="24"/>
      <w:lang w:val="en-US" w:eastAsia="en-AU"/>
    </w:rPr>
  </w:style>
  <w:style w:type="paragraph" w:customStyle="1" w:styleId="CLAUSE">
    <w:name w:val="CLAUSE"/>
    <w:basedOn w:val="Normal"/>
    <w:uiPriority w:val="99"/>
    <w:rsid w:val="00481889"/>
    <w:pPr>
      <w:tabs>
        <w:tab w:val="right" w:pos="5216"/>
      </w:tabs>
      <w:spacing w:after="60"/>
      <w:ind w:right="17"/>
    </w:pPr>
    <w:rPr>
      <w:rFonts w:ascii="EnergyText" w:hAnsi="EnergyText"/>
      <w:sz w:val="16"/>
      <w:szCs w:val="20"/>
      <w:lang w:eastAsia="en-AU"/>
    </w:rPr>
  </w:style>
  <w:style w:type="paragraph" w:customStyle="1" w:styleId="CONTENTS">
    <w:name w:val="CONTENTS"/>
    <w:uiPriority w:val="99"/>
    <w:rsid w:val="00481889"/>
    <w:pPr>
      <w:pBdr>
        <w:top w:val="single" w:sz="6" w:space="3" w:color="auto"/>
        <w:left w:val="single" w:sz="6" w:space="2" w:color="auto"/>
        <w:bottom w:val="single" w:sz="6" w:space="5" w:color="auto"/>
        <w:right w:val="single" w:sz="6" w:space="2" w:color="auto"/>
      </w:pBdr>
      <w:shd w:val="solid" w:color="auto" w:fill="auto"/>
      <w:spacing w:after="60"/>
      <w:ind w:left="85" w:right="85"/>
      <w:jc w:val="center"/>
    </w:pPr>
    <w:rPr>
      <w:rFonts w:ascii="Times New Roman" w:eastAsia="Times New Roman" w:hAnsi="Times New Roman"/>
      <w:b/>
      <w:sz w:val="40"/>
      <w:lang w:val="en-US"/>
    </w:rPr>
  </w:style>
  <w:style w:type="paragraph" w:customStyle="1" w:styleId="Date1">
    <w:name w:val="Date1"/>
    <w:basedOn w:val="CONTENTS"/>
    <w:uiPriority w:val="99"/>
    <w:rsid w:val="00481889"/>
    <w:pPr>
      <w:pBdr>
        <w:top w:val="single" w:sz="6" w:space="6" w:color="auto"/>
        <w:left w:val="none" w:sz="0" w:space="0" w:color="auto"/>
        <w:bottom w:val="single" w:sz="6" w:space="6" w:color="auto"/>
        <w:right w:val="none" w:sz="0" w:space="0" w:color="auto"/>
        <w:between w:val="single" w:sz="6" w:space="6" w:color="auto"/>
      </w:pBdr>
      <w:shd w:val="clear" w:color="auto" w:fill="auto"/>
      <w:spacing w:before="60" w:after="100"/>
      <w:ind w:left="0" w:right="0"/>
      <w:jc w:val="left"/>
    </w:pPr>
    <w:rPr>
      <w:rFonts w:ascii="Arial" w:hAnsi="Arial"/>
      <w:sz w:val="24"/>
    </w:rPr>
  </w:style>
  <w:style w:type="paragraph" w:customStyle="1" w:styleId="boxtext0">
    <w:name w:val="box text"/>
    <w:basedOn w:val="Standardpara"/>
    <w:uiPriority w:val="99"/>
    <w:rsid w:val="00481889"/>
    <w:pPr>
      <w:pBdr>
        <w:top w:val="single" w:sz="12" w:space="3" w:color="auto"/>
        <w:left w:val="single" w:sz="12" w:space="3" w:color="auto"/>
        <w:bottom w:val="single" w:sz="12" w:space="3" w:color="auto"/>
        <w:right w:val="single" w:sz="12" w:space="3" w:color="auto"/>
      </w:pBdr>
      <w:spacing w:before="360" w:after="360" w:line="-440" w:lineRule="auto"/>
      <w:ind w:left="4048" w:right="1457"/>
      <w:jc w:val="center"/>
    </w:pPr>
    <w:rPr>
      <w:b/>
      <w:sz w:val="20"/>
      <w:lang w:val="en-US" w:eastAsia="en-AU"/>
    </w:rPr>
  </w:style>
  <w:style w:type="paragraph" w:customStyle="1" w:styleId="standardhang">
    <w:name w:val="standard hang"/>
    <w:basedOn w:val="Standardpara"/>
    <w:uiPriority w:val="99"/>
    <w:rsid w:val="00481889"/>
    <w:pPr>
      <w:tabs>
        <w:tab w:val="left" w:pos="3969"/>
      </w:tabs>
      <w:ind w:left="3969" w:hanging="567"/>
      <w:jc w:val="left"/>
    </w:pPr>
    <w:rPr>
      <w:sz w:val="20"/>
      <w:lang w:val="en-US" w:eastAsia="en-AU"/>
    </w:rPr>
  </w:style>
  <w:style w:type="paragraph" w:customStyle="1" w:styleId="attachment">
    <w:name w:val="attachment"/>
    <w:uiPriority w:val="99"/>
    <w:rsid w:val="00481889"/>
    <w:pPr>
      <w:pBdr>
        <w:bottom w:val="single" w:sz="6" w:space="4" w:color="auto"/>
      </w:pBdr>
      <w:tabs>
        <w:tab w:val="right" w:pos="9639"/>
      </w:tabs>
      <w:spacing w:after="480"/>
    </w:pPr>
    <w:rPr>
      <w:rFonts w:ascii="Zurich Cn BT" w:eastAsia="Times New Roman" w:hAnsi="Zurich Cn BT"/>
      <w:caps/>
      <w:sz w:val="40"/>
      <w:lang w:val="en-US"/>
    </w:rPr>
  </w:style>
  <w:style w:type="paragraph" w:customStyle="1" w:styleId="BodyText1">
    <w:name w:val="Body Text1"/>
    <w:uiPriority w:val="99"/>
    <w:rsid w:val="00481889"/>
    <w:pPr>
      <w:spacing w:after="180"/>
      <w:ind w:left="2880"/>
    </w:pPr>
    <w:rPr>
      <w:rFonts w:ascii="Times New Roman" w:eastAsia="Times New Roman" w:hAnsi="Times New Roman"/>
      <w:sz w:val="24"/>
      <w:lang w:val="en-US"/>
    </w:rPr>
  </w:style>
  <w:style w:type="paragraph" w:customStyle="1" w:styleId="appendix">
    <w:name w:val="appendix"/>
    <w:link w:val="appendixChar"/>
    <w:uiPriority w:val="99"/>
    <w:rsid w:val="00481889"/>
    <w:pPr>
      <w:pBdr>
        <w:bottom w:val="single" w:sz="6" w:space="4" w:color="auto"/>
      </w:pBdr>
      <w:tabs>
        <w:tab w:val="right" w:pos="9650"/>
      </w:tabs>
      <w:spacing w:after="480"/>
    </w:pPr>
    <w:rPr>
      <w:rFonts w:ascii="Zurich Cn BT" w:eastAsia="Times New Roman" w:hAnsi="Zurich Cn BT"/>
      <w:sz w:val="40"/>
      <w:lang w:val="en-US"/>
    </w:rPr>
  </w:style>
  <w:style w:type="paragraph" w:customStyle="1" w:styleId="hangindent2">
    <w:name w:val="hang indent2"/>
    <w:basedOn w:val="Standardpara"/>
    <w:uiPriority w:val="99"/>
    <w:rsid w:val="00481889"/>
    <w:pPr>
      <w:tabs>
        <w:tab w:val="left" w:pos="4111"/>
      </w:tabs>
      <w:ind w:left="4111" w:hanging="709"/>
      <w:jc w:val="left"/>
    </w:pPr>
    <w:rPr>
      <w:sz w:val="20"/>
      <w:lang w:val="en-US" w:eastAsia="en-AU"/>
    </w:rPr>
  </w:style>
  <w:style w:type="paragraph" w:customStyle="1" w:styleId="scope">
    <w:name w:val="scope"/>
    <w:uiPriority w:val="99"/>
    <w:rsid w:val="00481889"/>
    <w:pPr>
      <w:pBdr>
        <w:bottom w:val="single" w:sz="6" w:space="2" w:color="auto"/>
      </w:pBdr>
      <w:spacing w:after="80"/>
    </w:pPr>
    <w:rPr>
      <w:rFonts w:ascii="Arial Narrow" w:eastAsia="Times New Roman" w:hAnsi="Arial Narrow"/>
      <w:noProof/>
    </w:rPr>
  </w:style>
  <w:style w:type="paragraph" w:customStyle="1" w:styleId="FRCVTitle">
    <w:name w:val="FRCVTitle"/>
    <w:basedOn w:val="Normal"/>
    <w:uiPriority w:val="99"/>
    <w:rsid w:val="00481889"/>
    <w:pPr>
      <w:keepLines/>
      <w:framePr w:w="11539" w:wrap="notBeside" w:vAnchor="page" w:hAnchor="text" w:xAlign="center" w:y="7939"/>
      <w:pBdr>
        <w:top w:val="single" w:sz="12" w:space="31" w:color="000000"/>
        <w:bottom w:val="single" w:sz="12" w:space="31" w:color="000000"/>
      </w:pBdr>
      <w:spacing w:after="0"/>
      <w:jc w:val="center"/>
    </w:pPr>
    <w:rPr>
      <w:rFonts w:ascii="Times New Roman" w:hAnsi="Times New Roman"/>
      <w:b/>
      <w:noProof/>
      <w:sz w:val="48"/>
      <w:szCs w:val="20"/>
      <w:lang w:val="en-AU" w:eastAsia="en-AU"/>
    </w:rPr>
  </w:style>
  <w:style w:type="paragraph" w:customStyle="1" w:styleId="fcdoc-No">
    <w:name w:val="fcdoc-No"/>
    <w:basedOn w:val="Normal"/>
    <w:uiPriority w:val="99"/>
    <w:rsid w:val="00481889"/>
    <w:pPr>
      <w:framePr w:w="3600" w:hSpace="240" w:vSpace="240" w:wrap="auto" w:vAnchor="page" w:hAnchor="page" w:x="7489" w:y="1153"/>
      <w:spacing w:after="0" w:line="480" w:lineRule="exact"/>
      <w:jc w:val="right"/>
    </w:pPr>
    <w:rPr>
      <w:rFonts w:ascii="Times" w:hAnsi="Times"/>
      <w:b/>
      <w:sz w:val="36"/>
      <w:szCs w:val="20"/>
      <w:lang w:val="en-GB" w:eastAsia="en-AU"/>
    </w:rPr>
  </w:style>
  <w:style w:type="paragraph" w:customStyle="1" w:styleId="Appendix0">
    <w:name w:val="Appendix"/>
    <w:link w:val="AppendixChar0"/>
    <w:uiPriority w:val="99"/>
    <w:rsid w:val="00481889"/>
    <w:pPr>
      <w:pBdr>
        <w:bottom w:val="single" w:sz="6" w:space="2" w:color="auto"/>
      </w:pBdr>
      <w:tabs>
        <w:tab w:val="left" w:pos="2415"/>
      </w:tabs>
      <w:spacing w:after="480"/>
      <w:ind w:left="2415" w:hanging="2415"/>
    </w:pPr>
    <w:rPr>
      <w:rFonts w:ascii="Arial" w:eastAsia="Times New Roman" w:hAnsi="Arial"/>
      <w:b/>
      <w:noProof/>
      <w:sz w:val="36"/>
    </w:rPr>
  </w:style>
  <w:style w:type="paragraph" w:customStyle="1" w:styleId="hanging">
    <w:name w:val="hanging"/>
    <w:basedOn w:val="Standardparagraph"/>
    <w:uiPriority w:val="99"/>
    <w:rsid w:val="00481889"/>
    <w:pPr>
      <w:tabs>
        <w:tab w:val="left" w:pos="3402"/>
      </w:tabs>
      <w:spacing w:after="180"/>
      <w:ind w:left="3402" w:hanging="567"/>
    </w:pPr>
    <w:rPr>
      <w:rFonts w:ascii="Times New Roman" w:hAnsi="Times New Roman"/>
      <w:sz w:val="24"/>
    </w:rPr>
  </w:style>
  <w:style w:type="paragraph" w:styleId="BodyText3">
    <w:name w:val="Body Text 3"/>
    <w:basedOn w:val="Normal"/>
    <w:link w:val="BodyText3Char"/>
    <w:uiPriority w:val="99"/>
    <w:rsid w:val="00481889"/>
    <w:pPr>
      <w:spacing w:after="120" w:line="-240" w:lineRule="auto"/>
      <w:ind w:right="18"/>
    </w:pPr>
    <w:rPr>
      <w:rFonts w:ascii="Times New Roman" w:hAnsi="Times New Roman"/>
      <w:sz w:val="20"/>
      <w:szCs w:val="20"/>
      <w:lang w:eastAsia="en-AU"/>
    </w:rPr>
  </w:style>
  <w:style w:type="character" w:customStyle="1" w:styleId="BodyText3Char">
    <w:name w:val="Body Text 3 Char"/>
    <w:basedOn w:val="DefaultParagraphFont"/>
    <w:link w:val="BodyText3"/>
    <w:uiPriority w:val="99"/>
    <w:rsid w:val="00481889"/>
    <w:rPr>
      <w:rFonts w:ascii="Times New Roman" w:eastAsia="Times New Roman" w:hAnsi="Times New Roman"/>
      <w:lang w:val="en-US"/>
    </w:rPr>
  </w:style>
  <w:style w:type="paragraph" w:styleId="Title">
    <w:name w:val="Title"/>
    <w:basedOn w:val="Normal"/>
    <w:link w:val="TitleChar1"/>
    <w:uiPriority w:val="99"/>
    <w:qFormat/>
    <w:locked/>
    <w:rsid w:val="00481889"/>
    <w:pPr>
      <w:spacing w:after="240"/>
      <w:jc w:val="center"/>
    </w:pPr>
    <w:rPr>
      <w:rFonts w:ascii="Arial Narrow" w:hAnsi="Arial Narrow"/>
      <w:b/>
      <w:sz w:val="28"/>
      <w:szCs w:val="20"/>
      <w:lang w:eastAsia="en-AU"/>
    </w:rPr>
  </w:style>
  <w:style w:type="character" w:customStyle="1" w:styleId="TitleChar">
    <w:name w:val="Title Char"/>
    <w:basedOn w:val="DefaultParagraphFont"/>
    <w:uiPriority w:val="99"/>
    <w:rsid w:val="00481889"/>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hangingChar">
    <w:name w:val="hanging Char"/>
    <w:basedOn w:val="DefaultParagraphFont"/>
    <w:uiPriority w:val="99"/>
    <w:rsid w:val="00481889"/>
    <w:rPr>
      <w:rFonts w:cs="Times New Roman"/>
      <w:sz w:val="24"/>
      <w:lang w:val="en-GB" w:eastAsia="en-US" w:bidi="ar-SA"/>
    </w:rPr>
  </w:style>
  <w:style w:type="character" w:customStyle="1" w:styleId="BalloonTextChar">
    <w:name w:val="Balloon Text Char"/>
    <w:basedOn w:val="DefaultParagraphFont"/>
    <w:link w:val="BalloonText"/>
    <w:uiPriority w:val="99"/>
    <w:semiHidden/>
    <w:locked/>
    <w:rsid w:val="00481889"/>
    <w:rPr>
      <w:rFonts w:ascii="Tahoma" w:eastAsia="Times New Roman" w:hAnsi="Tahoma" w:cs="Tahoma"/>
      <w:sz w:val="16"/>
      <w:szCs w:val="16"/>
    </w:rPr>
  </w:style>
  <w:style w:type="paragraph" w:customStyle="1" w:styleId="dots">
    <w:name w:val="dots"/>
    <w:basedOn w:val="Normal"/>
    <w:uiPriority w:val="99"/>
    <w:rsid w:val="00481889"/>
    <w:pPr>
      <w:numPr>
        <w:numId w:val="17"/>
      </w:numPr>
      <w:spacing w:before="120" w:after="0"/>
    </w:pPr>
    <w:rPr>
      <w:rFonts w:ascii="Arial Narrow" w:hAnsi="Arial Narrow"/>
      <w:sz w:val="24"/>
      <w:szCs w:val="20"/>
      <w:lang w:val="en-AU" w:eastAsia="en-AU"/>
    </w:rPr>
  </w:style>
  <w:style w:type="paragraph" w:customStyle="1" w:styleId="boxed">
    <w:name w:val="boxed"/>
    <w:basedOn w:val="Normal"/>
    <w:uiPriority w:val="99"/>
    <w:rsid w:val="00481889"/>
    <w:pPr>
      <w:pBdr>
        <w:top w:val="single" w:sz="4" w:space="4" w:color="auto"/>
        <w:left w:val="single" w:sz="4" w:space="4" w:color="auto"/>
        <w:bottom w:val="single" w:sz="4" w:space="4" w:color="auto"/>
        <w:right w:val="single" w:sz="4" w:space="4" w:color="auto"/>
      </w:pBdr>
      <w:tabs>
        <w:tab w:val="left" w:pos="3402"/>
      </w:tabs>
      <w:spacing w:after="480"/>
      <w:ind w:left="851"/>
    </w:pPr>
    <w:rPr>
      <w:rFonts w:ascii="Times New Roman" w:hAnsi="Times New Roman"/>
      <w:b/>
      <w:i/>
      <w:sz w:val="24"/>
      <w:szCs w:val="20"/>
      <w:lang w:val="en-AU" w:eastAsia="en-AU"/>
    </w:rPr>
  </w:style>
  <w:style w:type="paragraph" w:customStyle="1" w:styleId="12pttimes">
    <w:name w:val="12pt times"/>
    <w:uiPriority w:val="99"/>
    <w:rsid w:val="00481889"/>
    <w:pPr>
      <w:spacing w:before="120" w:after="40"/>
      <w:ind w:left="2835"/>
    </w:pPr>
    <w:rPr>
      <w:rFonts w:ascii="Arial" w:eastAsia="Times New Roman" w:hAnsi="Arial"/>
      <w:noProof/>
      <w:sz w:val="24"/>
    </w:rPr>
  </w:style>
  <w:style w:type="paragraph" w:styleId="BodyTextIndent">
    <w:name w:val="Body Text Indent"/>
    <w:basedOn w:val="Normal"/>
    <w:link w:val="BodyTextIndentChar"/>
    <w:uiPriority w:val="99"/>
    <w:rsid w:val="00481889"/>
    <w:pPr>
      <w:tabs>
        <w:tab w:val="left" w:pos="907"/>
      </w:tabs>
      <w:spacing w:after="180"/>
      <w:ind w:left="851"/>
    </w:pPr>
    <w:rPr>
      <w:rFonts w:ascii="Times New Roman" w:hAnsi="Times New Roman"/>
      <w:sz w:val="24"/>
      <w:szCs w:val="20"/>
      <w:lang w:val="en-GB" w:eastAsia="en-AU"/>
    </w:rPr>
  </w:style>
  <w:style w:type="character" w:customStyle="1" w:styleId="BodyTextIndentChar">
    <w:name w:val="Body Text Indent Char"/>
    <w:basedOn w:val="DefaultParagraphFont"/>
    <w:link w:val="BodyTextIndent"/>
    <w:uiPriority w:val="99"/>
    <w:rsid w:val="00481889"/>
    <w:rPr>
      <w:rFonts w:ascii="Times New Roman" w:eastAsia="Times New Roman" w:hAnsi="Times New Roman"/>
      <w:sz w:val="24"/>
      <w:lang w:val="en-GB"/>
    </w:rPr>
  </w:style>
  <w:style w:type="paragraph" w:styleId="BodyTextIndent3">
    <w:name w:val="Body Text Indent 3"/>
    <w:basedOn w:val="Normal"/>
    <w:link w:val="BodyTextIndent3Char"/>
    <w:uiPriority w:val="99"/>
    <w:rsid w:val="00481889"/>
    <w:pPr>
      <w:tabs>
        <w:tab w:val="num" w:pos="284"/>
        <w:tab w:val="left" w:pos="1418"/>
      </w:tabs>
      <w:spacing w:after="0"/>
      <w:ind w:left="426"/>
    </w:pPr>
    <w:rPr>
      <w:rFonts w:ascii="Arial Narrow" w:hAnsi="Arial Narrow"/>
      <w:sz w:val="24"/>
      <w:szCs w:val="20"/>
      <w:lang w:eastAsia="en-AU"/>
    </w:rPr>
  </w:style>
  <w:style w:type="character" w:customStyle="1" w:styleId="BodyTextIndent3Char">
    <w:name w:val="Body Text Indent 3 Char"/>
    <w:basedOn w:val="DefaultParagraphFont"/>
    <w:link w:val="BodyTextIndent3"/>
    <w:uiPriority w:val="99"/>
    <w:rsid w:val="00481889"/>
    <w:rPr>
      <w:rFonts w:ascii="Arial Narrow" w:eastAsia="Times New Roman" w:hAnsi="Arial Narrow"/>
      <w:sz w:val="24"/>
      <w:lang w:val="en-US"/>
    </w:rPr>
  </w:style>
  <w:style w:type="paragraph" w:customStyle="1" w:styleId="Part">
    <w:name w:val="Part"/>
    <w:uiPriority w:val="99"/>
    <w:rsid w:val="00481889"/>
    <w:pPr>
      <w:jc w:val="right"/>
    </w:pPr>
    <w:rPr>
      <w:rFonts w:ascii="Times New Roman" w:eastAsia="Times New Roman" w:hAnsi="Times New Roman"/>
      <w:noProof/>
      <w:sz w:val="52"/>
    </w:rPr>
  </w:style>
  <w:style w:type="paragraph" w:customStyle="1" w:styleId="9pttext">
    <w:name w:val="9pt text"/>
    <w:basedOn w:val="Normal"/>
    <w:uiPriority w:val="99"/>
    <w:rsid w:val="00481889"/>
    <w:pPr>
      <w:spacing w:after="120"/>
      <w:ind w:right="17"/>
    </w:pPr>
    <w:rPr>
      <w:rFonts w:ascii="EnergyText" w:hAnsi="EnergyText"/>
      <w:sz w:val="20"/>
      <w:szCs w:val="20"/>
      <w:lang w:val="en-GB" w:eastAsia="en-AU"/>
    </w:rPr>
  </w:style>
  <w:style w:type="paragraph" w:customStyle="1" w:styleId="bulletlast">
    <w:name w:val="bullet last"/>
    <w:basedOn w:val="Normal"/>
    <w:uiPriority w:val="99"/>
    <w:rsid w:val="00481889"/>
    <w:pPr>
      <w:tabs>
        <w:tab w:val="num" w:pos="360"/>
      </w:tabs>
      <w:spacing w:after="0"/>
      <w:ind w:left="360" w:hanging="360"/>
    </w:pPr>
    <w:rPr>
      <w:rFonts w:ascii="Times New Roman" w:hAnsi="Times New Roman"/>
      <w:sz w:val="20"/>
      <w:szCs w:val="20"/>
      <w:lang w:eastAsia="en-AU"/>
    </w:rPr>
  </w:style>
  <w:style w:type="paragraph" w:styleId="ListBullet">
    <w:name w:val="List Bullet"/>
    <w:basedOn w:val="Normal"/>
    <w:autoRedefine/>
    <w:uiPriority w:val="99"/>
    <w:rsid w:val="00481889"/>
    <w:pPr>
      <w:spacing w:after="0"/>
    </w:pPr>
    <w:rPr>
      <w:rFonts w:ascii="Arial Narrow" w:hAnsi="Arial Narrow"/>
      <w:sz w:val="24"/>
      <w:szCs w:val="20"/>
      <w:lang w:val="en-AU" w:eastAsia="en-AU"/>
    </w:rPr>
  </w:style>
  <w:style w:type="paragraph" w:customStyle="1" w:styleId="appendix1">
    <w:name w:val="appendix 1"/>
    <w:basedOn w:val="appendix"/>
    <w:link w:val="appendix1Char"/>
    <w:uiPriority w:val="99"/>
    <w:rsid w:val="00481889"/>
    <w:pPr>
      <w:pBdr>
        <w:bottom w:val="none" w:sz="0" w:space="0" w:color="auto"/>
      </w:pBdr>
      <w:tabs>
        <w:tab w:val="clear" w:pos="9650"/>
        <w:tab w:val="left" w:pos="851"/>
      </w:tabs>
      <w:spacing w:after="0"/>
      <w:ind w:left="851" w:hanging="851"/>
    </w:pPr>
    <w:rPr>
      <w:rFonts w:ascii="Arial" w:hAnsi="Arial"/>
      <w:sz w:val="30"/>
    </w:rPr>
  </w:style>
  <w:style w:type="paragraph" w:customStyle="1" w:styleId="boxedtext">
    <w:name w:val="boxed text"/>
    <w:basedOn w:val="Standardpara"/>
    <w:uiPriority w:val="99"/>
    <w:rsid w:val="00481889"/>
    <w:pPr>
      <w:pBdr>
        <w:top w:val="single" w:sz="12" w:space="4" w:color="auto"/>
        <w:left w:val="single" w:sz="12" w:space="4" w:color="auto"/>
        <w:bottom w:val="single" w:sz="12" w:space="4" w:color="auto"/>
        <w:right w:val="single" w:sz="12" w:space="4" w:color="auto"/>
      </w:pBdr>
      <w:jc w:val="left"/>
    </w:pPr>
    <w:rPr>
      <w:sz w:val="20"/>
      <w:lang w:val="en-AU" w:eastAsia="en-AU"/>
    </w:rPr>
  </w:style>
  <w:style w:type="paragraph" w:customStyle="1" w:styleId="boldhead">
    <w:name w:val="bold head"/>
    <w:basedOn w:val="Standardpara"/>
    <w:uiPriority w:val="99"/>
    <w:rsid w:val="00481889"/>
    <w:pPr>
      <w:spacing w:before="60" w:after="60"/>
      <w:jc w:val="left"/>
    </w:pPr>
    <w:rPr>
      <w:b/>
      <w:sz w:val="20"/>
      <w:lang w:val="en-AU" w:eastAsia="en-AU"/>
    </w:rPr>
  </w:style>
  <w:style w:type="paragraph" w:customStyle="1" w:styleId="bullethang">
    <w:name w:val="bullet hang"/>
    <w:uiPriority w:val="99"/>
    <w:rsid w:val="00481889"/>
    <w:pPr>
      <w:widowControl w:val="0"/>
      <w:tabs>
        <w:tab w:val="left" w:pos="-1094"/>
        <w:tab w:val="left" w:pos="-720"/>
      </w:tabs>
      <w:spacing w:after="60"/>
      <w:ind w:left="3305" w:hanging="425"/>
      <w:jc w:val="both"/>
    </w:pPr>
    <w:rPr>
      <w:rFonts w:ascii="Times New Roman" w:eastAsia="Times New Roman" w:hAnsi="Times New Roman"/>
      <w:noProof/>
      <w:sz w:val="24"/>
    </w:rPr>
  </w:style>
  <w:style w:type="paragraph" w:customStyle="1" w:styleId="APPENDIX4">
    <w:name w:val="APPENDIX"/>
    <w:link w:val="APPENDIXChar1"/>
    <w:uiPriority w:val="99"/>
    <w:rsid w:val="00481889"/>
    <w:pPr>
      <w:pBdr>
        <w:bottom w:val="single" w:sz="6" w:space="1" w:color="auto"/>
      </w:pBdr>
      <w:tabs>
        <w:tab w:val="left" w:pos="2410"/>
      </w:tabs>
      <w:spacing w:after="240"/>
      <w:ind w:left="2410" w:hanging="2410"/>
    </w:pPr>
    <w:rPr>
      <w:rFonts w:ascii="Arial Bold" w:eastAsia="Times New Roman" w:hAnsi="Arial Bold"/>
      <w:b/>
      <w:noProof/>
      <w:spacing w:val="-4"/>
      <w:sz w:val="36"/>
      <w:szCs w:val="36"/>
    </w:rPr>
  </w:style>
  <w:style w:type="paragraph" w:styleId="BodyTextIndent2">
    <w:name w:val="Body Text Indent 2"/>
    <w:basedOn w:val="Normal"/>
    <w:link w:val="BodyTextIndent2Char"/>
    <w:uiPriority w:val="99"/>
    <w:rsid w:val="00481889"/>
    <w:pPr>
      <w:spacing w:after="0"/>
      <w:ind w:left="720"/>
    </w:pPr>
    <w:rPr>
      <w:sz w:val="24"/>
      <w:szCs w:val="20"/>
      <w:lang w:val="en-GB" w:eastAsia="en-AU"/>
    </w:rPr>
  </w:style>
  <w:style w:type="character" w:customStyle="1" w:styleId="BodyTextIndent2Char">
    <w:name w:val="Body Text Indent 2 Char"/>
    <w:basedOn w:val="DefaultParagraphFont"/>
    <w:link w:val="BodyTextIndent2"/>
    <w:uiPriority w:val="99"/>
    <w:rsid w:val="00481889"/>
    <w:rPr>
      <w:rFonts w:ascii="Arial" w:eastAsia="Times New Roman" w:hAnsi="Arial"/>
      <w:sz w:val="24"/>
      <w:lang w:val="en-GB"/>
    </w:rPr>
  </w:style>
  <w:style w:type="character" w:styleId="CommentReference">
    <w:name w:val="annotation reference"/>
    <w:basedOn w:val="DefaultParagraphFont"/>
    <w:uiPriority w:val="99"/>
    <w:rsid w:val="00481889"/>
    <w:rPr>
      <w:rFonts w:cs="Times New Roman"/>
      <w:sz w:val="16"/>
      <w:szCs w:val="16"/>
    </w:rPr>
  </w:style>
  <w:style w:type="character" w:customStyle="1" w:styleId="CommentTextChar">
    <w:name w:val="Comment Text Char"/>
    <w:basedOn w:val="DefaultParagraphFont"/>
    <w:link w:val="CommentText"/>
    <w:uiPriority w:val="99"/>
    <w:semiHidden/>
    <w:locked/>
    <w:rsid w:val="00481889"/>
    <w:rPr>
      <w:rFonts w:ascii="Arial" w:eastAsia="Times New Roman" w:hAnsi="Arial"/>
    </w:rPr>
  </w:style>
  <w:style w:type="character" w:customStyle="1" w:styleId="CommentSubjectChar">
    <w:name w:val="Comment Subject Char"/>
    <w:basedOn w:val="CommentTextChar"/>
    <w:link w:val="CommentSubject"/>
    <w:uiPriority w:val="99"/>
    <w:semiHidden/>
    <w:locked/>
    <w:rsid w:val="00481889"/>
    <w:rPr>
      <w:rFonts w:ascii="Arial" w:eastAsia="Times New Roman" w:hAnsi="Arial"/>
      <w:b/>
      <w:bCs/>
    </w:rPr>
  </w:style>
  <w:style w:type="character" w:customStyle="1" w:styleId="AppendixChar0">
    <w:name w:val="Appendix Char"/>
    <w:basedOn w:val="DefaultParagraphFont"/>
    <w:link w:val="Appendix0"/>
    <w:uiPriority w:val="99"/>
    <w:locked/>
    <w:rsid w:val="00481889"/>
    <w:rPr>
      <w:rFonts w:ascii="Arial" w:eastAsia="Times New Roman" w:hAnsi="Arial"/>
      <w:b/>
      <w:noProof/>
      <w:sz w:val="36"/>
    </w:rPr>
  </w:style>
  <w:style w:type="paragraph" w:customStyle="1" w:styleId="StyleAppendixCondensedby03pt">
    <w:name w:val="Style Appendix + Condensed by  0.3 pt"/>
    <w:basedOn w:val="Appendix0"/>
    <w:uiPriority w:val="99"/>
    <w:rsid w:val="00481889"/>
    <w:rPr>
      <w:rFonts w:ascii="Arial Bold" w:hAnsi="Arial Bold"/>
      <w:b w:val="0"/>
      <w:spacing w:val="-8"/>
      <w:szCs w:val="40"/>
    </w:rPr>
  </w:style>
  <w:style w:type="paragraph" w:customStyle="1" w:styleId="tablebullet">
    <w:name w:val="table bullet"/>
    <w:uiPriority w:val="99"/>
    <w:rsid w:val="00481889"/>
    <w:pPr>
      <w:numPr>
        <w:numId w:val="18"/>
      </w:numPr>
      <w:tabs>
        <w:tab w:val="left" w:pos="367"/>
      </w:tabs>
      <w:spacing w:before="20" w:after="20"/>
      <w:ind w:left="391" w:hanging="357"/>
    </w:pPr>
    <w:rPr>
      <w:rFonts w:ascii="Arial" w:eastAsia="Times New Roman" w:hAnsi="Arial" w:cs="Arial"/>
      <w:sz w:val="16"/>
      <w:szCs w:val="16"/>
    </w:rPr>
  </w:style>
  <w:style w:type="character" w:customStyle="1" w:styleId="APPENDIXChar1">
    <w:name w:val="APPENDIX Char"/>
    <w:basedOn w:val="DefaultParagraphFont"/>
    <w:link w:val="APPENDIX4"/>
    <w:uiPriority w:val="99"/>
    <w:locked/>
    <w:rsid w:val="00481889"/>
    <w:rPr>
      <w:rFonts w:ascii="Arial Bold" w:eastAsia="Times New Roman" w:hAnsi="Arial Bold"/>
      <w:b/>
      <w:noProof/>
      <w:spacing w:val="-4"/>
      <w:sz w:val="36"/>
      <w:szCs w:val="36"/>
    </w:rPr>
  </w:style>
  <w:style w:type="paragraph" w:customStyle="1" w:styleId="cswiheading">
    <w:name w:val="cswi heading"/>
    <w:basedOn w:val="Normal"/>
    <w:uiPriority w:val="99"/>
    <w:rsid w:val="00481889"/>
    <w:pPr>
      <w:spacing w:after="120"/>
    </w:pPr>
    <w:rPr>
      <w:b/>
      <w:sz w:val="24"/>
      <w:szCs w:val="20"/>
      <w:lang w:val="en-GB"/>
    </w:rPr>
  </w:style>
  <w:style w:type="paragraph" w:customStyle="1" w:styleId="bullet1">
    <w:name w:val="bullet1"/>
    <w:basedOn w:val="Normal"/>
    <w:uiPriority w:val="99"/>
    <w:rsid w:val="00481889"/>
    <w:pPr>
      <w:numPr>
        <w:numId w:val="19"/>
      </w:numPr>
      <w:spacing w:after="0"/>
    </w:pPr>
    <w:rPr>
      <w:rFonts w:ascii="Times New Roman" w:hAnsi="Times New Roman"/>
      <w:sz w:val="24"/>
      <w:szCs w:val="20"/>
      <w:lang w:val="en-GB" w:eastAsia="en-AU"/>
    </w:rPr>
  </w:style>
  <w:style w:type="character" w:styleId="HTMLCite">
    <w:name w:val="HTML Cite"/>
    <w:basedOn w:val="DefaultParagraphFont"/>
    <w:uiPriority w:val="99"/>
    <w:rsid w:val="00481889"/>
    <w:rPr>
      <w:rFonts w:cs="Times New Roman"/>
      <w:color w:val="008000"/>
    </w:rPr>
  </w:style>
  <w:style w:type="paragraph" w:customStyle="1" w:styleId="hyphen">
    <w:name w:val="hyphen"/>
    <w:uiPriority w:val="99"/>
    <w:rsid w:val="00481889"/>
    <w:pPr>
      <w:numPr>
        <w:numId w:val="20"/>
      </w:numPr>
      <w:tabs>
        <w:tab w:val="left" w:pos="1531"/>
      </w:tabs>
      <w:spacing w:after="100"/>
    </w:pPr>
    <w:rPr>
      <w:rFonts w:ascii="Arial" w:eastAsia="Times New Roman" w:hAnsi="Arial"/>
    </w:rPr>
  </w:style>
  <w:style w:type="paragraph" w:customStyle="1" w:styleId="bulletindent">
    <w:name w:val="bullet indent"/>
    <w:basedOn w:val="bullet"/>
    <w:uiPriority w:val="99"/>
    <w:rsid w:val="00481889"/>
    <w:pPr>
      <w:tabs>
        <w:tab w:val="clear" w:pos="1210"/>
        <w:tab w:val="clear" w:pos="1304"/>
        <w:tab w:val="left" w:pos="1208"/>
        <w:tab w:val="left" w:pos="2268"/>
      </w:tabs>
      <w:ind w:left="2268" w:hanging="425"/>
      <w:jc w:val="left"/>
    </w:pPr>
    <w:rPr>
      <w:szCs w:val="20"/>
    </w:rPr>
  </w:style>
  <w:style w:type="character" w:styleId="FollowedHyperlink">
    <w:name w:val="FollowedHyperlink"/>
    <w:basedOn w:val="DefaultParagraphFont"/>
    <w:uiPriority w:val="99"/>
    <w:rsid w:val="00481889"/>
    <w:rPr>
      <w:rFonts w:cs="Times New Roman"/>
      <w:color w:val="800080"/>
      <w:u w:val="single"/>
    </w:rPr>
  </w:style>
  <w:style w:type="paragraph" w:customStyle="1" w:styleId="Caption1">
    <w:name w:val="Caption1"/>
    <w:uiPriority w:val="99"/>
    <w:rsid w:val="00481889"/>
    <w:pPr>
      <w:spacing w:before="120" w:after="180"/>
      <w:jc w:val="center"/>
    </w:pPr>
    <w:rPr>
      <w:rFonts w:ascii="Arial" w:eastAsia="Times New Roman" w:hAnsi="Arial"/>
      <w:b/>
      <w:i/>
      <w:sz w:val="18"/>
      <w:lang w:val="en-US"/>
    </w:rPr>
  </w:style>
  <w:style w:type="paragraph" w:customStyle="1" w:styleId="StyleBullet8pt">
    <w:name w:val="Style Bullet + 8 pt"/>
    <w:basedOn w:val="Normal"/>
    <w:uiPriority w:val="99"/>
    <w:rsid w:val="00481889"/>
    <w:pPr>
      <w:numPr>
        <w:numId w:val="21"/>
      </w:numPr>
      <w:spacing w:after="0"/>
    </w:pPr>
    <w:rPr>
      <w:rFonts w:ascii="Times New Roman" w:hAnsi="Times New Roman"/>
      <w:sz w:val="20"/>
      <w:szCs w:val="20"/>
      <w:lang w:val="en-AU" w:eastAsia="en-AU"/>
    </w:rPr>
  </w:style>
  <w:style w:type="character" w:customStyle="1" w:styleId="NoteChar">
    <w:name w:val="Note Char"/>
    <w:basedOn w:val="DefaultParagraphFont"/>
    <w:link w:val="Note"/>
    <w:uiPriority w:val="99"/>
    <w:locked/>
    <w:rsid w:val="00481889"/>
    <w:rPr>
      <w:rFonts w:ascii="Arial" w:hAnsi="Arial"/>
      <w:sz w:val="18"/>
      <w:szCs w:val="18"/>
    </w:rPr>
  </w:style>
  <w:style w:type="paragraph" w:customStyle="1" w:styleId="hangingbullet">
    <w:name w:val="hanging bullet"/>
    <w:basedOn w:val="bullet"/>
    <w:uiPriority w:val="99"/>
    <w:rsid w:val="00481889"/>
    <w:pPr>
      <w:tabs>
        <w:tab w:val="clear" w:pos="1210"/>
        <w:tab w:val="clear" w:pos="1304"/>
        <w:tab w:val="left" w:pos="1208"/>
      </w:tabs>
      <w:spacing w:after="80"/>
      <w:ind w:left="1418" w:hanging="284"/>
      <w:jc w:val="left"/>
    </w:pPr>
    <w:rPr>
      <w:szCs w:val="20"/>
    </w:rPr>
  </w:style>
  <w:style w:type="paragraph" w:customStyle="1" w:styleId="BodyText21">
    <w:name w:val="Body Text 21"/>
    <w:basedOn w:val="Normal"/>
    <w:uiPriority w:val="99"/>
    <w:rsid w:val="00481889"/>
    <w:pPr>
      <w:spacing w:after="0"/>
    </w:pPr>
    <w:rPr>
      <w:b/>
      <w:sz w:val="24"/>
      <w:szCs w:val="20"/>
      <w:lang w:val="en-GB" w:eastAsia="en-AU"/>
    </w:rPr>
  </w:style>
  <w:style w:type="paragraph" w:customStyle="1" w:styleId="coursename">
    <w:name w:val="coursename"/>
    <w:basedOn w:val="Normal"/>
    <w:uiPriority w:val="99"/>
    <w:rsid w:val="00481889"/>
    <w:pPr>
      <w:spacing w:before="100" w:beforeAutospacing="1" w:after="100" w:afterAutospacing="1"/>
      <w:textAlignment w:val="top"/>
    </w:pPr>
    <w:rPr>
      <w:rFonts w:cs="Arial"/>
      <w:color w:val="000000"/>
      <w:szCs w:val="18"/>
      <w:lang w:val="en-AU" w:eastAsia="en-AU"/>
    </w:rPr>
  </w:style>
  <w:style w:type="paragraph" w:customStyle="1" w:styleId="Box8ptBoldAltXRightSinglesolidlineAuto0">
    <w:name w:val="Box 8pt Bold Alt + X + Right: (Single solid line Auto  0...."/>
    <w:basedOn w:val="Normal"/>
    <w:uiPriority w:val="99"/>
    <w:rsid w:val="00481889"/>
    <w:pPr>
      <w:pBdr>
        <w:top w:val="single" w:sz="4" w:space="4" w:color="777777"/>
        <w:left w:val="single" w:sz="4" w:space="4" w:color="777777"/>
        <w:bottom w:val="single" w:sz="4" w:space="4" w:color="777777"/>
        <w:right w:val="single" w:sz="4" w:space="2" w:color="auto"/>
      </w:pBdr>
      <w:tabs>
        <w:tab w:val="left" w:pos="3402"/>
        <w:tab w:val="center" w:pos="6240"/>
      </w:tabs>
      <w:spacing w:after="160"/>
      <w:ind w:left="567" w:right="79"/>
    </w:pPr>
    <w:rPr>
      <w:rFonts w:ascii="Arial Bold" w:hAnsi="Arial Bold"/>
      <w:b/>
      <w:bCs/>
      <w:color w:val="777777"/>
      <w:szCs w:val="18"/>
      <w:lang w:val="en-AU"/>
    </w:rPr>
  </w:style>
  <w:style w:type="character" w:customStyle="1" w:styleId="TitleChar1">
    <w:name w:val="Title Char1"/>
    <w:basedOn w:val="DefaultParagraphFont"/>
    <w:link w:val="Title"/>
    <w:uiPriority w:val="99"/>
    <w:locked/>
    <w:rsid w:val="00481889"/>
    <w:rPr>
      <w:rFonts w:ascii="Arial Narrow" w:eastAsia="Times New Roman" w:hAnsi="Arial Narrow"/>
      <w:b/>
      <w:sz w:val="28"/>
      <w:lang w:val="en-US"/>
    </w:rPr>
  </w:style>
  <w:style w:type="character" w:customStyle="1" w:styleId="FooterChar1">
    <w:name w:val="Footer Char1"/>
    <w:aliases w:val="Footer Base Char1"/>
    <w:basedOn w:val="DefaultParagraphFont"/>
    <w:uiPriority w:val="99"/>
    <w:locked/>
    <w:rsid w:val="00481889"/>
    <w:rPr>
      <w:rFonts w:ascii="Arial" w:hAnsi="Arial" w:cs="Times New Roman"/>
      <w:lang w:val="en-US"/>
    </w:rPr>
  </w:style>
  <w:style w:type="character" w:customStyle="1" w:styleId="Heading1Char1">
    <w:name w:val="Heading 1 Char1"/>
    <w:aliases w:val="H1 Char1"/>
    <w:basedOn w:val="DefaultParagraphFont"/>
    <w:uiPriority w:val="99"/>
    <w:locked/>
    <w:rsid w:val="00481889"/>
    <w:rPr>
      <w:rFonts w:ascii="Arial Bold" w:hAnsi="Arial Bold" w:cs="Times New Roman"/>
      <w:b/>
      <w:noProof/>
      <w:sz w:val="30"/>
      <w:szCs w:val="30"/>
      <w:lang w:val="en-AU" w:eastAsia="en-AU" w:bidi="ar-SA"/>
    </w:rPr>
  </w:style>
  <w:style w:type="character" w:customStyle="1" w:styleId="Heading2Char1">
    <w:name w:val="Heading 2 Char1"/>
    <w:basedOn w:val="DefaultParagraphFont"/>
    <w:uiPriority w:val="99"/>
    <w:locked/>
    <w:rsid w:val="00481889"/>
    <w:rPr>
      <w:rFonts w:ascii="Arial Bold" w:hAnsi="Arial Bold" w:cs="Times New Roman"/>
      <w:b/>
      <w:noProof/>
      <w:sz w:val="26"/>
      <w:lang w:val="en-AU" w:eastAsia="en-AU" w:bidi="ar-SA"/>
    </w:rPr>
  </w:style>
  <w:style w:type="character" w:customStyle="1" w:styleId="Heading3Char1">
    <w:name w:val="Heading 3 Char1"/>
    <w:aliases w:val="H3 Char1"/>
    <w:basedOn w:val="DefaultParagraphFont"/>
    <w:uiPriority w:val="99"/>
    <w:locked/>
    <w:rsid w:val="00481889"/>
    <w:rPr>
      <w:rFonts w:ascii="Arial Bold" w:hAnsi="Arial Bold" w:cs="Times New Roman"/>
      <w:b/>
      <w:sz w:val="22"/>
      <w:lang w:val="en-US" w:eastAsia="en-AU" w:bidi="ar-SA"/>
    </w:rPr>
  </w:style>
  <w:style w:type="paragraph" w:customStyle="1" w:styleId="StyleArial14ptCenteredRight03mmAfter6pt">
    <w:name w:val="Style Arial 14 pt Centered Right:  0.3 mm After:  6 pt"/>
    <w:basedOn w:val="Normal"/>
    <w:uiPriority w:val="99"/>
    <w:rsid w:val="00481889"/>
    <w:pPr>
      <w:spacing w:after="120"/>
      <w:ind w:right="17"/>
      <w:jc w:val="center"/>
    </w:pPr>
    <w:rPr>
      <w:caps/>
      <w:sz w:val="20"/>
      <w:szCs w:val="20"/>
      <w:lang w:val="en-AU" w:eastAsia="en-AU"/>
    </w:rPr>
  </w:style>
  <w:style w:type="character" w:customStyle="1" w:styleId="StandardparaChar1">
    <w:name w:val="Standard para Char1"/>
    <w:basedOn w:val="DefaultParagraphFont"/>
    <w:uiPriority w:val="99"/>
    <w:rsid w:val="00481889"/>
    <w:rPr>
      <w:rFonts w:ascii="Arial" w:hAnsi="Arial" w:cs="Times New Roman"/>
      <w:lang w:val="en-GB" w:eastAsia="en-AU" w:bidi="ar-SA"/>
    </w:rPr>
  </w:style>
  <w:style w:type="paragraph" w:customStyle="1" w:styleId="NumList">
    <w:name w:val="NumList"/>
    <w:basedOn w:val="Normal"/>
    <w:autoRedefine/>
    <w:uiPriority w:val="99"/>
    <w:semiHidden/>
    <w:rsid w:val="00481889"/>
    <w:pPr>
      <w:tabs>
        <w:tab w:val="num" w:pos="720"/>
        <w:tab w:val="num" w:pos="1350"/>
      </w:tabs>
      <w:spacing w:before="60" w:after="60"/>
      <w:ind w:left="720" w:hanging="360"/>
      <w:jc w:val="both"/>
    </w:pPr>
    <w:rPr>
      <w:rFonts w:ascii="Book Antiqua" w:hAnsi="Book Antiqua"/>
      <w:sz w:val="22"/>
      <w:szCs w:val="20"/>
      <w:lang w:val="en-AU" w:eastAsia="en-AU"/>
    </w:rPr>
  </w:style>
  <w:style w:type="paragraph" w:customStyle="1" w:styleId="monofees">
    <w:name w:val="monofees"/>
    <w:basedOn w:val="Normal"/>
    <w:uiPriority w:val="99"/>
    <w:semiHidden/>
    <w:rsid w:val="00481889"/>
    <w:pPr>
      <w:spacing w:after="0"/>
    </w:pPr>
    <w:rPr>
      <w:szCs w:val="20"/>
      <w:lang w:val="en-AU" w:eastAsia="en-AU"/>
    </w:rPr>
  </w:style>
  <w:style w:type="paragraph" w:customStyle="1" w:styleId="FORM1">
    <w:name w:val="FORM1"/>
    <w:basedOn w:val="Standardpara"/>
    <w:uiPriority w:val="99"/>
    <w:semiHidden/>
    <w:rsid w:val="00481889"/>
    <w:pPr>
      <w:spacing w:after="20"/>
      <w:ind w:left="0"/>
    </w:pPr>
    <w:rPr>
      <w:rFonts w:ascii="Arial Narrow" w:hAnsi="Arial Narrow"/>
      <w:b/>
      <w:sz w:val="20"/>
      <w:lang w:eastAsia="en-AU"/>
    </w:rPr>
  </w:style>
  <w:style w:type="paragraph" w:customStyle="1" w:styleId="Bodytext10">
    <w:name w:val="Bodytext1"/>
    <w:basedOn w:val="Normal"/>
    <w:uiPriority w:val="99"/>
    <w:semiHidden/>
    <w:rsid w:val="00481889"/>
    <w:pPr>
      <w:widowControl w:val="0"/>
      <w:spacing w:before="40" w:after="40"/>
      <w:ind w:left="567"/>
    </w:pPr>
    <w:rPr>
      <w:rFonts w:ascii="Arial Narrow" w:hAnsi="Arial Narrow"/>
      <w:sz w:val="24"/>
      <w:szCs w:val="20"/>
      <w:lang w:val="en-AU" w:eastAsia="en-AU"/>
    </w:rPr>
  </w:style>
  <w:style w:type="paragraph" w:customStyle="1" w:styleId="Bodytext20">
    <w:name w:val="Bodytext2"/>
    <w:basedOn w:val="Normal"/>
    <w:uiPriority w:val="99"/>
    <w:semiHidden/>
    <w:rsid w:val="00481889"/>
    <w:pPr>
      <w:widowControl w:val="0"/>
      <w:spacing w:before="40" w:after="40"/>
      <w:ind w:left="1134"/>
    </w:pPr>
    <w:rPr>
      <w:rFonts w:ascii="Arial Narrow" w:hAnsi="Arial Narrow"/>
      <w:sz w:val="24"/>
      <w:szCs w:val="20"/>
      <w:lang w:val="en-AU" w:eastAsia="en-AU"/>
    </w:rPr>
  </w:style>
  <w:style w:type="paragraph" w:customStyle="1" w:styleId="StyleHeading2Justified">
    <w:name w:val="Style Heading 2 + Justified"/>
    <w:basedOn w:val="Heading2"/>
    <w:uiPriority w:val="99"/>
    <w:semiHidden/>
    <w:rsid w:val="00481889"/>
    <w:pPr>
      <w:keepNext/>
      <w:numPr>
        <w:ilvl w:val="0"/>
        <w:numId w:val="0"/>
      </w:numPr>
      <w:tabs>
        <w:tab w:val="num" w:pos="360"/>
        <w:tab w:val="left" w:pos="709"/>
        <w:tab w:val="num" w:pos="2430"/>
      </w:tabs>
      <w:spacing w:before="40"/>
      <w:ind w:right="1134"/>
      <w:jc w:val="both"/>
    </w:pPr>
    <w:rPr>
      <w:rFonts w:ascii="Arial Bold" w:eastAsia="Times New Roman" w:hAnsi="Arial Bold"/>
      <w:noProof w:val="0"/>
      <w:sz w:val="32"/>
      <w:szCs w:val="20"/>
    </w:rPr>
  </w:style>
  <w:style w:type="paragraph" w:customStyle="1" w:styleId="StyleCaptionArial10ptCentered">
    <w:name w:val="Style Caption + Arial 10 pt Centered"/>
    <w:basedOn w:val="Caption"/>
    <w:uiPriority w:val="99"/>
    <w:semiHidden/>
    <w:rsid w:val="00481889"/>
    <w:pPr>
      <w:spacing w:after="180"/>
      <w:ind w:left="2835"/>
    </w:pPr>
    <w:rPr>
      <w:rFonts w:ascii="Arial" w:hAnsi="Arial"/>
      <w:bCs/>
      <w:i/>
      <w:sz w:val="20"/>
      <w:szCs w:val="20"/>
      <w:lang w:val="en-GB"/>
    </w:rPr>
  </w:style>
  <w:style w:type="paragraph" w:customStyle="1" w:styleId="StyleHeading4NotBold">
    <w:name w:val="Style Heading 4 + Not Bold"/>
    <w:basedOn w:val="Heading4"/>
    <w:uiPriority w:val="99"/>
    <w:rsid w:val="00481889"/>
    <w:pPr>
      <w:numPr>
        <w:ilvl w:val="0"/>
        <w:numId w:val="0"/>
      </w:numPr>
      <w:spacing w:before="40" w:after="40"/>
    </w:pPr>
    <w:rPr>
      <w:rFonts w:eastAsia="Times New Roman"/>
      <w:b w:val="0"/>
      <w:noProof w:val="0"/>
      <w:sz w:val="22"/>
      <w:szCs w:val="20"/>
      <w:lang w:val="en-US"/>
    </w:rPr>
  </w:style>
  <w:style w:type="paragraph" w:customStyle="1" w:styleId="StyleAppendix2">
    <w:name w:val="Style Appendix2"/>
    <w:basedOn w:val="Appendix2"/>
    <w:link w:val="StyleAppendix2Char"/>
    <w:uiPriority w:val="99"/>
    <w:rsid w:val="00481889"/>
    <w:pPr>
      <w:keepNext w:val="0"/>
      <w:tabs>
        <w:tab w:val="clear" w:pos="1814"/>
        <w:tab w:val="left" w:pos="851"/>
      </w:tabs>
      <w:spacing w:before="60" w:after="0"/>
      <w:ind w:left="851" w:hanging="851"/>
      <w:jc w:val="left"/>
    </w:pPr>
    <w:rPr>
      <w:rFonts w:ascii="Arial Bold" w:hAnsi="Arial Bold"/>
      <w:b/>
      <w:bCs/>
      <w:sz w:val="26"/>
      <w:szCs w:val="20"/>
      <w:lang w:val="en-GB"/>
    </w:rPr>
  </w:style>
  <w:style w:type="paragraph" w:customStyle="1" w:styleId="StyleStyleAppendix2Bold">
    <w:name w:val="Style Style Appendix2 + Bold"/>
    <w:basedOn w:val="StyleAppendix2"/>
    <w:link w:val="StyleStyleAppendix2BoldChar"/>
    <w:uiPriority w:val="99"/>
    <w:rsid w:val="00481889"/>
    <w:rPr>
      <w:b w:val="0"/>
      <w:sz w:val="30"/>
      <w:szCs w:val="30"/>
    </w:rPr>
  </w:style>
  <w:style w:type="character" w:customStyle="1" w:styleId="StandardparagraphChar">
    <w:name w:val="Standard paragraph Char"/>
    <w:basedOn w:val="DefaultParagraphFont"/>
    <w:link w:val="Standardparagraph"/>
    <w:uiPriority w:val="99"/>
    <w:locked/>
    <w:rsid w:val="00481889"/>
    <w:rPr>
      <w:rFonts w:ascii="Arial" w:eastAsia="Times New Roman" w:hAnsi="Arial"/>
      <w:lang w:val="en-GB"/>
    </w:rPr>
  </w:style>
  <w:style w:type="character" w:customStyle="1" w:styleId="StyleAppendix2Char">
    <w:name w:val="Style Appendix2 Char"/>
    <w:basedOn w:val="Appendix2CharChar"/>
    <w:link w:val="StyleAppendix2"/>
    <w:uiPriority w:val="99"/>
    <w:locked/>
    <w:rsid w:val="00481889"/>
    <w:rPr>
      <w:rFonts w:ascii="Arial Bold" w:eastAsia="Times New Roman" w:hAnsi="Arial Bold" w:cs="Times New Roman"/>
      <w:b/>
      <w:bCs/>
      <w:sz w:val="26"/>
      <w:lang w:val="en-GB" w:eastAsia="en-AU" w:bidi="ar-SA"/>
    </w:rPr>
  </w:style>
  <w:style w:type="character" w:customStyle="1" w:styleId="StyleStyleAppendix2BoldChar">
    <w:name w:val="Style Style Appendix2 + Bold Char"/>
    <w:basedOn w:val="StyleAppendix2Char"/>
    <w:link w:val="StyleStyleAppendix2Bold"/>
    <w:uiPriority w:val="99"/>
    <w:locked/>
    <w:rsid w:val="00481889"/>
    <w:rPr>
      <w:rFonts w:ascii="Arial Bold" w:eastAsia="Times New Roman" w:hAnsi="Arial Bold" w:cs="Times New Roman"/>
      <w:b w:val="0"/>
      <w:bCs/>
      <w:sz w:val="30"/>
      <w:szCs w:val="30"/>
      <w:lang w:val="en-GB" w:eastAsia="en-AU" w:bidi="ar-SA"/>
    </w:rPr>
  </w:style>
  <w:style w:type="paragraph" w:customStyle="1" w:styleId="StyleStyleArial14ptCenteredRight03mmAfter6ptAfte">
    <w:name w:val="Style Style Arial 14 pt Centered Right:  0.3 mm After:  6 pt + Afte..."/>
    <w:basedOn w:val="StyleArial14ptCenteredRight03mmAfter6pt"/>
    <w:uiPriority w:val="99"/>
    <w:rsid w:val="00481889"/>
    <w:pPr>
      <w:spacing w:after="60"/>
    </w:pPr>
  </w:style>
  <w:style w:type="paragraph" w:styleId="ListNumber4">
    <w:name w:val="List Number 4"/>
    <w:basedOn w:val="Normal"/>
    <w:uiPriority w:val="99"/>
    <w:rsid w:val="00481889"/>
    <w:pPr>
      <w:tabs>
        <w:tab w:val="left" w:pos="1418"/>
      </w:tabs>
      <w:spacing w:after="120"/>
      <w:ind w:left="1418" w:hanging="567"/>
      <w:jc w:val="both"/>
    </w:pPr>
    <w:rPr>
      <w:rFonts w:ascii="Times New Roman" w:hAnsi="Times New Roman"/>
      <w:sz w:val="24"/>
      <w:szCs w:val="20"/>
      <w:lang w:val="en-GB"/>
    </w:rPr>
  </w:style>
  <w:style w:type="paragraph" w:customStyle="1" w:styleId="StyleboxedNotBoldCentered">
    <w:name w:val="Style boxed + Not Bold Centered"/>
    <w:basedOn w:val="boxed"/>
    <w:uiPriority w:val="99"/>
    <w:rsid w:val="00481889"/>
    <w:pPr>
      <w:pBdr>
        <w:top w:val="none" w:sz="0" w:space="0" w:color="auto"/>
        <w:left w:val="none" w:sz="0" w:space="0" w:color="auto"/>
        <w:bottom w:val="none" w:sz="0" w:space="0" w:color="auto"/>
        <w:right w:val="none" w:sz="0" w:space="0" w:color="auto"/>
      </w:pBdr>
      <w:spacing w:before="40" w:after="40"/>
      <w:ind w:left="0"/>
    </w:pPr>
    <w:rPr>
      <w:rFonts w:ascii="Arial" w:hAnsi="Arial"/>
      <w:b w:val="0"/>
      <w:i w:val="0"/>
      <w:iCs/>
      <w:sz w:val="18"/>
    </w:rPr>
  </w:style>
  <w:style w:type="paragraph" w:customStyle="1" w:styleId="StyleboxedCenteredBefore2ptAfter2pt">
    <w:name w:val="Style boxed + Centered Before:  2 pt After:  2 pt"/>
    <w:basedOn w:val="boxed"/>
    <w:uiPriority w:val="99"/>
    <w:rsid w:val="00481889"/>
    <w:pPr>
      <w:pBdr>
        <w:top w:val="none" w:sz="0" w:space="0" w:color="auto"/>
        <w:left w:val="none" w:sz="0" w:space="0" w:color="auto"/>
        <w:bottom w:val="none" w:sz="0" w:space="0" w:color="auto"/>
        <w:right w:val="none" w:sz="0" w:space="0" w:color="auto"/>
      </w:pBdr>
      <w:spacing w:before="40" w:after="40"/>
      <w:jc w:val="center"/>
    </w:pPr>
    <w:rPr>
      <w:rFonts w:ascii="Arial" w:hAnsi="Arial"/>
      <w:b w:val="0"/>
      <w:bCs/>
      <w:i w:val="0"/>
      <w:iCs/>
      <w:sz w:val="18"/>
    </w:rPr>
  </w:style>
  <w:style w:type="paragraph" w:customStyle="1" w:styleId="StyleboxedNotBoldCenteredBefore2ptAfter2pt">
    <w:name w:val="Style boxed + Not Bold Centered Before:  2 pt After:  2 pt"/>
    <w:basedOn w:val="boxed"/>
    <w:uiPriority w:val="99"/>
    <w:rsid w:val="00481889"/>
    <w:pPr>
      <w:pBdr>
        <w:top w:val="none" w:sz="0" w:space="0" w:color="auto"/>
        <w:left w:val="none" w:sz="0" w:space="0" w:color="auto"/>
        <w:bottom w:val="none" w:sz="0" w:space="0" w:color="auto"/>
        <w:right w:val="none" w:sz="0" w:space="0" w:color="auto"/>
      </w:pBdr>
      <w:spacing w:before="40" w:after="40"/>
      <w:ind w:left="0"/>
    </w:pPr>
    <w:rPr>
      <w:rFonts w:ascii="Arial" w:hAnsi="Arial"/>
      <w:b w:val="0"/>
      <w:iCs/>
      <w:sz w:val="18"/>
    </w:rPr>
  </w:style>
  <w:style w:type="paragraph" w:customStyle="1" w:styleId="StyleCaptionBefore4ptAfter3pt">
    <w:name w:val="Style Caption + Before:  4 pt After:  3 pt"/>
    <w:basedOn w:val="Caption"/>
    <w:uiPriority w:val="99"/>
    <w:rsid w:val="00481889"/>
    <w:pPr>
      <w:spacing w:after="60"/>
    </w:pPr>
    <w:rPr>
      <w:rFonts w:ascii="Arial" w:hAnsi="Arial"/>
      <w:bCs/>
      <w:i/>
      <w:sz w:val="20"/>
      <w:szCs w:val="20"/>
      <w:lang w:val="en-GB"/>
    </w:rPr>
  </w:style>
  <w:style w:type="paragraph" w:customStyle="1" w:styleId="Appendix40">
    <w:name w:val="Appendix4"/>
    <w:basedOn w:val="Appendix3"/>
    <w:uiPriority w:val="99"/>
    <w:rsid w:val="00481889"/>
    <w:pPr>
      <w:keepNext w:val="0"/>
      <w:tabs>
        <w:tab w:val="clear" w:pos="1814"/>
        <w:tab w:val="left" w:pos="851"/>
      </w:tabs>
      <w:spacing w:before="0" w:after="60"/>
      <w:ind w:left="0" w:firstLine="0"/>
    </w:pPr>
    <w:rPr>
      <w:rFonts w:ascii="Arial Narrow" w:hAnsi="Arial Narrow"/>
      <w:sz w:val="26"/>
      <w:szCs w:val="20"/>
      <w:lang w:val="en-GB" w:eastAsia="en-US"/>
    </w:rPr>
  </w:style>
  <w:style w:type="paragraph" w:customStyle="1" w:styleId="StyleAppendix2Arial">
    <w:name w:val="Style Appendix2 + Arial"/>
    <w:basedOn w:val="Appendix2"/>
    <w:uiPriority w:val="99"/>
    <w:rsid w:val="00481889"/>
    <w:pPr>
      <w:keepNext w:val="0"/>
      <w:tabs>
        <w:tab w:val="clear" w:pos="1814"/>
        <w:tab w:val="left" w:pos="851"/>
      </w:tabs>
      <w:spacing w:before="60" w:after="0"/>
      <w:ind w:left="2835" w:hanging="851"/>
      <w:jc w:val="left"/>
    </w:pPr>
    <w:rPr>
      <w:bCs/>
      <w:sz w:val="26"/>
      <w:szCs w:val="26"/>
      <w:lang w:val="en-GB"/>
    </w:rPr>
  </w:style>
  <w:style w:type="paragraph" w:customStyle="1" w:styleId="StyleAppendix2After3pt">
    <w:name w:val="Style Appendix2 + After:  3 pt"/>
    <w:basedOn w:val="Appendix2"/>
    <w:uiPriority w:val="99"/>
    <w:rsid w:val="00481889"/>
    <w:pPr>
      <w:keepNext w:val="0"/>
      <w:tabs>
        <w:tab w:val="clear" w:pos="1814"/>
        <w:tab w:val="left" w:pos="851"/>
      </w:tabs>
      <w:spacing w:before="60" w:after="60"/>
      <w:ind w:left="3686" w:hanging="851"/>
      <w:jc w:val="left"/>
    </w:pPr>
    <w:rPr>
      <w:rFonts w:ascii="Arial Narrow" w:hAnsi="Arial Narrow"/>
      <w:bCs/>
      <w:sz w:val="26"/>
      <w:szCs w:val="20"/>
      <w:lang w:val="en-GB"/>
    </w:rPr>
  </w:style>
  <w:style w:type="paragraph" w:customStyle="1" w:styleId="StyleStyleAppendix2ArialAfter8pt">
    <w:name w:val="Style Style Appendix2 + Arial + After:  8 pt"/>
    <w:basedOn w:val="StyleAppendix2Arial"/>
    <w:uiPriority w:val="99"/>
    <w:rsid w:val="00481889"/>
    <w:pPr>
      <w:spacing w:after="160"/>
    </w:pPr>
    <w:rPr>
      <w:sz w:val="32"/>
      <w:szCs w:val="20"/>
    </w:rPr>
  </w:style>
  <w:style w:type="paragraph" w:customStyle="1" w:styleId="StyleAppendix2Before9pt">
    <w:name w:val="Style Appendix2 + Before:  9 pt"/>
    <w:basedOn w:val="Appendix2"/>
    <w:link w:val="StyleAppendix2Before9ptChar"/>
    <w:uiPriority w:val="99"/>
    <w:rsid w:val="00481889"/>
    <w:pPr>
      <w:keepNext w:val="0"/>
      <w:tabs>
        <w:tab w:val="clear" w:pos="1814"/>
        <w:tab w:val="left" w:pos="851"/>
      </w:tabs>
      <w:spacing w:before="60" w:after="60"/>
      <w:ind w:left="851" w:hanging="851"/>
      <w:jc w:val="left"/>
    </w:pPr>
    <w:rPr>
      <w:rFonts w:ascii="Arial Narrow" w:hAnsi="Arial Narrow"/>
      <w:bCs/>
      <w:sz w:val="30"/>
      <w:szCs w:val="20"/>
      <w:lang w:val="en-GB"/>
    </w:rPr>
  </w:style>
  <w:style w:type="character" w:customStyle="1" w:styleId="StyleAppendix2Before9ptChar">
    <w:name w:val="Style Appendix2 + Before:  9 pt Char"/>
    <w:basedOn w:val="Appendix2CharChar"/>
    <w:link w:val="StyleAppendix2Before9pt"/>
    <w:uiPriority w:val="99"/>
    <w:locked/>
    <w:rsid w:val="00481889"/>
    <w:rPr>
      <w:rFonts w:ascii="Arial Narrow" w:eastAsia="Times New Roman" w:hAnsi="Arial Narrow" w:cs="Times New Roman"/>
      <w:b w:val="0"/>
      <w:bCs/>
      <w:sz w:val="30"/>
      <w:lang w:val="en-GB" w:eastAsia="en-AU" w:bidi="ar-SA"/>
    </w:rPr>
  </w:style>
  <w:style w:type="paragraph" w:customStyle="1" w:styleId="StandardText">
    <w:name w:val="StandardText"/>
    <w:basedOn w:val="Normal"/>
    <w:link w:val="StandardTextChar"/>
    <w:uiPriority w:val="99"/>
    <w:rsid w:val="00481889"/>
    <w:pPr>
      <w:spacing w:before="120" w:after="120"/>
    </w:pPr>
    <w:rPr>
      <w:rFonts w:ascii="Univers 45 Light" w:hAnsi="Univers 45 Light"/>
      <w:color w:val="383838"/>
      <w:spacing w:val="-4"/>
      <w:szCs w:val="18"/>
      <w:lang w:val="en-AU" w:eastAsia="en-AU"/>
    </w:rPr>
  </w:style>
  <w:style w:type="character" w:customStyle="1" w:styleId="StandardTextChar">
    <w:name w:val="StandardText Char"/>
    <w:basedOn w:val="DefaultParagraphFont"/>
    <w:link w:val="StandardText"/>
    <w:uiPriority w:val="99"/>
    <w:locked/>
    <w:rsid w:val="00481889"/>
    <w:rPr>
      <w:rFonts w:ascii="Univers 45 Light" w:eastAsia="Times New Roman" w:hAnsi="Univers 45 Light"/>
      <w:color w:val="383838"/>
      <w:spacing w:val="-4"/>
      <w:sz w:val="18"/>
      <w:szCs w:val="18"/>
    </w:rPr>
  </w:style>
  <w:style w:type="paragraph" w:customStyle="1" w:styleId="StandardNumber1">
    <w:name w:val="StandardNumber1"/>
    <w:basedOn w:val="StandardText"/>
    <w:link w:val="StandardNumber1Char"/>
    <w:uiPriority w:val="99"/>
    <w:rsid w:val="00481889"/>
    <w:pPr>
      <w:tabs>
        <w:tab w:val="left" w:pos="300"/>
      </w:tabs>
      <w:ind w:left="300" w:hanging="300"/>
    </w:pPr>
    <w:rPr>
      <w:color w:val="3B3B3B"/>
    </w:rPr>
  </w:style>
  <w:style w:type="character" w:customStyle="1" w:styleId="StandardNumber1Char">
    <w:name w:val="StandardNumber1 Char"/>
    <w:basedOn w:val="StandardTextChar"/>
    <w:link w:val="StandardNumber1"/>
    <w:uiPriority w:val="99"/>
    <w:locked/>
    <w:rsid w:val="00481889"/>
    <w:rPr>
      <w:rFonts w:ascii="Univers 45 Light" w:eastAsia="Times New Roman" w:hAnsi="Univers 45 Light"/>
      <w:color w:val="3B3B3B"/>
      <w:spacing w:val="-4"/>
      <w:sz w:val="18"/>
      <w:szCs w:val="18"/>
    </w:rPr>
  </w:style>
  <w:style w:type="paragraph" w:customStyle="1" w:styleId="TableHeader">
    <w:name w:val="TableHeader"/>
    <w:basedOn w:val="Normal"/>
    <w:link w:val="TableHeaderChar"/>
    <w:uiPriority w:val="99"/>
    <w:rsid w:val="00481889"/>
    <w:pPr>
      <w:spacing w:before="40" w:after="40"/>
      <w:contextualSpacing/>
      <w:jc w:val="center"/>
    </w:pPr>
    <w:rPr>
      <w:rFonts w:ascii="Univers 45 Light" w:hAnsi="Univers 45 Light"/>
      <w:b/>
      <w:color w:val="4D4D4D"/>
      <w:sz w:val="16"/>
      <w:szCs w:val="16"/>
      <w:lang w:val="en-AU" w:eastAsia="en-AU"/>
    </w:rPr>
  </w:style>
  <w:style w:type="character" w:customStyle="1" w:styleId="TableHeaderChar">
    <w:name w:val="TableHeader Char"/>
    <w:basedOn w:val="DefaultParagraphFont"/>
    <w:link w:val="TableHeader"/>
    <w:uiPriority w:val="99"/>
    <w:locked/>
    <w:rsid w:val="00481889"/>
    <w:rPr>
      <w:rFonts w:ascii="Univers 45 Light" w:eastAsia="Times New Roman" w:hAnsi="Univers 45 Light"/>
      <w:b/>
      <w:color w:val="4D4D4D"/>
      <w:sz w:val="16"/>
      <w:szCs w:val="16"/>
    </w:rPr>
  </w:style>
  <w:style w:type="paragraph" w:customStyle="1" w:styleId="TableText1">
    <w:name w:val="TableText"/>
    <w:basedOn w:val="Normal"/>
    <w:link w:val="TableTextChar0"/>
    <w:uiPriority w:val="99"/>
    <w:rsid w:val="00481889"/>
    <w:pPr>
      <w:spacing w:before="40" w:after="40"/>
      <w:contextualSpacing/>
      <w:jc w:val="center"/>
    </w:pPr>
    <w:rPr>
      <w:rFonts w:ascii="Univers 45 Light" w:hAnsi="Univers 45 Light"/>
      <w:color w:val="4D4D4D"/>
      <w:sz w:val="16"/>
      <w:szCs w:val="16"/>
      <w:lang w:val="en-AU" w:eastAsia="en-AU"/>
    </w:rPr>
  </w:style>
  <w:style w:type="paragraph" w:customStyle="1" w:styleId="TableText1stColumn">
    <w:name w:val="TableText1stColumn"/>
    <w:basedOn w:val="Normal"/>
    <w:uiPriority w:val="99"/>
    <w:rsid w:val="00481889"/>
    <w:pPr>
      <w:spacing w:before="40" w:after="40"/>
      <w:contextualSpacing/>
    </w:pPr>
    <w:rPr>
      <w:rFonts w:ascii="Univers 45 Light" w:hAnsi="Univers 45 Light"/>
      <w:color w:val="4D4D4D"/>
      <w:sz w:val="16"/>
      <w:szCs w:val="16"/>
      <w:lang w:val="en-AU" w:eastAsia="en-AU"/>
    </w:rPr>
  </w:style>
  <w:style w:type="character" w:customStyle="1" w:styleId="TableTextChar0">
    <w:name w:val="TableText Char"/>
    <w:basedOn w:val="DefaultParagraphFont"/>
    <w:link w:val="TableText1"/>
    <w:uiPriority w:val="99"/>
    <w:locked/>
    <w:rsid w:val="00481889"/>
    <w:rPr>
      <w:rFonts w:ascii="Univers 45 Light" w:eastAsia="Times New Roman" w:hAnsi="Univers 45 Light"/>
      <w:color w:val="4D4D4D"/>
      <w:sz w:val="16"/>
      <w:szCs w:val="16"/>
    </w:rPr>
  </w:style>
  <w:style w:type="paragraph" w:customStyle="1" w:styleId="StyleAppendixArial">
    <w:name w:val="Style Appendix + Arial"/>
    <w:basedOn w:val="Appendix0"/>
    <w:autoRedefine/>
    <w:uiPriority w:val="99"/>
    <w:rsid w:val="00481889"/>
    <w:pPr>
      <w:tabs>
        <w:tab w:val="num" w:pos="394"/>
      </w:tabs>
      <w:ind w:left="0" w:firstLine="0"/>
    </w:pPr>
    <w:rPr>
      <w:bCs/>
      <w:szCs w:val="40"/>
    </w:rPr>
  </w:style>
  <w:style w:type="paragraph" w:customStyle="1" w:styleId="StyleAppendixArialAfter18pt">
    <w:name w:val="Style Appendix + Arial After:  18 pt"/>
    <w:basedOn w:val="Appendix0"/>
    <w:autoRedefine/>
    <w:uiPriority w:val="99"/>
    <w:rsid w:val="00481889"/>
    <w:pPr>
      <w:tabs>
        <w:tab w:val="num" w:pos="394"/>
      </w:tabs>
      <w:spacing w:after="360"/>
      <w:ind w:left="0" w:firstLine="0"/>
    </w:pPr>
    <w:rPr>
      <w:bCs/>
    </w:rPr>
  </w:style>
  <w:style w:type="paragraph" w:customStyle="1" w:styleId="StyleHeading1H1Arial">
    <w:name w:val="Style Heading 1H1 + Arial"/>
    <w:basedOn w:val="Heading1"/>
    <w:autoRedefine/>
    <w:uiPriority w:val="99"/>
    <w:rsid w:val="00481889"/>
    <w:pPr>
      <w:keepNext w:val="0"/>
      <w:pageBreakBefore w:val="0"/>
      <w:widowControl w:val="0"/>
      <w:numPr>
        <w:numId w:val="0"/>
      </w:numPr>
      <w:pBdr>
        <w:bottom w:val="single" w:sz="4" w:space="1" w:color="auto"/>
      </w:pBdr>
      <w:tabs>
        <w:tab w:val="num" w:pos="851"/>
        <w:tab w:val="num" w:pos="1353"/>
        <w:tab w:val="right" w:pos="9639"/>
      </w:tabs>
      <w:spacing w:after="480"/>
      <w:ind w:left="851" w:hanging="851"/>
    </w:pPr>
    <w:rPr>
      <w:rFonts w:eastAsia="Times New Roman"/>
      <w:bCs/>
      <w:caps/>
      <w:color w:val="auto"/>
      <w:kern w:val="0"/>
      <w:szCs w:val="30"/>
    </w:rPr>
  </w:style>
  <w:style w:type="paragraph" w:customStyle="1" w:styleId="StyleStyleAppendix2Before9ptArial">
    <w:name w:val="Style Style Appendix2 + Before:  9 pt + Arial"/>
    <w:basedOn w:val="StyleAppendix2Before9pt"/>
    <w:uiPriority w:val="99"/>
    <w:rsid w:val="00481889"/>
  </w:style>
  <w:style w:type="paragraph" w:customStyle="1" w:styleId="StyleStyleCaptionBefore4ptAfter3ptLeft0mmBef">
    <w:name w:val="Style Style Caption + Before:  4 pt After:  3 pt + Left:  0 mm Bef..."/>
    <w:basedOn w:val="StyleCaptionBefore4ptAfter3pt"/>
    <w:uiPriority w:val="99"/>
    <w:rsid w:val="00481889"/>
    <w:pPr>
      <w:spacing w:before="240"/>
    </w:pPr>
  </w:style>
  <w:style w:type="paragraph" w:customStyle="1" w:styleId="StyleNoteLeft148mmHanging275mm">
    <w:name w:val="Style Note + Left:  14.8 mm Hanging:  27.5 mm"/>
    <w:basedOn w:val="Note"/>
    <w:uiPriority w:val="99"/>
    <w:rsid w:val="00481889"/>
    <w:pPr>
      <w:tabs>
        <w:tab w:val="clear" w:pos="1814"/>
        <w:tab w:val="left" w:pos="1418"/>
      </w:tabs>
      <w:spacing w:after="180" w:line="240" w:lineRule="auto"/>
      <w:ind w:left="2410" w:hanging="1559"/>
    </w:pPr>
    <w:rPr>
      <w:rFonts w:eastAsia="Times New Roman"/>
      <w:sz w:val="20"/>
      <w:szCs w:val="20"/>
      <w:lang w:val="en-GB"/>
    </w:rPr>
  </w:style>
  <w:style w:type="paragraph" w:customStyle="1" w:styleId="StyleHeading2Arial">
    <w:name w:val="Style Heading 2 + Arial"/>
    <w:basedOn w:val="Heading2"/>
    <w:uiPriority w:val="99"/>
    <w:rsid w:val="00481889"/>
    <w:pPr>
      <w:numPr>
        <w:numId w:val="1"/>
      </w:numPr>
      <w:tabs>
        <w:tab w:val="num" w:pos="576"/>
        <w:tab w:val="num" w:pos="851"/>
        <w:tab w:val="num" w:pos="1353"/>
      </w:tabs>
      <w:ind w:left="576" w:hanging="576"/>
    </w:pPr>
    <w:rPr>
      <w:rFonts w:ascii="Arial Bold" w:eastAsia="Times New Roman" w:hAnsi="Arial Bold"/>
      <w:b w:val="0"/>
      <w:bCs/>
      <w:szCs w:val="20"/>
    </w:rPr>
  </w:style>
  <w:style w:type="paragraph" w:customStyle="1" w:styleId="StyleStandardparaLeft50mmHanging10mm">
    <w:name w:val="Style Standard para + Left:  50 mm Hanging:  10 mm"/>
    <w:basedOn w:val="Standardpara"/>
    <w:uiPriority w:val="99"/>
    <w:rsid w:val="00481889"/>
    <w:pPr>
      <w:ind w:left="1418" w:hanging="567"/>
      <w:jc w:val="left"/>
    </w:pPr>
    <w:rPr>
      <w:sz w:val="20"/>
      <w:lang w:val="en-US" w:eastAsia="en-AU"/>
    </w:rPr>
  </w:style>
  <w:style w:type="paragraph" w:customStyle="1" w:styleId="StyleHeading3H3Arial">
    <w:name w:val="Style Heading 3H3 + Arial"/>
    <w:basedOn w:val="Heading3"/>
    <w:uiPriority w:val="99"/>
    <w:rsid w:val="00481889"/>
    <w:pPr>
      <w:numPr>
        <w:ilvl w:val="0"/>
        <w:numId w:val="0"/>
      </w:numPr>
      <w:tabs>
        <w:tab w:val="left" w:pos="851"/>
      </w:tabs>
      <w:spacing w:before="60"/>
      <w:ind w:left="851" w:right="1134" w:hanging="851"/>
    </w:pPr>
    <w:rPr>
      <w:rFonts w:ascii="Arial Bold" w:eastAsia="Times New Roman" w:hAnsi="Arial Bold"/>
      <w:b w:val="0"/>
      <w:bCs/>
      <w:noProof w:val="0"/>
      <w:szCs w:val="20"/>
      <w:lang w:val="en-US"/>
    </w:rPr>
  </w:style>
  <w:style w:type="paragraph" w:customStyle="1" w:styleId="StyleHeading2ArialBefore6pt">
    <w:name w:val="Style Heading 2 + Arial Before:  6 pt"/>
    <w:basedOn w:val="Heading2"/>
    <w:uiPriority w:val="99"/>
    <w:rsid w:val="00481889"/>
    <w:pPr>
      <w:numPr>
        <w:numId w:val="1"/>
      </w:numPr>
      <w:tabs>
        <w:tab w:val="num" w:pos="576"/>
        <w:tab w:val="num" w:pos="851"/>
        <w:tab w:val="num" w:pos="1353"/>
      </w:tabs>
      <w:ind w:left="576" w:hanging="576"/>
    </w:pPr>
    <w:rPr>
      <w:rFonts w:ascii="Arial Bold" w:eastAsia="Times New Roman" w:hAnsi="Arial Bold"/>
      <w:b w:val="0"/>
      <w:bCs/>
      <w:szCs w:val="20"/>
    </w:rPr>
  </w:style>
  <w:style w:type="paragraph" w:customStyle="1" w:styleId="StyleNoteLeft50mmHanging225mmBefore6pt">
    <w:name w:val="Style Note + Left:  50 mm Hanging:  22.5 mm Before:  6 pt"/>
    <w:basedOn w:val="Note"/>
    <w:uiPriority w:val="99"/>
    <w:rsid w:val="00481889"/>
    <w:pPr>
      <w:tabs>
        <w:tab w:val="clear" w:pos="1814"/>
        <w:tab w:val="left" w:pos="1418"/>
      </w:tabs>
      <w:spacing w:before="120" w:after="180" w:line="240" w:lineRule="auto"/>
      <w:ind w:left="2127" w:hanging="1276"/>
    </w:pPr>
    <w:rPr>
      <w:rFonts w:eastAsia="Times New Roman"/>
      <w:sz w:val="20"/>
      <w:szCs w:val="20"/>
      <w:lang w:val="en-GB"/>
    </w:rPr>
  </w:style>
  <w:style w:type="paragraph" w:customStyle="1" w:styleId="StyleStandardparaLeft762mm">
    <w:name w:val="Style Standard para + Left:  76.2 mm"/>
    <w:basedOn w:val="Standardpara"/>
    <w:uiPriority w:val="99"/>
    <w:rsid w:val="00481889"/>
    <w:pPr>
      <w:jc w:val="left"/>
    </w:pPr>
    <w:rPr>
      <w:sz w:val="20"/>
      <w:lang w:val="en-US" w:eastAsia="en-AU"/>
    </w:rPr>
  </w:style>
  <w:style w:type="paragraph" w:customStyle="1" w:styleId="StyleStandardparaBoldLeft50mmHanging262mm">
    <w:name w:val="Style Standard para + Bold Left:  50 mm Hanging:  26.2 mm"/>
    <w:basedOn w:val="Standardpara"/>
    <w:uiPriority w:val="99"/>
    <w:rsid w:val="00481889"/>
    <w:pPr>
      <w:ind w:left="2337" w:hanging="1486"/>
      <w:jc w:val="left"/>
    </w:pPr>
    <w:rPr>
      <w:b/>
      <w:bCs/>
      <w:sz w:val="20"/>
      <w:lang w:val="en-US" w:eastAsia="en-AU"/>
    </w:rPr>
  </w:style>
  <w:style w:type="paragraph" w:customStyle="1" w:styleId="StyleAppendix3Arial">
    <w:name w:val="Style Appendix3 + Arial"/>
    <w:basedOn w:val="Appendix3"/>
    <w:uiPriority w:val="99"/>
    <w:rsid w:val="00481889"/>
    <w:pPr>
      <w:keepNext w:val="0"/>
      <w:tabs>
        <w:tab w:val="clear" w:pos="1814"/>
        <w:tab w:val="left" w:pos="851"/>
      </w:tabs>
      <w:spacing w:before="0" w:after="60"/>
      <w:ind w:left="851" w:hanging="851"/>
    </w:pPr>
    <w:rPr>
      <w:rFonts w:ascii="Arial Narrow" w:hAnsi="Arial Narrow"/>
      <w:b/>
      <w:bCs/>
      <w:noProof/>
      <w:sz w:val="26"/>
    </w:rPr>
  </w:style>
  <w:style w:type="paragraph" w:customStyle="1" w:styleId="StyleHeading2Expandedby005pt">
    <w:name w:val="Style Heading 2 + Expanded by  0.05 pt"/>
    <w:basedOn w:val="Heading2"/>
    <w:link w:val="StyleHeading2Expandedby005ptChar"/>
    <w:uiPriority w:val="99"/>
    <w:rsid w:val="00481889"/>
    <w:pPr>
      <w:numPr>
        <w:ilvl w:val="0"/>
        <w:numId w:val="16"/>
      </w:numPr>
      <w:tabs>
        <w:tab w:val="clear" w:pos="360"/>
        <w:tab w:val="num" w:pos="576"/>
        <w:tab w:val="num" w:pos="851"/>
        <w:tab w:val="num" w:pos="1353"/>
      </w:tabs>
      <w:ind w:left="576" w:hanging="576"/>
    </w:pPr>
    <w:rPr>
      <w:rFonts w:ascii="Arial Bold" w:eastAsia="Times New Roman" w:hAnsi="Arial Bold"/>
      <w:b w:val="0"/>
      <w:bCs/>
      <w:spacing w:val="1"/>
      <w:szCs w:val="20"/>
    </w:rPr>
  </w:style>
  <w:style w:type="character" w:customStyle="1" w:styleId="StyleHeading2Expandedby005ptChar">
    <w:name w:val="Style Heading 2 + Expanded by  0.05 pt Char"/>
    <w:basedOn w:val="Heading2Char1"/>
    <w:link w:val="StyleHeading2Expandedby005pt"/>
    <w:uiPriority w:val="99"/>
    <w:locked/>
    <w:rsid w:val="00481889"/>
    <w:rPr>
      <w:rFonts w:ascii="Arial Bold" w:eastAsia="Times New Roman" w:hAnsi="Arial Bold" w:cs="Times New Roman"/>
      <w:b/>
      <w:bCs/>
      <w:noProof/>
      <w:spacing w:val="1"/>
      <w:sz w:val="26"/>
      <w:lang w:val="en-AU" w:eastAsia="en-AU" w:bidi="ar-SA"/>
    </w:rPr>
  </w:style>
  <w:style w:type="paragraph" w:customStyle="1" w:styleId="StyleNote9ptExpandedby01pt">
    <w:name w:val="Style Note + 9 pt Expanded by  0.1 pt"/>
    <w:basedOn w:val="Note"/>
    <w:uiPriority w:val="99"/>
    <w:rsid w:val="00481889"/>
    <w:pPr>
      <w:tabs>
        <w:tab w:val="clear" w:pos="1814"/>
        <w:tab w:val="left" w:pos="1588"/>
      </w:tabs>
      <w:spacing w:after="160" w:line="240" w:lineRule="auto"/>
      <w:ind w:left="1588" w:hanging="737"/>
    </w:pPr>
    <w:rPr>
      <w:rFonts w:eastAsia="Times New Roman"/>
      <w:spacing w:val="2"/>
      <w:sz w:val="20"/>
      <w:szCs w:val="20"/>
      <w:lang w:val="en-GB"/>
    </w:rPr>
  </w:style>
  <w:style w:type="paragraph" w:customStyle="1" w:styleId="Styleappendix1Expandedby01pt">
    <w:name w:val="Style appendix 1 + Expanded by  0.1 pt"/>
    <w:basedOn w:val="appendix1"/>
    <w:link w:val="Styleappendix1Expandedby01ptChar"/>
    <w:uiPriority w:val="99"/>
    <w:rsid w:val="00481889"/>
    <w:rPr>
      <w:spacing w:val="2"/>
    </w:rPr>
  </w:style>
  <w:style w:type="character" w:customStyle="1" w:styleId="appendixChar">
    <w:name w:val="appendix Char"/>
    <w:basedOn w:val="DefaultParagraphFont"/>
    <w:link w:val="appendix"/>
    <w:uiPriority w:val="99"/>
    <w:locked/>
    <w:rsid w:val="00481889"/>
    <w:rPr>
      <w:rFonts w:ascii="Zurich Cn BT" w:eastAsia="Times New Roman" w:hAnsi="Zurich Cn BT"/>
      <w:sz w:val="40"/>
      <w:lang w:val="en-US"/>
    </w:rPr>
  </w:style>
  <w:style w:type="character" w:customStyle="1" w:styleId="appendix1Char">
    <w:name w:val="appendix 1 Char"/>
    <w:basedOn w:val="appendixChar"/>
    <w:link w:val="appendix1"/>
    <w:uiPriority w:val="99"/>
    <w:locked/>
    <w:rsid w:val="00481889"/>
    <w:rPr>
      <w:rFonts w:ascii="Arial" w:eastAsia="Times New Roman" w:hAnsi="Arial"/>
      <w:sz w:val="30"/>
      <w:lang w:val="en-US"/>
    </w:rPr>
  </w:style>
  <w:style w:type="character" w:customStyle="1" w:styleId="Styleappendix1Expandedby01ptChar">
    <w:name w:val="Style appendix 1 + Expanded by  0.1 pt Char"/>
    <w:basedOn w:val="appendix1Char"/>
    <w:link w:val="Styleappendix1Expandedby01pt"/>
    <w:uiPriority w:val="99"/>
    <w:locked/>
    <w:rsid w:val="00481889"/>
    <w:rPr>
      <w:rFonts w:ascii="Arial" w:eastAsia="Times New Roman" w:hAnsi="Arial"/>
      <w:spacing w:val="2"/>
      <w:sz w:val="30"/>
      <w:lang w:val="en-US"/>
    </w:rPr>
  </w:style>
  <w:style w:type="paragraph" w:customStyle="1" w:styleId="Bodyhang">
    <w:name w:val="Body hang"/>
    <w:basedOn w:val="BodyText"/>
    <w:autoRedefine/>
    <w:uiPriority w:val="99"/>
    <w:rsid w:val="00481889"/>
    <w:pPr>
      <w:numPr>
        <w:numId w:val="22"/>
      </w:numPr>
      <w:tabs>
        <w:tab w:val="clear" w:pos="360"/>
        <w:tab w:val="left" w:pos="3062"/>
      </w:tabs>
      <w:ind w:left="3062" w:hanging="340"/>
    </w:pPr>
    <w:rPr>
      <w:rFonts w:eastAsia="Times New Roman"/>
      <w:lang w:val="en-GB"/>
    </w:rPr>
  </w:style>
  <w:style w:type="paragraph" w:customStyle="1" w:styleId="NOTE0">
    <w:name w:val="NOTE"/>
    <w:autoRedefine/>
    <w:uiPriority w:val="99"/>
    <w:rsid w:val="00481889"/>
    <w:pPr>
      <w:tabs>
        <w:tab w:val="left" w:pos="3402"/>
      </w:tabs>
      <w:spacing w:after="120"/>
      <w:ind w:left="3403" w:hanging="851"/>
      <w:jc w:val="both"/>
    </w:pPr>
    <w:rPr>
      <w:rFonts w:ascii="Arial" w:eastAsia="Times New Roman" w:hAnsi="Arial"/>
      <w:noProof/>
      <w:sz w:val="18"/>
    </w:rPr>
  </w:style>
  <w:style w:type="paragraph" w:customStyle="1" w:styleId="boxbullet">
    <w:name w:val="box bullet"/>
    <w:basedOn w:val="Normal"/>
    <w:uiPriority w:val="99"/>
    <w:rsid w:val="00481889"/>
    <w:pPr>
      <w:numPr>
        <w:numId w:val="23"/>
      </w:numPr>
      <w:tabs>
        <w:tab w:val="left" w:pos="327"/>
      </w:tabs>
      <w:spacing w:before="80" w:after="0"/>
    </w:pPr>
    <w:rPr>
      <w:rFonts w:ascii="Times New Roman" w:hAnsi="Times New Roman" w:cs="Arial"/>
      <w:color w:val="13294B"/>
      <w:szCs w:val="18"/>
    </w:rPr>
  </w:style>
  <w:style w:type="paragraph" w:customStyle="1" w:styleId="NER-RC-List-1-MNum">
    <w:name w:val="NER-RC-List-1-MNum"/>
    <w:basedOn w:val="Normal"/>
    <w:uiPriority w:val="99"/>
    <w:rsid w:val="00481889"/>
    <w:pPr>
      <w:tabs>
        <w:tab w:val="left" w:pos="1701"/>
      </w:tabs>
      <w:autoSpaceDE w:val="0"/>
      <w:autoSpaceDN w:val="0"/>
      <w:adjustRightInd w:val="0"/>
      <w:spacing w:before="120" w:after="120"/>
      <w:ind w:left="1701" w:hanging="567"/>
      <w:jc w:val="both"/>
    </w:pPr>
    <w:rPr>
      <w:rFonts w:ascii="Times New Roman" w:hAnsi="Times New Roman"/>
      <w:color w:val="000000"/>
      <w:sz w:val="24"/>
      <w:lang w:val="en-AU" w:eastAsia="en-AU"/>
    </w:rPr>
  </w:style>
  <w:style w:type="paragraph" w:customStyle="1" w:styleId="AERbodytext">
    <w:name w:val="AER body text"/>
    <w:basedOn w:val="Normal"/>
    <w:link w:val="AERbodytextChar"/>
    <w:uiPriority w:val="99"/>
    <w:rsid w:val="00481889"/>
    <w:pPr>
      <w:spacing w:after="240" w:line="288" w:lineRule="auto"/>
      <w:jc w:val="both"/>
    </w:pPr>
    <w:rPr>
      <w:rFonts w:ascii="Gautami" w:hAnsi="Gautami"/>
      <w:sz w:val="20"/>
      <w:szCs w:val="20"/>
      <w:lang w:val="en-AU"/>
    </w:rPr>
  </w:style>
  <w:style w:type="character" w:customStyle="1" w:styleId="AERbodytextChar">
    <w:name w:val="AER body text Char"/>
    <w:basedOn w:val="DefaultParagraphFont"/>
    <w:link w:val="AERbodytext"/>
    <w:uiPriority w:val="99"/>
    <w:locked/>
    <w:rsid w:val="00481889"/>
    <w:rPr>
      <w:rFonts w:ascii="Gautami" w:eastAsia="Times New Roman" w:hAnsi="Gautami"/>
      <w:lang w:eastAsia="en-US"/>
    </w:rPr>
  </w:style>
  <w:style w:type="paragraph" w:customStyle="1" w:styleId="NER-Cl-Title-Lvl-3">
    <w:name w:val="NER-Cl-Title-Lvl-3"/>
    <w:basedOn w:val="Normal"/>
    <w:uiPriority w:val="99"/>
    <w:rsid w:val="00481889"/>
    <w:pPr>
      <w:keepNext/>
      <w:keepLines/>
      <w:tabs>
        <w:tab w:val="left" w:pos="1134"/>
      </w:tabs>
      <w:autoSpaceDE w:val="0"/>
      <w:autoSpaceDN w:val="0"/>
      <w:adjustRightInd w:val="0"/>
      <w:spacing w:before="240" w:after="60"/>
      <w:ind w:left="1134" w:hanging="1134"/>
      <w:outlineLvl w:val="2"/>
    </w:pPr>
    <w:rPr>
      <w:rFonts w:ascii="Arial Bold" w:hAnsi="Arial Bold" w:cs="Arial Bold"/>
      <w:b/>
      <w:bCs/>
      <w:color w:val="000000"/>
      <w:sz w:val="24"/>
      <w:lang w:val="en-AU" w:eastAsia="en-AU"/>
    </w:rPr>
  </w:style>
  <w:style w:type="paragraph" w:customStyle="1" w:styleId="NER-Table-Title-MNum-PgWide">
    <w:name w:val="NER-Table-Title-MNum-PgWide"/>
    <w:basedOn w:val="Normal"/>
    <w:uiPriority w:val="99"/>
    <w:rsid w:val="00481889"/>
    <w:pPr>
      <w:keepNext/>
      <w:keepLines/>
      <w:tabs>
        <w:tab w:val="left" w:pos="1701"/>
      </w:tabs>
      <w:autoSpaceDE w:val="0"/>
      <w:autoSpaceDN w:val="0"/>
      <w:adjustRightInd w:val="0"/>
      <w:spacing w:before="120" w:after="60"/>
      <w:ind w:left="1701" w:hanging="1701"/>
    </w:pPr>
    <w:rPr>
      <w:rFonts w:ascii="Arial Bold" w:hAnsi="Arial Bold" w:cs="Arial Bold"/>
      <w:b/>
      <w:bCs/>
      <w:color w:val="000000"/>
      <w:sz w:val="22"/>
      <w:szCs w:val="22"/>
      <w:lang w:val="en-AU" w:eastAsia="en-AU"/>
    </w:rPr>
  </w:style>
  <w:style w:type="paragraph" w:customStyle="1" w:styleId="NER-Table-Para">
    <w:name w:val="NER-Table-Para"/>
    <w:basedOn w:val="Normal"/>
    <w:uiPriority w:val="99"/>
    <w:rsid w:val="00481889"/>
    <w:pPr>
      <w:autoSpaceDE w:val="0"/>
      <w:autoSpaceDN w:val="0"/>
      <w:adjustRightInd w:val="0"/>
      <w:spacing w:before="120" w:after="120"/>
    </w:pPr>
    <w:rPr>
      <w:rFonts w:ascii="Times New Roman" w:hAnsi="Times New Roman"/>
      <w:color w:val="000000"/>
      <w:sz w:val="24"/>
      <w:lang w:val="en-AU" w:eastAsia="en-AU"/>
    </w:rPr>
  </w:style>
  <w:style w:type="paragraph" w:customStyle="1" w:styleId="NER-Table-Col-Head">
    <w:name w:val="NER-Table-Col-Head"/>
    <w:basedOn w:val="Normal"/>
    <w:uiPriority w:val="99"/>
    <w:rsid w:val="00481889"/>
    <w:pPr>
      <w:keepNext/>
      <w:keepLines/>
      <w:autoSpaceDE w:val="0"/>
      <w:autoSpaceDN w:val="0"/>
      <w:adjustRightInd w:val="0"/>
      <w:spacing w:before="120" w:after="0"/>
    </w:pPr>
    <w:rPr>
      <w:rFonts w:ascii="Arial Bold" w:hAnsi="Arial Bold" w:cs="Arial Bold"/>
      <w:b/>
      <w:bCs/>
      <w:color w:val="000000"/>
      <w:sz w:val="24"/>
      <w:lang w:val="en-AU" w:eastAsia="en-AU"/>
    </w:rPr>
  </w:style>
  <w:style w:type="paragraph" w:customStyle="1" w:styleId="NER-Table-List-1-MNum">
    <w:name w:val="NER-Table-List-1-MNum"/>
    <w:basedOn w:val="Normal"/>
    <w:uiPriority w:val="99"/>
    <w:rsid w:val="00481889"/>
    <w:pPr>
      <w:tabs>
        <w:tab w:val="left" w:pos="567"/>
      </w:tabs>
      <w:autoSpaceDE w:val="0"/>
      <w:autoSpaceDN w:val="0"/>
      <w:adjustRightInd w:val="0"/>
      <w:spacing w:before="120" w:after="120"/>
      <w:ind w:left="567" w:hanging="567"/>
    </w:pPr>
    <w:rPr>
      <w:rFonts w:ascii="Times New Roman" w:hAnsi="Times New Roman"/>
      <w:color w:val="000000"/>
      <w:sz w:val="24"/>
      <w:lang w:val="en-AU" w:eastAsia="en-AU"/>
    </w:rPr>
  </w:style>
  <w:style w:type="paragraph" w:customStyle="1" w:styleId="NER-Ch-Sch-Title">
    <w:name w:val="NER-Ch-Sch-Title"/>
    <w:basedOn w:val="Normal"/>
    <w:uiPriority w:val="99"/>
    <w:rsid w:val="00481889"/>
    <w:pPr>
      <w:keepNext/>
      <w:tabs>
        <w:tab w:val="left" w:pos="2268"/>
      </w:tabs>
      <w:autoSpaceDE w:val="0"/>
      <w:autoSpaceDN w:val="0"/>
      <w:adjustRightInd w:val="0"/>
      <w:spacing w:before="240" w:after="60"/>
      <w:ind w:left="2268" w:hanging="2268"/>
      <w:outlineLvl w:val="1"/>
    </w:pPr>
    <w:rPr>
      <w:rFonts w:ascii="Arial Bold" w:hAnsi="Arial Bold" w:cs="Arial Bold"/>
      <w:b/>
      <w:bCs/>
      <w:color w:val="000000"/>
      <w:sz w:val="28"/>
      <w:szCs w:val="28"/>
      <w:lang w:val="en-AU" w:eastAsia="en-AU"/>
    </w:rPr>
  </w:style>
  <w:style w:type="paragraph" w:customStyle="1" w:styleId="CM131">
    <w:name w:val="CM131"/>
    <w:basedOn w:val="Default"/>
    <w:next w:val="Default"/>
    <w:uiPriority w:val="99"/>
    <w:rsid w:val="00481889"/>
    <w:rPr>
      <w:rFonts w:cs="Times New Roman"/>
      <w:sz w:val="24"/>
      <w:szCs w:val="24"/>
    </w:rPr>
  </w:style>
  <w:style w:type="paragraph" w:customStyle="1" w:styleId="Heading2Expandedby01pt">
    <w:name w:val="Heading 2 + Expanded by  0.1 pt"/>
    <w:basedOn w:val="Standardpara"/>
    <w:uiPriority w:val="99"/>
    <w:rsid w:val="00481889"/>
    <w:pPr>
      <w:jc w:val="left"/>
    </w:pPr>
    <w:rPr>
      <w:sz w:val="20"/>
      <w:lang w:val="en-US" w:eastAsia="en-AU"/>
    </w:rPr>
  </w:style>
  <w:style w:type="paragraph" w:styleId="Subtitle">
    <w:name w:val="Subtitle"/>
    <w:basedOn w:val="Normal"/>
    <w:next w:val="Normal"/>
    <w:link w:val="SubtitleChar"/>
    <w:qFormat/>
    <w:locked/>
    <w:rsid w:val="002B5E59"/>
    <w:pPr>
      <w:numPr>
        <w:ilvl w:val="1"/>
      </w:numPr>
      <w:spacing w:after="0"/>
    </w:pPr>
    <w:rPr>
      <w:rFonts w:asciiTheme="majorHAnsi" w:eastAsiaTheme="majorEastAsia" w:hAnsiTheme="majorHAnsi" w:cstheme="majorBidi"/>
      <w:i/>
      <w:iCs/>
      <w:color w:val="4F81BD" w:themeColor="accent1"/>
      <w:spacing w:val="15"/>
      <w:sz w:val="24"/>
      <w:lang w:val="en-AU" w:eastAsia="en-AU"/>
    </w:rPr>
  </w:style>
  <w:style w:type="character" w:customStyle="1" w:styleId="SubtitleChar">
    <w:name w:val="Subtitle Char"/>
    <w:basedOn w:val="DefaultParagraphFont"/>
    <w:link w:val="Subtitle"/>
    <w:rsid w:val="002B5E59"/>
    <w:rPr>
      <w:rFonts w:asciiTheme="majorHAnsi" w:eastAsiaTheme="majorEastAsia" w:hAnsiTheme="majorHAnsi" w:cstheme="majorBidi"/>
      <w:i/>
      <w:iCs/>
      <w:color w:val="4F81BD" w:themeColor="accent1"/>
      <w:spacing w:val="15"/>
      <w:sz w:val="24"/>
      <w:szCs w:val="24"/>
    </w:rPr>
  </w:style>
  <w:style w:type="paragraph" w:customStyle="1" w:styleId="LDfields">
    <w:name w:val="LD fields"/>
    <w:basedOn w:val="Normal"/>
    <w:rsid w:val="00E46B04"/>
    <w:pPr>
      <w:spacing w:line="260" w:lineRule="atLeast"/>
    </w:pPr>
    <w:rPr>
      <w:rFonts w:ascii="Helvetica 45 Light" w:eastAsia="Cambria" w:hAnsi="Helvetica 45 Light"/>
      <w:color w:val="000000"/>
      <w:szCs w:val="20"/>
      <w:lang w:val="en-AU"/>
    </w:rPr>
  </w:style>
  <w:style w:type="paragraph" w:customStyle="1" w:styleId="EAnormal">
    <w:name w:val="EAnormal"/>
    <w:basedOn w:val="Normal"/>
    <w:link w:val="EAnormalChar"/>
    <w:qFormat/>
    <w:rsid w:val="00E46B04"/>
    <w:pPr>
      <w:widowControl w:val="0"/>
      <w:spacing w:after="0" w:line="320" w:lineRule="exact"/>
      <w:jc w:val="both"/>
    </w:pPr>
    <w:rPr>
      <w:rFonts w:cs="Arial"/>
      <w:sz w:val="20"/>
      <w:szCs w:val="20"/>
      <w:lang w:val="en-AU" w:eastAsia="en-AU"/>
    </w:rPr>
  </w:style>
  <w:style w:type="character" w:customStyle="1" w:styleId="EAnormalChar">
    <w:name w:val="EAnormal Char"/>
    <w:basedOn w:val="DefaultParagraphFont"/>
    <w:link w:val="EAnormal"/>
    <w:rsid w:val="00E46B04"/>
    <w:rPr>
      <w:rFonts w:ascii="Arial" w:eastAsia="Times New Roman" w:hAnsi="Arial" w:cs="Arial"/>
    </w:rPr>
  </w:style>
  <w:style w:type="paragraph" w:customStyle="1" w:styleId="EAtitle">
    <w:name w:val="EAtitle"/>
    <w:basedOn w:val="Normal"/>
    <w:next w:val="EAnormal"/>
    <w:link w:val="EAtitleChar"/>
    <w:qFormat/>
    <w:rsid w:val="00E46B04"/>
    <w:pPr>
      <w:keepNext/>
      <w:widowControl w:val="0"/>
      <w:spacing w:after="100"/>
      <w:outlineLvl w:val="0"/>
    </w:pPr>
    <w:rPr>
      <w:rFonts w:cs="Arial"/>
      <w:b/>
      <w:kern w:val="28"/>
      <w:sz w:val="24"/>
      <w:lang w:val="en-AU" w:eastAsia="en-AU"/>
    </w:rPr>
  </w:style>
  <w:style w:type="character" w:customStyle="1" w:styleId="EAtitleChar">
    <w:name w:val="EAtitle Char"/>
    <w:basedOn w:val="DefaultParagraphFont"/>
    <w:link w:val="EAtitle"/>
    <w:rsid w:val="00E46B04"/>
    <w:rPr>
      <w:rFonts w:ascii="Arial" w:eastAsia="Times New Roman" w:hAnsi="Arial" w:cs="Arial"/>
      <w:b/>
      <w:kern w:val="28"/>
      <w:sz w:val="24"/>
      <w:szCs w:val="24"/>
    </w:rPr>
  </w:style>
  <w:style w:type="numbering" w:customStyle="1" w:styleId="AERnumberedlist">
    <w:name w:val="AER numbered list"/>
    <w:uiPriority w:val="99"/>
    <w:rsid w:val="00164272"/>
    <w:pPr>
      <w:numPr>
        <w:numId w:val="30"/>
      </w:numPr>
    </w:pPr>
  </w:style>
  <w:style w:type="paragraph" w:customStyle="1" w:styleId="AERtablesource">
    <w:name w:val="AER table source"/>
    <w:next w:val="Normal"/>
    <w:qFormat/>
    <w:rsid w:val="00164272"/>
    <w:pPr>
      <w:tabs>
        <w:tab w:val="left" w:pos="794"/>
      </w:tabs>
      <w:spacing w:before="160" w:after="360" w:line="360" w:lineRule="auto"/>
      <w:ind w:left="794" w:hanging="794"/>
      <w:contextualSpacing/>
      <w:jc w:val="both"/>
    </w:pPr>
    <w:rPr>
      <w:rFonts w:ascii="Arial" w:eastAsia="Times New Roman" w:hAnsi="Arial"/>
      <w:sz w:val="16"/>
      <w:szCs w:val="24"/>
      <w:lang w:eastAsia="en-US"/>
    </w:rPr>
  </w:style>
  <w:style w:type="character" w:customStyle="1" w:styleId="AERbody">
    <w:name w:val="AER body"/>
    <w:basedOn w:val="DefaultParagraphFont"/>
    <w:qFormat/>
    <w:rsid w:val="00F572F3"/>
    <w:rPr>
      <w:sz w:val="20"/>
    </w:rPr>
  </w:style>
  <w:style w:type="paragraph" w:customStyle="1" w:styleId="AERfactsheetbodytext">
    <w:name w:val="AER factsheet body text"/>
    <w:basedOn w:val="Normal"/>
    <w:qFormat/>
    <w:rsid w:val="00E408D0"/>
    <w:pPr>
      <w:spacing w:after="120" w:line="252" w:lineRule="auto"/>
    </w:pPr>
    <w:rPr>
      <w:rFonts w:ascii="MS Reference Sans Serif" w:eastAsia="Calibri" w:hAnsi="MS Reference Sans Serif" w:cs="Shruti"/>
      <w:spacing w:val="-10"/>
      <w:szCs w:val="22"/>
      <w:lang w:val="en-AU"/>
    </w:rPr>
  </w:style>
  <w:style w:type="paragraph" w:styleId="Index1">
    <w:name w:val="index 1"/>
    <w:basedOn w:val="Normal"/>
    <w:next w:val="Normal"/>
    <w:autoRedefine/>
    <w:rsid w:val="005D1ED3"/>
    <w:pPr>
      <w:ind w:left="180" w:hanging="180"/>
    </w:pPr>
  </w:style>
  <w:style w:type="paragraph" w:styleId="Index2">
    <w:name w:val="index 2"/>
    <w:basedOn w:val="Normal"/>
    <w:next w:val="Normal"/>
    <w:autoRedefine/>
    <w:rsid w:val="005D1ED3"/>
    <w:pPr>
      <w:ind w:left="360" w:hanging="180"/>
    </w:pPr>
  </w:style>
  <w:style w:type="paragraph" w:styleId="Index3">
    <w:name w:val="index 3"/>
    <w:basedOn w:val="Normal"/>
    <w:next w:val="Normal"/>
    <w:autoRedefine/>
    <w:rsid w:val="005D1ED3"/>
    <w:pPr>
      <w:ind w:left="540" w:hanging="180"/>
    </w:pPr>
  </w:style>
  <w:style w:type="paragraph" w:styleId="Index4">
    <w:name w:val="index 4"/>
    <w:basedOn w:val="Normal"/>
    <w:next w:val="Normal"/>
    <w:autoRedefine/>
    <w:rsid w:val="005D1ED3"/>
    <w:pPr>
      <w:ind w:left="720" w:hanging="180"/>
    </w:pPr>
  </w:style>
  <w:style w:type="paragraph" w:styleId="Index5">
    <w:name w:val="index 5"/>
    <w:basedOn w:val="Normal"/>
    <w:next w:val="Normal"/>
    <w:autoRedefine/>
    <w:rsid w:val="005D1ED3"/>
    <w:pPr>
      <w:ind w:left="900" w:hanging="180"/>
    </w:pPr>
  </w:style>
  <w:style w:type="paragraph" w:styleId="Index6">
    <w:name w:val="index 6"/>
    <w:basedOn w:val="Normal"/>
    <w:next w:val="Normal"/>
    <w:autoRedefine/>
    <w:rsid w:val="005D1ED3"/>
    <w:pPr>
      <w:ind w:left="1080" w:hanging="180"/>
    </w:pPr>
  </w:style>
  <w:style w:type="paragraph" w:styleId="Index7">
    <w:name w:val="index 7"/>
    <w:basedOn w:val="Normal"/>
    <w:next w:val="Normal"/>
    <w:autoRedefine/>
    <w:rsid w:val="005D1ED3"/>
    <w:pPr>
      <w:ind w:left="1260" w:hanging="180"/>
    </w:pPr>
  </w:style>
  <w:style w:type="paragraph" w:styleId="Index8">
    <w:name w:val="index 8"/>
    <w:basedOn w:val="Normal"/>
    <w:next w:val="Normal"/>
    <w:autoRedefine/>
    <w:rsid w:val="005D1ED3"/>
    <w:pPr>
      <w:ind w:left="1440" w:hanging="180"/>
    </w:pPr>
  </w:style>
  <w:style w:type="paragraph" w:styleId="Index9">
    <w:name w:val="index 9"/>
    <w:basedOn w:val="Normal"/>
    <w:next w:val="Normal"/>
    <w:autoRedefine/>
    <w:rsid w:val="005D1ED3"/>
    <w:pPr>
      <w:ind w:left="1620" w:hanging="180"/>
    </w:pPr>
  </w:style>
  <w:style w:type="paragraph" w:styleId="IndexHeading">
    <w:name w:val="index heading"/>
    <w:basedOn w:val="Normal"/>
    <w:next w:val="Index1"/>
    <w:rsid w:val="005D1ED3"/>
  </w:style>
  <w:style w:type="paragraph" w:customStyle="1" w:styleId="Bulletedtext">
    <w:name w:val="Bulleted text"/>
    <w:qFormat/>
    <w:rsid w:val="001E7F29"/>
    <w:pPr>
      <w:numPr>
        <w:numId w:val="35"/>
      </w:numPr>
      <w:spacing w:after="120" w:line="260" w:lineRule="exact"/>
      <w:ind w:left="1276" w:hanging="340"/>
    </w:pPr>
    <w:rPr>
      <w:rFonts w:ascii="Arial" w:eastAsia="Times New Roman" w:hAnsi="Arial"/>
      <w:szCs w:val="24"/>
      <w:lang w:eastAsia="en-US"/>
    </w:rPr>
  </w:style>
  <w:style w:type="paragraph" w:customStyle="1" w:styleId="StyleLeft">
    <w:name w:val="Style Left"/>
    <w:basedOn w:val="Normal"/>
    <w:rsid w:val="00181B73"/>
    <w:pPr>
      <w:spacing w:after="60"/>
    </w:pPr>
    <w:rPr>
      <w:szCs w:val="20"/>
    </w:rPr>
  </w:style>
  <w:style w:type="paragraph" w:customStyle="1" w:styleId="StyleStyleLeft10ptItalic">
    <w:name w:val="Style Style Left + 10 pt Italic"/>
    <w:basedOn w:val="StyleLeft"/>
    <w:rsid w:val="00181B73"/>
    <w:rPr>
      <w:i/>
      <w:iCs/>
    </w:rPr>
  </w:style>
  <w:style w:type="paragraph" w:styleId="EndnoteText">
    <w:name w:val="endnote text"/>
    <w:basedOn w:val="Normal"/>
    <w:link w:val="EndnoteTextChar"/>
    <w:rsid w:val="00AD067F"/>
    <w:pPr>
      <w:spacing w:after="0"/>
    </w:pPr>
    <w:rPr>
      <w:sz w:val="20"/>
      <w:szCs w:val="20"/>
    </w:rPr>
  </w:style>
  <w:style w:type="character" w:customStyle="1" w:styleId="EndnoteTextChar">
    <w:name w:val="Endnote Text Char"/>
    <w:basedOn w:val="DefaultParagraphFont"/>
    <w:link w:val="EndnoteText"/>
    <w:rsid w:val="00AD067F"/>
    <w:rPr>
      <w:rFonts w:ascii="Arial" w:eastAsia="Times New Roman" w:hAnsi="Arial"/>
      <w:lang w:val="en-US" w:eastAsia="en-US"/>
    </w:rPr>
  </w:style>
  <w:style w:type="character" w:styleId="EndnoteReference">
    <w:name w:val="endnote reference"/>
    <w:basedOn w:val="DefaultParagraphFont"/>
    <w:rsid w:val="00AD067F"/>
    <w:rPr>
      <w:vertAlign w:val="superscript"/>
    </w:rPr>
  </w:style>
  <w:style w:type="paragraph" w:styleId="Revision">
    <w:name w:val="Revision"/>
    <w:hidden/>
    <w:uiPriority w:val="99"/>
    <w:semiHidden/>
    <w:rsid w:val="00186AD6"/>
    <w:rPr>
      <w:rFonts w:ascii="Arial" w:eastAsia="Times New Roman" w:hAnsi="Arial"/>
      <w:sz w:val="18"/>
      <w:szCs w:val="24"/>
      <w:lang w:val="en-US" w:eastAsia="en-US"/>
    </w:rPr>
  </w:style>
  <w:style w:type="paragraph" w:customStyle="1" w:styleId="AusgridBullet">
    <w:name w:val="Ausgrid Bullet"/>
    <w:basedOn w:val="ListBullet"/>
    <w:qFormat/>
    <w:rsid w:val="00932BA4"/>
    <w:pPr>
      <w:numPr>
        <w:numId w:val="71"/>
      </w:numPr>
      <w:spacing w:after="120" w:line="260" w:lineRule="exact"/>
      <w:contextualSpacing/>
    </w:pPr>
    <w:rPr>
      <w:rFonts w:ascii="Arial" w:eastAsiaTheme="minorHAnsi" w:hAnsi="Arial" w:cstheme="minorBidi"/>
      <w:sz w:val="18"/>
      <w:szCs w:val="22"/>
      <w:lang w:eastAsia="en-US"/>
    </w:rPr>
  </w:style>
  <w:style w:type="character" w:customStyle="1" w:styleId="DocumentMapChar">
    <w:name w:val="Document Map Char"/>
    <w:basedOn w:val="DefaultParagraphFont"/>
    <w:link w:val="DocumentMap"/>
    <w:semiHidden/>
    <w:rsid w:val="00A36721"/>
    <w:rPr>
      <w:rFonts w:ascii="Tahoma" w:eastAsia="Times New Roman" w:hAnsi="Tahoma"/>
      <w:sz w:val="18"/>
      <w:shd w:val="clear" w:color="auto" w:fill="000080"/>
    </w:rPr>
  </w:style>
  <w:style w:type="character" w:customStyle="1" w:styleId="apple-converted-space">
    <w:name w:val="apple-converted-space"/>
    <w:basedOn w:val="DefaultParagraphFont"/>
    <w:rsid w:val="00E6040F"/>
  </w:style>
  <w:style w:type="paragraph" w:customStyle="1" w:styleId="TabletextAltt">
    <w:name w:val="Table text (Alt + t)"/>
    <w:qFormat/>
    <w:rsid w:val="00B50A16"/>
    <w:pPr>
      <w:spacing w:before="40" w:after="40"/>
      <w:ind w:left="57" w:right="57"/>
    </w:pPr>
    <w:rPr>
      <w:rFonts w:ascii="Arial" w:eastAsia="Times New Roman" w:hAnsi="Arial" w:cs="Arial"/>
      <w:color w:val="000000"/>
      <w:sz w:val="18"/>
      <w:szCs w:val="22"/>
    </w:rPr>
  </w:style>
  <w:style w:type="paragraph" w:customStyle="1" w:styleId="Tabletextboxed">
    <w:name w:val="Table text boxed"/>
    <w:qFormat/>
    <w:rsid w:val="00B55EF3"/>
    <w:pPr>
      <w:spacing w:before="60" w:after="40"/>
    </w:pPr>
    <w:rPr>
      <w:rFonts w:ascii="Arial" w:eastAsia="Times New Roman" w:hAnsi="Arial" w:cs="Arial"/>
      <w:bCs/>
      <w:sz w:val="18"/>
      <w:szCs w:val="18"/>
      <w:lang w:val="en-US" w:eastAsia="en-US"/>
    </w:rPr>
  </w:style>
  <w:style w:type="paragraph" w:styleId="TOCHeading">
    <w:name w:val="TOC Heading"/>
    <w:basedOn w:val="Heading1"/>
    <w:next w:val="Normal"/>
    <w:uiPriority w:val="39"/>
    <w:semiHidden/>
    <w:unhideWhenUsed/>
    <w:qFormat/>
    <w:rsid w:val="000E3D27"/>
    <w:pPr>
      <w:keepLines/>
      <w:pageBreakBefore w:val="0"/>
      <w:numPr>
        <w:numId w:val="0"/>
      </w:numPr>
      <w:tabs>
        <w:tab w:val="left" w:pos="851"/>
      </w:tabs>
      <w:spacing w:before="480" w:after="0"/>
      <w:outlineLvl w:val="9"/>
    </w:pPr>
    <w:rPr>
      <w:rFonts w:asciiTheme="majorHAnsi" w:eastAsiaTheme="majorEastAsia" w:hAnsiTheme="majorHAnsi" w:cstheme="majorBidi"/>
      <w:bCs/>
      <w:noProof w:val="0"/>
      <w:color w:val="365F91" w:themeColor="accent1" w:themeShade="BF"/>
      <w:kern w:val="0"/>
      <w:sz w:val="28"/>
      <w:szCs w:val="28"/>
      <w:lang w:val="en-US" w:eastAsia="en-US"/>
    </w:rPr>
  </w:style>
  <w:style w:type="paragraph" w:customStyle="1" w:styleId="BodyTextAltp">
    <w:name w:val="Body Text (Alt + p)"/>
    <w:link w:val="BodyTextAltpChar"/>
    <w:qFormat/>
    <w:rsid w:val="000E3D27"/>
    <w:pPr>
      <w:tabs>
        <w:tab w:val="left" w:pos="426"/>
      </w:tabs>
      <w:spacing w:after="160" w:line="260" w:lineRule="exact"/>
    </w:pPr>
    <w:rPr>
      <w:rFonts w:ascii="Arial" w:eastAsia="Times New Roman" w:hAnsi="Arial"/>
      <w:szCs w:val="24"/>
      <w:lang w:val="en-US" w:eastAsia="en-US"/>
    </w:rPr>
  </w:style>
  <w:style w:type="character" w:customStyle="1" w:styleId="BodyTextAltpChar">
    <w:name w:val="Body Text (Alt + p) Char"/>
    <w:basedOn w:val="DefaultParagraphFont"/>
    <w:link w:val="BodyTextAltp"/>
    <w:rsid w:val="000E3D27"/>
    <w:rPr>
      <w:rFonts w:ascii="Arial" w:eastAsia="Times New Roman" w:hAnsi="Arial"/>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qFormat="1"/>
    <w:lsdException w:name="annotation text" w:uiPriority="99"/>
    <w:lsdException w:name="footer" w:uiPriority="99"/>
    <w:lsdException w:name="caption" w:locked="1" w:uiPriority="35"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List Number 4" w:uiPriority="99"/>
    <w:lsdException w:name="Title" w:locked="1" w:semiHidden="0" w:uiPriority="99" w:unhideWhenUsed="0" w:qFormat="1"/>
    <w:lsdException w:name="Default Paragraph Font" w:locked="1"/>
    <w:lsdException w:name="Body Text" w:uiPriority="99"/>
    <w:lsdException w:name="Body Text Indent" w:uiPriority="99"/>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locked="1" w:semiHidden="0" w:unhideWhenUsed="0" w:qFormat="1"/>
    <w:lsdException w:name="Emphasis" w:locked="1" w:semiHidden="0" w:unhideWhenUsed="0" w:qFormat="1"/>
    <w:lsdException w:name="Normal (Web)" w:uiPriority="99"/>
    <w:lsdException w:name="HTML Cite" w:uiPriority="99"/>
    <w:lsdException w:name="annotation subject" w:uiPriority="99"/>
    <w:lsdException w:name="No List" w:uiPriority="99"/>
    <w:lsdException w:name="Balloon Text" w:uiPriority="99"/>
    <w:lsdException w:name="Table Grid" w:locked="1"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754"/>
    <w:pPr>
      <w:spacing w:after="200"/>
    </w:pPr>
    <w:rPr>
      <w:rFonts w:ascii="Arial" w:eastAsia="Times New Roman" w:hAnsi="Arial"/>
      <w:sz w:val="18"/>
      <w:szCs w:val="24"/>
      <w:lang w:val="en-US" w:eastAsia="en-US"/>
    </w:rPr>
  </w:style>
  <w:style w:type="paragraph" w:styleId="Heading1">
    <w:name w:val="heading 1"/>
    <w:aliases w:val="(Alt + 1),H1"/>
    <w:next w:val="Heading2"/>
    <w:link w:val="Heading1Char"/>
    <w:qFormat/>
    <w:rsid w:val="00B50A16"/>
    <w:pPr>
      <w:keepNext/>
      <w:pageBreakBefore/>
      <w:numPr>
        <w:numId w:val="4"/>
      </w:numPr>
      <w:tabs>
        <w:tab w:val="left" w:pos="851"/>
      </w:tabs>
      <w:spacing w:after="960"/>
      <w:outlineLvl w:val="0"/>
    </w:pPr>
    <w:rPr>
      <w:rFonts w:ascii="Arial Bold" w:hAnsi="Arial Bold"/>
      <w:b/>
      <w:noProof/>
      <w:color w:val="0065A6"/>
      <w:kern w:val="28"/>
      <w:sz w:val="36"/>
      <w:szCs w:val="40"/>
    </w:rPr>
  </w:style>
  <w:style w:type="paragraph" w:styleId="Heading2">
    <w:name w:val="heading 2"/>
    <w:aliases w:val="(Alt + 2)"/>
    <w:next w:val="Normal"/>
    <w:link w:val="Heading2Char"/>
    <w:qFormat/>
    <w:rsid w:val="00B55EF3"/>
    <w:pPr>
      <w:numPr>
        <w:ilvl w:val="1"/>
        <w:numId w:val="4"/>
      </w:numPr>
      <w:tabs>
        <w:tab w:val="clear" w:pos="851"/>
      </w:tabs>
      <w:spacing w:before="120" w:after="60"/>
      <w:outlineLvl w:val="1"/>
    </w:pPr>
    <w:rPr>
      <w:rFonts w:ascii="Arial" w:hAnsi="Arial"/>
      <w:b/>
      <w:noProof/>
      <w:color w:val="0065A6"/>
      <w:sz w:val="26"/>
      <w:szCs w:val="30"/>
    </w:rPr>
  </w:style>
  <w:style w:type="paragraph" w:styleId="Heading3">
    <w:name w:val="heading 3"/>
    <w:aliases w:val="H3"/>
    <w:basedOn w:val="Heading2"/>
    <w:next w:val="Normal"/>
    <w:link w:val="Heading3Char"/>
    <w:qFormat/>
    <w:rsid w:val="00212F15"/>
    <w:pPr>
      <w:keepNext/>
      <w:numPr>
        <w:ilvl w:val="2"/>
      </w:numPr>
      <w:outlineLvl w:val="2"/>
    </w:pPr>
    <w:rPr>
      <w:sz w:val="22"/>
      <w:szCs w:val="26"/>
    </w:rPr>
  </w:style>
  <w:style w:type="paragraph" w:styleId="Heading4">
    <w:name w:val="heading 4"/>
    <w:aliases w:val="(Alt + 4)"/>
    <w:basedOn w:val="Heading3"/>
    <w:next w:val="Normal"/>
    <w:link w:val="Heading4Char"/>
    <w:qFormat/>
    <w:rsid w:val="00511CBF"/>
    <w:pPr>
      <w:numPr>
        <w:ilvl w:val="3"/>
      </w:numPr>
      <w:outlineLvl w:val="3"/>
    </w:pPr>
    <w:rPr>
      <w:sz w:val="20"/>
      <w:szCs w:val="22"/>
    </w:rPr>
  </w:style>
  <w:style w:type="paragraph" w:styleId="Heading5">
    <w:name w:val="heading 5"/>
    <w:aliases w:val="Appendix 1,Section &lt;Letter&gt;"/>
    <w:basedOn w:val="Normal"/>
    <w:next w:val="Normal"/>
    <w:link w:val="Heading5Char"/>
    <w:qFormat/>
    <w:rsid w:val="00F712D7"/>
    <w:pPr>
      <w:numPr>
        <w:ilvl w:val="4"/>
        <w:numId w:val="4"/>
      </w:numPr>
      <w:tabs>
        <w:tab w:val="left" w:pos="851"/>
      </w:tabs>
      <w:spacing w:before="120" w:after="60"/>
      <w:outlineLvl w:val="4"/>
    </w:pPr>
    <w:rPr>
      <w:rFonts w:eastAsia="Cambria"/>
      <w:sz w:val="20"/>
      <w:szCs w:val="20"/>
      <w:lang w:val="en-GB" w:eastAsia="en-AU"/>
    </w:rPr>
  </w:style>
  <w:style w:type="paragraph" w:styleId="Heading6">
    <w:name w:val="heading 6"/>
    <w:aliases w:val="Section &lt;Name&gt;"/>
    <w:basedOn w:val="Normal"/>
    <w:next w:val="Normal"/>
    <w:link w:val="Heading6Char"/>
    <w:qFormat/>
    <w:rsid w:val="00CD0E52"/>
    <w:pPr>
      <w:numPr>
        <w:ilvl w:val="5"/>
        <w:numId w:val="4"/>
      </w:numPr>
      <w:spacing w:before="240" w:after="60"/>
      <w:outlineLvl w:val="5"/>
    </w:pPr>
    <w:rPr>
      <w:rFonts w:eastAsia="Cambria"/>
      <w:i/>
      <w:noProof/>
      <w:sz w:val="22"/>
      <w:szCs w:val="20"/>
      <w:lang w:val="en-AU" w:eastAsia="en-AU"/>
    </w:rPr>
  </w:style>
  <w:style w:type="paragraph" w:styleId="Heading7">
    <w:name w:val="heading 7"/>
    <w:aliases w:val="(Appen),t,Appendix 3,Topic Title Name"/>
    <w:basedOn w:val="Heading1"/>
    <w:next w:val="Heading8"/>
    <w:link w:val="Heading7Char"/>
    <w:qFormat/>
    <w:rsid w:val="00CD0E52"/>
    <w:pPr>
      <w:numPr>
        <w:ilvl w:val="6"/>
      </w:numPr>
      <w:jc w:val="center"/>
      <w:outlineLvl w:val="6"/>
    </w:pPr>
    <w:rPr>
      <w:caps/>
    </w:rPr>
  </w:style>
  <w:style w:type="paragraph" w:styleId="Heading8">
    <w:name w:val="heading 8"/>
    <w:basedOn w:val="Heading2"/>
    <w:next w:val="Normal"/>
    <w:link w:val="Heading8Char"/>
    <w:qFormat/>
    <w:rsid w:val="00CD0E52"/>
    <w:pPr>
      <w:numPr>
        <w:ilvl w:val="7"/>
      </w:numPr>
      <w:outlineLvl w:val="7"/>
    </w:pPr>
  </w:style>
  <w:style w:type="paragraph" w:styleId="Heading9">
    <w:name w:val="heading 9"/>
    <w:basedOn w:val="Normal"/>
    <w:next w:val="Normal"/>
    <w:link w:val="Heading9Char"/>
    <w:qFormat/>
    <w:rsid w:val="00CD0E52"/>
    <w:pPr>
      <w:numPr>
        <w:ilvl w:val="8"/>
        <w:numId w:val="4"/>
      </w:numPr>
      <w:tabs>
        <w:tab w:val="left" w:pos="907"/>
      </w:tabs>
      <w:spacing w:before="240" w:after="60"/>
      <w:outlineLvl w:val="8"/>
    </w:pPr>
    <w:rPr>
      <w:rFonts w:eastAsia="Cambria"/>
      <w:i/>
      <w:szCs w:val="20"/>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Alt + 2) Char"/>
    <w:link w:val="Heading2"/>
    <w:locked/>
    <w:rsid w:val="00B55EF3"/>
    <w:rPr>
      <w:rFonts w:ascii="Arial" w:hAnsi="Arial"/>
      <w:b/>
      <w:noProof/>
      <w:color w:val="0065A6"/>
      <w:sz w:val="26"/>
      <w:szCs w:val="30"/>
    </w:rPr>
  </w:style>
  <w:style w:type="character" w:customStyle="1" w:styleId="Heading1Char">
    <w:name w:val="Heading 1 Char"/>
    <w:aliases w:val="(Alt + 1) Char,H1 Char"/>
    <w:link w:val="Heading1"/>
    <w:locked/>
    <w:rsid w:val="00B50A16"/>
    <w:rPr>
      <w:rFonts w:ascii="Arial Bold" w:hAnsi="Arial Bold"/>
      <w:b/>
      <w:noProof/>
      <w:color w:val="0065A6"/>
      <w:kern w:val="28"/>
      <w:sz w:val="36"/>
      <w:szCs w:val="40"/>
    </w:rPr>
  </w:style>
  <w:style w:type="character" w:customStyle="1" w:styleId="Heading3Char">
    <w:name w:val="Heading 3 Char"/>
    <w:aliases w:val="H3 Char"/>
    <w:link w:val="Heading3"/>
    <w:locked/>
    <w:rsid w:val="00212F15"/>
    <w:rPr>
      <w:rFonts w:ascii="Arial" w:hAnsi="Arial"/>
      <w:noProof/>
      <w:sz w:val="22"/>
      <w:szCs w:val="26"/>
    </w:rPr>
  </w:style>
  <w:style w:type="character" w:customStyle="1" w:styleId="Heading4Char">
    <w:name w:val="Heading 4 Char"/>
    <w:aliases w:val="(Alt + 4) Char"/>
    <w:link w:val="Heading4"/>
    <w:locked/>
    <w:rsid w:val="00511CBF"/>
    <w:rPr>
      <w:rFonts w:ascii="Arial" w:hAnsi="Arial"/>
      <w:noProof/>
      <w:szCs w:val="22"/>
    </w:rPr>
  </w:style>
  <w:style w:type="character" w:customStyle="1" w:styleId="Heading5Char">
    <w:name w:val="Heading 5 Char"/>
    <w:aliases w:val="Appendix 1 Char,Section &lt;Letter&gt; Char"/>
    <w:link w:val="Heading5"/>
    <w:locked/>
    <w:rsid w:val="00F712D7"/>
    <w:rPr>
      <w:rFonts w:ascii="Arial" w:hAnsi="Arial"/>
      <w:lang w:val="en-GB"/>
    </w:rPr>
  </w:style>
  <w:style w:type="character" w:customStyle="1" w:styleId="Heading6Char">
    <w:name w:val="Heading 6 Char"/>
    <w:aliases w:val="Section &lt;Name&gt; Char"/>
    <w:link w:val="Heading6"/>
    <w:locked/>
    <w:rsid w:val="00CD0E52"/>
    <w:rPr>
      <w:rFonts w:ascii="Arial" w:hAnsi="Arial"/>
      <w:i/>
      <w:noProof/>
      <w:sz w:val="22"/>
    </w:rPr>
  </w:style>
  <w:style w:type="character" w:customStyle="1" w:styleId="Heading8Char">
    <w:name w:val="Heading 8 Char"/>
    <w:link w:val="Heading8"/>
    <w:locked/>
    <w:rsid w:val="00CD0E52"/>
    <w:rPr>
      <w:rFonts w:ascii="Arial" w:hAnsi="Arial"/>
      <w:noProof/>
      <w:sz w:val="24"/>
      <w:szCs w:val="30"/>
    </w:rPr>
  </w:style>
  <w:style w:type="character" w:customStyle="1" w:styleId="Heading7Char">
    <w:name w:val="Heading 7 Char"/>
    <w:aliases w:val="(Appen) Char,t Char,Appendix 3 Char,Topic Title Name Char"/>
    <w:link w:val="Heading7"/>
    <w:locked/>
    <w:rsid w:val="00CD0E52"/>
    <w:rPr>
      <w:rFonts w:ascii="Arial Bold" w:hAnsi="Arial Bold"/>
      <w:b/>
      <w:caps/>
      <w:noProof/>
      <w:color w:val="4D4D4D"/>
      <w:kern w:val="28"/>
      <w:sz w:val="30"/>
      <w:szCs w:val="40"/>
    </w:rPr>
  </w:style>
  <w:style w:type="character" w:customStyle="1" w:styleId="Heading9Char">
    <w:name w:val="Heading 9 Char"/>
    <w:link w:val="Heading9"/>
    <w:locked/>
    <w:rsid w:val="00CD0E52"/>
    <w:rPr>
      <w:rFonts w:ascii="Arial" w:hAnsi="Arial"/>
      <w:i/>
      <w:sz w:val="18"/>
      <w:lang w:val="en-GB"/>
    </w:rPr>
  </w:style>
  <w:style w:type="paragraph" w:styleId="Footer">
    <w:name w:val="footer"/>
    <w:aliases w:val="Footer Base"/>
    <w:basedOn w:val="Normal"/>
    <w:link w:val="FooterChar"/>
    <w:uiPriority w:val="99"/>
    <w:rsid w:val="00511CBF"/>
    <w:pPr>
      <w:tabs>
        <w:tab w:val="center" w:pos="4320"/>
        <w:tab w:val="right" w:pos="8640"/>
      </w:tabs>
      <w:spacing w:after="0"/>
    </w:pPr>
  </w:style>
  <w:style w:type="character" w:customStyle="1" w:styleId="FooterChar">
    <w:name w:val="Footer Char"/>
    <w:aliases w:val="Footer Base Char"/>
    <w:link w:val="Footer"/>
    <w:uiPriority w:val="99"/>
    <w:locked/>
    <w:rsid w:val="00511CBF"/>
    <w:rPr>
      <w:rFonts w:ascii="Arial" w:hAnsi="Arial"/>
      <w:sz w:val="18"/>
      <w:szCs w:val="24"/>
      <w:lang w:val="en-US" w:eastAsia="en-US" w:bidi="ar-SA"/>
    </w:rPr>
  </w:style>
  <w:style w:type="paragraph" w:customStyle="1" w:styleId="boxed9ptBoldAltX">
    <w:name w:val="boxed 9pt Bold Alt + X"/>
    <w:basedOn w:val="Normal"/>
    <w:link w:val="boxed9ptBoldAltXChar"/>
    <w:rsid w:val="00CD0E52"/>
    <w:pPr>
      <w:pBdr>
        <w:top w:val="single" w:sz="4" w:space="4" w:color="777777"/>
        <w:left w:val="single" w:sz="4" w:space="4" w:color="777777"/>
        <w:bottom w:val="single" w:sz="4" w:space="4" w:color="777777"/>
        <w:right w:val="single" w:sz="4" w:space="4" w:color="777777"/>
      </w:pBdr>
      <w:tabs>
        <w:tab w:val="left" w:pos="3402"/>
        <w:tab w:val="center" w:pos="6240"/>
      </w:tabs>
      <w:spacing w:before="60" w:after="160"/>
      <w:ind w:left="964" w:right="340"/>
    </w:pPr>
    <w:rPr>
      <w:rFonts w:ascii="Arial Bold" w:eastAsia="Cambria" w:hAnsi="Arial Bold"/>
      <w:b/>
      <w:szCs w:val="18"/>
      <w:lang w:val="en-AU"/>
    </w:rPr>
  </w:style>
  <w:style w:type="character" w:customStyle="1" w:styleId="boxed9ptBoldAltXChar">
    <w:name w:val="boxed 9pt Bold Alt + X Char"/>
    <w:link w:val="boxed9ptBoldAltX"/>
    <w:locked/>
    <w:rsid w:val="00CD0E52"/>
    <w:rPr>
      <w:rFonts w:ascii="Arial Bold" w:hAnsi="Arial Bold" w:cs="Times New Roman"/>
      <w:b/>
      <w:sz w:val="18"/>
      <w:szCs w:val="18"/>
      <w:lang w:val="en-AU" w:eastAsia="x-none"/>
    </w:rPr>
  </w:style>
  <w:style w:type="paragraph" w:styleId="TOC1">
    <w:name w:val="toc 1"/>
    <w:basedOn w:val="Normal"/>
    <w:uiPriority w:val="39"/>
    <w:rsid w:val="0024227E"/>
    <w:pPr>
      <w:tabs>
        <w:tab w:val="left" w:pos="1418"/>
        <w:tab w:val="right" w:leader="dot" w:pos="8931"/>
      </w:tabs>
      <w:spacing w:before="160" w:after="0"/>
      <w:ind w:left="1582" w:right="2268" w:hanging="720"/>
    </w:pPr>
    <w:rPr>
      <w:rFonts w:ascii="Arial Bold" w:eastAsia="Cambria" w:hAnsi="Arial Bold"/>
      <w:b/>
      <w:color w:val="0065A6"/>
      <w:sz w:val="22"/>
      <w:szCs w:val="20"/>
      <w:lang w:val="en-GB" w:eastAsia="en-AU"/>
    </w:rPr>
  </w:style>
  <w:style w:type="paragraph" w:styleId="TOC2">
    <w:name w:val="toc 2"/>
    <w:basedOn w:val="Normal"/>
    <w:uiPriority w:val="39"/>
    <w:rsid w:val="000E3D27"/>
    <w:pPr>
      <w:tabs>
        <w:tab w:val="left" w:pos="1985"/>
        <w:tab w:val="right" w:leader="dot" w:pos="8913"/>
      </w:tabs>
      <w:spacing w:after="0"/>
      <w:ind w:left="2001" w:right="1134" w:hanging="561"/>
    </w:pPr>
    <w:rPr>
      <w:rFonts w:eastAsia="Cambria"/>
      <w:sz w:val="20"/>
      <w:szCs w:val="18"/>
      <w:lang w:val="en-GB" w:eastAsia="en-AU"/>
    </w:rPr>
  </w:style>
  <w:style w:type="paragraph" w:styleId="TOC3">
    <w:name w:val="toc 3"/>
    <w:basedOn w:val="Normal"/>
    <w:next w:val="Normal"/>
    <w:uiPriority w:val="39"/>
    <w:rsid w:val="007C17AA"/>
    <w:pPr>
      <w:tabs>
        <w:tab w:val="left" w:pos="2466"/>
        <w:tab w:val="right" w:leader="dot" w:pos="8913"/>
      </w:tabs>
      <w:spacing w:before="40" w:after="40"/>
      <w:ind w:left="2467" w:right="1134" w:hanging="766"/>
    </w:pPr>
    <w:rPr>
      <w:rFonts w:eastAsia="Cambria"/>
      <w:sz w:val="20"/>
      <w:szCs w:val="18"/>
      <w:lang w:val="en-GB" w:eastAsia="en-AU"/>
    </w:rPr>
  </w:style>
  <w:style w:type="paragraph" w:customStyle="1" w:styleId="AppendixAltA">
    <w:name w:val="Appendix (Alt + A)"/>
    <w:rsid w:val="00490E9E"/>
    <w:pPr>
      <w:pBdr>
        <w:bottom w:val="single" w:sz="4" w:space="1" w:color="auto"/>
      </w:pBdr>
      <w:tabs>
        <w:tab w:val="left" w:pos="1814"/>
      </w:tabs>
      <w:spacing w:after="400"/>
      <w:ind w:left="1814" w:hanging="1814"/>
    </w:pPr>
    <w:rPr>
      <w:rFonts w:ascii="Arial Bold" w:hAnsi="Arial Bold"/>
      <w:b/>
      <w:noProof/>
      <w:color w:val="333333"/>
      <w:sz w:val="30"/>
      <w:szCs w:val="40"/>
    </w:rPr>
  </w:style>
  <w:style w:type="paragraph" w:styleId="TOC4">
    <w:name w:val="toc 4"/>
    <w:basedOn w:val="Normal"/>
    <w:next w:val="Normal"/>
    <w:autoRedefine/>
    <w:uiPriority w:val="39"/>
    <w:rsid w:val="00CD0E52"/>
    <w:pPr>
      <w:tabs>
        <w:tab w:val="left" w:pos="2835"/>
        <w:tab w:val="right" w:leader="dot" w:pos="8930"/>
      </w:tabs>
      <w:spacing w:after="20"/>
      <w:ind w:left="1985"/>
    </w:pPr>
    <w:rPr>
      <w:rFonts w:eastAsia="Cambria"/>
      <w:noProof/>
      <w:szCs w:val="18"/>
      <w:lang w:val="en-GB" w:eastAsia="en-AU"/>
    </w:rPr>
  </w:style>
  <w:style w:type="paragraph" w:customStyle="1" w:styleId="bulletAltB0">
    <w:name w:val="bullet Alt + B"/>
    <w:basedOn w:val="Normal"/>
    <w:link w:val="bulletAltBChar"/>
    <w:uiPriority w:val="99"/>
    <w:rsid w:val="00CD0E52"/>
    <w:pPr>
      <w:numPr>
        <w:numId w:val="3"/>
      </w:numPr>
      <w:tabs>
        <w:tab w:val="clear" w:pos="360"/>
        <w:tab w:val="left" w:pos="1304"/>
      </w:tabs>
      <w:spacing w:after="100"/>
      <w:ind w:left="1304" w:hanging="227"/>
    </w:pPr>
    <w:rPr>
      <w:rFonts w:eastAsia="Cambria"/>
      <w:szCs w:val="18"/>
      <w:lang w:val="en-GB" w:eastAsia="en-AU"/>
    </w:rPr>
  </w:style>
  <w:style w:type="character" w:customStyle="1" w:styleId="bulletAltBChar">
    <w:name w:val="bullet Alt + B Char"/>
    <w:link w:val="bulletAltB0"/>
    <w:uiPriority w:val="99"/>
    <w:locked/>
    <w:rsid w:val="00CD0E52"/>
    <w:rPr>
      <w:rFonts w:ascii="Arial" w:hAnsi="Arial"/>
      <w:sz w:val="18"/>
      <w:szCs w:val="18"/>
      <w:lang w:val="en-GB"/>
    </w:rPr>
  </w:style>
  <w:style w:type="character" w:styleId="PageNumber">
    <w:name w:val="page number"/>
    <w:rsid w:val="00CD0E52"/>
    <w:rPr>
      <w:rFonts w:cs="Times New Roman"/>
    </w:rPr>
  </w:style>
  <w:style w:type="paragraph" w:styleId="BodyText">
    <w:name w:val="Body Text"/>
    <w:aliases w:val="(Alt + p)"/>
    <w:basedOn w:val="Normal"/>
    <w:link w:val="BodyTextChar"/>
    <w:autoRedefine/>
    <w:uiPriority w:val="99"/>
    <w:rsid w:val="00505882"/>
    <w:pPr>
      <w:tabs>
        <w:tab w:val="left" w:pos="2835"/>
      </w:tabs>
      <w:spacing w:after="160" w:line="260" w:lineRule="exact"/>
      <w:ind w:left="851"/>
    </w:pPr>
    <w:rPr>
      <w:rFonts w:eastAsia="Cambria" w:cs="Arial"/>
      <w:noProof/>
      <w:sz w:val="20"/>
      <w:szCs w:val="20"/>
      <w:lang w:val="en-AU" w:eastAsia="en-AU"/>
    </w:rPr>
  </w:style>
  <w:style w:type="character" w:customStyle="1" w:styleId="BodyTextChar">
    <w:name w:val="Body Text Char"/>
    <w:aliases w:val="(Alt + p) Char"/>
    <w:link w:val="BodyText"/>
    <w:uiPriority w:val="99"/>
    <w:locked/>
    <w:rsid w:val="00505882"/>
    <w:rPr>
      <w:rFonts w:ascii="Arial" w:hAnsi="Arial" w:cs="Arial"/>
      <w:noProof/>
    </w:rPr>
  </w:style>
  <w:style w:type="paragraph" w:customStyle="1" w:styleId="HyphenAltH">
    <w:name w:val="Hyphen Alt + H"/>
    <w:basedOn w:val="Normal"/>
    <w:rsid w:val="002A6FF3"/>
    <w:pPr>
      <w:numPr>
        <w:numId w:val="5"/>
      </w:numPr>
      <w:tabs>
        <w:tab w:val="clear" w:pos="4559"/>
        <w:tab w:val="left" w:pos="1588"/>
      </w:tabs>
      <w:spacing w:after="120" w:line="240" w:lineRule="exact"/>
      <w:ind w:left="1588" w:hanging="284"/>
    </w:pPr>
    <w:rPr>
      <w:rFonts w:eastAsia="Cambria"/>
      <w:szCs w:val="18"/>
      <w:lang w:val="en-GB" w:eastAsia="en-AU"/>
    </w:rPr>
  </w:style>
  <w:style w:type="paragraph" w:customStyle="1" w:styleId="Body9ptAltP">
    <w:name w:val="Body 9 pt Alt + P"/>
    <w:basedOn w:val="Normal"/>
    <w:link w:val="Body9ptAltPChar"/>
    <w:uiPriority w:val="99"/>
    <w:rsid w:val="00CD0E52"/>
    <w:pPr>
      <w:tabs>
        <w:tab w:val="left" w:pos="1134"/>
      </w:tabs>
      <w:spacing w:after="120"/>
      <w:ind w:left="851"/>
    </w:pPr>
    <w:rPr>
      <w:rFonts w:eastAsia="Cambria"/>
      <w:szCs w:val="18"/>
      <w:lang w:val="en-GB" w:eastAsia="en-AU"/>
    </w:rPr>
  </w:style>
  <w:style w:type="character" w:customStyle="1" w:styleId="Body9ptAltPChar">
    <w:name w:val="Body 9 pt Alt + P Char"/>
    <w:link w:val="Body9ptAltP"/>
    <w:uiPriority w:val="99"/>
    <w:locked/>
    <w:rsid w:val="00CD0E52"/>
    <w:rPr>
      <w:rFonts w:ascii="Arial" w:hAnsi="Arial" w:cs="Times New Roman"/>
      <w:sz w:val="18"/>
      <w:szCs w:val="18"/>
      <w:lang w:val="en-GB" w:eastAsia="en-AU"/>
    </w:rPr>
  </w:style>
  <w:style w:type="table" w:styleId="TableGrid">
    <w:name w:val="Table Grid"/>
    <w:basedOn w:val="TableNormal"/>
    <w:uiPriority w:val="99"/>
    <w:rsid w:val="00F712D7"/>
    <w:pPr>
      <w:tabs>
        <w:tab w:val="left" w:pos="907"/>
      </w:tabs>
      <w:spacing w:before="80" w:after="8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Titlename">
    <w:name w:val="Title name"/>
    <w:uiPriority w:val="99"/>
    <w:rsid w:val="00CD0E52"/>
    <w:pPr>
      <w:spacing w:after="120" w:line="380" w:lineRule="exact"/>
      <w:ind w:left="-153" w:right="318" w:firstLine="153"/>
      <w:jc w:val="right"/>
    </w:pPr>
    <w:rPr>
      <w:rFonts w:ascii="Arial Bold" w:hAnsi="Arial Bold" w:cs="Arial"/>
      <w:b/>
      <w:color w:val="777777"/>
      <w:spacing w:val="-12"/>
      <w:sz w:val="40"/>
      <w:szCs w:val="40"/>
    </w:rPr>
  </w:style>
  <w:style w:type="paragraph" w:customStyle="1" w:styleId="StyleHeading1Before0pt">
    <w:name w:val="Style Heading 1 + Before:  0 pt"/>
    <w:basedOn w:val="Heading1"/>
    <w:rsid w:val="00CD0E52"/>
    <w:rPr>
      <w:bCs/>
      <w:color w:val="777777"/>
      <w:szCs w:val="36"/>
    </w:rPr>
  </w:style>
  <w:style w:type="paragraph" w:customStyle="1" w:styleId="CaptionAltC">
    <w:name w:val="Caption Alt + C"/>
    <w:basedOn w:val="Normal"/>
    <w:rsid w:val="00212F15"/>
    <w:pPr>
      <w:tabs>
        <w:tab w:val="left" w:pos="907"/>
      </w:tabs>
      <w:spacing w:before="140" w:line="240" w:lineRule="exact"/>
      <w:ind w:left="851"/>
    </w:pPr>
    <w:rPr>
      <w:rFonts w:ascii="Arial Bold" w:eastAsia="Cambria" w:hAnsi="Arial Bold"/>
      <w:b/>
      <w:bCs/>
      <w:i/>
      <w:iCs/>
      <w:szCs w:val="18"/>
      <w:lang w:val="en-GB" w:eastAsia="en-AU"/>
    </w:rPr>
  </w:style>
  <w:style w:type="paragraph" w:customStyle="1" w:styleId="AppendixLevel2Alte">
    <w:name w:val="Appendix Level 2 Alt + e"/>
    <w:basedOn w:val="Body9ptAltP"/>
    <w:rsid w:val="00CD0E52"/>
    <w:pPr>
      <w:spacing w:after="60"/>
    </w:pPr>
    <w:rPr>
      <w:rFonts w:ascii="Arial Narrow" w:hAnsi="Arial Narrow"/>
      <w:b/>
      <w:sz w:val="30"/>
      <w:szCs w:val="30"/>
    </w:rPr>
  </w:style>
  <w:style w:type="paragraph" w:styleId="Date">
    <w:name w:val="Date"/>
    <w:basedOn w:val="Normal"/>
    <w:next w:val="Normal"/>
    <w:link w:val="DateChar"/>
    <w:rsid w:val="001E09A6"/>
    <w:rPr>
      <w:sz w:val="20"/>
    </w:rPr>
  </w:style>
  <w:style w:type="character" w:customStyle="1" w:styleId="DateChar">
    <w:name w:val="Date Char"/>
    <w:link w:val="Date"/>
    <w:locked/>
    <w:rsid w:val="001E09A6"/>
    <w:rPr>
      <w:rFonts w:ascii="Arial" w:hAnsi="Arial" w:cs="Times New Roman"/>
      <w:sz w:val="20"/>
    </w:rPr>
  </w:style>
  <w:style w:type="paragraph" w:styleId="Header">
    <w:name w:val="header"/>
    <w:basedOn w:val="Normal"/>
    <w:link w:val="HeaderChar"/>
    <w:rsid w:val="00CA1CFE"/>
    <w:pPr>
      <w:tabs>
        <w:tab w:val="center" w:pos="4320"/>
        <w:tab w:val="right" w:pos="8640"/>
      </w:tabs>
      <w:spacing w:after="0"/>
    </w:pPr>
  </w:style>
  <w:style w:type="character" w:customStyle="1" w:styleId="HeaderChar">
    <w:name w:val="Header Char"/>
    <w:link w:val="Header"/>
    <w:locked/>
    <w:rsid w:val="00CA1CFE"/>
    <w:rPr>
      <w:rFonts w:ascii="Arial" w:hAnsi="Arial"/>
      <w:sz w:val="18"/>
      <w:szCs w:val="24"/>
      <w:lang w:val="en-US" w:eastAsia="en-US" w:bidi="ar-SA"/>
    </w:rPr>
  </w:style>
  <w:style w:type="paragraph" w:customStyle="1" w:styleId="BasicParagraph">
    <w:name w:val="[Basic Paragraph]"/>
    <w:basedOn w:val="Normal"/>
    <w:rsid w:val="006913F0"/>
    <w:pPr>
      <w:widowControl w:val="0"/>
      <w:autoSpaceDE w:val="0"/>
      <w:autoSpaceDN w:val="0"/>
      <w:adjustRightInd w:val="0"/>
      <w:spacing w:after="0" w:line="288" w:lineRule="auto"/>
      <w:textAlignment w:val="center"/>
    </w:pPr>
    <w:rPr>
      <w:rFonts w:ascii="Times-Roman" w:hAnsi="Times-Roman" w:cs="Times-Roman"/>
      <w:color w:val="000000"/>
      <w:lang w:val="en-GB"/>
    </w:rPr>
  </w:style>
  <w:style w:type="paragraph" w:customStyle="1" w:styleId="BulletAltb">
    <w:name w:val="Bullet(Alt + b)"/>
    <w:rsid w:val="002A6FF3"/>
    <w:pPr>
      <w:numPr>
        <w:numId w:val="6"/>
      </w:numPr>
      <w:tabs>
        <w:tab w:val="clear" w:pos="2062"/>
        <w:tab w:val="left" w:pos="1208"/>
      </w:tabs>
      <w:spacing w:after="120" w:line="240" w:lineRule="exact"/>
      <w:ind w:left="1208" w:hanging="357"/>
    </w:pPr>
    <w:rPr>
      <w:rFonts w:ascii="Arial" w:hAnsi="Arial"/>
      <w:sz w:val="18"/>
      <w:szCs w:val="18"/>
      <w:lang w:val="en-GB"/>
    </w:rPr>
  </w:style>
  <w:style w:type="character" w:customStyle="1" w:styleId="SectionLetterChar">
    <w:name w:val="Section (Letter) Char"/>
    <w:aliases w:val="Part (No) Char Char"/>
    <w:rsid w:val="0067607E"/>
    <w:rPr>
      <w:rFonts w:ascii="Arial Narrow" w:hAnsi="Arial Narrow"/>
      <w:b/>
      <w:noProof/>
      <w:sz w:val="30"/>
      <w:szCs w:val="30"/>
      <w:lang w:val="en-AU" w:eastAsia="en-AU" w:bidi="ar-SA"/>
    </w:rPr>
  </w:style>
  <w:style w:type="paragraph" w:customStyle="1" w:styleId="Note">
    <w:name w:val="Note"/>
    <w:aliases w:val="(Alt + n)"/>
    <w:basedOn w:val="Body9ptAltP"/>
    <w:next w:val="Normal"/>
    <w:link w:val="NoteChar"/>
    <w:uiPriority w:val="99"/>
    <w:rsid w:val="003415E1"/>
    <w:pPr>
      <w:tabs>
        <w:tab w:val="clear" w:pos="1134"/>
        <w:tab w:val="left" w:pos="1814"/>
      </w:tabs>
      <w:spacing w:after="200" w:line="240" w:lineRule="exact"/>
      <w:ind w:left="1815" w:hanging="964"/>
    </w:pPr>
    <w:rPr>
      <w:lang w:val="en-AU"/>
    </w:rPr>
  </w:style>
  <w:style w:type="paragraph" w:styleId="Caption">
    <w:name w:val="caption"/>
    <w:basedOn w:val="Normal"/>
    <w:next w:val="Normal"/>
    <w:uiPriority w:val="35"/>
    <w:qFormat/>
    <w:locked/>
    <w:rsid w:val="00D652AB"/>
    <w:pPr>
      <w:tabs>
        <w:tab w:val="left" w:pos="907"/>
      </w:tabs>
      <w:spacing w:after="140" w:line="240" w:lineRule="atLeast"/>
      <w:ind w:left="851"/>
    </w:pPr>
    <w:rPr>
      <w:rFonts w:ascii="Arial Bold" w:hAnsi="Arial Bold"/>
      <w:b/>
      <w:szCs w:val="18"/>
      <w:lang w:val="en-AU" w:eastAsia="en-AU"/>
    </w:rPr>
  </w:style>
  <w:style w:type="paragraph" w:customStyle="1" w:styleId="bullet">
    <w:name w:val="bullet"/>
    <w:basedOn w:val="Normal"/>
    <w:uiPriority w:val="99"/>
    <w:rsid w:val="0067607E"/>
    <w:pPr>
      <w:tabs>
        <w:tab w:val="num" w:pos="1210"/>
        <w:tab w:val="left" w:pos="1304"/>
      </w:tabs>
      <w:spacing w:after="100"/>
      <w:ind w:left="1210" w:hanging="360"/>
      <w:jc w:val="both"/>
    </w:pPr>
    <w:rPr>
      <w:sz w:val="20"/>
      <w:szCs w:val="18"/>
      <w:lang w:val="en-AU" w:eastAsia="en-AU"/>
    </w:rPr>
  </w:style>
  <w:style w:type="paragraph" w:styleId="DocumentMap">
    <w:name w:val="Document Map"/>
    <w:basedOn w:val="Normal"/>
    <w:link w:val="DocumentMapChar"/>
    <w:semiHidden/>
    <w:rsid w:val="0067607E"/>
    <w:pPr>
      <w:shd w:val="clear" w:color="auto" w:fill="000080"/>
      <w:tabs>
        <w:tab w:val="left" w:pos="907"/>
      </w:tabs>
      <w:spacing w:after="140"/>
      <w:ind w:left="851"/>
      <w:jc w:val="both"/>
    </w:pPr>
    <w:rPr>
      <w:rFonts w:ascii="Tahoma" w:hAnsi="Tahoma"/>
      <w:szCs w:val="20"/>
      <w:lang w:val="en-AU" w:eastAsia="en-AU"/>
    </w:rPr>
  </w:style>
  <w:style w:type="paragraph" w:styleId="TOC5">
    <w:name w:val="toc 5"/>
    <w:basedOn w:val="Normal"/>
    <w:next w:val="Normal"/>
    <w:autoRedefine/>
    <w:uiPriority w:val="39"/>
    <w:locked/>
    <w:rsid w:val="0067607E"/>
    <w:pPr>
      <w:spacing w:after="140"/>
      <w:ind w:left="960"/>
      <w:jc w:val="both"/>
    </w:pPr>
    <w:rPr>
      <w:szCs w:val="20"/>
      <w:lang w:val="en-AU" w:eastAsia="en-AU"/>
    </w:rPr>
  </w:style>
  <w:style w:type="paragraph" w:styleId="TOC6">
    <w:name w:val="toc 6"/>
    <w:basedOn w:val="Normal"/>
    <w:next w:val="Normal"/>
    <w:autoRedefine/>
    <w:uiPriority w:val="39"/>
    <w:locked/>
    <w:rsid w:val="0067607E"/>
    <w:pPr>
      <w:spacing w:after="140"/>
      <w:ind w:left="1200"/>
      <w:jc w:val="both"/>
    </w:pPr>
    <w:rPr>
      <w:szCs w:val="20"/>
      <w:lang w:val="en-AU" w:eastAsia="en-AU"/>
    </w:rPr>
  </w:style>
  <w:style w:type="paragraph" w:styleId="TOC7">
    <w:name w:val="toc 7"/>
    <w:basedOn w:val="Normal"/>
    <w:next w:val="Normal"/>
    <w:autoRedefine/>
    <w:uiPriority w:val="39"/>
    <w:locked/>
    <w:rsid w:val="0067607E"/>
    <w:pPr>
      <w:spacing w:after="140"/>
      <w:ind w:left="1440"/>
      <w:jc w:val="both"/>
    </w:pPr>
    <w:rPr>
      <w:szCs w:val="20"/>
      <w:lang w:val="en-AU" w:eastAsia="en-AU"/>
    </w:rPr>
  </w:style>
  <w:style w:type="paragraph" w:styleId="TOC8">
    <w:name w:val="toc 8"/>
    <w:aliases w:val="(Appen2)"/>
    <w:basedOn w:val="Normal"/>
    <w:next w:val="Normal"/>
    <w:autoRedefine/>
    <w:uiPriority w:val="39"/>
    <w:locked/>
    <w:rsid w:val="0067607E"/>
    <w:pPr>
      <w:spacing w:after="140"/>
      <w:ind w:left="1680"/>
      <w:jc w:val="both"/>
    </w:pPr>
    <w:rPr>
      <w:szCs w:val="20"/>
      <w:lang w:val="en-AU" w:eastAsia="en-AU"/>
    </w:rPr>
  </w:style>
  <w:style w:type="paragraph" w:styleId="TOC9">
    <w:name w:val="toc 9"/>
    <w:basedOn w:val="Normal"/>
    <w:next w:val="Normal"/>
    <w:autoRedefine/>
    <w:uiPriority w:val="39"/>
    <w:locked/>
    <w:rsid w:val="0067607E"/>
    <w:pPr>
      <w:spacing w:after="140"/>
      <w:ind w:left="1920"/>
      <w:jc w:val="both"/>
    </w:pPr>
    <w:rPr>
      <w:szCs w:val="20"/>
      <w:lang w:val="en-AU" w:eastAsia="en-AU"/>
    </w:rPr>
  </w:style>
  <w:style w:type="paragraph" w:customStyle="1" w:styleId="hang2">
    <w:name w:val="hang2"/>
    <w:basedOn w:val="bullet"/>
    <w:uiPriority w:val="99"/>
    <w:rsid w:val="0067607E"/>
    <w:pPr>
      <w:numPr>
        <w:numId w:val="7"/>
      </w:numPr>
      <w:jc w:val="left"/>
    </w:pPr>
  </w:style>
  <w:style w:type="paragraph" w:customStyle="1" w:styleId="Appendix2">
    <w:name w:val="Appendix2"/>
    <w:aliases w:val="(Alt + d)"/>
    <w:basedOn w:val="Normal"/>
    <w:link w:val="Appendix2Char"/>
    <w:uiPriority w:val="99"/>
    <w:rsid w:val="00490E9E"/>
    <w:pPr>
      <w:keepNext/>
      <w:tabs>
        <w:tab w:val="left" w:pos="1814"/>
      </w:tabs>
      <w:spacing w:before="120" w:after="80"/>
      <w:ind w:left="1814" w:hanging="1814"/>
      <w:jc w:val="both"/>
    </w:pPr>
    <w:rPr>
      <w:szCs w:val="30"/>
      <w:lang w:val="en-AU" w:eastAsia="en-AU"/>
    </w:rPr>
  </w:style>
  <w:style w:type="character" w:customStyle="1" w:styleId="Appendix2Char">
    <w:name w:val="Appendix2 Char"/>
    <w:aliases w:val="(Alt + d) Char Char"/>
    <w:link w:val="Appendix2"/>
    <w:uiPriority w:val="99"/>
    <w:rsid w:val="00490E9E"/>
    <w:rPr>
      <w:rFonts w:ascii="Arial" w:hAnsi="Arial"/>
      <w:sz w:val="24"/>
      <w:szCs w:val="30"/>
      <w:lang w:val="en-AU" w:eastAsia="en-AU" w:bidi="ar-SA"/>
    </w:rPr>
  </w:style>
  <w:style w:type="paragraph" w:customStyle="1" w:styleId="Appendix3">
    <w:name w:val="Appendix3"/>
    <w:aliases w:val="(Alt + f)"/>
    <w:basedOn w:val="Appendix2"/>
    <w:link w:val="Appendix3Char"/>
    <w:uiPriority w:val="99"/>
    <w:rsid w:val="00490E9E"/>
    <w:pPr>
      <w:jc w:val="left"/>
    </w:pPr>
    <w:rPr>
      <w:sz w:val="22"/>
      <w:szCs w:val="26"/>
    </w:rPr>
  </w:style>
  <w:style w:type="character" w:customStyle="1" w:styleId="Appendix3Char">
    <w:name w:val="Appendix3 Char"/>
    <w:aliases w:val="(Alt + f) Char Char"/>
    <w:link w:val="Appendix3"/>
    <w:uiPriority w:val="99"/>
    <w:rsid w:val="00490E9E"/>
    <w:rPr>
      <w:rFonts w:ascii="Arial" w:hAnsi="Arial"/>
      <w:sz w:val="22"/>
      <w:szCs w:val="26"/>
      <w:lang w:val="en-AU" w:eastAsia="en-AU" w:bidi="ar-SA"/>
    </w:rPr>
  </w:style>
  <w:style w:type="paragraph" w:customStyle="1" w:styleId="Title1">
    <w:name w:val="Title1"/>
    <w:basedOn w:val="Caption"/>
    <w:uiPriority w:val="99"/>
    <w:rsid w:val="0067607E"/>
    <w:pPr>
      <w:ind w:left="5812"/>
    </w:pPr>
    <w:rPr>
      <w:rFonts w:ascii="Arial Narrow" w:hAnsi="Arial Narrow"/>
      <w:sz w:val="40"/>
    </w:rPr>
  </w:style>
  <w:style w:type="paragraph" w:styleId="FootnoteText">
    <w:name w:val="footnote text"/>
    <w:aliases w:val="ALTS FOOTNOTE,(NECG) Footnote Text,Note de bas de page Car5,Note de bas de page Car4 Car,Note de bas de page Car4 Car Car Car Car Car Car Car  Car,Note de bas de page Car4 Car Car,Note de bas de page Car4,AR Footnote Tex,AR Footnote Text,f"/>
    <w:basedOn w:val="Normal"/>
    <w:link w:val="FootnoteTextChar"/>
    <w:uiPriority w:val="99"/>
    <w:qFormat/>
    <w:rsid w:val="001E7F29"/>
    <w:pPr>
      <w:spacing w:after="0"/>
      <w:jc w:val="both"/>
    </w:pPr>
    <w:rPr>
      <w:sz w:val="14"/>
      <w:szCs w:val="20"/>
      <w:lang w:eastAsia="en-AU"/>
    </w:rPr>
  </w:style>
  <w:style w:type="paragraph" w:customStyle="1" w:styleId="tabletext">
    <w:name w:val="table text"/>
    <w:basedOn w:val="BodyText"/>
    <w:uiPriority w:val="99"/>
    <w:rsid w:val="0067607E"/>
    <w:pPr>
      <w:spacing w:before="60" w:after="60"/>
    </w:pPr>
    <w:rPr>
      <w:rFonts w:eastAsia="Times New Roman"/>
    </w:rPr>
  </w:style>
  <w:style w:type="character" w:styleId="Hyperlink">
    <w:name w:val="Hyperlink"/>
    <w:uiPriority w:val="99"/>
    <w:rsid w:val="0067607E"/>
    <w:rPr>
      <w:color w:val="0000FF"/>
      <w:u w:val="single"/>
    </w:rPr>
  </w:style>
  <w:style w:type="paragraph" w:customStyle="1" w:styleId="Hangingindent">
    <w:name w:val="Hanging indent"/>
    <w:basedOn w:val="Normal"/>
    <w:autoRedefine/>
    <w:rsid w:val="0067607E"/>
    <w:pPr>
      <w:tabs>
        <w:tab w:val="left" w:pos="3402"/>
      </w:tabs>
      <w:spacing w:after="120" w:line="260" w:lineRule="exact"/>
      <w:ind w:left="3403" w:hanging="284"/>
      <w:jc w:val="both"/>
    </w:pPr>
    <w:rPr>
      <w:szCs w:val="20"/>
      <w:lang w:val="en-AU" w:eastAsia="en-AU"/>
    </w:rPr>
  </w:style>
  <w:style w:type="paragraph" w:customStyle="1" w:styleId="StyleHyphenhangLeft55mm">
    <w:name w:val="Style Hyphen hang + Left:  55 mm"/>
    <w:basedOn w:val="Normal"/>
    <w:rsid w:val="0067607E"/>
    <w:pPr>
      <w:tabs>
        <w:tab w:val="num" w:pos="1492"/>
        <w:tab w:val="left" w:pos="1531"/>
      </w:tabs>
      <w:spacing w:after="80"/>
      <w:ind w:left="1531" w:hanging="227"/>
      <w:jc w:val="both"/>
    </w:pPr>
    <w:rPr>
      <w:szCs w:val="18"/>
      <w:lang w:val="en-AU" w:eastAsia="en-AU"/>
    </w:rPr>
  </w:style>
  <w:style w:type="paragraph" w:customStyle="1" w:styleId="Stylehang2Left35mm">
    <w:name w:val="Style hang2 + Left:  35 mm"/>
    <w:basedOn w:val="hang2"/>
    <w:autoRedefine/>
    <w:rsid w:val="0067607E"/>
    <w:pPr>
      <w:tabs>
        <w:tab w:val="clear" w:pos="1304"/>
        <w:tab w:val="left" w:pos="2268"/>
      </w:tabs>
      <w:ind w:left="1985"/>
    </w:pPr>
  </w:style>
  <w:style w:type="paragraph" w:customStyle="1" w:styleId="StyleCaptionArial8pt">
    <w:name w:val="Style Caption + Arial 8 pt"/>
    <w:basedOn w:val="Caption"/>
    <w:rsid w:val="0067607E"/>
    <w:rPr>
      <w:bCs/>
      <w:iCs/>
    </w:rPr>
  </w:style>
  <w:style w:type="paragraph" w:customStyle="1" w:styleId="Standardparagraph">
    <w:name w:val="Standard paragraph"/>
    <w:link w:val="StandardparagraphChar"/>
    <w:uiPriority w:val="99"/>
    <w:rsid w:val="0067607E"/>
    <w:pPr>
      <w:spacing w:after="200"/>
      <w:ind w:left="720"/>
      <w:jc w:val="both"/>
    </w:pPr>
    <w:rPr>
      <w:rFonts w:ascii="Arial" w:eastAsia="Times New Roman" w:hAnsi="Arial"/>
      <w:lang w:val="en-GB"/>
    </w:rPr>
  </w:style>
  <w:style w:type="paragraph" w:styleId="NormalWeb">
    <w:name w:val="Normal (Web)"/>
    <w:basedOn w:val="Normal"/>
    <w:uiPriority w:val="99"/>
    <w:rsid w:val="0067607E"/>
    <w:pPr>
      <w:spacing w:before="100" w:beforeAutospacing="1" w:after="100" w:afterAutospacing="1"/>
      <w:jc w:val="both"/>
    </w:pPr>
    <w:rPr>
      <w:rFonts w:ascii="Times New Roman" w:hAnsi="Times New Roman"/>
      <w:lang w:val="en-AU" w:eastAsia="en-AU"/>
    </w:rPr>
  </w:style>
  <w:style w:type="paragraph" w:customStyle="1" w:styleId="TOCHeading1">
    <w:name w:val="TOC Heading1"/>
    <w:basedOn w:val="Normal"/>
    <w:link w:val="TOCHEADINGChar"/>
    <w:rsid w:val="0067607E"/>
    <w:pPr>
      <w:tabs>
        <w:tab w:val="right" w:pos="9356"/>
      </w:tabs>
      <w:autoSpaceDE w:val="0"/>
      <w:autoSpaceDN w:val="0"/>
      <w:adjustRightInd w:val="0"/>
      <w:spacing w:after="0" w:line="240" w:lineRule="atLeast"/>
      <w:jc w:val="both"/>
    </w:pPr>
    <w:rPr>
      <w:rFonts w:ascii="Helvetica" w:hAnsi="Helvetica" w:cs="Arial"/>
      <w:b/>
      <w:color w:val="000000"/>
      <w:sz w:val="32"/>
      <w:szCs w:val="20"/>
      <w:lang w:val="en-AU" w:eastAsia="en-AU"/>
    </w:rPr>
  </w:style>
  <w:style w:type="character" w:customStyle="1" w:styleId="TOCHEADINGChar">
    <w:name w:val="TOC HEADING Char"/>
    <w:link w:val="TOCHeading1"/>
    <w:rsid w:val="0067607E"/>
    <w:rPr>
      <w:rFonts w:ascii="Helvetica" w:hAnsi="Helvetica" w:cs="Arial"/>
      <w:b/>
      <w:color w:val="000000"/>
      <w:sz w:val="32"/>
      <w:lang w:val="en-AU" w:eastAsia="en-AU" w:bidi="ar-SA"/>
    </w:rPr>
  </w:style>
  <w:style w:type="paragraph" w:customStyle="1" w:styleId="bullettext">
    <w:name w:val="bullet text"/>
    <w:basedOn w:val="Normal"/>
    <w:link w:val="bullettextChar"/>
    <w:rsid w:val="0067607E"/>
    <w:pPr>
      <w:numPr>
        <w:numId w:val="2"/>
      </w:numPr>
      <w:tabs>
        <w:tab w:val="left" w:pos="1304"/>
      </w:tabs>
      <w:autoSpaceDE w:val="0"/>
      <w:autoSpaceDN w:val="0"/>
      <w:adjustRightInd w:val="0"/>
      <w:spacing w:before="40" w:after="40" w:line="160" w:lineRule="atLeast"/>
      <w:jc w:val="both"/>
    </w:pPr>
    <w:rPr>
      <w:rFonts w:cs="Arial"/>
      <w:color w:val="000000"/>
      <w:szCs w:val="20"/>
      <w:lang w:val="en-AU" w:eastAsia="en-AU"/>
    </w:rPr>
  </w:style>
  <w:style w:type="character" w:customStyle="1" w:styleId="bullettextChar">
    <w:name w:val="bullet text Char"/>
    <w:link w:val="bullettext"/>
    <w:rsid w:val="0067607E"/>
    <w:rPr>
      <w:rFonts w:ascii="Arial" w:eastAsia="Times New Roman" w:hAnsi="Arial" w:cs="Arial"/>
      <w:color w:val="000000"/>
      <w:sz w:val="18"/>
    </w:rPr>
  </w:style>
  <w:style w:type="paragraph" w:customStyle="1" w:styleId="Default">
    <w:name w:val="Default"/>
    <w:uiPriority w:val="99"/>
    <w:rsid w:val="0067607E"/>
    <w:pPr>
      <w:autoSpaceDE w:val="0"/>
      <w:autoSpaceDN w:val="0"/>
      <w:adjustRightInd w:val="0"/>
    </w:pPr>
    <w:rPr>
      <w:rFonts w:ascii="Arial" w:eastAsia="Times New Roman" w:hAnsi="Arial" w:cs="Arial"/>
    </w:rPr>
  </w:style>
  <w:style w:type="paragraph" w:customStyle="1" w:styleId="TOC1Heading">
    <w:name w:val="TOC 1 Heading"/>
    <w:basedOn w:val="TOC1"/>
    <w:rsid w:val="0067607E"/>
    <w:pPr>
      <w:spacing w:before="120" w:after="120"/>
    </w:pPr>
    <w:rPr>
      <w:rFonts w:eastAsia="Times New Roman"/>
      <w:sz w:val="28"/>
      <w:szCs w:val="28"/>
      <w:lang w:val="en-AU"/>
    </w:rPr>
  </w:style>
  <w:style w:type="character" w:styleId="Strong">
    <w:name w:val="Strong"/>
    <w:aliases w:val="AER text bold"/>
    <w:qFormat/>
    <w:locked/>
    <w:rsid w:val="0067607E"/>
    <w:rPr>
      <w:b/>
      <w:bCs/>
    </w:rPr>
  </w:style>
  <w:style w:type="paragraph" w:styleId="BalloonText">
    <w:name w:val="Balloon Text"/>
    <w:basedOn w:val="Normal"/>
    <w:link w:val="BalloonTextChar"/>
    <w:uiPriority w:val="99"/>
    <w:semiHidden/>
    <w:rsid w:val="0067607E"/>
    <w:pPr>
      <w:tabs>
        <w:tab w:val="left" w:pos="907"/>
      </w:tabs>
      <w:spacing w:after="140"/>
      <w:ind w:left="851"/>
      <w:jc w:val="both"/>
    </w:pPr>
    <w:rPr>
      <w:rFonts w:ascii="Tahoma" w:hAnsi="Tahoma" w:cs="Tahoma"/>
      <w:sz w:val="16"/>
      <w:szCs w:val="16"/>
      <w:lang w:val="en-AU" w:eastAsia="en-AU"/>
    </w:rPr>
  </w:style>
  <w:style w:type="paragraph" w:customStyle="1" w:styleId="DocumentControl">
    <w:name w:val="Document Control"/>
    <w:basedOn w:val="Normal"/>
    <w:rsid w:val="0067607E"/>
    <w:pPr>
      <w:numPr>
        <w:numId w:val="8"/>
      </w:numPr>
      <w:tabs>
        <w:tab w:val="clear" w:pos="1440"/>
        <w:tab w:val="left" w:pos="907"/>
      </w:tabs>
      <w:spacing w:after="140"/>
      <w:ind w:left="0" w:firstLine="0"/>
    </w:pPr>
    <w:rPr>
      <w:sz w:val="20"/>
      <w:szCs w:val="20"/>
      <w:lang w:val="en-AU" w:eastAsia="en-AU"/>
    </w:rPr>
  </w:style>
  <w:style w:type="paragraph" w:customStyle="1" w:styleId="TableTextBold">
    <w:name w:val="Table Text Bold"/>
    <w:aliases w:val="(Alt + o)"/>
    <w:basedOn w:val="Tabletext0"/>
    <w:rsid w:val="00BF1ECD"/>
    <w:pPr>
      <w:tabs>
        <w:tab w:val="left" w:pos="907"/>
      </w:tabs>
    </w:pPr>
    <w:rPr>
      <w:b/>
    </w:rPr>
  </w:style>
  <w:style w:type="paragraph" w:customStyle="1" w:styleId="HeaderPlainCentred">
    <w:name w:val="Header Plain Centred"/>
    <w:basedOn w:val="Normal"/>
    <w:next w:val="BodyText"/>
    <w:rsid w:val="0067607E"/>
    <w:pPr>
      <w:tabs>
        <w:tab w:val="left" w:pos="907"/>
      </w:tabs>
      <w:spacing w:after="60"/>
      <w:ind w:left="851" w:right="720"/>
      <w:jc w:val="center"/>
    </w:pPr>
    <w:rPr>
      <w:sz w:val="20"/>
      <w:szCs w:val="20"/>
      <w:lang w:val="en-GB" w:eastAsia="en-AU"/>
    </w:rPr>
  </w:style>
  <w:style w:type="paragraph" w:customStyle="1" w:styleId="Boxtext">
    <w:name w:val="Box text"/>
    <w:aliases w:val="(Alt + x)"/>
    <w:basedOn w:val="BodyText"/>
    <w:rsid w:val="00CA1CFE"/>
    <w:rPr>
      <w:rFonts w:eastAsia="Times New Roman"/>
    </w:rPr>
  </w:style>
  <w:style w:type="paragraph" w:styleId="CommentText">
    <w:name w:val="annotation text"/>
    <w:basedOn w:val="Normal"/>
    <w:link w:val="CommentTextChar"/>
    <w:uiPriority w:val="99"/>
    <w:semiHidden/>
    <w:rsid w:val="0067607E"/>
    <w:pPr>
      <w:tabs>
        <w:tab w:val="left" w:pos="907"/>
      </w:tabs>
      <w:spacing w:after="180"/>
      <w:ind w:left="851"/>
    </w:pPr>
    <w:rPr>
      <w:sz w:val="20"/>
      <w:szCs w:val="20"/>
      <w:lang w:val="en-AU" w:eastAsia="en-AU"/>
    </w:rPr>
  </w:style>
  <w:style w:type="paragraph" w:styleId="CommentSubject">
    <w:name w:val="annotation subject"/>
    <w:basedOn w:val="CommentText"/>
    <w:next w:val="CommentText"/>
    <w:link w:val="CommentSubjectChar"/>
    <w:uiPriority w:val="99"/>
    <w:semiHidden/>
    <w:rsid w:val="0067607E"/>
    <w:pPr>
      <w:spacing w:after="140"/>
      <w:jc w:val="both"/>
    </w:pPr>
    <w:rPr>
      <w:b/>
      <w:bCs/>
    </w:rPr>
  </w:style>
  <w:style w:type="paragraph" w:customStyle="1" w:styleId="StyleAppendix3Left0cmHanging15cm">
    <w:name w:val="Style Appendix3 + Left:  0 cm Hanging:  1.5 cm"/>
    <w:basedOn w:val="Appendix3"/>
    <w:rsid w:val="0067607E"/>
    <w:pPr>
      <w:ind w:left="851" w:hanging="851"/>
    </w:pPr>
    <w:rPr>
      <w:bCs/>
      <w:szCs w:val="20"/>
    </w:rPr>
  </w:style>
  <w:style w:type="paragraph" w:customStyle="1" w:styleId="NumberedSubPara">
    <w:name w:val="Numbered Sub Para"/>
    <w:basedOn w:val="Normal"/>
    <w:rsid w:val="0067607E"/>
    <w:pPr>
      <w:numPr>
        <w:numId w:val="10"/>
      </w:numPr>
      <w:tabs>
        <w:tab w:val="left" w:pos="907"/>
      </w:tabs>
      <w:spacing w:after="120"/>
      <w:jc w:val="both"/>
    </w:pPr>
    <w:rPr>
      <w:szCs w:val="18"/>
      <w:lang w:val="en-AU" w:eastAsia="en-AU"/>
    </w:rPr>
  </w:style>
  <w:style w:type="paragraph" w:customStyle="1" w:styleId="AlphaSubPara">
    <w:name w:val="Alpha Sub Para"/>
    <w:basedOn w:val="Normal"/>
    <w:rsid w:val="0067607E"/>
    <w:pPr>
      <w:numPr>
        <w:numId w:val="9"/>
      </w:numPr>
      <w:tabs>
        <w:tab w:val="left" w:pos="851"/>
      </w:tabs>
      <w:spacing w:after="120"/>
      <w:jc w:val="both"/>
    </w:pPr>
    <w:rPr>
      <w:rFonts w:eastAsia="TTCBFo00"/>
      <w:snapToGrid w:val="0"/>
      <w:szCs w:val="18"/>
      <w:lang w:val="en-AU"/>
    </w:rPr>
  </w:style>
  <w:style w:type="paragraph" w:customStyle="1" w:styleId="TitleNumber">
    <w:name w:val="Title Number"/>
    <w:basedOn w:val="Normal"/>
    <w:link w:val="TitleNumberChar"/>
    <w:rsid w:val="0067607E"/>
    <w:pPr>
      <w:tabs>
        <w:tab w:val="left" w:pos="907"/>
      </w:tabs>
      <w:spacing w:before="60" w:after="140"/>
      <w:ind w:left="851"/>
      <w:jc w:val="right"/>
    </w:pPr>
    <w:rPr>
      <w:rFonts w:ascii="Arial Narrow" w:hAnsi="Arial Narrow"/>
      <w:b/>
      <w:iCs/>
      <w:color w:val="808080"/>
      <w:sz w:val="52"/>
      <w:szCs w:val="52"/>
      <w:lang w:val="en-AU" w:eastAsia="en-AU"/>
    </w:rPr>
  </w:style>
  <w:style w:type="character" w:customStyle="1" w:styleId="TitleNumberChar">
    <w:name w:val="Title Number Char"/>
    <w:link w:val="TitleNumber"/>
    <w:rsid w:val="0067607E"/>
    <w:rPr>
      <w:rFonts w:ascii="Arial Narrow" w:hAnsi="Arial Narrow"/>
      <w:b/>
      <w:iCs/>
      <w:color w:val="808080"/>
      <w:sz w:val="52"/>
      <w:szCs w:val="52"/>
      <w:lang w:val="en-AU" w:eastAsia="en-AU" w:bidi="ar-SA"/>
    </w:rPr>
  </w:style>
  <w:style w:type="paragraph" w:customStyle="1" w:styleId="TitleText">
    <w:name w:val="Title Text"/>
    <w:basedOn w:val="Normal"/>
    <w:link w:val="TitleTextChar"/>
    <w:rsid w:val="0067607E"/>
    <w:pPr>
      <w:tabs>
        <w:tab w:val="left" w:pos="907"/>
      </w:tabs>
      <w:spacing w:after="140"/>
      <w:ind w:left="851"/>
      <w:jc w:val="both"/>
    </w:pPr>
    <w:rPr>
      <w:bCs/>
      <w:iCs/>
      <w:sz w:val="36"/>
      <w:szCs w:val="36"/>
      <w:lang w:val="en-AU" w:eastAsia="en-AU"/>
    </w:rPr>
  </w:style>
  <w:style w:type="character" w:customStyle="1" w:styleId="TitleTextChar">
    <w:name w:val="Title Text Char"/>
    <w:link w:val="TitleText"/>
    <w:rsid w:val="0067607E"/>
    <w:rPr>
      <w:rFonts w:ascii="Arial" w:hAnsi="Arial"/>
      <w:bCs/>
      <w:iCs/>
      <w:sz w:val="36"/>
      <w:szCs w:val="36"/>
      <w:lang w:val="en-AU" w:eastAsia="en-AU" w:bidi="ar-SA"/>
    </w:rPr>
  </w:style>
  <w:style w:type="paragraph" w:customStyle="1" w:styleId="TitleDate">
    <w:name w:val="Title Date"/>
    <w:basedOn w:val="Normal"/>
    <w:rsid w:val="0067607E"/>
    <w:pPr>
      <w:tabs>
        <w:tab w:val="left" w:pos="907"/>
      </w:tabs>
      <w:spacing w:after="140"/>
      <w:ind w:left="851"/>
      <w:jc w:val="right"/>
    </w:pPr>
    <w:rPr>
      <w:rFonts w:ascii="Arial Narrow" w:hAnsi="Arial Narrow"/>
      <w:caps/>
      <w:szCs w:val="20"/>
      <w:lang w:val="en-AU" w:eastAsia="en-AU"/>
    </w:rPr>
  </w:style>
  <w:style w:type="paragraph" w:customStyle="1" w:styleId="WARNINGCAUTION">
    <w:name w:val="WARNING+CAUTION"/>
    <w:basedOn w:val="BodyText"/>
    <w:rsid w:val="0067607E"/>
    <w:pPr>
      <w:pBdr>
        <w:top w:val="single" w:sz="4" w:space="1" w:color="auto"/>
        <w:left w:val="single" w:sz="4" w:space="4" w:color="auto"/>
        <w:bottom w:val="single" w:sz="4" w:space="1" w:color="auto"/>
        <w:right w:val="single" w:sz="4" w:space="4" w:color="auto"/>
      </w:pBdr>
      <w:spacing w:after="140"/>
      <w:ind w:left="1418" w:right="1786"/>
      <w:jc w:val="center"/>
    </w:pPr>
    <w:rPr>
      <w:rFonts w:eastAsia="Times New Roman"/>
    </w:rPr>
  </w:style>
  <w:style w:type="paragraph" w:customStyle="1" w:styleId="TableTitle">
    <w:name w:val="Table Title"/>
    <w:basedOn w:val="Normal"/>
    <w:rsid w:val="0067607E"/>
    <w:pPr>
      <w:keepNext/>
      <w:tabs>
        <w:tab w:val="left" w:pos="907"/>
      </w:tabs>
      <w:spacing w:after="180"/>
      <w:ind w:left="851"/>
      <w:jc w:val="center"/>
    </w:pPr>
    <w:rPr>
      <w:b/>
      <w:bCs/>
      <w:szCs w:val="20"/>
      <w:lang w:val="en-GB" w:eastAsia="en-AU"/>
    </w:rPr>
  </w:style>
  <w:style w:type="paragraph" w:customStyle="1" w:styleId="TableTextLeft">
    <w:name w:val="Table Text Left"/>
    <w:basedOn w:val="Normal"/>
    <w:rsid w:val="0067607E"/>
    <w:pPr>
      <w:tabs>
        <w:tab w:val="left" w:pos="907"/>
      </w:tabs>
      <w:spacing w:before="40" w:after="40"/>
    </w:pPr>
    <w:rPr>
      <w:szCs w:val="18"/>
      <w:lang w:val="en-GB" w:eastAsia="en-AU"/>
    </w:rPr>
  </w:style>
  <w:style w:type="paragraph" w:customStyle="1" w:styleId="Standardpara">
    <w:name w:val="Standard para"/>
    <w:basedOn w:val="Normal"/>
    <w:link w:val="StandardparaChar"/>
    <w:uiPriority w:val="99"/>
    <w:rsid w:val="0067607E"/>
    <w:pPr>
      <w:tabs>
        <w:tab w:val="left" w:pos="1418"/>
      </w:tabs>
      <w:spacing w:after="160"/>
      <w:ind w:left="851"/>
      <w:jc w:val="both"/>
    </w:pPr>
    <w:rPr>
      <w:szCs w:val="20"/>
      <w:lang w:val="en-GB"/>
    </w:rPr>
  </w:style>
  <w:style w:type="character" w:customStyle="1" w:styleId="StandardparaChar">
    <w:name w:val="Standard para Char"/>
    <w:link w:val="Standardpara"/>
    <w:uiPriority w:val="99"/>
    <w:rsid w:val="0067607E"/>
    <w:rPr>
      <w:rFonts w:ascii="Arial" w:hAnsi="Arial"/>
      <w:sz w:val="18"/>
      <w:lang w:val="en-GB" w:eastAsia="en-US" w:bidi="ar-SA"/>
    </w:rPr>
  </w:style>
  <w:style w:type="paragraph" w:customStyle="1" w:styleId="Tabletext0">
    <w:name w:val="Table text"/>
    <w:aliases w:val="(Alt + t)"/>
    <w:basedOn w:val="Normal"/>
    <w:link w:val="TabletextChar"/>
    <w:rsid w:val="00647ED0"/>
    <w:pPr>
      <w:tabs>
        <w:tab w:val="left" w:pos="3969"/>
      </w:tabs>
      <w:spacing w:before="80" w:after="80" w:line="240" w:lineRule="exact"/>
    </w:pPr>
    <w:rPr>
      <w:szCs w:val="20"/>
      <w:lang w:val="en-AU" w:eastAsia="en-AU"/>
    </w:rPr>
  </w:style>
  <w:style w:type="character" w:customStyle="1" w:styleId="TabletextChar">
    <w:name w:val="Table text Char"/>
    <w:aliases w:val="(Alt + t) Char Char"/>
    <w:link w:val="Tabletext0"/>
    <w:rsid w:val="00647ED0"/>
    <w:rPr>
      <w:rFonts w:ascii="Arial" w:hAnsi="Arial"/>
      <w:sz w:val="18"/>
      <w:lang w:val="en-AU" w:eastAsia="en-AU" w:bidi="ar-SA"/>
    </w:rPr>
  </w:style>
  <w:style w:type="paragraph" w:customStyle="1" w:styleId="fullhang">
    <w:name w:val="full hang"/>
    <w:basedOn w:val="Normal"/>
    <w:rsid w:val="0067607E"/>
    <w:pPr>
      <w:tabs>
        <w:tab w:val="left" w:pos="2891"/>
      </w:tabs>
      <w:spacing w:after="120"/>
      <w:ind w:left="2891" w:hanging="2880"/>
    </w:pPr>
    <w:rPr>
      <w:snapToGrid w:val="0"/>
      <w:sz w:val="22"/>
      <w:szCs w:val="20"/>
      <w:lang w:val="en-AU"/>
    </w:rPr>
  </w:style>
  <w:style w:type="paragraph" w:customStyle="1" w:styleId="bulletlist">
    <w:name w:val="bullet list"/>
    <w:link w:val="bulletlistChar"/>
    <w:rsid w:val="0067607E"/>
    <w:pPr>
      <w:tabs>
        <w:tab w:val="left" w:pos="2608"/>
      </w:tabs>
      <w:spacing w:after="119"/>
      <w:ind w:left="2608" w:hanging="340"/>
    </w:pPr>
    <w:rPr>
      <w:rFonts w:ascii="Arial" w:eastAsia="Times New Roman" w:hAnsi="Arial"/>
      <w:snapToGrid w:val="0"/>
      <w:sz w:val="22"/>
      <w:lang w:eastAsia="en-US"/>
    </w:rPr>
  </w:style>
  <w:style w:type="character" w:customStyle="1" w:styleId="bulletlistChar">
    <w:name w:val="bullet list Char"/>
    <w:link w:val="bulletlist"/>
    <w:rsid w:val="0067607E"/>
    <w:rPr>
      <w:rFonts w:ascii="Arial" w:eastAsia="Times New Roman" w:hAnsi="Arial"/>
      <w:snapToGrid w:val="0"/>
      <w:sz w:val="22"/>
      <w:lang w:val="en-AU" w:eastAsia="en-US" w:bidi="ar-SA"/>
    </w:rPr>
  </w:style>
  <w:style w:type="paragraph" w:customStyle="1" w:styleId="warninglist">
    <w:name w:val="warninglist"/>
    <w:basedOn w:val="Normal"/>
    <w:next w:val="Normal"/>
    <w:rsid w:val="0067607E"/>
    <w:pPr>
      <w:tabs>
        <w:tab w:val="left" w:pos="2608"/>
        <w:tab w:val="left" w:pos="3260"/>
      </w:tabs>
      <w:spacing w:after="120"/>
      <w:ind w:left="3260" w:hanging="1559"/>
    </w:pPr>
    <w:rPr>
      <w:rFonts w:ascii="Times New Roman" w:hAnsi="Times New Roman"/>
      <w:b/>
      <w:snapToGrid w:val="0"/>
      <w:sz w:val="22"/>
      <w:szCs w:val="20"/>
      <w:lang w:val="en-AU"/>
    </w:rPr>
  </w:style>
  <w:style w:type="paragraph" w:customStyle="1" w:styleId="Subparagraph">
    <w:name w:val="Subparagraph"/>
    <w:basedOn w:val="BulletAltb"/>
    <w:rsid w:val="0067607E"/>
    <w:pPr>
      <w:numPr>
        <w:numId w:val="11"/>
      </w:numPr>
      <w:tabs>
        <w:tab w:val="clear" w:pos="1208"/>
      </w:tabs>
      <w:spacing w:line="240" w:lineRule="auto"/>
      <w:jc w:val="both"/>
    </w:pPr>
    <w:rPr>
      <w:rFonts w:eastAsia="Times New Roman"/>
      <w:sz w:val="20"/>
    </w:rPr>
  </w:style>
  <w:style w:type="paragraph" w:customStyle="1" w:styleId="Procedures">
    <w:name w:val="Procedures"/>
    <w:basedOn w:val="BulletAltb"/>
    <w:link w:val="ProceduresChar"/>
    <w:rsid w:val="0067607E"/>
    <w:pPr>
      <w:numPr>
        <w:numId w:val="12"/>
      </w:numPr>
      <w:tabs>
        <w:tab w:val="clear" w:pos="1208"/>
      </w:tabs>
      <w:spacing w:line="240" w:lineRule="auto"/>
      <w:jc w:val="both"/>
    </w:pPr>
    <w:rPr>
      <w:rFonts w:eastAsia="Times New Roman"/>
      <w:sz w:val="20"/>
    </w:rPr>
  </w:style>
  <w:style w:type="character" w:customStyle="1" w:styleId="ProceduresChar">
    <w:name w:val="Procedures Char"/>
    <w:link w:val="Procedures"/>
    <w:rsid w:val="0067607E"/>
    <w:rPr>
      <w:rFonts w:ascii="Arial" w:eastAsia="Times New Roman" w:hAnsi="Arial"/>
      <w:szCs w:val="18"/>
      <w:lang w:val="en-GB"/>
    </w:rPr>
  </w:style>
  <w:style w:type="paragraph" w:customStyle="1" w:styleId="Sub-paragraph">
    <w:name w:val="Sub-paragraph"/>
    <w:basedOn w:val="Normal"/>
    <w:uiPriority w:val="99"/>
    <w:rsid w:val="0067607E"/>
    <w:pPr>
      <w:tabs>
        <w:tab w:val="left" w:pos="907"/>
      </w:tabs>
      <w:spacing w:after="180"/>
      <w:ind w:left="1701"/>
    </w:pPr>
    <w:rPr>
      <w:rFonts w:ascii="Times New Roman" w:hAnsi="Times New Roman"/>
      <w:szCs w:val="20"/>
      <w:lang w:val="en-GB"/>
    </w:rPr>
  </w:style>
  <w:style w:type="paragraph" w:customStyle="1" w:styleId="tabletextcentred">
    <w:name w:val="table text centred"/>
    <w:basedOn w:val="tabletext"/>
    <w:rsid w:val="0067607E"/>
    <w:pPr>
      <w:spacing w:before="40" w:after="40"/>
      <w:jc w:val="center"/>
    </w:pPr>
  </w:style>
  <w:style w:type="paragraph" w:customStyle="1" w:styleId="alphaindenttext">
    <w:name w:val="alpha indent text"/>
    <w:aliases w:val="(Alt + l)"/>
    <w:basedOn w:val="BodyText"/>
    <w:rsid w:val="006702E4"/>
    <w:pPr>
      <w:ind w:left="1361" w:hanging="510"/>
    </w:pPr>
  </w:style>
  <w:style w:type="paragraph" w:customStyle="1" w:styleId="Appendix20">
    <w:name w:val="Appendix 2"/>
    <w:aliases w:val="(Alt +d)"/>
    <w:rsid w:val="00D53689"/>
    <w:pPr>
      <w:tabs>
        <w:tab w:val="left" w:pos="1814"/>
      </w:tabs>
      <w:spacing w:after="80"/>
      <w:ind w:left="1814" w:hanging="1814"/>
    </w:pPr>
    <w:rPr>
      <w:rFonts w:ascii="Arial" w:eastAsia="Times New Roman" w:hAnsi="Arial"/>
      <w:sz w:val="24"/>
      <w:szCs w:val="26"/>
    </w:rPr>
  </w:style>
  <w:style w:type="paragraph" w:customStyle="1" w:styleId="AppendixHeading2">
    <w:name w:val="Appendix Heading 2"/>
    <w:basedOn w:val="Normal"/>
    <w:link w:val="AppendixHeading2Char"/>
    <w:qFormat/>
    <w:rsid w:val="00E91DA5"/>
    <w:pPr>
      <w:tabs>
        <w:tab w:val="left" w:pos="851"/>
      </w:tabs>
      <w:ind w:left="851" w:hanging="851"/>
    </w:pPr>
    <w:rPr>
      <w:sz w:val="24"/>
      <w:lang w:val="en-AU" w:eastAsia="en-AU"/>
    </w:rPr>
  </w:style>
  <w:style w:type="paragraph" w:customStyle="1" w:styleId="AppendixHeading1">
    <w:name w:val="Appendix Heading 1"/>
    <w:basedOn w:val="Normal"/>
    <w:link w:val="AppendixHeading1Char"/>
    <w:qFormat/>
    <w:rsid w:val="00EA41E1"/>
    <w:pPr>
      <w:pBdr>
        <w:bottom w:val="single" w:sz="4" w:space="1" w:color="auto"/>
      </w:pBdr>
      <w:tabs>
        <w:tab w:val="left" w:pos="1814"/>
      </w:tabs>
      <w:spacing w:after="400"/>
      <w:ind w:left="1814" w:hanging="1814"/>
    </w:pPr>
    <w:rPr>
      <w:rFonts w:ascii="Arial Bold" w:eastAsia="Cambria" w:hAnsi="Arial Bold"/>
      <w:b/>
      <w:noProof/>
      <w:color w:val="333333"/>
      <w:sz w:val="30"/>
      <w:szCs w:val="40"/>
      <w:lang w:val="en-AU" w:eastAsia="en-AU"/>
    </w:rPr>
  </w:style>
  <w:style w:type="character" w:customStyle="1" w:styleId="AppendixHeading2Char">
    <w:name w:val="Appendix Heading 2 Char"/>
    <w:link w:val="AppendixHeading2"/>
    <w:rsid w:val="00E91DA5"/>
    <w:rPr>
      <w:rFonts w:ascii="Arial" w:eastAsia="Times New Roman" w:hAnsi="Arial"/>
      <w:sz w:val="24"/>
      <w:szCs w:val="24"/>
    </w:rPr>
  </w:style>
  <w:style w:type="character" w:styleId="FootnoteReference">
    <w:name w:val="footnote reference"/>
    <w:aliases w:val="(NECG) Footnote Reference,(NECG) Footnote Reference1,(NECG) Footnote Reference2,o,Style 3,Style 12,fr,Appel note de bas de p,Style 124,(NECG) Footnote Reference3,(NECG) Footnote Reference4,(NECG) Footnote Reference5"/>
    <w:uiPriority w:val="99"/>
    <w:rsid w:val="00015A1D"/>
    <w:rPr>
      <w:vertAlign w:val="superscript"/>
    </w:rPr>
  </w:style>
  <w:style w:type="character" w:customStyle="1" w:styleId="AppendixHeading1Char">
    <w:name w:val="Appendix Heading 1 Char"/>
    <w:link w:val="AppendixHeading1"/>
    <w:rsid w:val="00EA41E1"/>
    <w:rPr>
      <w:rFonts w:ascii="Arial Bold" w:hAnsi="Arial Bold"/>
      <w:b/>
      <w:noProof/>
      <w:color w:val="333333"/>
      <w:sz w:val="30"/>
      <w:szCs w:val="40"/>
    </w:rPr>
  </w:style>
  <w:style w:type="paragraph" w:styleId="ListParagraph">
    <w:name w:val="List Paragraph"/>
    <w:basedOn w:val="Normal"/>
    <w:uiPriority w:val="34"/>
    <w:qFormat/>
    <w:rsid w:val="00457392"/>
    <w:pPr>
      <w:ind w:left="720"/>
      <w:contextualSpacing/>
    </w:pPr>
  </w:style>
  <w:style w:type="numbering" w:customStyle="1" w:styleId="StyleBulletedCourierNewLeft19cmHanging063cm2">
    <w:name w:val="Style Bulleted Courier New Left:  1.9 cm Hanging:  0.63 cm2"/>
    <w:basedOn w:val="NoList"/>
    <w:rsid w:val="00603060"/>
    <w:pPr>
      <w:numPr>
        <w:numId w:val="15"/>
      </w:numPr>
    </w:pPr>
  </w:style>
  <w:style w:type="table" w:customStyle="1" w:styleId="TableGrid1">
    <w:name w:val="Table Grid1"/>
    <w:basedOn w:val="TableNormal"/>
    <w:next w:val="TableGrid"/>
    <w:rsid w:val="00787CFB"/>
    <w:pPr>
      <w:tabs>
        <w:tab w:val="left" w:pos="907"/>
      </w:tabs>
      <w:spacing w:before="80" w:after="80"/>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character" w:customStyle="1" w:styleId="FootnoteTextChar">
    <w:name w:val="Footnote Text Char"/>
    <w:aliases w:val="ALTS FOOTNOTE Char,(NECG) Footnote Text Char,Note de bas de page Car5 Char,Note de bas de page Car4 Car Char,Note de bas de page Car4 Car Car Car Car Car Car Car  Car Char,Note de bas de page Car4 Car Car Char,AR Footnote Tex Char"/>
    <w:link w:val="FootnoteText"/>
    <w:uiPriority w:val="99"/>
    <w:locked/>
    <w:rsid w:val="001E7F29"/>
    <w:rPr>
      <w:rFonts w:ascii="Arial" w:eastAsia="Times New Roman" w:hAnsi="Arial"/>
      <w:sz w:val="14"/>
      <w:lang w:val="en-US"/>
    </w:rPr>
  </w:style>
  <w:style w:type="character" w:styleId="PlaceholderText">
    <w:name w:val="Placeholder Text"/>
    <w:basedOn w:val="DefaultParagraphFont"/>
    <w:uiPriority w:val="99"/>
    <w:semiHidden/>
    <w:rsid w:val="00636D94"/>
    <w:rPr>
      <w:color w:val="808080"/>
    </w:rPr>
  </w:style>
  <w:style w:type="paragraph" w:customStyle="1" w:styleId="TableHeading">
    <w:name w:val="Table Heading"/>
    <w:basedOn w:val="Normal"/>
    <w:qFormat/>
    <w:rsid w:val="000506E7"/>
    <w:pPr>
      <w:spacing w:after="120"/>
    </w:pPr>
    <w:rPr>
      <w:color w:val="5E6A71"/>
      <w:sz w:val="22"/>
      <w:lang w:val="en-AU" w:eastAsia="en-AU"/>
    </w:rPr>
  </w:style>
  <w:style w:type="character" w:customStyle="1" w:styleId="HeaderChar1">
    <w:name w:val="Header Char1"/>
    <w:rsid w:val="00A809F8"/>
    <w:rPr>
      <w:rFonts w:ascii="Arial Bold" w:hAnsi="Arial Bold"/>
      <w:b/>
      <w:color w:val="5E6A71"/>
      <w:sz w:val="56"/>
      <w:szCs w:val="24"/>
      <w:lang w:val="en-AU" w:eastAsia="en-AU" w:bidi="ar-SA"/>
    </w:rPr>
  </w:style>
  <w:style w:type="paragraph" w:styleId="BodyText2">
    <w:name w:val="Body Text 2"/>
    <w:basedOn w:val="Normal"/>
    <w:link w:val="BodyText2Char"/>
    <w:uiPriority w:val="99"/>
    <w:rsid w:val="001D1FFF"/>
    <w:pPr>
      <w:spacing w:after="120" w:line="480" w:lineRule="auto"/>
    </w:pPr>
    <w:rPr>
      <w:color w:val="5E6A71"/>
      <w:sz w:val="22"/>
      <w:lang w:val="en-AU" w:eastAsia="en-AU"/>
    </w:rPr>
  </w:style>
  <w:style w:type="character" w:customStyle="1" w:styleId="BodyText2Char">
    <w:name w:val="Body Text 2 Char"/>
    <w:basedOn w:val="DefaultParagraphFont"/>
    <w:link w:val="BodyText2"/>
    <w:uiPriority w:val="99"/>
    <w:rsid w:val="001D1FFF"/>
    <w:rPr>
      <w:rFonts w:ascii="Arial" w:eastAsia="Times New Roman" w:hAnsi="Arial"/>
      <w:color w:val="5E6A71"/>
      <w:sz w:val="22"/>
      <w:szCs w:val="24"/>
    </w:rPr>
  </w:style>
  <w:style w:type="paragraph" w:customStyle="1" w:styleId="AGTBodycopy">
    <w:name w:val="AGT Body copy"/>
    <w:basedOn w:val="Normal"/>
    <w:link w:val="AGTBodycopyChar"/>
    <w:rsid w:val="0065213B"/>
    <w:pPr>
      <w:spacing w:after="0" w:line="360" w:lineRule="auto"/>
    </w:pPr>
    <w:rPr>
      <w:sz w:val="22"/>
      <w:lang w:val="en-AU" w:eastAsia="en-AU"/>
    </w:rPr>
  </w:style>
  <w:style w:type="character" w:customStyle="1" w:styleId="AGTBodycopyChar">
    <w:name w:val="AGT Body copy Char"/>
    <w:basedOn w:val="DefaultParagraphFont"/>
    <w:link w:val="AGTBodycopy"/>
    <w:rsid w:val="0065213B"/>
    <w:rPr>
      <w:rFonts w:ascii="Arial" w:eastAsia="Times New Roman" w:hAnsi="Arial"/>
      <w:sz w:val="22"/>
      <w:szCs w:val="24"/>
    </w:rPr>
  </w:style>
  <w:style w:type="character" w:customStyle="1" w:styleId="Appendix2CharChar">
    <w:name w:val="Appendix2 Char Char"/>
    <w:basedOn w:val="DefaultParagraphFont"/>
    <w:uiPriority w:val="99"/>
    <w:locked/>
    <w:rsid w:val="00932512"/>
    <w:rPr>
      <w:rFonts w:ascii="Arial Bold" w:hAnsi="Arial Bold" w:cs="Times New Roman"/>
      <w:b/>
      <w:sz w:val="26"/>
      <w:lang w:val="en-GB" w:eastAsia="en-AU" w:bidi="ar-SA"/>
    </w:rPr>
  </w:style>
  <w:style w:type="character" w:customStyle="1" w:styleId="StyleStyleappendix1Expandedby01pt12ptBoldChar">
    <w:name w:val="Style Style appendix 1 + Expanded by  0.1 pt + 12 pt Bold Char"/>
    <w:basedOn w:val="DefaultParagraphFont"/>
    <w:link w:val="StyleStyleappendix1Expandedby01pt12ptBold"/>
    <w:uiPriority w:val="99"/>
    <w:locked/>
    <w:rsid w:val="00932512"/>
    <w:rPr>
      <w:rFonts w:ascii="Arial" w:hAnsi="Arial"/>
      <w:b/>
      <w:bCs/>
      <w:spacing w:val="2"/>
      <w:sz w:val="24"/>
      <w:lang w:val="en-US"/>
    </w:rPr>
  </w:style>
  <w:style w:type="paragraph" w:customStyle="1" w:styleId="StyleStyleappendix1Expandedby01pt12ptBold">
    <w:name w:val="Style Style appendix 1 + Expanded by  0.1 pt + 12 pt Bold"/>
    <w:basedOn w:val="Normal"/>
    <w:link w:val="StyleStyleappendix1Expandedby01pt12ptBoldChar"/>
    <w:uiPriority w:val="99"/>
    <w:rsid w:val="00932512"/>
    <w:pPr>
      <w:tabs>
        <w:tab w:val="left" w:pos="851"/>
      </w:tabs>
      <w:spacing w:after="0"/>
      <w:ind w:left="851" w:hanging="851"/>
    </w:pPr>
    <w:rPr>
      <w:rFonts w:eastAsia="Cambria"/>
      <w:b/>
      <w:bCs/>
      <w:spacing w:val="2"/>
      <w:sz w:val="24"/>
      <w:szCs w:val="20"/>
      <w:lang w:eastAsia="en-AU"/>
    </w:rPr>
  </w:style>
  <w:style w:type="paragraph" w:customStyle="1" w:styleId="Paranote">
    <w:name w:val="Para note"/>
    <w:basedOn w:val="Normal"/>
    <w:uiPriority w:val="99"/>
    <w:rsid w:val="00481889"/>
    <w:pPr>
      <w:tabs>
        <w:tab w:val="left" w:pos="3600"/>
      </w:tabs>
      <w:spacing w:after="120"/>
      <w:ind w:left="3600" w:hanging="720"/>
    </w:pPr>
    <w:rPr>
      <w:rFonts w:ascii="UniversCond" w:hAnsi="UniversCond"/>
      <w:sz w:val="24"/>
      <w:szCs w:val="20"/>
      <w:lang w:eastAsia="en-AU"/>
    </w:rPr>
  </w:style>
  <w:style w:type="paragraph" w:customStyle="1" w:styleId="Sub-note">
    <w:name w:val="Sub-note"/>
    <w:basedOn w:val="Sub-paragraph"/>
    <w:uiPriority w:val="99"/>
    <w:rsid w:val="00481889"/>
    <w:pPr>
      <w:tabs>
        <w:tab w:val="clear" w:pos="907"/>
        <w:tab w:val="left" w:pos="4032"/>
      </w:tabs>
      <w:spacing w:after="160"/>
      <w:ind w:left="3430" w:hanging="720"/>
    </w:pPr>
    <w:rPr>
      <w:i/>
      <w:sz w:val="24"/>
      <w:lang w:val="en-US" w:eastAsia="en-AU"/>
    </w:rPr>
  </w:style>
  <w:style w:type="paragraph" w:customStyle="1" w:styleId="CLAUSE">
    <w:name w:val="CLAUSE"/>
    <w:basedOn w:val="Normal"/>
    <w:uiPriority w:val="99"/>
    <w:rsid w:val="00481889"/>
    <w:pPr>
      <w:tabs>
        <w:tab w:val="right" w:pos="5216"/>
      </w:tabs>
      <w:spacing w:after="60"/>
      <w:ind w:right="17"/>
    </w:pPr>
    <w:rPr>
      <w:rFonts w:ascii="EnergyText" w:hAnsi="EnergyText"/>
      <w:sz w:val="16"/>
      <w:szCs w:val="20"/>
      <w:lang w:eastAsia="en-AU"/>
    </w:rPr>
  </w:style>
  <w:style w:type="paragraph" w:customStyle="1" w:styleId="CONTENTS">
    <w:name w:val="CONTENTS"/>
    <w:uiPriority w:val="99"/>
    <w:rsid w:val="00481889"/>
    <w:pPr>
      <w:pBdr>
        <w:top w:val="single" w:sz="6" w:space="3" w:color="auto"/>
        <w:left w:val="single" w:sz="6" w:space="2" w:color="auto"/>
        <w:bottom w:val="single" w:sz="6" w:space="5" w:color="auto"/>
        <w:right w:val="single" w:sz="6" w:space="2" w:color="auto"/>
      </w:pBdr>
      <w:shd w:val="solid" w:color="auto" w:fill="auto"/>
      <w:spacing w:after="60"/>
      <w:ind w:left="85" w:right="85"/>
      <w:jc w:val="center"/>
    </w:pPr>
    <w:rPr>
      <w:rFonts w:ascii="Times New Roman" w:eastAsia="Times New Roman" w:hAnsi="Times New Roman"/>
      <w:b/>
      <w:sz w:val="40"/>
      <w:lang w:val="en-US"/>
    </w:rPr>
  </w:style>
  <w:style w:type="paragraph" w:customStyle="1" w:styleId="Date1">
    <w:name w:val="Date1"/>
    <w:basedOn w:val="CONTENTS"/>
    <w:uiPriority w:val="99"/>
    <w:rsid w:val="00481889"/>
    <w:pPr>
      <w:pBdr>
        <w:top w:val="single" w:sz="6" w:space="6" w:color="auto"/>
        <w:left w:val="none" w:sz="0" w:space="0" w:color="auto"/>
        <w:bottom w:val="single" w:sz="6" w:space="6" w:color="auto"/>
        <w:right w:val="none" w:sz="0" w:space="0" w:color="auto"/>
        <w:between w:val="single" w:sz="6" w:space="6" w:color="auto"/>
      </w:pBdr>
      <w:shd w:val="clear" w:color="auto" w:fill="auto"/>
      <w:spacing w:before="60" w:after="100"/>
      <w:ind w:left="0" w:right="0"/>
      <w:jc w:val="left"/>
    </w:pPr>
    <w:rPr>
      <w:rFonts w:ascii="Arial" w:hAnsi="Arial"/>
      <w:sz w:val="24"/>
    </w:rPr>
  </w:style>
  <w:style w:type="paragraph" w:customStyle="1" w:styleId="boxtext0">
    <w:name w:val="box text"/>
    <w:basedOn w:val="Standardpara"/>
    <w:uiPriority w:val="99"/>
    <w:rsid w:val="00481889"/>
    <w:pPr>
      <w:pBdr>
        <w:top w:val="single" w:sz="12" w:space="3" w:color="auto"/>
        <w:left w:val="single" w:sz="12" w:space="3" w:color="auto"/>
        <w:bottom w:val="single" w:sz="12" w:space="3" w:color="auto"/>
        <w:right w:val="single" w:sz="12" w:space="3" w:color="auto"/>
      </w:pBdr>
      <w:spacing w:before="360" w:after="360" w:line="-440" w:lineRule="auto"/>
      <w:ind w:left="4048" w:right="1457"/>
      <w:jc w:val="center"/>
    </w:pPr>
    <w:rPr>
      <w:b/>
      <w:sz w:val="20"/>
      <w:lang w:val="en-US" w:eastAsia="en-AU"/>
    </w:rPr>
  </w:style>
  <w:style w:type="paragraph" w:customStyle="1" w:styleId="standardhang">
    <w:name w:val="standard hang"/>
    <w:basedOn w:val="Standardpara"/>
    <w:uiPriority w:val="99"/>
    <w:rsid w:val="00481889"/>
    <w:pPr>
      <w:tabs>
        <w:tab w:val="left" w:pos="3969"/>
      </w:tabs>
      <w:ind w:left="3969" w:hanging="567"/>
      <w:jc w:val="left"/>
    </w:pPr>
    <w:rPr>
      <w:sz w:val="20"/>
      <w:lang w:val="en-US" w:eastAsia="en-AU"/>
    </w:rPr>
  </w:style>
  <w:style w:type="paragraph" w:customStyle="1" w:styleId="attachment">
    <w:name w:val="attachment"/>
    <w:uiPriority w:val="99"/>
    <w:rsid w:val="00481889"/>
    <w:pPr>
      <w:pBdr>
        <w:bottom w:val="single" w:sz="6" w:space="4" w:color="auto"/>
      </w:pBdr>
      <w:tabs>
        <w:tab w:val="right" w:pos="9639"/>
      </w:tabs>
      <w:spacing w:after="480"/>
    </w:pPr>
    <w:rPr>
      <w:rFonts w:ascii="Zurich Cn BT" w:eastAsia="Times New Roman" w:hAnsi="Zurich Cn BT"/>
      <w:caps/>
      <w:sz w:val="40"/>
      <w:lang w:val="en-US"/>
    </w:rPr>
  </w:style>
  <w:style w:type="paragraph" w:customStyle="1" w:styleId="BodyText1">
    <w:name w:val="Body Text1"/>
    <w:uiPriority w:val="99"/>
    <w:rsid w:val="00481889"/>
    <w:pPr>
      <w:spacing w:after="180"/>
      <w:ind w:left="2880"/>
    </w:pPr>
    <w:rPr>
      <w:rFonts w:ascii="Times New Roman" w:eastAsia="Times New Roman" w:hAnsi="Times New Roman"/>
      <w:sz w:val="24"/>
      <w:lang w:val="en-US"/>
    </w:rPr>
  </w:style>
  <w:style w:type="paragraph" w:customStyle="1" w:styleId="appendix">
    <w:name w:val="appendix"/>
    <w:link w:val="appendixChar"/>
    <w:uiPriority w:val="99"/>
    <w:rsid w:val="00481889"/>
    <w:pPr>
      <w:pBdr>
        <w:bottom w:val="single" w:sz="6" w:space="4" w:color="auto"/>
      </w:pBdr>
      <w:tabs>
        <w:tab w:val="right" w:pos="9650"/>
      </w:tabs>
      <w:spacing w:after="480"/>
    </w:pPr>
    <w:rPr>
      <w:rFonts w:ascii="Zurich Cn BT" w:eastAsia="Times New Roman" w:hAnsi="Zurich Cn BT"/>
      <w:sz w:val="40"/>
      <w:lang w:val="en-US"/>
    </w:rPr>
  </w:style>
  <w:style w:type="paragraph" w:customStyle="1" w:styleId="hangindent2">
    <w:name w:val="hang indent2"/>
    <w:basedOn w:val="Standardpara"/>
    <w:uiPriority w:val="99"/>
    <w:rsid w:val="00481889"/>
    <w:pPr>
      <w:tabs>
        <w:tab w:val="left" w:pos="4111"/>
      </w:tabs>
      <w:ind w:left="4111" w:hanging="709"/>
      <w:jc w:val="left"/>
    </w:pPr>
    <w:rPr>
      <w:sz w:val="20"/>
      <w:lang w:val="en-US" w:eastAsia="en-AU"/>
    </w:rPr>
  </w:style>
  <w:style w:type="paragraph" w:customStyle="1" w:styleId="scope">
    <w:name w:val="scope"/>
    <w:uiPriority w:val="99"/>
    <w:rsid w:val="00481889"/>
    <w:pPr>
      <w:pBdr>
        <w:bottom w:val="single" w:sz="6" w:space="2" w:color="auto"/>
      </w:pBdr>
      <w:spacing w:after="80"/>
    </w:pPr>
    <w:rPr>
      <w:rFonts w:ascii="Arial Narrow" w:eastAsia="Times New Roman" w:hAnsi="Arial Narrow"/>
      <w:noProof/>
    </w:rPr>
  </w:style>
  <w:style w:type="paragraph" w:customStyle="1" w:styleId="FRCVTitle">
    <w:name w:val="FRCVTitle"/>
    <w:basedOn w:val="Normal"/>
    <w:uiPriority w:val="99"/>
    <w:rsid w:val="00481889"/>
    <w:pPr>
      <w:keepLines/>
      <w:framePr w:w="11539" w:wrap="notBeside" w:vAnchor="page" w:hAnchor="text" w:xAlign="center" w:y="7939"/>
      <w:pBdr>
        <w:top w:val="single" w:sz="12" w:space="31" w:color="000000"/>
        <w:bottom w:val="single" w:sz="12" w:space="31" w:color="000000"/>
      </w:pBdr>
      <w:spacing w:after="0"/>
      <w:jc w:val="center"/>
    </w:pPr>
    <w:rPr>
      <w:rFonts w:ascii="Times New Roman" w:hAnsi="Times New Roman"/>
      <w:b/>
      <w:noProof/>
      <w:sz w:val="48"/>
      <w:szCs w:val="20"/>
      <w:lang w:val="en-AU" w:eastAsia="en-AU"/>
    </w:rPr>
  </w:style>
  <w:style w:type="paragraph" w:customStyle="1" w:styleId="fcdoc-No">
    <w:name w:val="fcdoc-No"/>
    <w:basedOn w:val="Normal"/>
    <w:uiPriority w:val="99"/>
    <w:rsid w:val="00481889"/>
    <w:pPr>
      <w:framePr w:w="3600" w:hSpace="240" w:vSpace="240" w:wrap="auto" w:vAnchor="page" w:hAnchor="page" w:x="7489" w:y="1153"/>
      <w:spacing w:after="0" w:line="480" w:lineRule="exact"/>
      <w:jc w:val="right"/>
    </w:pPr>
    <w:rPr>
      <w:rFonts w:ascii="Times" w:hAnsi="Times"/>
      <w:b/>
      <w:sz w:val="36"/>
      <w:szCs w:val="20"/>
      <w:lang w:val="en-GB" w:eastAsia="en-AU"/>
    </w:rPr>
  </w:style>
  <w:style w:type="paragraph" w:customStyle="1" w:styleId="Appendix0">
    <w:name w:val="Appendix"/>
    <w:link w:val="AppendixChar0"/>
    <w:uiPriority w:val="99"/>
    <w:rsid w:val="00481889"/>
    <w:pPr>
      <w:pBdr>
        <w:bottom w:val="single" w:sz="6" w:space="2" w:color="auto"/>
      </w:pBdr>
      <w:tabs>
        <w:tab w:val="left" w:pos="2415"/>
      </w:tabs>
      <w:spacing w:after="480"/>
      <w:ind w:left="2415" w:hanging="2415"/>
    </w:pPr>
    <w:rPr>
      <w:rFonts w:ascii="Arial" w:eastAsia="Times New Roman" w:hAnsi="Arial"/>
      <w:b/>
      <w:noProof/>
      <w:sz w:val="36"/>
    </w:rPr>
  </w:style>
  <w:style w:type="paragraph" w:customStyle="1" w:styleId="hanging">
    <w:name w:val="hanging"/>
    <w:basedOn w:val="Standardparagraph"/>
    <w:uiPriority w:val="99"/>
    <w:rsid w:val="00481889"/>
    <w:pPr>
      <w:tabs>
        <w:tab w:val="left" w:pos="3402"/>
      </w:tabs>
      <w:spacing w:after="180"/>
      <w:ind w:left="3402" w:hanging="567"/>
    </w:pPr>
    <w:rPr>
      <w:rFonts w:ascii="Times New Roman" w:hAnsi="Times New Roman"/>
      <w:sz w:val="24"/>
    </w:rPr>
  </w:style>
  <w:style w:type="paragraph" w:styleId="BodyText3">
    <w:name w:val="Body Text 3"/>
    <w:basedOn w:val="Normal"/>
    <w:link w:val="BodyText3Char"/>
    <w:uiPriority w:val="99"/>
    <w:rsid w:val="00481889"/>
    <w:pPr>
      <w:spacing w:after="120" w:line="-240" w:lineRule="auto"/>
      <w:ind w:right="18"/>
    </w:pPr>
    <w:rPr>
      <w:rFonts w:ascii="Times New Roman" w:hAnsi="Times New Roman"/>
      <w:sz w:val="20"/>
      <w:szCs w:val="20"/>
      <w:lang w:eastAsia="en-AU"/>
    </w:rPr>
  </w:style>
  <w:style w:type="character" w:customStyle="1" w:styleId="BodyText3Char">
    <w:name w:val="Body Text 3 Char"/>
    <w:basedOn w:val="DefaultParagraphFont"/>
    <w:link w:val="BodyText3"/>
    <w:uiPriority w:val="99"/>
    <w:rsid w:val="00481889"/>
    <w:rPr>
      <w:rFonts w:ascii="Times New Roman" w:eastAsia="Times New Roman" w:hAnsi="Times New Roman"/>
      <w:lang w:val="en-US"/>
    </w:rPr>
  </w:style>
  <w:style w:type="paragraph" w:styleId="Title">
    <w:name w:val="Title"/>
    <w:basedOn w:val="Normal"/>
    <w:link w:val="TitleChar1"/>
    <w:uiPriority w:val="99"/>
    <w:qFormat/>
    <w:locked/>
    <w:rsid w:val="00481889"/>
    <w:pPr>
      <w:spacing w:after="240"/>
      <w:jc w:val="center"/>
    </w:pPr>
    <w:rPr>
      <w:rFonts w:ascii="Arial Narrow" w:hAnsi="Arial Narrow"/>
      <w:b/>
      <w:sz w:val="28"/>
      <w:szCs w:val="20"/>
      <w:lang w:eastAsia="en-AU"/>
    </w:rPr>
  </w:style>
  <w:style w:type="character" w:customStyle="1" w:styleId="TitleChar">
    <w:name w:val="Title Char"/>
    <w:basedOn w:val="DefaultParagraphFont"/>
    <w:uiPriority w:val="99"/>
    <w:rsid w:val="00481889"/>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hangingChar">
    <w:name w:val="hanging Char"/>
    <w:basedOn w:val="DefaultParagraphFont"/>
    <w:uiPriority w:val="99"/>
    <w:rsid w:val="00481889"/>
    <w:rPr>
      <w:rFonts w:cs="Times New Roman"/>
      <w:sz w:val="24"/>
      <w:lang w:val="en-GB" w:eastAsia="en-US" w:bidi="ar-SA"/>
    </w:rPr>
  </w:style>
  <w:style w:type="character" w:customStyle="1" w:styleId="BalloonTextChar">
    <w:name w:val="Balloon Text Char"/>
    <w:basedOn w:val="DefaultParagraphFont"/>
    <w:link w:val="BalloonText"/>
    <w:uiPriority w:val="99"/>
    <w:semiHidden/>
    <w:locked/>
    <w:rsid w:val="00481889"/>
    <w:rPr>
      <w:rFonts w:ascii="Tahoma" w:eastAsia="Times New Roman" w:hAnsi="Tahoma" w:cs="Tahoma"/>
      <w:sz w:val="16"/>
      <w:szCs w:val="16"/>
    </w:rPr>
  </w:style>
  <w:style w:type="paragraph" w:customStyle="1" w:styleId="dots">
    <w:name w:val="dots"/>
    <w:basedOn w:val="Normal"/>
    <w:uiPriority w:val="99"/>
    <w:rsid w:val="00481889"/>
    <w:pPr>
      <w:numPr>
        <w:numId w:val="17"/>
      </w:numPr>
      <w:spacing w:before="120" w:after="0"/>
    </w:pPr>
    <w:rPr>
      <w:rFonts w:ascii="Arial Narrow" w:hAnsi="Arial Narrow"/>
      <w:sz w:val="24"/>
      <w:szCs w:val="20"/>
      <w:lang w:val="en-AU" w:eastAsia="en-AU"/>
    </w:rPr>
  </w:style>
  <w:style w:type="paragraph" w:customStyle="1" w:styleId="boxed">
    <w:name w:val="boxed"/>
    <w:basedOn w:val="Normal"/>
    <w:uiPriority w:val="99"/>
    <w:rsid w:val="00481889"/>
    <w:pPr>
      <w:pBdr>
        <w:top w:val="single" w:sz="4" w:space="4" w:color="auto"/>
        <w:left w:val="single" w:sz="4" w:space="4" w:color="auto"/>
        <w:bottom w:val="single" w:sz="4" w:space="4" w:color="auto"/>
        <w:right w:val="single" w:sz="4" w:space="4" w:color="auto"/>
      </w:pBdr>
      <w:tabs>
        <w:tab w:val="left" w:pos="3402"/>
      </w:tabs>
      <w:spacing w:after="480"/>
      <w:ind w:left="851"/>
    </w:pPr>
    <w:rPr>
      <w:rFonts w:ascii="Times New Roman" w:hAnsi="Times New Roman"/>
      <w:b/>
      <w:i/>
      <w:sz w:val="24"/>
      <w:szCs w:val="20"/>
      <w:lang w:val="en-AU" w:eastAsia="en-AU"/>
    </w:rPr>
  </w:style>
  <w:style w:type="paragraph" w:customStyle="1" w:styleId="12pttimes">
    <w:name w:val="12pt times"/>
    <w:uiPriority w:val="99"/>
    <w:rsid w:val="00481889"/>
    <w:pPr>
      <w:spacing w:before="120" w:after="40"/>
      <w:ind w:left="2835"/>
    </w:pPr>
    <w:rPr>
      <w:rFonts w:ascii="Arial" w:eastAsia="Times New Roman" w:hAnsi="Arial"/>
      <w:noProof/>
      <w:sz w:val="24"/>
    </w:rPr>
  </w:style>
  <w:style w:type="paragraph" w:styleId="BodyTextIndent">
    <w:name w:val="Body Text Indent"/>
    <w:basedOn w:val="Normal"/>
    <w:link w:val="BodyTextIndentChar"/>
    <w:uiPriority w:val="99"/>
    <w:rsid w:val="00481889"/>
    <w:pPr>
      <w:tabs>
        <w:tab w:val="left" w:pos="907"/>
      </w:tabs>
      <w:spacing w:after="180"/>
      <w:ind w:left="851"/>
    </w:pPr>
    <w:rPr>
      <w:rFonts w:ascii="Times New Roman" w:hAnsi="Times New Roman"/>
      <w:sz w:val="24"/>
      <w:szCs w:val="20"/>
      <w:lang w:val="en-GB" w:eastAsia="en-AU"/>
    </w:rPr>
  </w:style>
  <w:style w:type="character" w:customStyle="1" w:styleId="BodyTextIndentChar">
    <w:name w:val="Body Text Indent Char"/>
    <w:basedOn w:val="DefaultParagraphFont"/>
    <w:link w:val="BodyTextIndent"/>
    <w:uiPriority w:val="99"/>
    <w:rsid w:val="00481889"/>
    <w:rPr>
      <w:rFonts w:ascii="Times New Roman" w:eastAsia="Times New Roman" w:hAnsi="Times New Roman"/>
      <w:sz w:val="24"/>
      <w:lang w:val="en-GB"/>
    </w:rPr>
  </w:style>
  <w:style w:type="paragraph" w:styleId="BodyTextIndent3">
    <w:name w:val="Body Text Indent 3"/>
    <w:basedOn w:val="Normal"/>
    <w:link w:val="BodyTextIndent3Char"/>
    <w:uiPriority w:val="99"/>
    <w:rsid w:val="00481889"/>
    <w:pPr>
      <w:tabs>
        <w:tab w:val="num" w:pos="284"/>
        <w:tab w:val="left" w:pos="1418"/>
      </w:tabs>
      <w:spacing w:after="0"/>
      <w:ind w:left="426"/>
    </w:pPr>
    <w:rPr>
      <w:rFonts w:ascii="Arial Narrow" w:hAnsi="Arial Narrow"/>
      <w:sz w:val="24"/>
      <w:szCs w:val="20"/>
      <w:lang w:eastAsia="en-AU"/>
    </w:rPr>
  </w:style>
  <w:style w:type="character" w:customStyle="1" w:styleId="BodyTextIndent3Char">
    <w:name w:val="Body Text Indent 3 Char"/>
    <w:basedOn w:val="DefaultParagraphFont"/>
    <w:link w:val="BodyTextIndent3"/>
    <w:uiPriority w:val="99"/>
    <w:rsid w:val="00481889"/>
    <w:rPr>
      <w:rFonts w:ascii="Arial Narrow" w:eastAsia="Times New Roman" w:hAnsi="Arial Narrow"/>
      <w:sz w:val="24"/>
      <w:lang w:val="en-US"/>
    </w:rPr>
  </w:style>
  <w:style w:type="paragraph" w:customStyle="1" w:styleId="Part">
    <w:name w:val="Part"/>
    <w:uiPriority w:val="99"/>
    <w:rsid w:val="00481889"/>
    <w:pPr>
      <w:jc w:val="right"/>
    </w:pPr>
    <w:rPr>
      <w:rFonts w:ascii="Times New Roman" w:eastAsia="Times New Roman" w:hAnsi="Times New Roman"/>
      <w:noProof/>
      <w:sz w:val="52"/>
    </w:rPr>
  </w:style>
  <w:style w:type="paragraph" w:customStyle="1" w:styleId="9pttext">
    <w:name w:val="9pt text"/>
    <w:basedOn w:val="Normal"/>
    <w:uiPriority w:val="99"/>
    <w:rsid w:val="00481889"/>
    <w:pPr>
      <w:spacing w:after="120"/>
      <w:ind w:right="17"/>
    </w:pPr>
    <w:rPr>
      <w:rFonts w:ascii="EnergyText" w:hAnsi="EnergyText"/>
      <w:sz w:val="20"/>
      <w:szCs w:val="20"/>
      <w:lang w:val="en-GB" w:eastAsia="en-AU"/>
    </w:rPr>
  </w:style>
  <w:style w:type="paragraph" w:customStyle="1" w:styleId="bulletlast">
    <w:name w:val="bullet last"/>
    <w:basedOn w:val="Normal"/>
    <w:uiPriority w:val="99"/>
    <w:rsid w:val="00481889"/>
    <w:pPr>
      <w:tabs>
        <w:tab w:val="num" w:pos="360"/>
      </w:tabs>
      <w:spacing w:after="0"/>
      <w:ind w:left="360" w:hanging="360"/>
    </w:pPr>
    <w:rPr>
      <w:rFonts w:ascii="Times New Roman" w:hAnsi="Times New Roman"/>
      <w:sz w:val="20"/>
      <w:szCs w:val="20"/>
      <w:lang w:eastAsia="en-AU"/>
    </w:rPr>
  </w:style>
  <w:style w:type="paragraph" w:styleId="ListBullet">
    <w:name w:val="List Bullet"/>
    <w:basedOn w:val="Normal"/>
    <w:autoRedefine/>
    <w:uiPriority w:val="99"/>
    <w:rsid w:val="00481889"/>
    <w:pPr>
      <w:spacing w:after="0"/>
    </w:pPr>
    <w:rPr>
      <w:rFonts w:ascii="Arial Narrow" w:hAnsi="Arial Narrow"/>
      <w:sz w:val="24"/>
      <w:szCs w:val="20"/>
      <w:lang w:val="en-AU" w:eastAsia="en-AU"/>
    </w:rPr>
  </w:style>
  <w:style w:type="paragraph" w:customStyle="1" w:styleId="appendix1">
    <w:name w:val="appendix 1"/>
    <w:basedOn w:val="appendix"/>
    <w:link w:val="appendix1Char"/>
    <w:uiPriority w:val="99"/>
    <w:rsid w:val="00481889"/>
    <w:pPr>
      <w:pBdr>
        <w:bottom w:val="none" w:sz="0" w:space="0" w:color="auto"/>
      </w:pBdr>
      <w:tabs>
        <w:tab w:val="clear" w:pos="9650"/>
        <w:tab w:val="left" w:pos="851"/>
      </w:tabs>
      <w:spacing w:after="0"/>
      <w:ind w:left="851" w:hanging="851"/>
    </w:pPr>
    <w:rPr>
      <w:rFonts w:ascii="Arial" w:hAnsi="Arial"/>
      <w:sz w:val="30"/>
    </w:rPr>
  </w:style>
  <w:style w:type="paragraph" w:customStyle="1" w:styleId="boxedtext">
    <w:name w:val="boxed text"/>
    <w:basedOn w:val="Standardpara"/>
    <w:uiPriority w:val="99"/>
    <w:rsid w:val="00481889"/>
    <w:pPr>
      <w:pBdr>
        <w:top w:val="single" w:sz="12" w:space="4" w:color="auto"/>
        <w:left w:val="single" w:sz="12" w:space="4" w:color="auto"/>
        <w:bottom w:val="single" w:sz="12" w:space="4" w:color="auto"/>
        <w:right w:val="single" w:sz="12" w:space="4" w:color="auto"/>
      </w:pBdr>
      <w:jc w:val="left"/>
    </w:pPr>
    <w:rPr>
      <w:sz w:val="20"/>
      <w:lang w:val="en-AU" w:eastAsia="en-AU"/>
    </w:rPr>
  </w:style>
  <w:style w:type="paragraph" w:customStyle="1" w:styleId="boldhead">
    <w:name w:val="bold head"/>
    <w:basedOn w:val="Standardpara"/>
    <w:uiPriority w:val="99"/>
    <w:rsid w:val="00481889"/>
    <w:pPr>
      <w:spacing w:before="60" w:after="60"/>
      <w:jc w:val="left"/>
    </w:pPr>
    <w:rPr>
      <w:b/>
      <w:sz w:val="20"/>
      <w:lang w:val="en-AU" w:eastAsia="en-AU"/>
    </w:rPr>
  </w:style>
  <w:style w:type="paragraph" w:customStyle="1" w:styleId="bullethang">
    <w:name w:val="bullet hang"/>
    <w:uiPriority w:val="99"/>
    <w:rsid w:val="00481889"/>
    <w:pPr>
      <w:widowControl w:val="0"/>
      <w:tabs>
        <w:tab w:val="left" w:pos="-1094"/>
        <w:tab w:val="left" w:pos="-720"/>
      </w:tabs>
      <w:spacing w:after="60"/>
      <w:ind w:left="3305" w:hanging="425"/>
      <w:jc w:val="both"/>
    </w:pPr>
    <w:rPr>
      <w:rFonts w:ascii="Times New Roman" w:eastAsia="Times New Roman" w:hAnsi="Times New Roman"/>
      <w:noProof/>
      <w:sz w:val="24"/>
    </w:rPr>
  </w:style>
  <w:style w:type="paragraph" w:customStyle="1" w:styleId="APPENDIX4">
    <w:name w:val="APPENDIX"/>
    <w:link w:val="APPENDIXChar1"/>
    <w:uiPriority w:val="99"/>
    <w:rsid w:val="00481889"/>
    <w:pPr>
      <w:pBdr>
        <w:bottom w:val="single" w:sz="6" w:space="1" w:color="auto"/>
      </w:pBdr>
      <w:tabs>
        <w:tab w:val="left" w:pos="2410"/>
      </w:tabs>
      <w:spacing w:after="240"/>
      <w:ind w:left="2410" w:hanging="2410"/>
    </w:pPr>
    <w:rPr>
      <w:rFonts w:ascii="Arial Bold" w:eastAsia="Times New Roman" w:hAnsi="Arial Bold"/>
      <w:b/>
      <w:noProof/>
      <w:spacing w:val="-4"/>
      <w:sz w:val="36"/>
      <w:szCs w:val="36"/>
    </w:rPr>
  </w:style>
  <w:style w:type="paragraph" w:styleId="BodyTextIndent2">
    <w:name w:val="Body Text Indent 2"/>
    <w:basedOn w:val="Normal"/>
    <w:link w:val="BodyTextIndent2Char"/>
    <w:uiPriority w:val="99"/>
    <w:rsid w:val="00481889"/>
    <w:pPr>
      <w:spacing w:after="0"/>
      <w:ind w:left="720"/>
    </w:pPr>
    <w:rPr>
      <w:sz w:val="24"/>
      <w:szCs w:val="20"/>
      <w:lang w:val="en-GB" w:eastAsia="en-AU"/>
    </w:rPr>
  </w:style>
  <w:style w:type="character" w:customStyle="1" w:styleId="BodyTextIndent2Char">
    <w:name w:val="Body Text Indent 2 Char"/>
    <w:basedOn w:val="DefaultParagraphFont"/>
    <w:link w:val="BodyTextIndent2"/>
    <w:uiPriority w:val="99"/>
    <w:rsid w:val="00481889"/>
    <w:rPr>
      <w:rFonts w:ascii="Arial" w:eastAsia="Times New Roman" w:hAnsi="Arial"/>
      <w:sz w:val="24"/>
      <w:lang w:val="en-GB"/>
    </w:rPr>
  </w:style>
  <w:style w:type="character" w:styleId="CommentReference">
    <w:name w:val="annotation reference"/>
    <w:basedOn w:val="DefaultParagraphFont"/>
    <w:uiPriority w:val="99"/>
    <w:rsid w:val="00481889"/>
    <w:rPr>
      <w:rFonts w:cs="Times New Roman"/>
      <w:sz w:val="16"/>
      <w:szCs w:val="16"/>
    </w:rPr>
  </w:style>
  <w:style w:type="character" w:customStyle="1" w:styleId="CommentTextChar">
    <w:name w:val="Comment Text Char"/>
    <w:basedOn w:val="DefaultParagraphFont"/>
    <w:link w:val="CommentText"/>
    <w:uiPriority w:val="99"/>
    <w:semiHidden/>
    <w:locked/>
    <w:rsid w:val="00481889"/>
    <w:rPr>
      <w:rFonts w:ascii="Arial" w:eastAsia="Times New Roman" w:hAnsi="Arial"/>
    </w:rPr>
  </w:style>
  <w:style w:type="character" w:customStyle="1" w:styleId="CommentSubjectChar">
    <w:name w:val="Comment Subject Char"/>
    <w:basedOn w:val="CommentTextChar"/>
    <w:link w:val="CommentSubject"/>
    <w:uiPriority w:val="99"/>
    <w:semiHidden/>
    <w:locked/>
    <w:rsid w:val="00481889"/>
    <w:rPr>
      <w:rFonts w:ascii="Arial" w:eastAsia="Times New Roman" w:hAnsi="Arial"/>
      <w:b/>
      <w:bCs/>
    </w:rPr>
  </w:style>
  <w:style w:type="character" w:customStyle="1" w:styleId="AppendixChar0">
    <w:name w:val="Appendix Char"/>
    <w:basedOn w:val="DefaultParagraphFont"/>
    <w:link w:val="Appendix0"/>
    <w:uiPriority w:val="99"/>
    <w:locked/>
    <w:rsid w:val="00481889"/>
    <w:rPr>
      <w:rFonts w:ascii="Arial" w:eastAsia="Times New Roman" w:hAnsi="Arial"/>
      <w:b/>
      <w:noProof/>
      <w:sz w:val="36"/>
    </w:rPr>
  </w:style>
  <w:style w:type="paragraph" w:customStyle="1" w:styleId="StyleAppendixCondensedby03pt">
    <w:name w:val="Style Appendix + Condensed by  0.3 pt"/>
    <w:basedOn w:val="Appendix0"/>
    <w:uiPriority w:val="99"/>
    <w:rsid w:val="00481889"/>
    <w:rPr>
      <w:rFonts w:ascii="Arial Bold" w:hAnsi="Arial Bold"/>
      <w:b w:val="0"/>
      <w:spacing w:val="-8"/>
      <w:szCs w:val="40"/>
    </w:rPr>
  </w:style>
  <w:style w:type="paragraph" w:customStyle="1" w:styleId="tablebullet">
    <w:name w:val="table bullet"/>
    <w:uiPriority w:val="99"/>
    <w:rsid w:val="00481889"/>
    <w:pPr>
      <w:numPr>
        <w:numId w:val="18"/>
      </w:numPr>
      <w:tabs>
        <w:tab w:val="left" w:pos="367"/>
      </w:tabs>
      <w:spacing w:before="20" w:after="20"/>
      <w:ind w:left="391" w:hanging="357"/>
    </w:pPr>
    <w:rPr>
      <w:rFonts w:ascii="Arial" w:eastAsia="Times New Roman" w:hAnsi="Arial" w:cs="Arial"/>
      <w:sz w:val="16"/>
      <w:szCs w:val="16"/>
    </w:rPr>
  </w:style>
  <w:style w:type="character" w:customStyle="1" w:styleId="APPENDIXChar1">
    <w:name w:val="APPENDIX Char"/>
    <w:basedOn w:val="DefaultParagraphFont"/>
    <w:link w:val="APPENDIX4"/>
    <w:uiPriority w:val="99"/>
    <w:locked/>
    <w:rsid w:val="00481889"/>
    <w:rPr>
      <w:rFonts w:ascii="Arial Bold" w:eastAsia="Times New Roman" w:hAnsi="Arial Bold"/>
      <w:b/>
      <w:noProof/>
      <w:spacing w:val="-4"/>
      <w:sz w:val="36"/>
      <w:szCs w:val="36"/>
    </w:rPr>
  </w:style>
  <w:style w:type="paragraph" w:customStyle="1" w:styleId="cswiheading">
    <w:name w:val="cswi heading"/>
    <w:basedOn w:val="Normal"/>
    <w:uiPriority w:val="99"/>
    <w:rsid w:val="00481889"/>
    <w:pPr>
      <w:spacing w:after="120"/>
    </w:pPr>
    <w:rPr>
      <w:b/>
      <w:sz w:val="24"/>
      <w:szCs w:val="20"/>
      <w:lang w:val="en-GB"/>
    </w:rPr>
  </w:style>
  <w:style w:type="paragraph" w:customStyle="1" w:styleId="bullet1">
    <w:name w:val="bullet1"/>
    <w:basedOn w:val="Normal"/>
    <w:uiPriority w:val="99"/>
    <w:rsid w:val="00481889"/>
    <w:pPr>
      <w:numPr>
        <w:numId w:val="19"/>
      </w:numPr>
      <w:spacing w:after="0"/>
    </w:pPr>
    <w:rPr>
      <w:rFonts w:ascii="Times New Roman" w:hAnsi="Times New Roman"/>
      <w:sz w:val="24"/>
      <w:szCs w:val="20"/>
      <w:lang w:val="en-GB" w:eastAsia="en-AU"/>
    </w:rPr>
  </w:style>
  <w:style w:type="character" w:styleId="HTMLCite">
    <w:name w:val="HTML Cite"/>
    <w:basedOn w:val="DefaultParagraphFont"/>
    <w:uiPriority w:val="99"/>
    <w:rsid w:val="00481889"/>
    <w:rPr>
      <w:rFonts w:cs="Times New Roman"/>
      <w:color w:val="008000"/>
    </w:rPr>
  </w:style>
  <w:style w:type="paragraph" w:customStyle="1" w:styleId="hyphen">
    <w:name w:val="hyphen"/>
    <w:uiPriority w:val="99"/>
    <w:rsid w:val="00481889"/>
    <w:pPr>
      <w:numPr>
        <w:numId w:val="20"/>
      </w:numPr>
      <w:tabs>
        <w:tab w:val="left" w:pos="1531"/>
      </w:tabs>
      <w:spacing w:after="100"/>
    </w:pPr>
    <w:rPr>
      <w:rFonts w:ascii="Arial" w:eastAsia="Times New Roman" w:hAnsi="Arial"/>
    </w:rPr>
  </w:style>
  <w:style w:type="paragraph" w:customStyle="1" w:styleId="bulletindent">
    <w:name w:val="bullet indent"/>
    <w:basedOn w:val="bullet"/>
    <w:uiPriority w:val="99"/>
    <w:rsid w:val="00481889"/>
    <w:pPr>
      <w:tabs>
        <w:tab w:val="clear" w:pos="1210"/>
        <w:tab w:val="clear" w:pos="1304"/>
        <w:tab w:val="left" w:pos="1208"/>
        <w:tab w:val="left" w:pos="2268"/>
      </w:tabs>
      <w:ind w:left="2268" w:hanging="425"/>
      <w:jc w:val="left"/>
    </w:pPr>
    <w:rPr>
      <w:szCs w:val="20"/>
    </w:rPr>
  </w:style>
  <w:style w:type="character" w:styleId="FollowedHyperlink">
    <w:name w:val="FollowedHyperlink"/>
    <w:basedOn w:val="DefaultParagraphFont"/>
    <w:uiPriority w:val="99"/>
    <w:rsid w:val="00481889"/>
    <w:rPr>
      <w:rFonts w:cs="Times New Roman"/>
      <w:color w:val="800080"/>
      <w:u w:val="single"/>
    </w:rPr>
  </w:style>
  <w:style w:type="paragraph" w:customStyle="1" w:styleId="Caption1">
    <w:name w:val="Caption1"/>
    <w:uiPriority w:val="99"/>
    <w:rsid w:val="00481889"/>
    <w:pPr>
      <w:spacing w:before="120" w:after="180"/>
      <w:jc w:val="center"/>
    </w:pPr>
    <w:rPr>
      <w:rFonts w:ascii="Arial" w:eastAsia="Times New Roman" w:hAnsi="Arial"/>
      <w:b/>
      <w:i/>
      <w:sz w:val="18"/>
      <w:lang w:val="en-US"/>
    </w:rPr>
  </w:style>
  <w:style w:type="paragraph" w:customStyle="1" w:styleId="StyleBullet8pt">
    <w:name w:val="Style Bullet + 8 pt"/>
    <w:basedOn w:val="Normal"/>
    <w:uiPriority w:val="99"/>
    <w:rsid w:val="00481889"/>
    <w:pPr>
      <w:numPr>
        <w:numId w:val="21"/>
      </w:numPr>
      <w:spacing w:after="0"/>
    </w:pPr>
    <w:rPr>
      <w:rFonts w:ascii="Times New Roman" w:hAnsi="Times New Roman"/>
      <w:sz w:val="20"/>
      <w:szCs w:val="20"/>
      <w:lang w:val="en-AU" w:eastAsia="en-AU"/>
    </w:rPr>
  </w:style>
  <w:style w:type="character" w:customStyle="1" w:styleId="NoteChar">
    <w:name w:val="Note Char"/>
    <w:basedOn w:val="DefaultParagraphFont"/>
    <w:link w:val="Note"/>
    <w:uiPriority w:val="99"/>
    <w:locked/>
    <w:rsid w:val="00481889"/>
    <w:rPr>
      <w:rFonts w:ascii="Arial" w:hAnsi="Arial"/>
      <w:sz w:val="18"/>
      <w:szCs w:val="18"/>
    </w:rPr>
  </w:style>
  <w:style w:type="paragraph" w:customStyle="1" w:styleId="hangingbullet">
    <w:name w:val="hanging bullet"/>
    <w:basedOn w:val="bullet"/>
    <w:uiPriority w:val="99"/>
    <w:rsid w:val="00481889"/>
    <w:pPr>
      <w:tabs>
        <w:tab w:val="clear" w:pos="1210"/>
        <w:tab w:val="clear" w:pos="1304"/>
        <w:tab w:val="left" w:pos="1208"/>
      </w:tabs>
      <w:spacing w:after="80"/>
      <w:ind w:left="1418" w:hanging="284"/>
      <w:jc w:val="left"/>
    </w:pPr>
    <w:rPr>
      <w:szCs w:val="20"/>
    </w:rPr>
  </w:style>
  <w:style w:type="paragraph" w:customStyle="1" w:styleId="BodyText21">
    <w:name w:val="Body Text 21"/>
    <w:basedOn w:val="Normal"/>
    <w:uiPriority w:val="99"/>
    <w:rsid w:val="00481889"/>
    <w:pPr>
      <w:spacing w:after="0"/>
    </w:pPr>
    <w:rPr>
      <w:b/>
      <w:sz w:val="24"/>
      <w:szCs w:val="20"/>
      <w:lang w:val="en-GB" w:eastAsia="en-AU"/>
    </w:rPr>
  </w:style>
  <w:style w:type="paragraph" w:customStyle="1" w:styleId="coursename">
    <w:name w:val="coursename"/>
    <w:basedOn w:val="Normal"/>
    <w:uiPriority w:val="99"/>
    <w:rsid w:val="00481889"/>
    <w:pPr>
      <w:spacing w:before="100" w:beforeAutospacing="1" w:after="100" w:afterAutospacing="1"/>
      <w:textAlignment w:val="top"/>
    </w:pPr>
    <w:rPr>
      <w:rFonts w:cs="Arial"/>
      <w:color w:val="000000"/>
      <w:szCs w:val="18"/>
      <w:lang w:val="en-AU" w:eastAsia="en-AU"/>
    </w:rPr>
  </w:style>
  <w:style w:type="paragraph" w:customStyle="1" w:styleId="Box8ptBoldAltXRightSinglesolidlineAuto0">
    <w:name w:val="Box 8pt Bold Alt + X + Right: (Single solid line Auto  0...."/>
    <w:basedOn w:val="Normal"/>
    <w:uiPriority w:val="99"/>
    <w:rsid w:val="00481889"/>
    <w:pPr>
      <w:pBdr>
        <w:top w:val="single" w:sz="4" w:space="4" w:color="777777"/>
        <w:left w:val="single" w:sz="4" w:space="4" w:color="777777"/>
        <w:bottom w:val="single" w:sz="4" w:space="4" w:color="777777"/>
        <w:right w:val="single" w:sz="4" w:space="2" w:color="auto"/>
      </w:pBdr>
      <w:tabs>
        <w:tab w:val="left" w:pos="3402"/>
        <w:tab w:val="center" w:pos="6240"/>
      </w:tabs>
      <w:spacing w:after="160"/>
      <w:ind w:left="567" w:right="79"/>
    </w:pPr>
    <w:rPr>
      <w:rFonts w:ascii="Arial Bold" w:hAnsi="Arial Bold"/>
      <w:b/>
      <w:bCs/>
      <w:color w:val="777777"/>
      <w:szCs w:val="18"/>
      <w:lang w:val="en-AU"/>
    </w:rPr>
  </w:style>
  <w:style w:type="character" w:customStyle="1" w:styleId="TitleChar1">
    <w:name w:val="Title Char1"/>
    <w:basedOn w:val="DefaultParagraphFont"/>
    <w:link w:val="Title"/>
    <w:uiPriority w:val="99"/>
    <w:locked/>
    <w:rsid w:val="00481889"/>
    <w:rPr>
      <w:rFonts w:ascii="Arial Narrow" w:eastAsia="Times New Roman" w:hAnsi="Arial Narrow"/>
      <w:b/>
      <w:sz w:val="28"/>
      <w:lang w:val="en-US"/>
    </w:rPr>
  </w:style>
  <w:style w:type="character" w:customStyle="1" w:styleId="FooterChar1">
    <w:name w:val="Footer Char1"/>
    <w:aliases w:val="Footer Base Char1"/>
    <w:basedOn w:val="DefaultParagraphFont"/>
    <w:uiPriority w:val="99"/>
    <w:locked/>
    <w:rsid w:val="00481889"/>
    <w:rPr>
      <w:rFonts w:ascii="Arial" w:hAnsi="Arial" w:cs="Times New Roman"/>
      <w:lang w:val="en-US"/>
    </w:rPr>
  </w:style>
  <w:style w:type="character" w:customStyle="1" w:styleId="Heading1Char1">
    <w:name w:val="Heading 1 Char1"/>
    <w:aliases w:val="H1 Char1"/>
    <w:basedOn w:val="DefaultParagraphFont"/>
    <w:uiPriority w:val="99"/>
    <w:locked/>
    <w:rsid w:val="00481889"/>
    <w:rPr>
      <w:rFonts w:ascii="Arial Bold" w:hAnsi="Arial Bold" w:cs="Times New Roman"/>
      <w:b/>
      <w:noProof/>
      <w:sz w:val="30"/>
      <w:szCs w:val="30"/>
      <w:lang w:val="en-AU" w:eastAsia="en-AU" w:bidi="ar-SA"/>
    </w:rPr>
  </w:style>
  <w:style w:type="character" w:customStyle="1" w:styleId="Heading2Char1">
    <w:name w:val="Heading 2 Char1"/>
    <w:basedOn w:val="DefaultParagraphFont"/>
    <w:uiPriority w:val="99"/>
    <w:locked/>
    <w:rsid w:val="00481889"/>
    <w:rPr>
      <w:rFonts w:ascii="Arial Bold" w:hAnsi="Arial Bold" w:cs="Times New Roman"/>
      <w:b/>
      <w:noProof/>
      <w:sz w:val="26"/>
      <w:lang w:val="en-AU" w:eastAsia="en-AU" w:bidi="ar-SA"/>
    </w:rPr>
  </w:style>
  <w:style w:type="character" w:customStyle="1" w:styleId="Heading3Char1">
    <w:name w:val="Heading 3 Char1"/>
    <w:aliases w:val="H3 Char1"/>
    <w:basedOn w:val="DefaultParagraphFont"/>
    <w:uiPriority w:val="99"/>
    <w:locked/>
    <w:rsid w:val="00481889"/>
    <w:rPr>
      <w:rFonts w:ascii="Arial Bold" w:hAnsi="Arial Bold" w:cs="Times New Roman"/>
      <w:b/>
      <w:sz w:val="22"/>
      <w:lang w:val="en-US" w:eastAsia="en-AU" w:bidi="ar-SA"/>
    </w:rPr>
  </w:style>
  <w:style w:type="paragraph" w:customStyle="1" w:styleId="StyleArial14ptCenteredRight03mmAfter6pt">
    <w:name w:val="Style Arial 14 pt Centered Right:  0.3 mm After:  6 pt"/>
    <w:basedOn w:val="Normal"/>
    <w:uiPriority w:val="99"/>
    <w:rsid w:val="00481889"/>
    <w:pPr>
      <w:spacing w:after="120"/>
      <w:ind w:right="17"/>
      <w:jc w:val="center"/>
    </w:pPr>
    <w:rPr>
      <w:caps/>
      <w:sz w:val="20"/>
      <w:szCs w:val="20"/>
      <w:lang w:val="en-AU" w:eastAsia="en-AU"/>
    </w:rPr>
  </w:style>
  <w:style w:type="character" w:customStyle="1" w:styleId="StandardparaChar1">
    <w:name w:val="Standard para Char1"/>
    <w:basedOn w:val="DefaultParagraphFont"/>
    <w:uiPriority w:val="99"/>
    <w:rsid w:val="00481889"/>
    <w:rPr>
      <w:rFonts w:ascii="Arial" w:hAnsi="Arial" w:cs="Times New Roman"/>
      <w:lang w:val="en-GB" w:eastAsia="en-AU" w:bidi="ar-SA"/>
    </w:rPr>
  </w:style>
  <w:style w:type="paragraph" w:customStyle="1" w:styleId="NumList">
    <w:name w:val="NumList"/>
    <w:basedOn w:val="Normal"/>
    <w:autoRedefine/>
    <w:uiPriority w:val="99"/>
    <w:semiHidden/>
    <w:rsid w:val="00481889"/>
    <w:pPr>
      <w:tabs>
        <w:tab w:val="num" w:pos="720"/>
        <w:tab w:val="num" w:pos="1350"/>
      </w:tabs>
      <w:spacing w:before="60" w:after="60"/>
      <w:ind w:left="720" w:hanging="360"/>
      <w:jc w:val="both"/>
    </w:pPr>
    <w:rPr>
      <w:rFonts w:ascii="Book Antiqua" w:hAnsi="Book Antiqua"/>
      <w:sz w:val="22"/>
      <w:szCs w:val="20"/>
      <w:lang w:val="en-AU" w:eastAsia="en-AU"/>
    </w:rPr>
  </w:style>
  <w:style w:type="paragraph" w:customStyle="1" w:styleId="monofees">
    <w:name w:val="monofees"/>
    <w:basedOn w:val="Normal"/>
    <w:uiPriority w:val="99"/>
    <w:semiHidden/>
    <w:rsid w:val="00481889"/>
    <w:pPr>
      <w:spacing w:after="0"/>
    </w:pPr>
    <w:rPr>
      <w:szCs w:val="20"/>
      <w:lang w:val="en-AU" w:eastAsia="en-AU"/>
    </w:rPr>
  </w:style>
  <w:style w:type="paragraph" w:customStyle="1" w:styleId="FORM1">
    <w:name w:val="FORM1"/>
    <w:basedOn w:val="Standardpara"/>
    <w:uiPriority w:val="99"/>
    <w:semiHidden/>
    <w:rsid w:val="00481889"/>
    <w:pPr>
      <w:spacing w:after="20"/>
      <w:ind w:left="0"/>
    </w:pPr>
    <w:rPr>
      <w:rFonts w:ascii="Arial Narrow" w:hAnsi="Arial Narrow"/>
      <w:b/>
      <w:sz w:val="20"/>
      <w:lang w:eastAsia="en-AU"/>
    </w:rPr>
  </w:style>
  <w:style w:type="paragraph" w:customStyle="1" w:styleId="Bodytext10">
    <w:name w:val="Bodytext1"/>
    <w:basedOn w:val="Normal"/>
    <w:uiPriority w:val="99"/>
    <w:semiHidden/>
    <w:rsid w:val="00481889"/>
    <w:pPr>
      <w:widowControl w:val="0"/>
      <w:spacing w:before="40" w:after="40"/>
      <w:ind w:left="567"/>
    </w:pPr>
    <w:rPr>
      <w:rFonts w:ascii="Arial Narrow" w:hAnsi="Arial Narrow"/>
      <w:sz w:val="24"/>
      <w:szCs w:val="20"/>
      <w:lang w:val="en-AU" w:eastAsia="en-AU"/>
    </w:rPr>
  </w:style>
  <w:style w:type="paragraph" w:customStyle="1" w:styleId="Bodytext20">
    <w:name w:val="Bodytext2"/>
    <w:basedOn w:val="Normal"/>
    <w:uiPriority w:val="99"/>
    <w:semiHidden/>
    <w:rsid w:val="00481889"/>
    <w:pPr>
      <w:widowControl w:val="0"/>
      <w:spacing w:before="40" w:after="40"/>
      <w:ind w:left="1134"/>
    </w:pPr>
    <w:rPr>
      <w:rFonts w:ascii="Arial Narrow" w:hAnsi="Arial Narrow"/>
      <w:sz w:val="24"/>
      <w:szCs w:val="20"/>
      <w:lang w:val="en-AU" w:eastAsia="en-AU"/>
    </w:rPr>
  </w:style>
  <w:style w:type="paragraph" w:customStyle="1" w:styleId="StyleHeading2Justified">
    <w:name w:val="Style Heading 2 + Justified"/>
    <w:basedOn w:val="Heading2"/>
    <w:uiPriority w:val="99"/>
    <w:semiHidden/>
    <w:rsid w:val="00481889"/>
    <w:pPr>
      <w:keepNext/>
      <w:numPr>
        <w:ilvl w:val="0"/>
        <w:numId w:val="0"/>
      </w:numPr>
      <w:tabs>
        <w:tab w:val="num" w:pos="360"/>
        <w:tab w:val="left" w:pos="709"/>
        <w:tab w:val="num" w:pos="2430"/>
      </w:tabs>
      <w:spacing w:before="40"/>
      <w:ind w:right="1134"/>
      <w:jc w:val="both"/>
    </w:pPr>
    <w:rPr>
      <w:rFonts w:ascii="Arial Bold" w:eastAsia="Times New Roman" w:hAnsi="Arial Bold"/>
      <w:noProof w:val="0"/>
      <w:sz w:val="32"/>
      <w:szCs w:val="20"/>
    </w:rPr>
  </w:style>
  <w:style w:type="paragraph" w:customStyle="1" w:styleId="StyleCaptionArial10ptCentered">
    <w:name w:val="Style Caption + Arial 10 pt Centered"/>
    <w:basedOn w:val="Caption"/>
    <w:uiPriority w:val="99"/>
    <w:semiHidden/>
    <w:rsid w:val="00481889"/>
    <w:pPr>
      <w:spacing w:after="180"/>
      <w:ind w:left="2835"/>
    </w:pPr>
    <w:rPr>
      <w:rFonts w:ascii="Arial" w:hAnsi="Arial"/>
      <w:bCs/>
      <w:i/>
      <w:sz w:val="20"/>
      <w:szCs w:val="20"/>
      <w:lang w:val="en-GB"/>
    </w:rPr>
  </w:style>
  <w:style w:type="paragraph" w:customStyle="1" w:styleId="StyleHeading4NotBold">
    <w:name w:val="Style Heading 4 + Not Bold"/>
    <w:basedOn w:val="Heading4"/>
    <w:uiPriority w:val="99"/>
    <w:rsid w:val="00481889"/>
    <w:pPr>
      <w:numPr>
        <w:ilvl w:val="0"/>
        <w:numId w:val="0"/>
      </w:numPr>
      <w:spacing w:before="40" w:after="40"/>
    </w:pPr>
    <w:rPr>
      <w:rFonts w:eastAsia="Times New Roman"/>
      <w:b w:val="0"/>
      <w:noProof w:val="0"/>
      <w:sz w:val="22"/>
      <w:szCs w:val="20"/>
      <w:lang w:val="en-US"/>
    </w:rPr>
  </w:style>
  <w:style w:type="paragraph" w:customStyle="1" w:styleId="StyleAppendix2">
    <w:name w:val="Style Appendix2"/>
    <w:basedOn w:val="Appendix2"/>
    <w:link w:val="StyleAppendix2Char"/>
    <w:uiPriority w:val="99"/>
    <w:rsid w:val="00481889"/>
    <w:pPr>
      <w:keepNext w:val="0"/>
      <w:tabs>
        <w:tab w:val="clear" w:pos="1814"/>
        <w:tab w:val="left" w:pos="851"/>
      </w:tabs>
      <w:spacing w:before="60" w:after="0"/>
      <w:ind w:left="851" w:hanging="851"/>
      <w:jc w:val="left"/>
    </w:pPr>
    <w:rPr>
      <w:rFonts w:ascii="Arial Bold" w:hAnsi="Arial Bold"/>
      <w:b/>
      <w:bCs/>
      <w:sz w:val="26"/>
      <w:szCs w:val="20"/>
      <w:lang w:val="en-GB"/>
    </w:rPr>
  </w:style>
  <w:style w:type="paragraph" w:customStyle="1" w:styleId="StyleStyleAppendix2Bold">
    <w:name w:val="Style Style Appendix2 + Bold"/>
    <w:basedOn w:val="StyleAppendix2"/>
    <w:link w:val="StyleStyleAppendix2BoldChar"/>
    <w:uiPriority w:val="99"/>
    <w:rsid w:val="00481889"/>
    <w:rPr>
      <w:b w:val="0"/>
      <w:sz w:val="30"/>
      <w:szCs w:val="30"/>
    </w:rPr>
  </w:style>
  <w:style w:type="character" w:customStyle="1" w:styleId="StandardparagraphChar">
    <w:name w:val="Standard paragraph Char"/>
    <w:basedOn w:val="DefaultParagraphFont"/>
    <w:link w:val="Standardparagraph"/>
    <w:uiPriority w:val="99"/>
    <w:locked/>
    <w:rsid w:val="00481889"/>
    <w:rPr>
      <w:rFonts w:ascii="Arial" w:eastAsia="Times New Roman" w:hAnsi="Arial"/>
      <w:lang w:val="en-GB"/>
    </w:rPr>
  </w:style>
  <w:style w:type="character" w:customStyle="1" w:styleId="StyleAppendix2Char">
    <w:name w:val="Style Appendix2 Char"/>
    <w:basedOn w:val="Appendix2CharChar"/>
    <w:link w:val="StyleAppendix2"/>
    <w:uiPriority w:val="99"/>
    <w:locked/>
    <w:rsid w:val="00481889"/>
    <w:rPr>
      <w:rFonts w:ascii="Arial Bold" w:eastAsia="Times New Roman" w:hAnsi="Arial Bold" w:cs="Times New Roman"/>
      <w:b/>
      <w:bCs/>
      <w:sz w:val="26"/>
      <w:lang w:val="en-GB" w:eastAsia="en-AU" w:bidi="ar-SA"/>
    </w:rPr>
  </w:style>
  <w:style w:type="character" w:customStyle="1" w:styleId="StyleStyleAppendix2BoldChar">
    <w:name w:val="Style Style Appendix2 + Bold Char"/>
    <w:basedOn w:val="StyleAppendix2Char"/>
    <w:link w:val="StyleStyleAppendix2Bold"/>
    <w:uiPriority w:val="99"/>
    <w:locked/>
    <w:rsid w:val="00481889"/>
    <w:rPr>
      <w:rFonts w:ascii="Arial Bold" w:eastAsia="Times New Roman" w:hAnsi="Arial Bold" w:cs="Times New Roman"/>
      <w:b w:val="0"/>
      <w:bCs/>
      <w:sz w:val="30"/>
      <w:szCs w:val="30"/>
      <w:lang w:val="en-GB" w:eastAsia="en-AU" w:bidi="ar-SA"/>
    </w:rPr>
  </w:style>
  <w:style w:type="paragraph" w:customStyle="1" w:styleId="StyleStyleArial14ptCenteredRight03mmAfter6ptAfte">
    <w:name w:val="Style Style Arial 14 pt Centered Right:  0.3 mm After:  6 pt + Afte..."/>
    <w:basedOn w:val="StyleArial14ptCenteredRight03mmAfter6pt"/>
    <w:uiPriority w:val="99"/>
    <w:rsid w:val="00481889"/>
    <w:pPr>
      <w:spacing w:after="60"/>
    </w:pPr>
  </w:style>
  <w:style w:type="paragraph" w:styleId="ListNumber4">
    <w:name w:val="List Number 4"/>
    <w:basedOn w:val="Normal"/>
    <w:uiPriority w:val="99"/>
    <w:rsid w:val="00481889"/>
    <w:pPr>
      <w:tabs>
        <w:tab w:val="left" w:pos="1418"/>
      </w:tabs>
      <w:spacing w:after="120"/>
      <w:ind w:left="1418" w:hanging="567"/>
      <w:jc w:val="both"/>
    </w:pPr>
    <w:rPr>
      <w:rFonts w:ascii="Times New Roman" w:hAnsi="Times New Roman"/>
      <w:sz w:val="24"/>
      <w:szCs w:val="20"/>
      <w:lang w:val="en-GB"/>
    </w:rPr>
  </w:style>
  <w:style w:type="paragraph" w:customStyle="1" w:styleId="StyleboxedNotBoldCentered">
    <w:name w:val="Style boxed + Not Bold Centered"/>
    <w:basedOn w:val="boxed"/>
    <w:uiPriority w:val="99"/>
    <w:rsid w:val="00481889"/>
    <w:pPr>
      <w:pBdr>
        <w:top w:val="none" w:sz="0" w:space="0" w:color="auto"/>
        <w:left w:val="none" w:sz="0" w:space="0" w:color="auto"/>
        <w:bottom w:val="none" w:sz="0" w:space="0" w:color="auto"/>
        <w:right w:val="none" w:sz="0" w:space="0" w:color="auto"/>
      </w:pBdr>
      <w:spacing w:before="40" w:after="40"/>
      <w:ind w:left="0"/>
    </w:pPr>
    <w:rPr>
      <w:rFonts w:ascii="Arial" w:hAnsi="Arial"/>
      <w:b w:val="0"/>
      <w:i w:val="0"/>
      <w:iCs/>
      <w:sz w:val="18"/>
    </w:rPr>
  </w:style>
  <w:style w:type="paragraph" w:customStyle="1" w:styleId="StyleboxedCenteredBefore2ptAfter2pt">
    <w:name w:val="Style boxed + Centered Before:  2 pt After:  2 pt"/>
    <w:basedOn w:val="boxed"/>
    <w:uiPriority w:val="99"/>
    <w:rsid w:val="00481889"/>
    <w:pPr>
      <w:pBdr>
        <w:top w:val="none" w:sz="0" w:space="0" w:color="auto"/>
        <w:left w:val="none" w:sz="0" w:space="0" w:color="auto"/>
        <w:bottom w:val="none" w:sz="0" w:space="0" w:color="auto"/>
        <w:right w:val="none" w:sz="0" w:space="0" w:color="auto"/>
      </w:pBdr>
      <w:spacing w:before="40" w:after="40"/>
      <w:jc w:val="center"/>
    </w:pPr>
    <w:rPr>
      <w:rFonts w:ascii="Arial" w:hAnsi="Arial"/>
      <w:b w:val="0"/>
      <w:bCs/>
      <w:i w:val="0"/>
      <w:iCs/>
      <w:sz w:val="18"/>
    </w:rPr>
  </w:style>
  <w:style w:type="paragraph" w:customStyle="1" w:styleId="StyleboxedNotBoldCenteredBefore2ptAfter2pt">
    <w:name w:val="Style boxed + Not Bold Centered Before:  2 pt After:  2 pt"/>
    <w:basedOn w:val="boxed"/>
    <w:uiPriority w:val="99"/>
    <w:rsid w:val="00481889"/>
    <w:pPr>
      <w:pBdr>
        <w:top w:val="none" w:sz="0" w:space="0" w:color="auto"/>
        <w:left w:val="none" w:sz="0" w:space="0" w:color="auto"/>
        <w:bottom w:val="none" w:sz="0" w:space="0" w:color="auto"/>
        <w:right w:val="none" w:sz="0" w:space="0" w:color="auto"/>
      </w:pBdr>
      <w:spacing w:before="40" w:after="40"/>
      <w:ind w:left="0"/>
    </w:pPr>
    <w:rPr>
      <w:rFonts w:ascii="Arial" w:hAnsi="Arial"/>
      <w:b w:val="0"/>
      <w:iCs/>
      <w:sz w:val="18"/>
    </w:rPr>
  </w:style>
  <w:style w:type="paragraph" w:customStyle="1" w:styleId="StyleCaptionBefore4ptAfter3pt">
    <w:name w:val="Style Caption + Before:  4 pt After:  3 pt"/>
    <w:basedOn w:val="Caption"/>
    <w:uiPriority w:val="99"/>
    <w:rsid w:val="00481889"/>
    <w:pPr>
      <w:spacing w:after="60"/>
    </w:pPr>
    <w:rPr>
      <w:rFonts w:ascii="Arial" w:hAnsi="Arial"/>
      <w:bCs/>
      <w:i/>
      <w:sz w:val="20"/>
      <w:szCs w:val="20"/>
      <w:lang w:val="en-GB"/>
    </w:rPr>
  </w:style>
  <w:style w:type="paragraph" w:customStyle="1" w:styleId="Appendix40">
    <w:name w:val="Appendix4"/>
    <w:basedOn w:val="Appendix3"/>
    <w:uiPriority w:val="99"/>
    <w:rsid w:val="00481889"/>
    <w:pPr>
      <w:keepNext w:val="0"/>
      <w:tabs>
        <w:tab w:val="clear" w:pos="1814"/>
        <w:tab w:val="left" w:pos="851"/>
      </w:tabs>
      <w:spacing w:before="0" w:after="60"/>
      <w:ind w:left="0" w:firstLine="0"/>
    </w:pPr>
    <w:rPr>
      <w:rFonts w:ascii="Arial Narrow" w:hAnsi="Arial Narrow"/>
      <w:sz w:val="26"/>
      <w:szCs w:val="20"/>
      <w:lang w:val="en-GB" w:eastAsia="en-US"/>
    </w:rPr>
  </w:style>
  <w:style w:type="paragraph" w:customStyle="1" w:styleId="StyleAppendix2Arial">
    <w:name w:val="Style Appendix2 + Arial"/>
    <w:basedOn w:val="Appendix2"/>
    <w:uiPriority w:val="99"/>
    <w:rsid w:val="00481889"/>
    <w:pPr>
      <w:keepNext w:val="0"/>
      <w:tabs>
        <w:tab w:val="clear" w:pos="1814"/>
        <w:tab w:val="left" w:pos="851"/>
      </w:tabs>
      <w:spacing w:before="60" w:after="0"/>
      <w:ind w:left="2835" w:hanging="851"/>
      <w:jc w:val="left"/>
    </w:pPr>
    <w:rPr>
      <w:bCs/>
      <w:sz w:val="26"/>
      <w:szCs w:val="26"/>
      <w:lang w:val="en-GB"/>
    </w:rPr>
  </w:style>
  <w:style w:type="paragraph" w:customStyle="1" w:styleId="StyleAppendix2After3pt">
    <w:name w:val="Style Appendix2 + After:  3 pt"/>
    <w:basedOn w:val="Appendix2"/>
    <w:uiPriority w:val="99"/>
    <w:rsid w:val="00481889"/>
    <w:pPr>
      <w:keepNext w:val="0"/>
      <w:tabs>
        <w:tab w:val="clear" w:pos="1814"/>
        <w:tab w:val="left" w:pos="851"/>
      </w:tabs>
      <w:spacing w:before="60" w:after="60"/>
      <w:ind w:left="3686" w:hanging="851"/>
      <w:jc w:val="left"/>
    </w:pPr>
    <w:rPr>
      <w:rFonts w:ascii="Arial Narrow" w:hAnsi="Arial Narrow"/>
      <w:bCs/>
      <w:sz w:val="26"/>
      <w:szCs w:val="20"/>
      <w:lang w:val="en-GB"/>
    </w:rPr>
  </w:style>
  <w:style w:type="paragraph" w:customStyle="1" w:styleId="StyleStyleAppendix2ArialAfter8pt">
    <w:name w:val="Style Style Appendix2 + Arial + After:  8 pt"/>
    <w:basedOn w:val="StyleAppendix2Arial"/>
    <w:uiPriority w:val="99"/>
    <w:rsid w:val="00481889"/>
    <w:pPr>
      <w:spacing w:after="160"/>
    </w:pPr>
    <w:rPr>
      <w:sz w:val="32"/>
      <w:szCs w:val="20"/>
    </w:rPr>
  </w:style>
  <w:style w:type="paragraph" w:customStyle="1" w:styleId="StyleAppendix2Before9pt">
    <w:name w:val="Style Appendix2 + Before:  9 pt"/>
    <w:basedOn w:val="Appendix2"/>
    <w:link w:val="StyleAppendix2Before9ptChar"/>
    <w:uiPriority w:val="99"/>
    <w:rsid w:val="00481889"/>
    <w:pPr>
      <w:keepNext w:val="0"/>
      <w:tabs>
        <w:tab w:val="clear" w:pos="1814"/>
        <w:tab w:val="left" w:pos="851"/>
      </w:tabs>
      <w:spacing w:before="60" w:after="60"/>
      <w:ind w:left="851" w:hanging="851"/>
      <w:jc w:val="left"/>
    </w:pPr>
    <w:rPr>
      <w:rFonts w:ascii="Arial Narrow" w:hAnsi="Arial Narrow"/>
      <w:bCs/>
      <w:sz w:val="30"/>
      <w:szCs w:val="20"/>
      <w:lang w:val="en-GB"/>
    </w:rPr>
  </w:style>
  <w:style w:type="character" w:customStyle="1" w:styleId="StyleAppendix2Before9ptChar">
    <w:name w:val="Style Appendix2 + Before:  9 pt Char"/>
    <w:basedOn w:val="Appendix2CharChar"/>
    <w:link w:val="StyleAppendix2Before9pt"/>
    <w:uiPriority w:val="99"/>
    <w:locked/>
    <w:rsid w:val="00481889"/>
    <w:rPr>
      <w:rFonts w:ascii="Arial Narrow" w:eastAsia="Times New Roman" w:hAnsi="Arial Narrow" w:cs="Times New Roman"/>
      <w:b w:val="0"/>
      <w:bCs/>
      <w:sz w:val="30"/>
      <w:lang w:val="en-GB" w:eastAsia="en-AU" w:bidi="ar-SA"/>
    </w:rPr>
  </w:style>
  <w:style w:type="paragraph" w:customStyle="1" w:styleId="StandardText">
    <w:name w:val="StandardText"/>
    <w:basedOn w:val="Normal"/>
    <w:link w:val="StandardTextChar"/>
    <w:uiPriority w:val="99"/>
    <w:rsid w:val="00481889"/>
    <w:pPr>
      <w:spacing w:before="120" w:after="120"/>
    </w:pPr>
    <w:rPr>
      <w:rFonts w:ascii="Univers 45 Light" w:hAnsi="Univers 45 Light"/>
      <w:color w:val="383838"/>
      <w:spacing w:val="-4"/>
      <w:szCs w:val="18"/>
      <w:lang w:val="en-AU" w:eastAsia="en-AU"/>
    </w:rPr>
  </w:style>
  <w:style w:type="character" w:customStyle="1" w:styleId="StandardTextChar">
    <w:name w:val="StandardText Char"/>
    <w:basedOn w:val="DefaultParagraphFont"/>
    <w:link w:val="StandardText"/>
    <w:uiPriority w:val="99"/>
    <w:locked/>
    <w:rsid w:val="00481889"/>
    <w:rPr>
      <w:rFonts w:ascii="Univers 45 Light" w:eastAsia="Times New Roman" w:hAnsi="Univers 45 Light"/>
      <w:color w:val="383838"/>
      <w:spacing w:val="-4"/>
      <w:sz w:val="18"/>
      <w:szCs w:val="18"/>
    </w:rPr>
  </w:style>
  <w:style w:type="paragraph" w:customStyle="1" w:styleId="StandardNumber1">
    <w:name w:val="StandardNumber1"/>
    <w:basedOn w:val="StandardText"/>
    <w:link w:val="StandardNumber1Char"/>
    <w:uiPriority w:val="99"/>
    <w:rsid w:val="00481889"/>
    <w:pPr>
      <w:tabs>
        <w:tab w:val="left" w:pos="300"/>
      </w:tabs>
      <w:ind w:left="300" w:hanging="300"/>
    </w:pPr>
    <w:rPr>
      <w:color w:val="3B3B3B"/>
    </w:rPr>
  </w:style>
  <w:style w:type="character" w:customStyle="1" w:styleId="StandardNumber1Char">
    <w:name w:val="StandardNumber1 Char"/>
    <w:basedOn w:val="StandardTextChar"/>
    <w:link w:val="StandardNumber1"/>
    <w:uiPriority w:val="99"/>
    <w:locked/>
    <w:rsid w:val="00481889"/>
    <w:rPr>
      <w:rFonts w:ascii="Univers 45 Light" w:eastAsia="Times New Roman" w:hAnsi="Univers 45 Light"/>
      <w:color w:val="3B3B3B"/>
      <w:spacing w:val="-4"/>
      <w:sz w:val="18"/>
      <w:szCs w:val="18"/>
    </w:rPr>
  </w:style>
  <w:style w:type="paragraph" w:customStyle="1" w:styleId="TableHeader">
    <w:name w:val="TableHeader"/>
    <w:basedOn w:val="Normal"/>
    <w:link w:val="TableHeaderChar"/>
    <w:uiPriority w:val="99"/>
    <w:rsid w:val="00481889"/>
    <w:pPr>
      <w:spacing w:before="40" w:after="40"/>
      <w:contextualSpacing/>
      <w:jc w:val="center"/>
    </w:pPr>
    <w:rPr>
      <w:rFonts w:ascii="Univers 45 Light" w:hAnsi="Univers 45 Light"/>
      <w:b/>
      <w:color w:val="4D4D4D"/>
      <w:sz w:val="16"/>
      <w:szCs w:val="16"/>
      <w:lang w:val="en-AU" w:eastAsia="en-AU"/>
    </w:rPr>
  </w:style>
  <w:style w:type="character" w:customStyle="1" w:styleId="TableHeaderChar">
    <w:name w:val="TableHeader Char"/>
    <w:basedOn w:val="DefaultParagraphFont"/>
    <w:link w:val="TableHeader"/>
    <w:uiPriority w:val="99"/>
    <w:locked/>
    <w:rsid w:val="00481889"/>
    <w:rPr>
      <w:rFonts w:ascii="Univers 45 Light" w:eastAsia="Times New Roman" w:hAnsi="Univers 45 Light"/>
      <w:b/>
      <w:color w:val="4D4D4D"/>
      <w:sz w:val="16"/>
      <w:szCs w:val="16"/>
    </w:rPr>
  </w:style>
  <w:style w:type="paragraph" w:customStyle="1" w:styleId="TableText1">
    <w:name w:val="TableText"/>
    <w:basedOn w:val="Normal"/>
    <w:link w:val="TableTextChar0"/>
    <w:uiPriority w:val="99"/>
    <w:rsid w:val="00481889"/>
    <w:pPr>
      <w:spacing w:before="40" w:after="40"/>
      <w:contextualSpacing/>
      <w:jc w:val="center"/>
    </w:pPr>
    <w:rPr>
      <w:rFonts w:ascii="Univers 45 Light" w:hAnsi="Univers 45 Light"/>
      <w:color w:val="4D4D4D"/>
      <w:sz w:val="16"/>
      <w:szCs w:val="16"/>
      <w:lang w:val="en-AU" w:eastAsia="en-AU"/>
    </w:rPr>
  </w:style>
  <w:style w:type="paragraph" w:customStyle="1" w:styleId="TableText1stColumn">
    <w:name w:val="TableText1stColumn"/>
    <w:basedOn w:val="Normal"/>
    <w:uiPriority w:val="99"/>
    <w:rsid w:val="00481889"/>
    <w:pPr>
      <w:spacing w:before="40" w:after="40"/>
      <w:contextualSpacing/>
    </w:pPr>
    <w:rPr>
      <w:rFonts w:ascii="Univers 45 Light" w:hAnsi="Univers 45 Light"/>
      <w:color w:val="4D4D4D"/>
      <w:sz w:val="16"/>
      <w:szCs w:val="16"/>
      <w:lang w:val="en-AU" w:eastAsia="en-AU"/>
    </w:rPr>
  </w:style>
  <w:style w:type="character" w:customStyle="1" w:styleId="TableTextChar0">
    <w:name w:val="TableText Char"/>
    <w:basedOn w:val="DefaultParagraphFont"/>
    <w:link w:val="TableText1"/>
    <w:uiPriority w:val="99"/>
    <w:locked/>
    <w:rsid w:val="00481889"/>
    <w:rPr>
      <w:rFonts w:ascii="Univers 45 Light" w:eastAsia="Times New Roman" w:hAnsi="Univers 45 Light"/>
      <w:color w:val="4D4D4D"/>
      <w:sz w:val="16"/>
      <w:szCs w:val="16"/>
    </w:rPr>
  </w:style>
  <w:style w:type="paragraph" w:customStyle="1" w:styleId="StyleAppendixArial">
    <w:name w:val="Style Appendix + Arial"/>
    <w:basedOn w:val="Appendix0"/>
    <w:autoRedefine/>
    <w:uiPriority w:val="99"/>
    <w:rsid w:val="00481889"/>
    <w:pPr>
      <w:tabs>
        <w:tab w:val="num" w:pos="394"/>
      </w:tabs>
      <w:ind w:left="0" w:firstLine="0"/>
    </w:pPr>
    <w:rPr>
      <w:bCs/>
      <w:szCs w:val="40"/>
    </w:rPr>
  </w:style>
  <w:style w:type="paragraph" w:customStyle="1" w:styleId="StyleAppendixArialAfter18pt">
    <w:name w:val="Style Appendix + Arial After:  18 pt"/>
    <w:basedOn w:val="Appendix0"/>
    <w:autoRedefine/>
    <w:uiPriority w:val="99"/>
    <w:rsid w:val="00481889"/>
    <w:pPr>
      <w:tabs>
        <w:tab w:val="num" w:pos="394"/>
      </w:tabs>
      <w:spacing w:after="360"/>
      <w:ind w:left="0" w:firstLine="0"/>
    </w:pPr>
    <w:rPr>
      <w:bCs/>
    </w:rPr>
  </w:style>
  <w:style w:type="paragraph" w:customStyle="1" w:styleId="StyleHeading1H1Arial">
    <w:name w:val="Style Heading 1H1 + Arial"/>
    <w:basedOn w:val="Heading1"/>
    <w:autoRedefine/>
    <w:uiPriority w:val="99"/>
    <w:rsid w:val="00481889"/>
    <w:pPr>
      <w:keepNext w:val="0"/>
      <w:pageBreakBefore w:val="0"/>
      <w:widowControl w:val="0"/>
      <w:numPr>
        <w:numId w:val="0"/>
      </w:numPr>
      <w:pBdr>
        <w:bottom w:val="single" w:sz="4" w:space="1" w:color="auto"/>
      </w:pBdr>
      <w:tabs>
        <w:tab w:val="num" w:pos="851"/>
        <w:tab w:val="num" w:pos="1353"/>
        <w:tab w:val="right" w:pos="9639"/>
      </w:tabs>
      <w:spacing w:after="480"/>
      <w:ind w:left="851" w:hanging="851"/>
    </w:pPr>
    <w:rPr>
      <w:rFonts w:eastAsia="Times New Roman"/>
      <w:bCs/>
      <w:caps/>
      <w:color w:val="auto"/>
      <w:kern w:val="0"/>
      <w:szCs w:val="30"/>
    </w:rPr>
  </w:style>
  <w:style w:type="paragraph" w:customStyle="1" w:styleId="StyleStyleAppendix2Before9ptArial">
    <w:name w:val="Style Style Appendix2 + Before:  9 pt + Arial"/>
    <w:basedOn w:val="StyleAppendix2Before9pt"/>
    <w:uiPriority w:val="99"/>
    <w:rsid w:val="00481889"/>
  </w:style>
  <w:style w:type="paragraph" w:customStyle="1" w:styleId="StyleStyleCaptionBefore4ptAfter3ptLeft0mmBef">
    <w:name w:val="Style Style Caption + Before:  4 pt After:  3 pt + Left:  0 mm Bef..."/>
    <w:basedOn w:val="StyleCaptionBefore4ptAfter3pt"/>
    <w:uiPriority w:val="99"/>
    <w:rsid w:val="00481889"/>
    <w:pPr>
      <w:spacing w:before="240"/>
    </w:pPr>
  </w:style>
  <w:style w:type="paragraph" w:customStyle="1" w:styleId="StyleNoteLeft148mmHanging275mm">
    <w:name w:val="Style Note + Left:  14.8 mm Hanging:  27.5 mm"/>
    <w:basedOn w:val="Note"/>
    <w:uiPriority w:val="99"/>
    <w:rsid w:val="00481889"/>
    <w:pPr>
      <w:tabs>
        <w:tab w:val="clear" w:pos="1814"/>
        <w:tab w:val="left" w:pos="1418"/>
      </w:tabs>
      <w:spacing w:after="180" w:line="240" w:lineRule="auto"/>
      <w:ind w:left="2410" w:hanging="1559"/>
    </w:pPr>
    <w:rPr>
      <w:rFonts w:eastAsia="Times New Roman"/>
      <w:sz w:val="20"/>
      <w:szCs w:val="20"/>
      <w:lang w:val="en-GB"/>
    </w:rPr>
  </w:style>
  <w:style w:type="paragraph" w:customStyle="1" w:styleId="StyleHeading2Arial">
    <w:name w:val="Style Heading 2 + Arial"/>
    <w:basedOn w:val="Heading2"/>
    <w:uiPriority w:val="99"/>
    <w:rsid w:val="00481889"/>
    <w:pPr>
      <w:numPr>
        <w:numId w:val="1"/>
      </w:numPr>
      <w:tabs>
        <w:tab w:val="num" w:pos="576"/>
        <w:tab w:val="num" w:pos="851"/>
        <w:tab w:val="num" w:pos="1353"/>
      </w:tabs>
      <w:ind w:left="576" w:hanging="576"/>
    </w:pPr>
    <w:rPr>
      <w:rFonts w:ascii="Arial Bold" w:eastAsia="Times New Roman" w:hAnsi="Arial Bold"/>
      <w:b w:val="0"/>
      <w:bCs/>
      <w:szCs w:val="20"/>
    </w:rPr>
  </w:style>
  <w:style w:type="paragraph" w:customStyle="1" w:styleId="StyleStandardparaLeft50mmHanging10mm">
    <w:name w:val="Style Standard para + Left:  50 mm Hanging:  10 mm"/>
    <w:basedOn w:val="Standardpara"/>
    <w:uiPriority w:val="99"/>
    <w:rsid w:val="00481889"/>
    <w:pPr>
      <w:ind w:left="1418" w:hanging="567"/>
      <w:jc w:val="left"/>
    </w:pPr>
    <w:rPr>
      <w:sz w:val="20"/>
      <w:lang w:val="en-US" w:eastAsia="en-AU"/>
    </w:rPr>
  </w:style>
  <w:style w:type="paragraph" w:customStyle="1" w:styleId="StyleHeading3H3Arial">
    <w:name w:val="Style Heading 3H3 + Arial"/>
    <w:basedOn w:val="Heading3"/>
    <w:uiPriority w:val="99"/>
    <w:rsid w:val="00481889"/>
    <w:pPr>
      <w:numPr>
        <w:ilvl w:val="0"/>
        <w:numId w:val="0"/>
      </w:numPr>
      <w:tabs>
        <w:tab w:val="left" w:pos="851"/>
      </w:tabs>
      <w:spacing w:before="60"/>
      <w:ind w:left="851" w:right="1134" w:hanging="851"/>
    </w:pPr>
    <w:rPr>
      <w:rFonts w:ascii="Arial Bold" w:eastAsia="Times New Roman" w:hAnsi="Arial Bold"/>
      <w:b w:val="0"/>
      <w:bCs/>
      <w:noProof w:val="0"/>
      <w:szCs w:val="20"/>
      <w:lang w:val="en-US"/>
    </w:rPr>
  </w:style>
  <w:style w:type="paragraph" w:customStyle="1" w:styleId="StyleHeading2ArialBefore6pt">
    <w:name w:val="Style Heading 2 + Arial Before:  6 pt"/>
    <w:basedOn w:val="Heading2"/>
    <w:uiPriority w:val="99"/>
    <w:rsid w:val="00481889"/>
    <w:pPr>
      <w:numPr>
        <w:numId w:val="1"/>
      </w:numPr>
      <w:tabs>
        <w:tab w:val="num" w:pos="576"/>
        <w:tab w:val="num" w:pos="851"/>
        <w:tab w:val="num" w:pos="1353"/>
      </w:tabs>
      <w:ind w:left="576" w:hanging="576"/>
    </w:pPr>
    <w:rPr>
      <w:rFonts w:ascii="Arial Bold" w:eastAsia="Times New Roman" w:hAnsi="Arial Bold"/>
      <w:b w:val="0"/>
      <w:bCs/>
      <w:szCs w:val="20"/>
    </w:rPr>
  </w:style>
  <w:style w:type="paragraph" w:customStyle="1" w:styleId="StyleNoteLeft50mmHanging225mmBefore6pt">
    <w:name w:val="Style Note + Left:  50 mm Hanging:  22.5 mm Before:  6 pt"/>
    <w:basedOn w:val="Note"/>
    <w:uiPriority w:val="99"/>
    <w:rsid w:val="00481889"/>
    <w:pPr>
      <w:tabs>
        <w:tab w:val="clear" w:pos="1814"/>
        <w:tab w:val="left" w:pos="1418"/>
      </w:tabs>
      <w:spacing w:before="120" w:after="180" w:line="240" w:lineRule="auto"/>
      <w:ind w:left="2127" w:hanging="1276"/>
    </w:pPr>
    <w:rPr>
      <w:rFonts w:eastAsia="Times New Roman"/>
      <w:sz w:val="20"/>
      <w:szCs w:val="20"/>
      <w:lang w:val="en-GB"/>
    </w:rPr>
  </w:style>
  <w:style w:type="paragraph" w:customStyle="1" w:styleId="StyleStandardparaLeft762mm">
    <w:name w:val="Style Standard para + Left:  76.2 mm"/>
    <w:basedOn w:val="Standardpara"/>
    <w:uiPriority w:val="99"/>
    <w:rsid w:val="00481889"/>
    <w:pPr>
      <w:jc w:val="left"/>
    </w:pPr>
    <w:rPr>
      <w:sz w:val="20"/>
      <w:lang w:val="en-US" w:eastAsia="en-AU"/>
    </w:rPr>
  </w:style>
  <w:style w:type="paragraph" w:customStyle="1" w:styleId="StyleStandardparaBoldLeft50mmHanging262mm">
    <w:name w:val="Style Standard para + Bold Left:  50 mm Hanging:  26.2 mm"/>
    <w:basedOn w:val="Standardpara"/>
    <w:uiPriority w:val="99"/>
    <w:rsid w:val="00481889"/>
    <w:pPr>
      <w:ind w:left="2337" w:hanging="1486"/>
      <w:jc w:val="left"/>
    </w:pPr>
    <w:rPr>
      <w:b/>
      <w:bCs/>
      <w:sz w:val="20"/>
      <w:lang w:val="en-US" w:eastAsia="en-AU"/>
    </w:rPr>
  </w:style>
  <w:style w:type="paragraph" w:customStyle="1" w:styleId="StyleAppendix3Arial">
    <w:name w:val="Style Appendix3 + Arial"/>
    <w:basedOn w:val="Appendix3"/>
    <w:uiPriority w:val="99"/>
    <w:rsid w:val="00481889"/>
    <w:pPr>
      <w:keepNext w:val="0"/>
      <w:tabs>
        <w:tab w:val="clear" w:pos="1814"/>
        <w:tab w:val="left" w:pos="851"/>
      </w:tabs>
      <w:spacing w:before="0" w:after="60"/>
      <w:ind w:left="851" w:hanging="851"/>
    </w:pPr>
    <w:rPr>
      <w:rFonts w:ascii="Arial Narrow" w:hAnsi="Arial Narrow"/>
      <w:b/>
      <w:bCs/>
      <w:noProof/>
      <w:sz w:val="26"/>
    </w:rPr>
  </w:style>
  <w:style w:type="paragraph" w:customStyle="1" w:styleId="StyleHeading2Expandedby005pt">
    <w:name w:val="Style Heading 2 + Expanded by  0.05 pt"/>
    <w:basedOn w:val="Heading2"/>
    <w:link w:val="StyleHeading2Expandedby005ptChar"/>
    <w:uiPriority w:val="99"/>
    <w:rsid w:val="00481889"/>
    <w:pPr>
      <w:numPr>
        <w:ilvl w:val="0"/>
        <w:numId w:val="16"/>
      </w:numPr>
      <w:tabs>
        <w:tab w:val="clear" w:pos="360"/>
        <w:tab w:val="num" w:pos="576"/>
        <w:tab w:val="num" w:pos="851"/>
        <w:tab w:val="num" w:pos="1353"/>
      </w:tabs>
      <w:ind w:left="576" w:hanging="576"/>
    </w:pPr>
    <w:rPr>
      <w:rFonts w:ascii="Arial Bold" w:eastAsia="Times New Roman" w:hAnsi="Arial Bold"/>
      <w:b w:val="0"/>
      <w:bCs/>
      <w:spacing w:val="1"/>
      <w:szCs w:val="20"/>
    </w:rPr>
  </w:style>
  <w:style w:type="character" w:customStyle="1" w:styleId="StyleHeading2Expandedby005ptChar">
    <w:name w:val="Style Heading 2 + Expanded by  0.05 pt Char"/>
    <w:basedOn w:val="Heading2Char1"/>
    <w:link w:val="StyleHeading2Expandedby005pt"/>
    <w:uiPriority w:val="99"/>
    <w:locked/>
    <w:rsid w:val="00481889"/>
    <w:rPr>
      <w:rFonts w:ascii="Arial Bold" w:eastAsia="Times New Roman" w:hAnsi="Arial Bold" w:cs="Times New Roman"/>
      <w:b/>
      <w:bCs/>
      <w:noProof/>
      <w:spacing w:val="1"/>
      <w:sz w:val="26"/>
      <w:lang w:val="en-AU" w:eastAsia="en-AU" w:bidi="ar-SA"/>
    </w:rPr>
  </w:style>
  <w:style w:type="paragraph" w:customStyle="1" w:styleId="StyleNote9ptExpandedby01pt">
    <w:name w:val="Style Note + 9 pt Expanded by  0.1 pt"/>
    <w:basedOn w:val="Note"/>
    <w:uiPriority w:val="99"/>
    <w:rsid w:val="00481889"/>
    <w:pPr>
      <w:tabs>
        <w:tab w:val="clear" w:pos="1814"/>
        <w:tab w:val="left" w:pos="1588"/>
      </w:tabs>
      <w:spacing w:after="160" w:line="240" w:lineRule="auto"/>
      <w:ind w:left="1588" w:hanging="737"/>
    </w:pPr>
    <w:rPr>
      <w:rFonts w:eastAsia="Times New Roman"/>
      <w:spacing w:val="2"/>
      <w:sz w:val="20"/>
      <w:szCs w:val="20"/>
      <w:lang w:val="en-GB"/>
    </w:rPr>
  </w:style>
  <w:style w:type="paragraph" w:customStyle="1" w:styleId="Styleappendix1Expandedby01pt">
    <w:name w:val="Style appendix 1 + Expanded by  0.1 pt"/>
    <w:basedOn w:val="appendix1"/>
    <w:link w:val="Styleappendix1Expandedby01ptChar"/>
    <w:uiPriority w:val="99"/>
    <w:rsid w:val="00481889"/>
    <w:rPr>
      <w:spacing w:val="2"/>
    </w:rPr>
  </w:style>
  <w:style w:type="character" w:customStyle="1" w:styleId="appendixChar">
    <w:name w:val="appendix Char"/>
    <w:basedOn w:val="DefaultParagraphFont"/>
    <w:link w:val="appendix"/>
    <w:uiPriority w:val="99"/>
    <w:locked/>
    <w:rsid w:val="00481889"/>
    <w:rPr>
      <w:rFonts w:ascii="Zurich Cn BT" w:eastAsia="Times New Roman" w:hAnsi="Zurich Cn BT"/>
      <w:sz w:val="40"/>
      <w:lang w:val="en-US"/>
    </w:rPr>
  </w:style>
  <w:style w:type="character" w:customStyle="1" w:styleId="appendix1Char">
    <w:name w:val="appendix 1 Char"/>
    <w:basedOn w:val="appendixChar"/>
    <w:link w:val="appendix1"/>
    <w:uiPriority w:val="99"/>
    <w:locked/>
    <w:rsid w:val="00481889"/>
    <w:rPr>
      <w:rFonts w:ascii="Arial" w:eastAsia="Times New Roman" w:hAnsi="Arial"/>
      <w:sz w:val="30"/>
      <w:lang w:val="en-US"/>
    </w:rPr>
  </w:style>
  <w:style w:type="character" w:customStyle="1" w:styleId="Styleappendix1Expandedby01ptChar">
    <w:name w:val="Style appendix 1 + Expanded by  0.1 pt Char"/>
    <w:basedOn w:val="appendix1Char"/>
    <w:link w:val="Styleappendix1Expandedby01pt"/>
    <w:uiPriority w:val="99"/>
    <w:locked/>
    <w:rsid w:val="00481889"/>
    <w:rPr>
      <w:rFonts w:ascii="Arial" w:eastAsia="Times New Roman" w:hAnsi="Arial"/>
      <w:spacing w:val="2"/>
      <w:sz w:val="30"/>
      <w:lang w:val="en-US"/>
    </w:rPr>
  </w:style>
  <w:style w:type="paragraph" w:customStyle="1" w:styleId="Bodyhang">
    <w:name w:val="Body hang"/>
    <w:basedOn w:val="BodyText"/>
    <w:autoRedefine/>
    <w:uiPriority w:val="99"/>
    <w:rsid w:val="00481889"/>
    <w:pPr>
      <w:numPr>
        <w:numId w:val="22"/>
      </w:numPr>
      <w:tabs>
        <w:tab w:val="clear" w:pos="360"/>
        <w:tab w:val="left" w:pos="3062"/>
      </w:tabs>
      <w:ind w:left="3062" w:hanging="340"/>
    </w:pPr>
    <w:rPr>
      <w:rFonts w:eastAsia="Times New Roman"/>
      <w:lang w:val="en-GB"/>
    </w:rPr>
  </w:style>
  <w:style w:type="paragraph" w:customStyle="1" w:styleId="NOTE0">
    <w:name w:val="NOTE"/>
    <w:autoRedefine/>
    <w:uiPriority w:val="99"/>
    <w:rsid w:val="00481889"/>
    <w:pPr>
      <w:tabs>
        <w:tab w:val="left" w:pos="3402"/>
      </w:tabs>
      <w:spacing w:after="120"/>
      <w:ind w:left="3403" w:hanging="851"/>
      <w:jc w:val="both"/>
    </w:pPr>
    <w:rPr>
      <w:rFonts w:ascii="Arial" w:eastAsia="Times New Roman" w:hAnsi="Arial"/>
      <w:noProof/>
      <w:sz w:val="18"/>
    </w:rPr>
  </w:style>
  <w:style w:type="paragraph" w:customStyle="1" w:styleId="boxbullet">
    <w:name w:val="box bullet"/>
    <w:basedOn w:val="Normal"/>
    <w:uiPriority w:val="99"/>
    <w:rsid w:val="00481889"/>
    <w:pPr>
      <w:numPr>
        <w:numId w:val="23"/>
      </w:numPr>
      <w:tabs>
        <w:tab w:val="left" w:pos="327"/>
      </w:tabs>
      <w:spacing w:before="80" w:after="0"/>
    </w:pPr>
    <w:rPr>
      <w:rFonts w:ascii="Times New Roman" w:hAnsi="Times New Roman" w:cs="Arial"/>
      <w:color w:val="13294B"/>
      <w:szCs w:val="18"/>
    </w:rPr>
  </w:style>
  <w:style w:type="paragraph" w:customStyle="1" w:styleId="NER-RC-List-1-MNum">
    <w:name w:val="NER-RC-List-1-MNum"/>
    <w:basedOn w:val="Normal"/>
    <w:uiPriority w:val="99"/>
    <w:rsid w:val="00481889"/>
    <w:pPr>
      <w:tabs>
        <w:tab w:val="left" w:pos="1701"/>
      </w:tabs>
      <w:autoSpaceDE w:val="0"/>
      <w:autoSpaceDN w:val="0"/>
      <w:adjustRightInd w:val="0"/>
      <w:spacing w:before="120" w:after="120"/>
      <w:ind w:left="1701" w:hanging="567"/>
      <w:jc w:val="both"/>
    </w:pPr>
    <w:rPr>
      <w:rFonts w:ascii="Times New Roman" w:hAnsi="Times New Roman"/>
      <w:color w:val="000000"/>
      <w:sz w:val="24"/>
      <w:lang w:val="en-AU" w:eastAsia="en-AU"/>
    </w:rPr>
  </w:style>
  <w:style w:type="paragraph" w:customStyle="1" w:styleId="AERbodytext">
    <w:name w:val="AER body text"/>
    <w:basedOn w:val="Normal"/>
    <w:link w:val="AERbodytextChar"/>
    <w:uiPriority w:val="99"/>
    <w:rsid w:val="00481889"/>
    <w:pPr>
      <w:spacing w:after="240" w:line="288" w:lineRule="auto"/>
      <w:jc w:val="both"/>
    </w:pPr>
    <w:rPr>
      <w:rFonts w:ascii="Gautami" w:hAnsi="Gautami"/>
      <w:sz w:val="20"/>
      <w:szCs w:val="20"/>
      <w:lang w:val="en-AU"/>
    </w:rPr>
  </w:style>
  <w:style w:type="character" w:customStyle="1" w:styleId="AERbodytextChar">
    <w:name w:val="AER body text Char"/>
    <w:basedOn w:val="DefaultParagraphFont"/>
    <w:link w:val="AERbodytext"/>
    <w:uiPriority w:val="99"/>
    <w:locked/>
    <w:rsid w:val="00481889"/>
    <w:rPr>
      <w:rFonts w:ascii="Gautami" w:eastAsia="Times New Roman" w:hAnsi="Gautami"/>
      <w:lang w:eastAsia="en-US"/>
    </w:rPr>
  </w:style>
  <w:style w:type="paragraph" w:customStyle="1" w:styleId="NER-Cl-Title-Lvl-3">
    <w:name w:val="NER-Cl-Title-Lvl-3"/>
    <w:basedOn w:val="Normal"/>
    <w:uiPriority w:val="99"/>
    <w:rsid w:val="00481889"/>
    <w:pPr>
      <w:keepNext/>
      <w:keepLines/>
      <w:tabs>
        <w:tab w:val="left" w:pos="1134"/>
      </w:tabs>
      <w:autoSpaceDE w:val="0"/>
      <w:autoSpaceDN w:val="0"/>
      <w:adjustRightInd w:val="0"/>
      <w:spacing w:before="240" w:after="60"/>
      <w:ind w:left="1134" w:hanging="1134"/>
      <w:outlineLvl w:val="2"/>
    </w:pPr>
    <w:rPr>
      <w:rFonts w:ascii="Arial Bold" w:hAnsi="Arial Bold" w:cs="Arial Bold"/>
      <w:b/>
      <w:bCs/>
      <w:color w:val="000000"/>
      <w:sz w:val="24"/>
      <w:lang w:val="en-AU" w:eastAsia="en-AU"/>
    </w:rPr>
  </w:style>
  <w:style w:type="paragraph" w:customStyle="1" w:styleId="NER-Table-Title-MNum-PgWide">
    <w:name w:val="NER-Table-Title-MNum-PgWide"/>
    <w:basedOn w:val="Normal"/>
    <w:uiPriority w:val="99"/>
    <w:rsid w:val="00481889"/>
    <w:pPr>
      <w:keepNext/>
      <w:keepLines/>
      <w:tabs>
        <w:tab w:val="left" w:pos="1701"/>
      </w:tabs>
      <w:autoSpaceDE w:val="0"/>
      <w:autoSpaceDN w:val="0"/>
      <w:adjustRightInd w:val="0"/>
      <w:spacing w:before="120" w:after="60"/>
      <w:ind w:left="1701" w:hanging="1701"/>
    </w:pPr>
    <w:rPr>
      <w:rFonts w:ascii="Arial Bold" w:hAnsi="Arial Bold" w:cs="Arial Bold"/>
      <w:b/>
      <w:bCs/>
      <w:color w:val="000000"/>
      <w:sz w:val="22"/>
      <w:szCs w:val="22"/>
      <w:lang w:val="en-AU" w:eastAsia="en-AU"/>
    </w:rPr>
  </w:style>
  <w:style w:type="paragraph" w:customStyle="1" w:styleId="NER-Table-Para">
    <w:name w:val="NER-Table-Para"/>
    <w:basedOn w:val="Normal"/>
    <w:uiPriority w:val="99"/>
    <w:rsid w:val="00481889"/>
    <w:pPr>
      <w:autoSpaceDE w:val="0"/>
      <w:autoSpaceDN w:val="0"/>
      <w:adjustRightInd w:val="0"/>
      <w:spacing w:before="120" w:after="120"/>
    </w:pPr>
    <w:rPr>
      <w:rFonts w:ascii="Times New Roman" w:hAnsi="Times New Roman"/>
      <w:color w:val="000000"/>
      <w:sz w:val="24"/>
      <w:lang w:val="en-AU" w:eastAsia="en-AU"/>
    </w:rPr>
  </w:style>
  <w:style w:type="paragraph" w:customStyle="1" w:styleId="NER-Table-Col-Head">
    <w:name w:val="NER-Table-Col-Head"/>
    <w:basedOn w:val="Normal"/>
    <w:uiPriority w:val="99"/>
    <w:rsid w:val="00481889"/>
    <w:pPr>
      <w:keepNext/>
      <w:keepLines/>
      <w:autoSpaceDE w:val="0"/>
      <w:autoSpaceDN w:val="0"/>
      <w:adjustRightInd w:val="0"/>
      <w:spacing w:before="120" w:after="0"/>
    </w:pPr>
    <w:rPr>
      <w:rFonts w:ascii="Arial Bold" w:hAnsi="Arial Bold" w:cs="Arial Bold"/>
      <w:b/>
      <w:bCs/>
      <w:color w:val="000000"/>
      <w:sz w:val="24"/>
      <w:lang w:val="en-AU" w:eastAsia="en-AU"/>
    </w:rPr>
  </w:style>
  <w:style w:type="paragraph" w:customStyle="1" w:styleId="NER-Table-List-1-MNum">
    <w:name w:val="NER-Table-List-1-MNum"/>
    <w:basedOn w:val="Normal"/>
    <w:uiPriority w:val="99"/>
    <w:rsid w:val="00481889"/>
    <w:pPr>
      <w:tabs>
        <w:tab w:val="left" w:pos="567"/>
      </w:tabs>
      <w:autoSpaceDE w:val="0"/>
      <w:autoSpaceDN w:val="0"/>
      <w:adjustRightInd w:val="0"/>
      <w:spacing w:before="120" w:after="120"/>
      <w:ind w:left="567" w:hanging="567"/>
    </w:pPr>
    <w:rPr>
      <w:rFonts w:ascii="Times New Roman" w:hAnsi="Times New Roman"/>
      <w:color w:val="000000"/>
      <w:sz w:val="24"/>
      <w:lang w:val="en-AU" w:eastAsia="en-AU"/>
    </w:rPr>
  </w:style>
  <w:style w:type="paragraph" w:customStyle="1" w:styleId="NER-Ch-Sch-Title">
    <w:name w:val="NER-Ch-Sch-Title"/>
    <w:basedOn w:val="Normal"/>
    <w:uiPriority w:val="99"/>
    <w:rsid w:val="00481889"/>
    <w:pPr>
      <w:keepNext/>
      <w:tabs>
        <w:tab w:val="left" w:pos="2268"/>
      </w:tabs>
      <w:autoSpaceDE w:val="0"/>
      <w:autoSpaceDN w:val="0"/>
      <w:adjustRightInd w:val="0"/>
      <w:spacing w:before="240" w:after="60"/>
      <w:ind w:left="2268" w:hanging="2268"/>
      <w:outlineLvl w:val="1"/>
    </w:pPr>
    <w:rPr>
      <w:rFonts w:ascii="Arial Bold" w:hAnsi="Arial Bold" w:cs="Arial Bold"/>
      <w:b/>
      <w:bCs/>
      <w:color w:val="000000"/>
      <w:sz w:val="28"/>
      <w:szCs w:val="28"/>
      <w:lang w:val="en-AU" w:eastAsia="en-AU"/>
    </w:rPr>
  </w:style>
  <w:style w:type="paragraph" w:customStyle="1" w:styleId="CM131">
    <w:name w:val="CM131"/>
    <w:basedOn w:val="Default"/>
    <w:next w:val="Default"/>
    <w:uiPriority w:val="99"/>
    <w:rsid w:val="00481889"/>
    <w:rPr>
      <w:rFonts w:cs="Times New Roman"/>
      <w:sz w:val="24"/>
      <w:szCs w:val="24"/>
    </w:rPr>
  </w:style>
  <w:style w:type="paragraph" w:customStyle="1" w:styleId="Heading2Expandedby01pt">
    <w:name w:val="Heading 2 + Expanded by  0.1 pt"/>
    <w:basedOn w:val="Standardpara"/>
    <w:uiPriority w:val="99"/>
    <w:rsid w:val="00481889"/>
    <w:pPr>
      <w:jc w:val="left"/>
    </w:pPr>
    <w:rPr>
      <w:sz w:val="20"/>
      <w:lang w:val="en-US" w:eastAsia="en-AU"/>
    </w:rPr>
  </w:style>
  <w:style w:type="paragraph" w:styleId="Subtitle">
    <w:name w:val="Subtitle"/>
    <w:basedOn w:val="Normal"/>
    <w:next w:val="Normal"/>
    <w:link w:val="SubtitleChar"/>
    <w:qFormat/>
    <w:locked/>
    <w:rsid w:val="002B5E59"/>
    <w:pPr>
      <w:numPr>
        <w:ilvl w:val="1"/>
      </w:numPr>
      <w:spacing w:after="0"/>
    </w:pPr>
    <w:rPr>
      <w:rFonts w:asciiTheme="majorHAnsi" w:eastAsiaTheme="majorEastAsia" w:hAnsiTheme="majorHAnsi" w:cstheme="majorBidi"/>
      <w:i/>
      <w:iCs/>
      <w:color w:val="4F81BD" w:themeColor="accent1"/>
      <w:spacing w:val="15"/>
      <w:sz w:val="24"/>
      <w:lang w:val="en-AU" w:eastAsia="en-AU"/>
    </w:rPr>
  </w:style>
  <w:style w:type="character" w:customStyle="1" w:styleId="SubtitleChar">
    <w:name w:val="Subtitle Char"/>
    <w:basedOn w:val="DefaultParagraphFont"/>
    <w:link w:val="Subtitle"/>
    <w:rsid w:val="002B5E59"/>
    <w:rPr>
      <w:rFonts w:asciiTheme="majorHAnsi" w:eastAsiaTheme="majorEastAsia" w:hAnsiTheme="majorHAnsi" w:cstheme="majorBidi"/>
      <w:i/>
      <w:iCs/>
      <w:color w:val="4F81BD" w:themeColor="accent1"/>
      <w:spacing w:val="15"/>
      <w:sz w:val="24"/>
      <w:szCs w:val="24"/>
    </w:rPr>
  </w:style>
  <w:style w:type="paragraph" w:customStyle="1" w:styleId="LDfields">
    <w:name w:val="LD fields"/>
    <w:basedOn w:val="Normal"/>
    <w:rsid w:val="00E46B04"/>
    <w:pPr>
      <w:spacing w:line="260" w:lineRule="atLeast"/>
    </w:pPr>
    <w:rPr>
      <w:rFonts w:ascii="Helvetica 45 Light" w:eastAsia="Cambria" w:hAnsi="Helvetica 45 Light"/>
      <w:color w:val="000000"/>
      <w:szCs w:val="20"/>
      <w:lang w:val="en-AU"/>
    </w:rPr>
  </w:style>
  <w:style w:type="paragraph" w:customStyle="1" w:styleId="EAnormal">
    <w:name w:val="EAnormal"/>
    <w:basedOn w:val="Normal"/>
    <w:link w:val="EAnormalChar"/>
    <w:qFormat/>
    <w:rsid w:val="00E46B04"/>
    <w:pPr>
      <w:widowControl w:val="0"/>
      <w:spacing w:after="0" w:line="320" w:lineRule="exact"/>
      <w:jc w:val="both"/>
    </w:pPr>
    <w:rPr>
      <w:rFonts w:cs="Arial"/>
      <w:sz w:val="20"/>
      <w:szCs w:val="20"/>
      <w:lang w:val="en-AU" w:eastAsia="en-AU"/>
    </w:rPr>
  </w:style>
  <w:style w:type="character" w:customStyle="1" w:styleId="EAnormalChar">
    <w:name w:val="EAnormal Char"/>
    <w:basedOn w:val="DefaultParagraphFont"/>
    <w:link w:val="EAnormal"/>
    <w:rsid w:val="00E46B04"/>
    <w:rPr>
      <w:rFonts w:ascii="Arial" w:eastAsia="Times New Roman" w:hAnsi="Arial" w:cs="Arial"/>
    </w:rPr>
  </w:style>
  <w:style w:type="paragraph" w:customStyle="1" w:styleId="EAtitle">
    <w:name w:val="EAtitle"/>
    <w:basedOn w:val="Normal"/>
    <w:next w:val="EAnormal"/>
    <w:link w:val="EAtitleChar"/>
    <w:qFormat/>
    <w:rsid w:val="00E46B04"/>
    <w:pPr>
      <w:keepNext/>
      <w:widowControl w:val="0"/>
      <w:spacing w:after="100"/>
      <w:outlineLvl w:val="0"/>
    </w:pPr>
    <w:rPr>
      <w:rFonts w:cs="Arial"/>
      <w:b/>
      <w:kern w:val="28"/>
      <w:sz w:val="24"/>
      <w:lang w:val="en-AU" w:eastAsia="en-AU"/>
    </w:rPr>
  </w:style>
  <w:style w:type="character" w:customStyle="1" w:styleId="EAtitleChar">
    <w:name w:val="EAtitle Char"/>
    <w:basedOn w:val="DefaultParagraphFont"/>
    <w:link w:val="EAtitle"/>
    <w:rsid w:val="00E46B04"/>
    <w:rPr>
      <w:rFonts w:ascii="Arial" w:eastAsia="Times New Roman" w:hAnsi="Arial" w:cs="Arial"/>
      <w:b/>
      <w:kern w:val="28"/>
      <w:sz w:val="24"/>
      <w:szCs w:val="24"/>
    </w:rPr>
  </w:style>
  <w:style w:type="numbering" w:customStyle="1" w:styleId="AERnumberedlist">
    <w:name w:val="AER numbered list"/>
    <w:uiPriority w:val="99"/>
    <w:rsid w:val="00164272"/>
    <w:pPr>
      <w:numPr>
        <w:numId w:val="30"/>
      </w:numPr>
    </w:pPr>
  </w:style>
  <w:style w:type="paragraph" w:customStyle="1" w:styleId="AERtablesource">
    <w:name w:val="AER table source"/>
    <w:next w:val="Normal"/>
    <w:qFormat/>
    <w:rsid w:val="00164272"/>
    <w:pPr>
      <w:tabs>
        <w:tab w:val="left" w:pos="794"/>
      </w:tabs>
      <w:spacing w:before="160" w:after="360" w:line="360" w:lineRule="auto"/>
      <w:ind w:left="794" w:hanging="794"/>
      <w:contextualSpacing/>
      <w:jc w:val="both"/>
    </w:pPr>
    <w:rPr>
      <w:rFonts w:ascii="Arial" w:eastAsia="Times New Roman" w:hAnsi="Arial"/>
      <w:sz w:val="16"/>
      <w:szCs w:val="24"/>
      <w:lang w:eastAsia="en-US"/>
    </w:rPr>
  </w:style>
  <w:style w:type="character" w:customStyle="1" w:styleId="AERbody">
    <w:name w:val="AER body"/>
    <w:basedOn w:val="DefaultParagraphFont"/>
    <w:qFormat/>
    <w:rsid w:val="00F572F3"/>
    <w:rPr>
      <w:sz w:val="20"/>
    </w:rPr>
  </w:style>
  <w:style w:type="paragraph" w:customStyle="1" w:styleId="AERfactsheetbodytext">
    <w:name w:val="AER factsheet body text"/>
    <w:basedOn w:val="Normal"/>
    <w:qFormat/>
    <w:rsid w:val="00E408D0"/>
    <w:pPr>
      <w:spacing w:after="120" w:line="252" w:lineRule="auto"/>
    </w:pPr>
    <w:rPr>
      <w:rFonts w:ascii="MS Reference Sans Serif" w:eastAsia="Calibri" w:hAnsi="MS Reference Sans Serif" w:cs="Shruti"/>
      <w:spacing w:val="-10"/>
      <w:szCs w:val="22"/>
      <w:lang w:val="en-AU"/>
    </w:rPr>
  </w:style>
  <w:style w:type="paragraph" w:styleId="Index1">
    <w:name w:val="index 1"/>
    <w:basedOn w:val="Normal"/>
    <w:next w:val="Normal"/>
    <w:autoRedefine/>
    <w:rsid w:val="005D1ED3"/>
    <w:pPr>
      <w:ind w:left="180" w:hanging="180"/>
    </w:pPr>
  </w:style>
  <w:style w:type="paragraph" w:styleId="Index2">
    <w:name w:val="index 2"/>
    <w:basedOn w:val="Normal"/>
    <w:next w:val="Normal"/>
    <w:autoRedefine/>
    <w:rsid w:val="005D1ED3"/>
    <w:pPr>
      <w:ind w:left="360" w:hanging="180"/>
    </w:pPr>
  </w:style>
  <w:style w:type="paragraph" w:styleId="Index3">
    <w:name w:val="index 3"/>
    <w:basedOn w:val="Normal"/>
    <w:next w:val="Normal"/>
    <w:autoRedefine/>
    <w:rsid w:val="005D1ED3"/>
    <w:pPr>
      <w:ind w:left="540" w:hanging="180"/>
    </w:pPr>
  </w:style>
  <w:style w:type="paragraph" w:styleId="Index4">
    <w:name w:val="index 4"/>
    <w:basedOn w:val="Normal"/>
    <w:next w:val="Normal"/>
    <w:autoRedefine/>
    <w:rsid w:val="005D1ED3"/>
    <w:pPr>
      <w:ind w:left="720" w:hanging="180"/>
    </w:pPr>
  </w:style>
  <w:style w:type="paragraph" w:styleId="Index5">
    <w:name w:val="index 5"/>
    <w:basedOn w:val="Normal"/>
    <w:next w:val="Normal"/>
    <w:autoRedefine/>
    <w:rsid w:val="005D1ED3"/>
    <w:pPr>
      <w:ind w:left="900" w:hanging="180"/>
    </w:pPr>
  </w:style>
  <w:style w:type="paragraph" w:styleId="Index6">
    <w:name w:val="index 6"/>
    <w:basedOn w:val="Normal"/>
    <w:next w:val="Normal"/>
    <w:autoRedefine/>
    <w:rsid w:val="005D1ED3"/>
    <w:pPr>
      <w:ind w:left="1080" w:hanging="180"/>
    </w:pPr>
  </w:style>
  <w:style w:type="paragraph" w:styleId="Index7">
    <w:name w:val="index 7"/>
    <w:basedOn w:val="Normal"/>
    <w:next w:val="Normal"/>
    <w:autoRedefine/>
    <w:rsid w:val="005D1ED3"/>
    <w:pPr>
      <w:ind w:left="1260" w:hanging="180"/>
    </w:pPr>
  </w:style>
  <w:style w:type="paragraph" w:styleId="Index8">
    <w:name w:val="index 8"/>
    <w:basedOn w:val="Normal"/>
    <w:next w:val="Normal"/>
    <w:autoRedefine/>
    <w:rsid w:val="005D1ED3"/>
    <w:pPr>
      <w:ind w:left="1440" w:hanging="180"/>
    </w:pPr>
  </w:style>
  <w:style w:type="paragraph" w:styleId="Index9">
    <w:name w:val="index 9"/>
    <w:basedOn w:val="Normal"/>
    <w:next w:val="Normal"/>
    <w:autoRedefine/>
    <w:rsid w:val="005D1ED3"/>
    <w:pPr>
      <w:ind w:left="1620" w:hanging="180"/>
    </w:pPr>
  </w:style>
  <w:style w:type="paragraph" w:styleId="IndexHeading">
    <w:name w:val="index heading"/>
    <w:basedOn w:val="Normal"/>
    <w:next w:val="Index1"/>
    <w:rsid w:val="005D1ED3"/>
  </w:style>
  <w:style w:type="paragraph" w:customStyle="1" w:styleId="Bulletedtext">
    <w:name w:val="Bulleted text"/>
    <w:qFormat/>
    <w:rsid w:val="001E7F29"/>
    <w:pPr>
      <w:numPr>
        <w:numId w:val="35"/>
      </w:numPr>
      <w:spacing w:after="120" w:line="260" w:lineRule="exact"/>
      <w:ind w:left="1276" w:hanging="340"/>
    </w:pPr>
    <w:rPr>
      <w:rFonts w:ascii="Arial" w:eastAsia="Times New Roman" w:hAnsi="Arial"/>
      <w:szCs w:val="24"/>
      <w:lang w:eastAsia="en-US"/>
    </w:rPr>
  </w:style>
  <w:style w:type="paragraph" w:customStyle="1" w:styleId="StyleLeft">
    <w:name w:val="Style Left"/>
    <w:basedOn w:val="Normal"/>
    <w:rsid w:val="00181B73"/>
    <w:pPr>
      <w:spacing w:after="60"/>
    </w:pPr>
    <w:rPr>
      <w:szCs w:val="20"/>
    </w:rPr>
  </w:style>
  <w:style w:type="paragraph" w:customStyle="1" w:styleId="StyleStyleLeft10ptItalic">
    <w:name w:val="Style Style Left + 10 pt Italic"/>
    <w:basedOn w:val="StyleLeft"/>
    <w:rsid w:val="00181B73"/>
    <w:rPr>
      <w:i/>
      <w:iCs/>
    </w:rPr>
  </w:style>
  <w:style w:type="paragraph" w:styleId="EndnoteText">
    <w:name w:val="endnote text"/>
    <w:basedOn w:val="Normal"/>
    <w:link w:val="EndnoteTextChar"/>
    <w:rsid w:val="00AD067F"/>
    <w:pPr>
      <w:spacing w:after="0"/>
    </w:pPr>
    <w:rPr>
      <w:sz w:val="20"/>
      <w:szCs w:val="20"/>
    </w:rPr>
  </w:style>
  <w:style w:type="character" w:customStyle="1" w:styleId="EndnoteTextChar">
    <w:name w:val="Endnote Text Char"/>
    <w:basedOn w:val="DefaultParagraphFont"/>
    <w:link w:val="EndnoteText"/>
    <w:rsid w:val="00AD067F"/>
    <w:rPr>
      <w:rFonts w:ascii="Arial" w:eastAsia="Times New Roman" w:hAnsi="Arial"/>
      <w:lang w:val="en-US" w:eastAsia="en-US"/>
    </w:rPr>
  </w:style>
  <w:style w:type="character" w:styleId="EndnoteReference">
    <w:name w:val="endnote reference"/>
    <w:basedOn w:val="DefaultParagraphFont"/>
    <w:rsid w:val="00AD067F"/>
    <w:rPr>
      <w:vertAlign w:val="superscript"/>
    </w:rPr>
  </w:style>
  <w:style w:type="paragraph" w:styleId="Revision">
    <w:name w:val="Revision"/>
    <w:hidden/>
    <w:uiPriority w:val="99"/>
    <w:semiHidden/>
    <w:rsid w:val="00186AD6"/>
    <w:rPr>
      <w:rFonts w:ascii="Arial" w:eastAsia="Times New Roman" w:hAnsi="Arial"/>
      <w:sz w:val="18"/>
      <w:szCs w:val="24"/>
      <w:lang w:val="en-US" w:eastAsia="en-US"/>
    </w:rPr>
  </w:style>
  <w:style w:type="paragraph" w:customStyle="1" w:styleId="AusgridBullet">
    <w:name w:val="Ausgrid Bullet"/>
    <w:basedOn w:val="ListBullet"/>
    <w:qFormat/>
    <w:rsid w:val="00932BA4"/>
    <w:pPr>
      <w:numPr>
        <w:numId w:val="71"/>
      </w:numPr>
      <w:spacing w:after="120" w:line="260" w:lineRule="exact"/>
      <w:contextualSpacing/>
    </w:pPr>
    <w:rPr>
      <w:rFonts w:ascii="Arial" w:eastAsiaTheme="minorHAnsi" w:hAnsi="Arial" w:cstheme="minorBidi"/>
      <w:sz w:val="18"/>
      <w:szCs w:val="22"/>
      <w:lang w:eastAsia="en-US"/>
    </w:rPr>
  </w:style>
  <w:style w:type="character" w:customStyle="1" w:styleId="DocumentMapChar">
    <w:name w:val="Document Map Char"/>
    <w:basedOn w:val="DefaultParagraphFont"/>
    <w:link w:val="DocumentMap"/>
    <w:semiHidden/>
    <w:rsid w:val="00A36721"/>
    <w:rPr>
      <w:rFonts w:ascii="Tahoma" w:eastAsia="Times New Roman" w:hAnsi="Tahoma"/>
      <w:sz w:val="18"/>
      <w:shd w:val="clear" w:color="auto" w:fill="000080"/>
    </w:rPr>
  </w:style>
  <w:style w:type="character" w:customStyle="1" w:styleId="apple-converted-space">
    <w:name w:val="apple-converted-space"/>
    <w:basedOn w:val="DefaultParagraphFont"/>
    <w:rsid w:val="00E6040F"/>
  </w:style>
  <w:style w:type="paragraph" w:customStyle="1" w:styleId="TabletextAltt">
    <w:name w:val="Table text (Alt + t)"/>
    <w:qFormat/>
    <w:rsid w:val="00B50A16"/>
    <w:pPr>
      <w:spacing w:before="40" w:after="40"/>
      <w:ind w:left="57" w:right="57"/>
    </w:pPr>
    <w:rPr>
      <w:rFonts w:ascii="Arial" w:eastAsia="Times New Roman" w:hAnsi="Arial" w:cs="Arial"/>
      <w:color w:val="000000"/>
      <w:sz w:val="18"/>
      <w:szCs w:val="22"/>
    </w:rPr>
  </w:style>
  <w:style w:type="paragraph" w:customStyle="1" w:styleId="Tabletextboxed">
    <w:name w:val="Table text boxed"/>
    <w:qFormat/>
    <w:rsid w:val="00B55EF3"/>
    <w:pPr>
      <w:spacing w:before="60" w:after="40"/>
    </w:pPr>
    <w:rPr>
      <w:rFonts w:ascii="Arial" w:eastAsia="Times New Roman" w:hAnsi="Arial" w:cs="Arial"/>
      <w:bCs/>
      <w:sz w:val="18"/>
      <w:szCs w:val="18"/>
      <w:lang w:val="en-US" w:eastAsia="en-US"/>
    </w:rPr>
  </w:style>
  <w:style w:type="paragraph" w:styleId="TOCHeading">
    <w:name w:val="TOC Heading"/>
    <w:basedOn w:val="Heading1"/>
    <w:next w:val="Normal"/>
    <w:uiPriority w:val="39"/>
    <w:semiHidden/>
    <w:unhideWhenUsed/>
    <w:qFormat/>
    <w:rsid w:val="000E3D27"/>
    <w:pPr>
      <w:keepLines/>
      <w:pageBreakBefore w:val="0"/>
      <w:numPr>
        <w:numId w:val="0"/>
      </w:numPr>
      <w:tabs>
        <w:tab w:val="left" w:pos="851"/>
      </w:tabs>
      <w:spacing w:before="480" w:after="0"/>
      <w:outlineLvl w:val="9"/>
    </w:pPr>
    <w:rPr>
      <w:rFonts w:asciiTheme="majorHAnsi" w:eastAsiaTheme="majorEastAsia" w:hAnsiTheme="majorHAnsi" w:cstheme="majorBidi"/>
      <w:bCs/>
      <w:noProof w:val="0"/>
      <w:color w:val="365F91" w:themeColor="accent1" w:themeShade="BF"/>
      <w:kern w:val="0"/>
      <w:sz w:val="28"/>
      <w:szCs w:val="28"/>
      <w:lang w:val="en-US" w:eastAsia="en-US"/>
    </w:rPr>
  </w:style>
  <w:style w:type="paragraph" w:customStyle="1" w:styleId="BodyTextAltp">
    <w:name w:val="Body Text (Alt + p)"/>
    <w:link w:val="BodyTextAltpChar"/>
    <w:qFormat/>
    <w:rsid w:val="000E3D27"/>
    <w:pPr>
      <w:tabs>
        <w:tab w:val="left" w:pos="426"/>
      </w:tabs>
      <w:spacing w:after="160" w:line="260" w:lineRule="exact"/>
    </w:pPr>
    <w:rPr>
      <w:rFonts w:ascii="Arial" w:eastAsia="Times New Roman" w:hAnsi="Arial"/>
      <w:szCs w:val="24"/>
      <w:lang w:val="en-US" w:eastAsia="en-US"/>
    </w:rPr>
  </w:style>
  <w:style w:type="character" w:customStyle="1" w:styleId="BodyTextAltpChar">
    <w:name w:val="Body Text (Alt + p) Char"/>
    <w:basedOn w:val="DefaultParagraphFont"/>
    <w:link w:val="BodyTextAltp"/>
    <w:rsid w:val="000E3D27"/>
    <w:rPr>
      <w:rFonts w:ascii="Arial" w:eastAsia="Times New Roman"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94210">
      <w:bodyDiv w:val="1"/>
      <w:marLeft w:val="0"/>
      <w:marRight w:val="0"/>
      <w:marTop w:val="0"/>
      <w:marBottom w:val="0"/>
      <w:divBdr>
        <w:top w:val="none" w:sz="0" w:space="0" w:color="auto"/>
        <w:left w:val="none" w:sz="0" w:space="0" w:color="auto"/>
        <w:bottom w:val="none" w:sz="0" w:space="0" w:color="auto"/>
        <w:right w:val="none" w:sz="0" w:space="0" w:color="auto"/>
      </w:divBdr>
    </w:div>
    <w:div w:id="254172105">
      <w:bodyDiv w:val="1"/>
      <w:marLeft w:val="0"/>
      <w:marRight w:val="0"/>
      <w:marTop w:val="0"/>
      <w:marBottom w:val="0"/>
      <w:divBdr>
        <w:top w:val="none" w:sz="0" w:space="0" w:color="auto"/>
        <w:left w:val="none" w:sz="0" w:space="0" w:color="auto"/>
        <w:bottom w:val="none" w:sz="0" w:space="0" w:color="auto"/>
        <w:right w:val="none" w:sz="0" w:space="0" w:color="auto"/>
      </w:divBdr>
    </w:div>
    <w:div w:id="341595003">
      <w:bodyDiv w:val="1"/>
      <w:marLeft w:val="0"/>
      <w:marRight w:val="0"/>
      <w:marTop w:val="0"/>
      <w:marBottom w:val="0"/>
      <w:divBdr>
        <w:top w:val="none" w:sz="0" w:space="0" w:color="auto"/>
        <w:left w:val="none" w:sz="0" w:space="0" w:color="auto"/>
        <w:bottom w:val="none" w:sz="0" w:space="0" w:color="auto"/>
        <w:right w:val="none" w:sz="0" w:space="0" w:color="auto"/>
      </w:divBdr>
    </w:div>
    <w:div w:id="433673141">
      <w:bodyDiv w:val="1"/>
      <w:marLeft w:val="0"/>
      <w:marRight w:val="0"/>
      <w:marTop w:val="0"/>
      <w:marBottom w:val="0"/>
      <w:divBdr>
        <w:top w:val="none" w:sz="0" w:space="0" w:color="auto"/>
        <w:left w:val="none" w:sz="0" w:space="0" w:color="auto"/>
        <w:bottom w:val="none" w:sz="0" w:space="0" w:color="auto"/>
        <w:right w:val="none" w:sz="0" w:space="0" w:color="auto"/>
      </w:divBdr>
    </w:div>
    <w:div w:id="564488751">
      <w:bodyDiv w:val="1"/>
      <w:marLeft w:val="0"/>
      <w:marRight w:val="0"/>
      <w:marTop w:val="0"/>
      <w:marBottom w:val="0"/>
      <w:divBdr>
        <w:top w:val="none" w:sz="0" w:space="0" w:color="auto"/>
        <w:left w:val="none" w:sz="0" w:space="0" w:color="auto"/>
        <w:bottom w:val="none" w:sz="0" w:space="0" w:color="auto"/>
        <w:right w:val="none" w:sz="0" w:space="0" w:color="auto"/>
      </w:divBdr>
    </w:div>
    <w:div w:id="688801629">
      <w:bodyDiv w:val="1"/>
      <w:marLeft w:val="0"/>
      <w:marRight w:val="0"/>
      <w:marTop w:val="0"/>
      <w:marBottom w:val="0"/>
      <w:divBdr>
        <w:top w:val="none" w:sz="0" w:space="0" w:color="auto"/>
        <w:left w:val="none" w:sz="0" w:space="0" w:color="auto"/>
        <w:bottom w:val="none" w:sz="0" w:space="0" w:color="auto"/>
        <w:right w:val="none" w:sz="0" w:space="0" w:color="auto"/>
      </w:divBdr>
    </w:div>
    <w:div w:id="738329153">
      <w:bodyDiv w:val="1"/>
      <w:marLeft w:val="0"/>
      <w:marRight w:val="0"/>
      <w:marTop w:val="0"/>
      <w:marBottom w:val="0"/>
      <w:divBdr>
        <w:top w:val="none" w:sz="0" w:space="0" w:color="auto"/>
        <w:left w:val="none" w:sz="0" w:space="0" w:color="auto"/>
        <w:bottom w:val="none" w:sz="0" w:space="0" w:color="auto"/>
        <w:right w:val="none" w:sz="0" w:space="0" w:color="auto"/>
      </w:divBdr>
    </w:div>
    <w:div w:id="750086477">
      <w:bodyDiv w:val="1"/>
      <w:marLeft w:val="0"/>
      <w:marRight w:val="0"/>
      <w:marTop w:val="0"/>
      <w:marBottom w:val="0"/>
      <w:divBdr>
        <w:top w:val="none" w:sz="0" w:space="0" w:color="auto"/>
        <w:left w:val="none" w:sz="0" w:space="0" w:color="auto"/>
        <w:bottom w:val="none" w:sz="0" w:space="0" w:color="auto"/>
        <w:right w:val="none" w:sz="0" w:space="0" w:color="auto"/>
      </w:divBdr>
    </w:div>
    <w:div w:id="844980569">
      <w:bodyDiv w:val="1"/>
      <w:marLeft w:val="0"/>
      <w:marRight w:val="0"/>
      <w:marTop w:val="0"/>
      <w:marBottom w:val="0"/>
      <w:divBdr>
        <w:top w:val="none" w:sz="0" w:space="0" w:color="auto"/>
        <w:left w:val="none" w:sz="0" w:space="0" w:color="auto"/>
        <w:bottom w:val="none" w:sz="0" w:space="0" w:color="auto"/>
        <w:right w:val="none" w:sz="0" w:space="0" w:color="auto"/>
      </w:divBdr>
    </w:div>
    <w:div w:id="885262081">
      <w:bodyDiv w:val="1"/>
      <w:marLeft w:val="0"/>
      <w:marRight w:val="0"/>
      <w:marTop w:val="0"/>
      <w:marBottom w:val="0"/>
      <w:divBdr>
        <w:top w:val="none" w:sz="0" w:space="0" w:color="auto"/>
        <w:left w:val="none" w:sz="0" w:space="0" w:color="auto"/>
        <w:bottom w:val="none" w:sz="0" w:space="0" w:color="auto"/>
        <w:right w:val="none" w:sz="0" w:space="0" w:color="auto"/>
      </w:divBdr>
    </w:div>
    <w:div w:id="888373035">
      <w:bodyDiv w:val="1"/>
      <w:marLeft w:val="0"/>
      <w:marRight w:val="0"/>
      <w:marTop w:val="0"/>
      <w:marBottom w:val="0"/>
      <w:divBdr>
        <w:top w:val="none" w:sz="0" w:space="0" w:color="auto"/>
        <w:left w:val="none" w:sz="0" w:space="0" w:color="auto"/>
        <w:bottom w:val="none" w:sz="0" w:space="0" w:color="auto"/>
        <w:right w:val="none" w:sz="0" w:space="0" w:color="auto"/>
      </w:divBdr>
      <w:divsChild>
        <w:div w:id="606623248">
          <w:marLeft w:val="0"/>
          <w:marRight w:val="0"/>
          <w:marTop w:val="0"/>
          <w:marBottom w:val="0"/>
          <w:divBdr>
            <w:top w:val="none" w:sz="0" w:space="0" w:color="auto"/>
            <w:left w:val="none" w:sz="0" w:space="0" w:color="auto"/>
            <w:bottom w:val="none" w:sz="0" w:space="0" w:color="auto"/>
            <w:right w:val="none" w:sz="0" w:space="0" w:color="auto"/>
          </w:divBdr>
          <w:divsChild>
            <w:div w:id="508563044">
              <w:marLeft w:val="0"/>
              <w:marRight w:val="0"/>
              <w:marTop w:val="0"/>
              <w:marBottom w:val="0"/>
              <w:divBdr>
                <w:top w:val="none" w:sz="0" w:space="0" w:color="auto"/>
                <w:left w:val="none" w:sz="0" w:space="0" w:color="auto"/>
                <w:bottom w:val="none" w:sz="0" w:space="0" w:color="auto"/>
                <w:right w:val="none" w:sz="0" w:space="0" w:color="auto"/>
              </w:divBdr>
              <w:divsChild>
                <w:div w:id="8135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41706">
      <w:bodyDiv w:val="1"/>
      <w:marLeft w:val="0"/>
      <w:marRight w:val="0"/>
      <w:marTop w:val="0"/>
      <w:marBottom w:val="0"/>
      <w:divBdr>
        <w:top w:val="none" w:sz="0" w:space="0" w:color="auto"/>
        <w:left w:val="none" w:sz="0" w:space="0" w:color="auto"/>
        <w:bottom w:val="none" w:sz="0" w:space="0" w:color="auto"/>
        <w:right w:val="none" w:sz="0" w:space="0" w:color="auto"/>
      </w:divBdr>
    </w:div>
    <w:div w:id="943535805">
      <w:bodyDiv w:val="1"/>
      <w:marLeft w:val="0"/>
      <w:marRight w:val="0"/>
      <w:marTop w:val="0"/>
      <w:marBottom w:val="0"/>
      <w:divBdr>
        <w:top w:val="none" w:sz="0" w:space="0" w:color="auto"/>
        <w:left w:val="none" w:sz="0" w:space="0" w:color="auto"/>
        <w:bottom w:val="none" w:sz="0" w:space="0" w:color="auto"/>
        <w:right w:val="none" w:sz="0" w:space="0" w:color="auto"/>
      </w:divBdr>
    </w:div>
    <w:div w:id="1100640230">
      <w:bodyDiv w:val="1"/>
      <w:marLeft w:val="0"/>
      <w:marRight w:val="0"/>
      <w:marTop w:val="0"/>
      <w:marBottom w:val="0"/>
      <w:divBdr>
        <w:top w:val="none" w:sz="0" w:space="0" w:color="auto"/>
        <w:left w:val="none" w:sz="0" w:space="0" w:color="auto"/>
        <w:bottom w:val="none" w:sz="0" w:space="0" w:color="auto"/>
        <w:right w:val="none" w:sz="0" w:space="0" w:color="auto"/>
      </w:divBdr>
      <w:divsChild>
        <w:div w:id="623580500">
          <w:marLeft w:val="0"/>
          <w:marRight w:val="0"/>
          <w:marTop w:val="0"/>
          <w:marBottom w:val="0"/>
          <w:divBdr>
            <w:top w:val="none" w:sz="0" w:space="0" w:color="auto"/>
            <w:left w:val="none" w:sz="0" w:space="0" w:color="auto"/>
            <w:bottom w:val="none" w:sz="0" w:space="0" w:color="auto"/>
            <w:right w:val="none" w:sz="0" w:space="0" w:color="auto"/>
          </w:divBdr>
          <w:divsChild>
            <w:div w:id="21631915">
              <w:marLeft w:val="0"/>
              <w:marRight w:val="0"/>
              <w:marTop w:val="0"/>
              <w:marBottom w:val="0"/>
              <w:divBdr>
                <w:top w:val="none" w:sz="0" w:space="0" w:color="auto"/>
                <w:left w:val="none" w:sz="0" w:space="0" w:color="auto"/>
                <w:bottom w:val="none" w:sz="0" w:space="0" w:color="auto"/>
                <w:right w:val="none" w:sz="0" w:space="0" w:color="auto"/>
              </w:divBdr>
              <w:divsChild>
                <w:div w:id="4307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753297">
      <w:bodyDiv w:val="1"/>
      <w:marLeft w:val="0"/>
      <w:marRight w:val="0"/>
      <w:marTop w:val="0"/>
      <w:marBottom w:val="0"/>
      <w:divBdr>
        <w:top w:val="none" w:sz="0" w:space="0" w:color="auto"/>
        <w:left w:val="none" w:sz="0" w:space="0" w:color="auto"/>
        <w:bottom w:val="none" w:sz="0" w:space="0" w:color="auto"/>
        <w:right w:val="none" w:sz="0" w:space="0" w:color="auto"/>
      </w:divBdr>
      <w:divsChild>
        <w:div w:id="228542471">
          <w:marLeft w:val="0"/>
          <w:marRight w:val="0"/>
          <w:marTop w:val="0"/>
          <w:marBottom w:val="0"/>
          <w:divBdr>
            <w:top w:val="none" w:sz="0" w:space="0" w:color="auto"/>
            <w:left w:val="none" w:sz="0" w:space="0" w:color="auto"/>
            <w:bottom w:val="none" w:sz="0" w:space="0" w:color="auto"/>
            <w:right w:val="none" w:sz="0" w:space="0" w:color="auto"/>
          </w:divBdr>
          <w:divsChild>
            <w:div w:id="941298630">
              <w:marLeft w:val="0"/>
              <w:marRight w:val="0"/>
              <w:marTop w:val="0"/>
              <w:marBottom w:val="0"/>
              <w:divBdr>
                <w:top w:val="none" w:sz="0" w:space="0" w:color="auto"/>
                <w:left w:val="none" w:sz="0" w:space="0" w:color="auto"/>
                <w:bottom w:val="none" w:sz="0" w:space="0" w:color="auto"/>
                <w:right w:val="none" w:sz="0" w:space="0" w:color="auto"/>
              </w:divBdr>
              <w:divsChild>
                <w:div w:id="12372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16138">
      <w:bodyDiv w:val="1"/>
      <w:marLeft w:val="0"/>
      <w:marRight w:val="0"/>
      <w:marTop w:val="0"/>
      <w:marBottom w:val="0"/>
      <w:divBdr>
        <w:top w:val="none" w:sz="0" w:space="0" w:color="auto"/>
        <w:left w:val="none" w:sz="0" w:space="0" w:color="auto"/>
        <w:bottom w:val="none" w:sz="0" w:space="0" w:color="auto"/>
        <w:right w:val="none" w:sz="0" w:space="0" w:color="auto"/>
      </w:divBdr>
    </w:div>
    <w:div w:id="1317303988">
      <w:bodyDiv w:val="1"/>
      <w:marLeft w:val="0"/>
      <w:marRight w:val="0"/>
      <w:marTop w:val="0"/>
      <w:marBottom w:val="0"/>
      <w:divBdr>
        <w:top w:val="none" w:sz="0" w:space="0" w:color="auto"/>
        <w:left w:val="none" w:sz="0" w:space="0" w:color="auto"/>
        <w:bottom w:val="none" w:sz="0" w:space="0" w:color="auto"/>
        <w:right w:val="none" w:sz="0" w:space="0" w:color="auto"/>
      </w:divBdr>
    </w:div>
    <w:div w:id="1330795098">
      <w:bodyDiv w:val="1"/>
      <w:marLeft w:val="0"/>
      <w:marRight w:val="0"/>
      <w:marTop w:val="0"/>
      <w:marBottom w:val="0"/>
      <w:divBdr>
        <w:top w:val="none" w:sz="0" w:space="0" w:color="auto"/>
        <w:left w:val="none" w:sz="0" w:space="0" w:color="auto"/>
        <w:bottom w:val="none" w:sz="0" w:space="0" w:color="auto"/>
        <w:right w:val="none" w:sz="0" w:space="0" w:color="auto"/>
      </w:divBdr>
    </w:div>
    <w:div w:id="1332679209">
      <w:bodyDiv w:val="1"/>
      <w:marLeft w:val="0"/>
      <w:marRight w:val="0"/>
      <w:marTop w:val="0"/>
      <w:marBottom w:val="0"/>
      <w:divBdr>
        <w:top w:val="none" w:sz="0" w:space="0" w:color="auto"/>
        <w:left w:val="none" w:sz="0" w:space="0" w:color="auto"/>
        <w:bottom w:val="none" w:sz="0" w:space="0" w:color="auto"/>
        <w:right w:val="none" w:sz="0" w:space="0" w:color="auto"/>
      </w:divBdr>
      <w:divsChild>
        <w:div w:id="1507015926">
          <w:marLeft w:val="0"/>
          <w:marRight w:val="0"/>
          <w:marTop w:val="0"/>
          <w:marBottom w:val="0"/>
          <w:divBdr>
            <w:top w:val="none" w:sz="0" w:space="0" w:color="auto"/>
            <w:left w:val="none" w:sz="0" w:space="0" w:color="auto"/>
            <w:bottom w:val="none" w:sz="0" w:space="0" w:color="auto"/>
            <w:right w:val="none" w:sz="0" w:space="0" w:color="auto"/>
          </w:divBdr>
          <w:divsChild>
            <w:div w:id="889918074">
              <w:marLeft w:val="0"/>
              <w:marRight w:val="0"/>
              <w:marTop w:val="0"/>
              <w:marBottom w:val="0"/>
              <w:divBdr>
                <w:top w:val="none" w:sz="0" w:space="0" w:color="auto"/>
                <w:left w:val="none" w:sz="0" w:space="0" w:color="auto"/>
                <w:bottom w:val="none" w:sz="0" w:space="0" w:color="auto"/>
                <w:right w:val="none" w:sz="0" w:space="0" w:color="auto"/>
              </w:divBdr>
              <w:divsChild>
                <w:div w:id="37304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434242">
      <w:bodyDiv w:val="1"/>
      <w:marLeft w:val="0"/>
      <w:marRight w:val="0"/>
      <w:marTop w:val="0"/>
      <w:marBottom w:val="0"/>
      <w:divBdr>
        <w:top w:val="none" w:sz="0" w:space="0" w:color="auto"/>
        <w:left w:val="none" w:sz="0" w:space="0" w:color="auto"/>
        <w:bottom w:val="none" w:sz="0" w:space="0" w:color="auto"/>
        <w:right w:val="none" w:sz="0" w:space="0" w:color="auto"/>
      </w:divBdr>
    </w:div>
    <w:div w:id="1396391300">
      <w:bodyDiv w:val="1"/>
      <w:marLeft w:val="0"/>
      <w:marRight w:val="0"/>
      <w:marTop w:val="0"/>
      <w:marBottom w:val="0"/>
      <w:divBdr>
        <w:top w:val="none" w:sz="0" w:space="0" w:color="auto"/>
        <w:left w:val="none" w:sz="0" w:space="0" w:color="auto"/>
        <w:bottom w:val="none" w:sz="0" w:space="0" w:color="auto"/>
        <w:right w:val="none" w:sz="0" w:space="0" w:color="auto"/>
      </w:divBdr>
    </w:div>
    <w:div w:id="1543900884">
      <w:bodyDiv w:val="1"/>
      <w:marLeft w:val="0"/>
      <w:marRight w:val="0"/>
      <w:marTop w:val="0"/>
      <w:marBottom w:val="0"/>
      <w:divBdr>
        <w:top w:val="none" w:sz="0" w:space="0" w:color="auto"/>
        <w:left w:val="none" w:sz="0" w:space="0" w:color="auto"/>
        <w:bottom w:val="none" w:sz="0" w:space="0" w:color="auto"/>
        <w:right w:val="none" w:sz="0" w:space="0" w:color="auto"/>
      </w:divBdr>
    </w:div>
    <w:div w:id="1864703316">
      <w:bodyDiv w:val="1"/>
      <w:marLeft w:val="0"/>
      <w:marRight w:val="0"/>
      <w:marTop w:val="0"/>
      <w:marBottom w:val="0"/>
      <w:divBdr>
        <w:top w:val="none" w:sz="0" w:space="0" w:color="auto"/>
        <w:left w:val="none" w:sz="0" w:space="0" w:color="auto"/>
        <w:bottom w:val="none" w:sz="0" w:space="0" w:color="auto"/>
        <w:right w:val="none" w:sz="0" w:space="0" w:color="auto"/>
      </w:divBdr>
      <w:divsChild>
        <w:div w:id="516584649">
          <w:marLeft w:val="0"/>
          <w:marRight w:val="0"/>
          <w:marTop w:val="0"/>
          <w:marBottom w:val="0"/>
          <w:divBdr>
            <w:top w:val="none" w:sz="0" w:space="0" w:color="auto"/>
            <w:left w:val="none" w:sz="0" w:space="0" w:color="auto"/>
            <w:bottom w:val="none" w:sz="0" w:space="0" w:color="auto"/>
            <w:right w:val="none" w:sz="0" w:space="0" w:color="auto"/>
          </w:divBdr>
          <w:divsChild>
            <w:div w:id="982350620">
              <w:marLeft w:val="0"/>
              <w:marRight w:val="0"/>
              <w:marTop w:val="0"/>
              <w:marBottom w:val="0"/>
              <w:divBdr>
                <w:top w:val="none" w:sz="0" w:space="0" w:color="auto"/>
                <w:left w:val="none" w:sz="0" w:space="0" w:color="auto"/>
                <w:bottom w:val="none" w:sz="0" w:space="0" w:color="auto"/>
                <w:right w:val="none" w:sz="0" w:space="0" w:color="auto"/>
              </w:divBdr>
              <w:divsChild>
                <w:div w:id="533156139">
                  <w:marLeft w:val="0"/>
                  <w:marRight w:val="0"/>
                  <w:marTop w:val="0"/>
                  <w:marBottom w:val="0"/>
                  <w:divBdr>
                    <w:top w:val="none" w:sz="0" w:space="0" w:color="auto"/>
                    <w:left w:val="none" w:sz="0" w:space="0" w:color="auto"/>
                    <w:bottom w:val="none" w:sz="0" w:space="0" w:color="auto"/>
                    <w:right w:val="none" w:sz="0" w:space="0" w:color="auto"/>
                  </w:divBdr>
                </w:div>
                <w:div w:id="1898130927">
                  <w:marLeft w:val="0"/>
                  <w:marRight w:val="0"/>
                  <w:marTop w:val="0"/>
                  <w:marBottom w:val="0"/>
                  <w:divBdr>
                    <w:top w:val="none" w:sz="0" w:space="0" w:color="auto"/>
                    <w:left w:val="none" w:sz="0" w:space="0" w:color="auto"/>
                    <w:bottom w:val="none" w:sz="0" w:space="0" w:color="auto"/>
                    <w:right w:val="none" w:sz="0" w:space="0" w:color="auto"/>
                  </w:divBdr>
                </w:div>
                <w:div w:id="19048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2440">
      <w:bodyDiv w:val="1"/>
      <w:marLeft w:val="0"/>
      <w:marRight w:val="0"/>
      <w:marTop w:val="0"/>
      <w:marBottom w:val="0"/>
      <w:divBdr>
        <w:top w:val="none" w:sz="0" w:space="0" w:color="auto"/>
        <w:left w:val="none" w:sz="0" w:space="0" w:color="auto"/>
        <w:bottom w:val="none" w:sz="0" w:space="0" w:color="auto"/>
        <w:right w:val="none" w:sz="0" w:space="0" w:color="auto"/>
      </w:divBdr>
    </w:div>
    <w:div w:id="204933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eader" Target="header1.xml"/><Relationship Id="rId26" Type="http://schemas.openxmlformats.org/officeDocument/2006/relationships/footer" Target="footer5.xml"/><Relationship Id="rId39" Type="http://schemas.openxmlformats.org/officeDocument/2006/relationships/image" Target="media/image13.emf"/><Relationship Id="rId21" Type="http://schemas.openxmlformats.org/officeDocument/2006/relationships/image" Target="media/image5.png"/><Relationship Id="rId34"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image" Target="media/image21.emf"/><Relationship Id="rId50" Type="http://schemas.openxmlformats.org/officeDocument/2006/relationships/footer" Target="footer6.xml"/><Relationship Id="rId55" Type="http://schemas.openxmlformats.org/officeDocument/2006/relationships/image" Target="media/image28.emf"/><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mailto:pricing@ausgrid.com.au" TargetMode="External"/><Relationship Id="rId20" Type="http://schemas.openxmlformats.org/officeDocument/2006/relationships/image" Target="media/image4.png"/><Relationship Id="rId29" Type="http://schemas.openxmlformats.org/officeDocument/2006/relationships/image" Target="media/image9.wmf"/><Relationship Id="rId41" Type="http://schemas.openxmlformats.org/officeDocument/2006/relationships/image" Target="media/image15.emf"/><Relationship Id="rId54" Type="http://schemas.openxmlformats.org/officeDocument/2006/relationships/image" Target="media/image27.emf"/><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oleObject" Target="embeddings/oleObject3.bin"/><Relationship Id="rId37" Type="http://schemas.openxmlformats.org/officeDocument/2006/relationships/oleObject" Target="embeddings/oleObject6.bin"/><Relationship Id="rId40" Type="http://schemas.openxmlformats.org/officeDocument/2006/relationships/image" Target="media/image14.emf"/><Relationship Id="rId45" Type="http://schemas.openxmlformats.org/officeDocument/2006/relationships/image" Target="media/image19.png"/><Relationship Id="rId53" Type="http://schemas.openxmlformats.org/officeDocument/2006/relationships/image" Target="media/image26.emf"/><Relationship Id="rId58" Type="http://schemas.openxmlformats.org/officeDocument/2006/relationships/image" Target="media/image31.emf"/><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oleObject" Target="embeddings/oleObject1.bin"/><Relationship Id="rId36" Type="http://schemas.openxmlformats.org/officeDocument/2006/relationships/oleObject" Target="embeddings/oleObject5.bin"/><Relationship Id="rId49" Type="http://schemas.openxmlformats.org/officeDocument/2006/relationships/image" Target="media/image23.emf"/><Relationship Id="rId57" Type="http://schemas.openxmlformats.org/officeDocument/2006/relationships/image" Target="media/image30.emf"/><Relationship Id="rId61"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image" Target="media/image10.wmf"/><Relationship Id="rId44" Type="http://schemas.openxmlformats.org/officeDocument/2006/relationships/image" Target="media/image18.png"/><Relationship Id="rId52" Type="http://schemas.openxmlformats.org/officeDocument/2006/relationships/image" Target="media/image25.emf"/><Relationship Id="rId60" Type="http://schemas.openxmlformats.org/officeDocument/2006/relationships/image" Target="media/image33.emf"/><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image" Target="media/image8.wmf"/><Relationship Id="rId30" Type="http://schemas.openxmlformats.org/officeDocument/2006/relationships/oleObject" Target="embeddings/oleObject2.bin"/><Relationship Id="rId35" Type="http://schemas.openxmlformats.org/officeDocument/2006/relationships/image" Target="media/image12.wmf"/><Relationship Id="rId43" Type="http://schemas.openxmlformats.org/officeDocument/2006/relationships/image" Target="media/image17.emf"/><Relationship Id="rId48" Type="http://schemas.openxmlformats.org/officeDocument/2006/relationships/image" Target="media/image22.emf"/><Relationship Id="rId56" Type="http://schemas.openxmlformats.org/officeDocument/2006/relationships/image" Target="media/image29.emf"/><Relationship Id="rId8" Type="http://schemas.microsoft.com/office/2007/relationships/stylesWithEffects" Target="stylesWithEffects.xml"/><Relationship Id="rId51" Type="http://schemas.openxmlformats.org/officeDocument/2006/relationships/image" Target="media/image24.emf"/><Relationship Id="rId3" Type="http://schemas.openxmlformats.org/officeDocument/2006/relationships/customXml" Target="../customXml/item2.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footer" Target="footer4.xml"/><Relationship Id="rId33" Type="http://schemas.openxmlformats.org/officeDocument/2006/relationships/image" Target="media/image11.wmf"/><Relationship Id="rId38" Type="http://schemas.openxmlformats.org/officeDocument/2006/relationships/chart" Target="charts/chart1.xml"/><Relationship Id="rId46" Type="http://schemas.openxmlformats.org/officeDocument/2006/relationships/image" Target="media/image20.emf"/><Relationship Id="rId59" Type="http://schemas.openxmlformats.org/officeDocument/2006/relationships/image" Target="media/image32.emf"/><Relationship Id="rId67"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ausgrid.com.au/~/media/Files/Industry/Demand%20Management/Ausgrid%20CoolSaver%20Interim%20Report%20August%202015.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7.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94312136044419"/>
          <c:y val="3.5065479739314571E-2"/>
          <c:w val="0.77057284915552637"/>
          <c:h val="0.77965173413375555"/>
        </c:manualLayout>
      </c:layout>
      <c:scatterChart>
        <c:scatterStyle val="lineMarker"/>
        <c:varyColors val="0"/>
        <c:ser>
          <c:idx val="0"/>
          <c:order val="0"/>
          <c:tx>
            <c:strRef>
              <c:f>Sheet2!$C$1</c:f>
              <c:strCache>
                <c:ptCount val="1"/>
                <c:pt idx="0">
                  <c:v>System Demand (MW)</c:v>
                </c:pt>
              </c:strCache>
            </c:strRef>
          </c:tx>
          <c:spPr>
            <a:ln w="28575">
              <a:noFill/>
            </a:ln>
          </c:spPr>
          <c:xVal>
            <c:numRef>
              <c:f>Sheet2!$B$2:$B$1260</c:f>
              <c:numCache>
                <c:formatCode>General</c:formatCode>
                <c:ptCount val="1259"/>
                <c:pt idx="0">
                  <c:v>21</c:v>
                </c:pt>
                <c:pt idx="1">
                  <c:v>23.2</c:v>
                </c:pt>
                <c:pt idx="2">
                  <c:v>23.5</c:v>
                </c:pt>
                <c:pt idx="3">
                  <c:v>22.3</c:v>
                </c:pt>
                <c:pt idx="4">
                  <c:v>23.2</c:v>
                </c:pt>
                <c:pt idx="5">
                  <c:v>23.6</c:v>
                </c:pt>
                <c:pt idx="6">
                  <c:v>27.5</c:v>
                </c:pt>
                <c:pt idx="7">
                  <c:v>24.3</c:v>
                </c:pt>
                <c:pt idx="8">
                  <c:v>20.7</c:v>
                </c:pt>
                <c:pt idx="9">
                  <c:v>22.3</c:v>
                </c:pt>
                <c:pt idx="10">
                  <c:v>20.9</c:v>
                </c:pt>
                <c:pt idx="11">
                  <c:v>19.899999999999999</c:v>
                </c:pt>
                <c:pt idx="12">
                  <c:v>23</c:v>
                </c:pt>
                <c:pt idx="13">
                  <c:v>24.8</c:v>
                </c:pt>
                <c:pt idx="14">
                  <c:v>28.2</c:v>
                </c:pt>
                <c:pt idx="15">
                  <c:v>23.7</c:v>
                </c:pt>
                <c:pt idx="16">
                  <c:v>23.9</c:v>
                </c:pt>
                <c:pt idx="17">
                  <c:v>23.4</c:v>
                </c:pt>
                <c:pt idx="18">
                  <c:v>23.6</c:v>
                </c:pt>
                <c:pt idx="19">
                  <c:v>24.3</c:v>
                </c:pt>
                <c:pt idx="20">
                  <c:v>23.6</c:v>
                </c:pt>
                <c:pt idx="21">
                  <c:v>24.1</c:v>
                </c:pt>
                <c:pt idx="22">
                  <c:v>24.4</c:v>
                </c:pt>
                <c:pt idx="23">
                  <c:v>24.8</c:v>
                </c:pt>
                <c:pt idx="24">
                  <c:v>24.2</c:v>
                </c:pt>
                <c:pt idx="25">
                  <c:v>24.6</c:v>
                </c:pt>
                <c:pt idx="26">
                  <c:v>24.9</c:v>
                </c:pt>
                <c:pt idx="27">
                  <c:v>25.2</c:v>
                </c:pt>
                <c:pt idx="28">
                  <c:v>27.4</c:v>
                </c:pt>
                <c:pt idx="29">
                  <c:v>24.8</c:v>
                </c:pt>
                <c:pt idx="30">
                  <c:v>22.6</c:v>
                </c:pt>
                <c:pt idx="31">
                  <c:v>21.6</c:v>
                </c:pt>
                <c:pt idx="32">
                  <c:v>21.6</c:v>
                </c:pt>
                <c:pt idx="33">
                  <c:v>22</c:v>
                </c:pt>
                <c:pt idx="34">
                  <c:v>28.7</c:v>
                </c:pt>
                <c:pt idx="35">
                  <c:v>24.4</c:v>
                </c:pt>
                <c:pt idx="36">
                  <c:v>21.8</c:v>
                </c:pt>
                <c:pt idx="37">
                  <c:v>21</c:v>
                </c:pt>
                <c:pt idx="38">
                  <c:v>20.9</c:v>
                </c:pt>
                <c:pt idx="39">
                  <c:v>19</c:v>
                </c:pt>
                <c:pt idx="40">
                  <c:v>19.399999999999999</c:v>
                </c:pt>
                <c:pt idx="41">
                  <c:v>20.399999999999999</c:v>
                </c:pt>
                <c:pt idx="42">
                  <c:v>21.4</c:v>
                </c:pt>
                <c:pt idx="43">
                  <c:v>22.5</c:v>
                </c:pt>
                <c:pt idx="44">
                  <c:v>25.8</c:v>
                </c:pt>
                <c:pt idx="45">
                  <c:v>24.4</c:v>
                </c:pt>
                <c:pt idx="46">
                  <c:v>19.8</c:v>
                </c:pt>
                <c:pt idx="47">
                  <c:v>20.2</c:v>
                </c:pt>
                <c:pt idx="48">
                  <c:v>20.399999999999999</c:v>
                </c:pt>
                <c:pt idx="49">
                  <c:v>20.9</c:v>
                </c:pt>
                <c:pt idx="50">
                  <c:v>20.399999999999999</c:v>
                </c:pt>
                <c:pt idx="51">
                  <c:v>20.2</c:v>
                </c:pt>
                <c:pt idx="52">
                  <c:v>21</c:v>
                </c:pt>
                <c:pt idx="53">
                  <c:v>22.8</c:v>
                </c:pt>
                <c:pt idx="54">
                  <c:v>22.1</c:v>
                </c:pt>
                <c:pt idx="55">
                  <c:v>22.3</c:v>
                </c:pt>
                <c:pt idx="56">
                  <c:v>21.1</c:v>
                </c:pt>
                <c:pt idx="57">
                  <c:v>22.4</c:v>
                </c:pt>
                <c:pt idx="58">
                  <c:v>24.9</c:v>
                </c:pt>
                <c:pt idx="59">
                  <c:v>23.5</c:v>
                </c:pt>
                <c:pt idx="60">
                  <c:v>20.2</c:v>
                </c:pt>
                <c:pt idx="61">
                  <c:v>19.5</c:v>
                </c:pt>
                <c:pt idx="62">
                  <c:v>19.600000000000001</c:v>
                </c:pt>
                <c:pt idx="63">
                  <c:v>19.2</c:v>
                </c:pt>
                <c:pt idx="64">
                  <c:v>20.5</c:v>
                </c:pt>
                <c:pt idx="65">
                  <c:v>22.1</c:v>
                </c:pt>
                <c:pt idx="66">
                  <c:v>19.2</c:v>
                </c:pt>
                <c:pt idx="67">
                  <c:v>17.899999999999999</c:v>
                </c:pt>
                <c:pt idx="68">
                  <c:v>16</c:v>
                </c:pt>
                <c:pt idx="69">
                  <c:v>17.3</c:v>
                </c:pt>
                <c:pt idx="70">
                  <c:v>18.2</c:v>
                </c:pt>
                <c:pt idx="71">
                  <c:v>18</c:v>
                </c:pt>
                <c:pt idx="72">
                  <c:v>19.899999999999999</c:v>
                </c:pt>
                <c:pt idx="73">
                  <c:v>19.899999999999999</c:v>
                </c:pt>
                <c:pt idx="74">
                  <c:v>19.5</c:v>
                </c:pt>
                <c:pt idx="75">
                  <c:v>20.2</c:v>
                </c:pt>
                <c:pt idx="76">
                  <c:v>21.5</c:v>
                </c:pt>
                <c:pt idx="77">
                  <c:v>15.2</c:v>
                </c:pt>
                <c:pt idx="78">
                  <c:v>16.7</c:v>
                </c:pt>
                <c:pt idx="79">
                  <c:v>17.600000000000001</c:v>
                </c:pt>
                <c:pt idx="80">
                  <c:v>15.7</c:v>
                </c:pt>
                <c:pt idx="81">
                  <c:v>17.8</c:v>
                </c:pt>
                <c:pt idx="82">
                  <c:v>18.8</c:v>
                </c:pt>
                <c:pt idx="83">
                  <c:v>16.100000000000001</c:v>
                </c:pt>
                <c:pt idx="84">
                  <c:v>14.1</c:v>
                </c:pt>
                <c:pt idx="85">
                  <c:v>14.5</c:v>
                </c:pt>
                <c:pt idx="86">
                  <c:v>16.7</c:v>
                </c:pt>
                <c:pt idx="87">
                  <c:v>17.3</c:v>
                </c:pt>
                <c:pt idx="88">
                  <c:v>13.1</c:v>
                </c:pt>
                <c:pt idx="89">
                  <c:v>13.3</c:v>
                </c:pt>
                <c:pt idx="90">
                  <c:v>13.6</c:v>
                </c:pt>
                <c:pt idx="91">
                  <c:v>14.1</c:v>
                </c:pt>
                <c:pt idx="92">
                  <c:v>13.7</c:v>
                </c:pt>
                <c:pt idx="93">
                  <c:v>14.3</c:v>
                </c:pt>
                <c:pt idx="94">
                  <c:v>14</c:v>
                </c:pt>
                <c:pt idx="95">
                  <c:v>14.2</c:v>
                </c:pt>
                <c:pt idx="96">
                  <c:v>13.8</c:v>
                </c:pt>
                <c:pt idx="97">
                  <c:v>14.7</c:v>
                </c:pt>
                <c:pt idx="98">
                  <c:v>14.6</c:v>
                </c:pt>
                <c:pt idx="99">
                  <c:v>15.9</c:v>
                </c:pt>
                <c:pt idx="100">
                  <c:v>15.3</c:v>
                </c:pt>
                <c:pt idx="101">
                  <c:v>14.9</c:v>
                </c:pt>
                <c:pt idx="102">
                  <c:v>14.3</c:v>
                </c:pt>
                <c:pt idx="103">
                  <c:v>14.1</c:v>
                </c:pt>
                <c:pt idx="104">
                  <c:v>15.6</c:v>
                </c:pt>
                <c:pt idx="105">
                  <c:v>15.8</c:v>
                </c:pt>
                <c:pt idx="106">
                  <c:v>11.8</c:v>
                </c:pt>
                <c:pt idx="107">
                  <c:v>12.1</c:v>
                </c:pt>
                <c:pt idx="108">
                  <c:v>11.5</c:v>
                </c:pt>
                <c:pt idx="109">
                  <c:v>11.6</c:v>
                </c:pt>
                <c:pt idx="110">
                  <c:v>10.1</c:v>
                </c:pt>
                <c:pt idx="111">
                  <c:v>11.6</c:v>
                </c:pt>
                <c:pt idx="112">
                  <c:v>12.1</c:v>
                </c:pt>
                <c:pt idx="113">
                  <c:v>13.7</c:v>
                </c:pt>
                <c:pt idx="114">
                  <c:v>12.6</c:v>
                </c:pt>
                <c:pt idx="115">
                  <c:v>12.4</c:v>
                </c:pt>
                <c:pt idx="116">
                  <c:v>14</c:v>
                </c:pt>
                <c:pt idx="117">
                  <c:v>13.2</c:v>
                </c:pt>
                <c:pt idx="118">
                  <c:v>13.6</c:v>
                </c:pt>
                <c:pt idx="119">
                  <c:v>14.6</c:v>
                </c:pt>
                <c:pt idx="120">
                  <c:v>8.8000000000000007</c:v>
                </c:pt>
                <c:pt idx="121">
                  <c:v>7.6</c:v>
                </c:pt>
                <c:pt idx="122">
                  <c:v>8</c:v>
                </c:pt>
                <c:pt idx="123">
                  <c:v>9.1999999999999993</c:v>
                </c:pt>
                <c:pt idx="124">
                  <c:v>9.3000000000000007</c:v>
                </c:pt>
                <c:pt idx="125">
                  <c:v>10.9</c:v>
                </c:pt>
                <c:pt idx="126">
                  <c:v>12.2</c:v>
                </c:pt>
                <c:pt idx="127">
                  <c:v>12</c:v>
                </c:pt>
                <c:pt idx="128">
                  <c:v>11.5</c:v>
                </c:pt>
                <c:pt idx="129">
                  <c:v>11.7</c:v>
                </c:pt>
                <c:pt idx="130">
                  <c:v>12.6</c:v>
                </c:pt>
                <c:pt idx="131">
                  <c:v>14.3</c:v>
                </c:pt>
                <c:pt idx="132">
                  <c:v>15.4</c:v>
                </c:pt>
                <c:pt idx="133">
                  <c:v>12.8</c:v>
                </c:pt>
                <c:pt idx="134">
                  <c:v>10.3</c:v>
                </c:pt>
                <c:pt idx="135">
                  <c:v>10.4</c:v>
                </c:pt>
                <c:pt idx="136">
                  <c:v>10.8</c:v>
                </c:pt>
                <c:pt idx="137">
                  <c:v>10.3</c:v>
                </c:pt>
                <c:pt idx="138">
                  <c:v>9.9</c:v>
                </c:pt>
                <c:pt idx="139">
                  <c:v>11.8</c:v>
                </c:pt>
                <c:pt idx="140">
                  <c:v>11.8</c:v>
                </c:pt>
                <c:pt idx="141">
                  <c:v>12.2</c:v>
                </c:pt>
                <c:pt idx="142">
                  <c:v>12.9</c:v>
                </c:pt>
                <c:pt idx="143">
                  <c:v>13.3</c:v>
                </c:pt>
                <c:pt idx="144">
                  <c:v>15.7</c:v>
                </c:pt>
                <c:pt idx="145">
                  <c:v>11.3</c:v>
                </c:pt>
                <c:pt idx="146">
                  <c:v>13.4</c:v>
                </c:pt>
                <c:pt idx="147">
                  <c:v>11.9</c:v>
                </c:pt>
                <c:pt idx="148">
                  <c:v>10.6</c:v>
                </c:pt>
                <c:pt idx="149">
                  <c:v>10.5</c:v>
                </c:pt>
                <c:pt idx="150">
                  <c:v>10.8</c:v>
                </c:pt>
                <c:pt idx="151">
                  <c:v>12.5</c:v>
                </c:pt>
                <c:pt idx="152">
                  <c:v>13.9</c:v>
                </c:pt>
                <c:pt idx="153">
                  <c:v>13.6</c:v>
                </c:pt>
                <c:pt idx="154">
                  <c:v>12.8</c:v>
                </c:pt>
                <c:pt idx="155">
                  <c:v>14.5</c:v>
                </c:pt>
                <c:pt idx="156">
                  <c:v>11.1</c:v>
                </c:pt>
                <c:pt idx="157">
                  <c:v>12.4</c:v>
                </c:pt>
                <c:pt idx="158">
                  <c:v>18.600000000000001</c:v>
                </c:pt>
                <c:pt idx="159">
                  <c:v>13.8</c:v>
                </c:pt>
                <c:pt idx="160">
                  <c:v>12.2</c:v>
                </c:pt>
                <c:pt idx="161">
                  <c:v>14.1</c:v>
                </c:pt>
                <c:pt idx="162">
                  <c:v>13.4</c:v>
                </c:pt>
                <c:pt idx="163">
                  <c:v>13.1</c:v>
                </c:pt>
                <c:pt idx="164">
                  <c:v>13.8</c:v>
                </c:pt>
                <c:pt idx="165">
                  <c:v>13.2</c:v>
                </c:pt>
                <c:pt idx="166">
                  <c:v>15.1</c:v>
                </c:pt>
                <c:pt idx="167">
                  <c:v>18</c:v>
                </c:pt>
                <c:pt idx="168">
                  <c:v>16.5</c:v>
                </c:pt>
                <c:pt idx="169">
                  <c:v>15</c:v>
                </c:pt>
                <c:pt idx="170">
                  <c:v>14.7</c:v>
                </c:pt>
                <c:pt idx="171">
                  <c:v>12.3</c:v>
                </c:pt>
                <c:pt idx="172">
                  <c:v>11.9</c:v>
                </c:pt>
                <c:pt idx="173">
                  <c:v>12.6</c:v>
                </c:pt>
                <c:pt idx="174">
                  <c:v>15.7</c:v>
                </c:pt>
                <c:pt idx="175">
                  <c:v>17.399999999999999</c:v>
                </c:pt>
                <c:pt idx="176">
                  <c:v>15.4</c:v>
                </c:pt>
                <c:pt idx="177">
                  <c:v>15.5</c:v>
                </c:pt>
                <c:pt idx="178">
                  <c:v>14.6</c:v>
                </c:pt>
                <c:pt idx="179">
                  <c:v>13.2</c:v>
                </c:pt>
                <c:pt idx="180">
                  <c:v>14.8</c:v>
                </c:pt>
                <c:pt idx="181">
                  <c:v>15.8</c:v>
                </c:pt>
                <c:pt idx="182">
                  <c:v>16.2</c:v>
                </c:pt>
                <c:pt idx="183">
                  <c:v>16</c:v>
                </c:pt>
                <c:pt idx="184">
                  <c:v>17.3</c:v>
                </c:pt>
                <c:pt idx="185">
                  <c:v>19.3</c:v>
                </c:pt>
                <c:pt idx="186">
                  <c:v>19.7</c:v>
                </c:pt>
                <c:pt idx="187">
                  <c:v>14</c:v>
                </c:pt>
                <c:pt idx="188">
                  <c:v>12.5</c:v>
                </c:pt>
                <c:pt idx="189">
                  <c:v>14.1</c:v>
                </c:pt>
                <c:pt idx="190">
                  <c:v>18.8</c:v>
                </c:pt>
                <c:pt idx="191">
                  <c:v>18.7</c:v>
                </c:pt>
                <c:pt idx="192">
                  <c:v>17.2</c:v>
                </c:pt>
                <c:pt idx="193">
                  <c:v>16.7</c:v>
                </c:pt>
                <c:pt idx="194">
                  <c:v>18.399999999999999</c:v>
                </c:pt>
                <c:pt idx="195">
                  <c:v>18.600000000000001</c:v>
                </c:pt>
                <c:pt idx="196">
                  <c:v>19.2</c:v>
                </c:pt>
                <c:pt idx="197">
                  <c:v>22</c:v>
                </c:pt>
                <c:pt idx="198">
                  <c:v>20.7</c:v>
                </c:pt>
                <c:pt idx="199">
                  <c:v>17.2</c:v>
                </c:pt>
                <c:pt idx="200">
                  <c:v>14.8</c:v>
                </c:pt>
                <c:pt idx="201">
                  <c:v>16.5</c:v>
                </c:pt>
                <c:pt idx="202">
                  <c:v>17.3</c:v>
                </c:pt>
                <c:pt idx="203">
                  <c:v>19.100000000000001</c:v>
                </c:pt>
                <c:pt idx="204">
                  <c:v>16</c:v>
                </c:pt>
                <c:pt idx="205">
                  <c:v>18.7</c:v>
                </c:pt>
                <c:pt idx="206">
                  <c:v>18</c:v>
                </c:pt>
                <c:pt idx="207">
                  <c:v>17.7</c:v>
                </c:pt>
                <c:pt idx="208">
                  <c:v>17.600000000000001</c:v>
                </c:pt>
                <c:pt idx="209">
                  <c:v>18.100000000000001</c:v>
                </c:pt>
                <c:pt idx="210">
                  <c:v>15.3</c:v>
                </c:pt>
                <c:pt idx="211">
                  <c:v>16.899999999999999</c:v>
                </c:pt>
                <c:pt idx="212">
                  <c:v>15.8</c:v>
                </c:pt>
                <c:pt idx="213">
                  <c:v>15.4</c:v>
                </c:pt>
                <c:pt idx="214">
                  <c:v>21</c:v>
                </c:pt>
                <c:pt idx="215">
                  <c:v>20.399999999999999</c:v>
                </c:pt>
                <c:pt idx="216">
                  <c:v>21.6</c:v>
                </c:pt>
                <c:pt idx="217">
                  <c:v>23.2</c:v>
                </c:pt>
                <c:pt idx="218">
                  <c:v>23.4</c:v>
                </c:pt>
                <c:pt idx="219">
                  <c:v>21.2</c:v>
                </c:pt>
                <c:pt idx="220">
                  <c:v>19.600000000000001</c:v>
                </c:pt>
                <c:pt idx="221">
                  <c:v>18.600000000000001</c:v>
                </c:pt>
                <c:pt idx="222">
                  <c:v>20.2</c:v>
                </c:pt>
                <c:pt idx="223">
                  <c:v>17.600000000000001</c:v>
                </c:pt>
                <c:pt idx="224">
                  <c:v>20.100000000000001</c:v>
                </c:pt>
                <c:pt idx="225">
                  <c:v>20.9</c:v>
                </c:pt>
                <c:pt idx="226">
                  <c:v>21.8</c:v>
                </c:pt>
                <c:pt idx="227">
                  <c:v>22.8</c:v>
                </c:pt>
                <c:pt idx="228">
                  <c:v>22.3</c:v>
                </c:pt>
                <c:pt idx="229">
                  <c:v>18.7</c:v>
                </c:pt>
                <c:pt idx="230">
                  <c:v>19.7</c:v>
                </c:pt>
                <c:pt idx="231">
                  <c:v>19.3</c:v>
                </c:pt>
                <c:pt idx="232">
                  <c:v>21.5</c:v>
                </c:pt>
                <c:pt idx="233">
                  <c:v>22.5</c:v>
                </c:pt>
                <c:pt idx="234">
                  <c:v>22.9</c:v>
                </c:pt>
                <c:pt idx="235">
                  <c:v>23.2</c:v>
                </c:pt>
                <c:pt idx="236">
                  <c:v>24.4</c:v>
                </c:pt>
                <c:pt idx="237">
                  <c:v>26.2</c:v>
                </c:pt>
                <c:pt idx="238">
                  <c:v>24.4</c:v>
                </c:pt>
                <c:pt idx="239">
                  <c:v>21.4</c:v>
                </c:pt>
                <c:pt idx="240">
                  <c:v>22</c:v>
                </c:pt>
                <c:pt idx="241">
                  <c:v>23.4</c:v>
                </c:pt>
                <c:pt idx="242">
                  <c:v>21.7</c:v>
                </c:pt>
                <c:pt idx="243">
                  <c:v>21.6</c:v>
                </c:pt>
                <c:pt idx="244">
                  <c:v>17.7</c:v>
                </c:pt>
                <c:pt idx="245">
                  <c:v>20.9</c:v>
                </c:pt>
                <c:pt idx="246">
                  <c:v>21</c:v>
                </c:pt>
                <c:pt idx="247">
                  <c:v>22.4</c:v>
                </c:pt>
                <c:pt idx="248">
                  <c:v>20.2</c:v>
                </c:pt>
                <c:pt idx="249">
                  <c:v>21.8</c:v>
                </c:pt>
                <c:pt idx="250">
                  <c:v>23.5</c:v>
                </c:pt>
                <c:pt idx="251">
                  <c:v>24.6</c:v>
                </c:pt>
                <c:pt idx="252">
                  <c:v>20.100000000000001</c:v>
                </c:pt>
                <c:pt idx="253">
                  <c:v>20.5</c:v>
                </c:pt>
                <c:pt idx="254">
                  <c:v>21.8</c:v>
                </c:pt>
                <c:pt idx="255">
                  <c:v>22.5</c:v>
                </c:pt>
                <c:pt idx="256">
                  <c:v>23.8</c:v>
                </c:pt>
                <c:pt idx="257">
                  <c:v>23.9</c:v>
                </c:pt>
                <c:pt idx="258">
                  <c:v>25.2</c:v>
                </c:pt>
                <c:pt idx="259">
                  <c:v>25.1</c:v>
                </c:pt>
                <c:pt idx="260">
                  <c:v>25.1</c:v>
                </c:pt>
                <c:pt idx="261">
                  <c:v>23.8</c:v>
                </c:pt>
                <c:pt idx="262">
                  <c:v>22.7</c:v>
                </c:pt>
                <c:pt idx="263">
                  <c:v>23</c:v>
                </c:pt>
                <c:pt idx="264">
                  <c:v>24.2</c:v>
                </c:pt>
                <c:pt idx="265">
                  <c:v>24.1</c:v>
                </c:pt>
                <c:pt idx="266">
                  <c:v>26.7</c:v>
                </c:pt>
                <c:pt idx="267">
                  <c:v>25.5</c:v>
                </c:pt>
                <c:pt idx="268">
                  <c:v>25.5</c:v>
                </c:pt>
                <c:pt idx="269">
                  <c:v>23.1</c:v>
                </c:pt>
                <c:pt idx="270">
                  <c:v>27.5</c:v>
                </c:pt>
                <c:pt idx="271">
                  <c:v>30.7</c:v>
                </c:pt>
                <c:pt idx="272">
                  <c:v>29.4</c:v>
                </c:pt>
                <c:pt idx="273">
                  <c:v>29.2</c:v>
                </c:pt>
                <c:pt idx="274">
                  <c:v>27.6</c:v>
                </c:pt>
                <c:pt idx="275">
                  <c:v>20.100000000000001</c:v>
                </c:pt>
                <c:pt idx="276">
                  <c:v>21.3</c:v>
                </c:pt>
                <c:pt idx="277">
                  <c:v>21.3</c:v>
                </c:pt>
                <c:pt idx="278">
                  <c:v>22.6</c:v>
                </c:pt>
                <c:pt idx="279">
                  <c:v>26</c:v>
                </c:pt>
                <c:pt idx="280">
                  <c:v>21.3</c:v>
                </c:pt>
                <c:pt idx="281">
                  <c:v>21.1</c:v>
                </c:pt>
                <c:pt idx="282">
                  <c:v>22.6</c:v>
                </c:pt>
                <c:pt idx="283">
                  <c:v>25.3</c:v>
                </c:pt>
                <c:pt idx="284">
                  <c:v>24.1</c:v>
                </c:pt>
                <c:pt idx="285">
                  <c:v>21.7</c:v>
                </c:pt>
                <c:pt idx="286">
                  <c:v>19.5</c:v>
                </c:pt>
                <c:pt idx="287">
                  <c:v>20.3</c:v>
                </c:pt>
                <c:pt idx="288">
                  <c:v>20.9</c:v>
                </c:pt>
                <c:pt idx="289">
                  <c:v>21.8</c:v>
                </c:pt>
                <c:pt idx="290">
                  <c:v>23.9</c:v>
                </c:pt>
                <c:pt idx="291">
                  <c:v>25.7</c:v>
                </c:pt>
                <c:pt idx="292">
                  <c:v>20.3</c:v>
                </c:pt>
                <c:pt idx="293">
                  <c:v>22.5</c:v>
                </c:pt>
                <c:pt idx="294">
                  <c:v>22.6</c:v>
                </c:pt>
                <c:pt idx="295">
                  <c:v>20.399999999999999</c:v>
                </c:pt>
                <c:pt idx="296">
                  <c:v>22</c:v>
                </c:pt>
                <c:pt idx="297">
                  <c:v>24.3</c:v>
                </c:pt>
                <c:pt idx="298">
                  <c:v>23.9</c:v>
                </c:pt>
                <c:pt idx="299">
                  <c:v>22.6</c:v>
                </c:pt>
                <c:pt idx="300">
                  <c:v>22.3</c:v>
                </c:pt>
                <c:pt idx="301">
                  <c:v>21.2</c:v>
                </c:pt>
                <c:pt idx="302">
                  <c:v>22.1</c:v>
                </c:pt>
                <c:pt idx="303">
                  <c:v>21.8</c:v>
                </c:pt>
                <c:pt idx="304">
                  <c:v>21.1</c:v>
                </c:pt>
                <c:pt idx="305">
                  <c:v>22.7</c:v>
                </c:pt>
                <c:pt idx="306">
                  <c:v>24.1</c:v>
                </c:pt>
                <c:pt idx="307">
                  <c:v>24.4</c:v>
                </c:pt>
                <c:pt idx="308">
                  <c:v>21.6</c:v>
                </c:pt>
                <c:pt idx="309">
                  <c:v>21.1</c:v>
                </c:pt>
                <c:pt idx="310">
                  <c:v>19.2</c:v>
                </c:pt>
                <c:pt idx="311">
                  <c:v>20.7</c:v>
                </c:pt>
                <c:pt idx="312">
                  <c:v>21.6</c:v>
                </c:pt>
                <c:pt idx="313">
                  <c:v>19.7</c:v>
                </c:pt>
                <c:pt idx="314">
                  <c:v>19.600000000000001</c:v>
                </c:pt>
                <c:pt idx="315">
                  <c:v>18.7</c:v>
                </c:pt>
                <c:pt idx="316">
                  <c:v>17.399999999999999</c:v>
                </c:pt>
                <c:pt idx="317">
                  <c:v>17.600000000000001</c:v>
                </c:pt>
                <c:pt idx="318">
                  <c:v>18.3</c:v>
                </c:pt>
                <c:pt idx="319">
                  <c:v>18.100000000000001</c:v>
                </c:pt>
                <c:pt idx="320">
                  <c:v>17</c:v>
                </c:pt>
                <c:pt idx="321">
                  <c:v>15.8</c:v>
                </c:pt>
                <c:pt idx="322">
                  <c:v>17.5</c:v>
                </c:pt>
                <c:pt idx="323">
                  <c:v>17.399999999999999</c:v>
                </c:pt>
                <c:pt idx="324">
                  <c:v>17.100000000000001</c:v>
                </c:pt>
                <c:pt idx="325">
                  <c:v>17</c:v>
                </c:pt>
                <c:pt idx="326">
                  <c:v>17.399999999999999</c:v>
                </c:pt>
                <c:pt idx="327">
                  <c:v>17.100000000000001</c:v>
                </c:pt>
                <c:pt idx="328">
                  <c:v>19.100000000000001</c:v>
                </c:pt>
                <c:pt idx="329">
                  <c:v>16.600000000000001</c:v>
                </c:pt>
                <c:pt idx="330">
                  <c:v>16.5</c:v>
                </c:pt>
                <c:pt idx="331">
                  <c:v>16.899999999999999</c:v>
                </c:pt>
                <c:pt idx="332">
                  <c:v>14.8</c:v>
                </c:pt>
                <c:pt idx="333">
                  <c:v>15.6</c:v>
                </c:pt>
                <c:pt idx="334">
                  <c:v>15.9</c:v>
                </c:pt>
                <c:pt idx="335">
                  <c:v>14.8</c:v>
                </c:pt>
                <c:pt idx="336">
                  <c:v>13.8</c:v>
                </c:pt>
                <c:pt idx="337">
                  <c:v>13</c:v>
                </c:pt>
                <c:pt idx="338">
                  <c:v>12.6</c:v>
                </c:pt>
                <c:pt idx="339">
                  <c:v>10.6</c:v>
                </c:pt>
                <c:pt idx="340">
                  <c:v>11.2</c:v>
                </c:pt>
                <c:pt idx="341">
                  <c:v>13.9</c:v>
                </c:pt>
                <c:pt idx="342">
                  <c:v>11</c:v>
                </c:pt>
                <c:pt idx="343">
                  <c:v>12.1</c:v>
                </c:pt>
                <c:pt idx="344">
                  <c:v>13.3</c:v>
                </c:pt>
                <c:pt idx="345">
                  <c:v>14.5</c:v>
                </c:pt>
                <c:pt idx="346">
                  <c:v>14.6</c:v>
                </c:pt>
                <c:pt idx="347">
                  <c:v>17.2</c:v>
                </c:pt>
                <c:pt idx="348">
                  <c:v>14</c:v>
                </c:pt>
                <c:pt idx="349">
                  <c:v>12.7</c:v>
                </c:pt>
                <c:pt idx="350">
                  <c:v>13.4</c:v>
                </c:pt>
                <c:pt idx="351">
                  <c:v>11.5</c:v>
                </c:pt>
                <c:pt idx="352">
                  <c:v>13.7</c:v>
                </c:pt>
                <c:pt idx="353">
                  <c:v>16.7</c:v>
                </c:pt>
                <c:pt idx="354">
                  <c:v>17.2</c:v>
                </c:pt>
                <c:pt idx="355">
                  <c:v>15.7</c:v>
                </c:pt>
                <c:pt idx="356">
                  <c:v>13.8</c:v>
                </c:pt>
                <c:pt idx="357">
                  <c:v>12.3</c:v>
                </c:pt>
                <c:pt idx="358">
                  <c:v>9.9</c:v>
                </c:pt>
                <c:pt idx="359">
                  <c:v>10.199999999999999</c:v>
                </c:pt>
                <c:pt idx="360">
                  <c:v>10.3</c:v>
                </c:pt>
                <c:pt idx="361">
                  <c:v>11.3</c:v>
                </c:pt>
                <c:pt idx="362">
                  <c:v>15.3</c:v>
                </c:pt>
                <c:pt idx="363">
                  <c:v>15.6</c:v>
                </c:pt>
                <c:pt idx="364">
                  <c:v>14.3</c:v>
                </c:pt>
                <c:pt idx="365">
                  <c:v>12.1</c:v>
                </c:pt>
                <c:pt idx="366">
                  <c:v>12.5</c:v>
                </c:pt>
                <c:pt idx="367">
                  <c:v>13</c:v>
                </c:pt>
                <c:pt idx="368">
                  <c:v>11.2</c:v>
                </c:pt>
                <c:pt idx="369">
                  <c:v>12.9</c:v>
                </c:pt>
                <c:pt idx="370">
                  <c:v>10.9</c:v>
                </c:pt>
                <c:pt idx="371">
                  <c:v>11.7</c:v>
                </c:pt>
                <c:pt idx="372">
                  <c:v>12.4</c:v>
                </c:pt>
                <c:pt idx="373">
                  <c:v>14.1</c:v>
                </c:pt>
                <c:pt idx="374">
                  <c:v>13.6</c:v>
                </c:pt>
                <c:pt idx="375">
                  <c:v>13.1</c:v>
                </c:pt>
                <c:pt idx="376">
                  <c:v>15.4</c:v>
                </c:pt>
                <c:pt idx="377">
                  <c:v>13.5</c:v>
                </c:pt>
                <c:pt idx="378">
                  <c:v>13.2</c:v>
                </c:pt>
                <c:pt idx="379">
                  <c:v>13</c:v>
                </c:pt>
                <c:pt idx="380">
                  <c:v>9.6999999999999993</c:v>
                </c:pt>
                <c:pt idx="381">
                  <c:v>11.8</c:v>
                </c:pt>
                <c:pt idx="382">
                  <c:v>10.9</c:v>
                </c:pt>
                <c:pt idx="383">
                  <c:v>11.2</c:v>
                </c:pt>
                <c:pt idx="384">
                  <c:v>10.4</c:v>
                </c:pt>
                <c:pt idx="385">
                  <c:v>9.3000000000000007</c:v>
                </c:pt>
                <c:pt idx="386">
                  <c:v>12.4</c:v>
                </c:pt>
                <c:pt idx="387">
                  <c:v>9.6999999999999993</c:v>
                </c:pt>
                <c:pt idx="388">
                  <c:v>13.6</c:v>
                </c:pt>
                <c:pt idx="389">
                  <c:v>11.7</c:v>
                </c:pt>
                <c:pt idx="390">
                  <c:v>11.9</c:v>
                </c:pt>
                <c:pt idx="391">
                  <c:v>11.5</c:v>
                </c:pt>
                <c:pt idx="392">
                  <c:v>11.5</c:v>
                </c:pt>
                <c:pt idx="393">
                  <c:v>11.1</c:v>
                </c:pt>
                <c:pt idx="394">
                  <c:v>11.5</c:v>
                </c:pt>
                <c:pt idx="395">
                  <c:v>11.2</c:v>
                </c:pt>
                <c:pt idx="396">
                  <c:v>13.9</c:v>
                </c:pt>
                <c:pt idx="397">
                  <c:v>14.1</c:v>
                </c:pt>
                <c:pt idx="398">
                  <c:v>15.1</c:v>
                </c:pt>
                <c:pt idx="399">
                  <c:v>15.8</c:v>
                </c:pt>
                <c:pt idx="400">
                  <c:v>15.4</c:v>
                </c:pt>
                <c:pt idx="401">
                  <c:v>11.9</c:v>
                </c:pt>
                <c:pt idx="402">
                  <c:v>10.3</c:v>
                </c:pt>
                <c:pt idx="403">
                  <c:v>10.8</c:v>
                </c:pt>
                <c:pt idx="404">
                  <c:v>10.9</c:v>
                </c:pt>
                <c:pt idx="405">
                  <c:v>12.7</c:v>
                </c:pt>
                <c:pt idx="406">
                  <c:v>12.6</c:v>
                </c:pt>
                <c:pt idx="407">
                  <c:v>12.9</c:v>
                </c:pt>
                <c:pt idx="408">
                  <c:v>12.4</c:v>
                </c:pt>
                <c:pt idx="409">
                  <c:v>13.5</c:v>
                </c:pt>
                <c:pt idx="410">
                  <c:v>11.5</c:v>
                </c:pt>
                <c:pt idx="411">
                  <c:v>14.1</c:v>
                </c:pt>
                <c:pt idx="412">
                  <c:v>13.9</c:v>
                </c:pt>
                <c:pt idx="413">
                  <c:v>13.7</c:v>
                </c:pt>
                <c:pt idx="414">
                  <c:v>14.1</c:v>
                </c:pt>
                <c:pt idx="415">
                  <c:v>14.6</c:v>
                </c:pt>
                <c:pt idx="416">
                  <c:v>15.5</c:v>
                </c:pt>
                <c:pt idx="417">
                  <c:v>14.3</c:v>
                </c:pt>
                <c:pt idx="418">
                  <c:v>14.6</c:v>
                </c:pt>
                <c:pt idx="419">
                  <c:v>15</c:v>
                </c:pt>
                <c:pt idx="420">
                  <c:v>14</c:v>
                </c:pt>
                <c:pt idx="421">
                  <c:v>16.7</c:v>
                </c:pt>
                <c:pt idx="422">
                  <c:v>18.399999999999999</c:v>
                </c:pt>
                <c:pt idx="423">
                  <c:v>14.8</c:v>
                </c:pt>
                <c:pt idx="424">
                  <c:v>15.1</c:v>
                </c:pt>
                <c:pt idx="425">
                  <c:v>12.2</c:v>
                </c:pt>
                <c:pt idx="426">
                  <c:v>12.8</c:v>
                </c:pt>
                <c:pt idx="427">
                  <c:v>14.1</c:v>
                </c:pt>
                <c:pt idx="428">
                  <c:v>17.100000000000001</c:v>
                </c:pt>
                <c:pt idx="429">
                  <c:v>16.2</c:v>
                </c:pt>
                <c:pt idx="430">
                  <c:v>16.7</c:v>
                </c:pt>
                <c:pt idx="431">
                  <c:v>18.7</c:v>
                </c:pt>
                <c:pt idx="432">
                  <c:v>20.5</c:v>
                </c:pt>
                <c:pt idx="433">
                  <c:v>15.4</c:v>
                </c:pt>
                <c:pt idx="434">
                  <c:v>16</c:v>
                </c:pt>
                <c:pt idx="435">
                  <c:v>18.8</c:v>
                </c:pt>
                <c:pt idx="436">
                  <c:v>15.1</c:v>
                </c:pt>
                <c:pt idx="437">
                  <c:v>14.9</c:v>
                </c:pt>
                <c:pt idx="438">
                  <c:v>15.1</c:v>
                </c:pt>
                <c:pt idx="439">
                  <c:v>16.3</c:v>
                </c:pt>
                <c:pt idx="440">
                  <c:v>15.5</c:v>
                </c:pt>
                <c:pt idx="441">
                  <c:v>13.8</c:v>
                </c:pt>
                <c:pt idx="442">
                  <c:v>14.2</c:v>
                </c:pt>
                <c:pt idx="443">
                  <c:v>15</c:v>
                </c:pt>
                <c:pt idx="444">
                  <c:v>17</c:v>
                </c:pt>
                <c:pt idx="445">
                  <c:v>15.9</c:v>
                </c:pt>
                <c:pt idx="446">
                  <c:v>15.9</c:v>
                </c:pt>
                <c:pt idx="447">
                  <c:v>14.8</c:v>
                </c:pt>
                <c:pt idx="448">
                  <c:v>16.7</c:v>
                </c:pt>
                <c:pt idx="449">
                  <c:v>17.3</c:v>
                </c:pt>
                <c:pt idx="450">
                  <c:v>15.4</c:v>
                </c:pt>
                <c:pt idx="451">
                  <c:v>15.7</c:v>
                </c:pt>
                <c:pt idx="452">
                  <c:v>16.3</c:v>
                </c:pt>
                <c:pt idx="453">
                  <c:v>18.600000000000001</c:v>
                </c:pt>
                <c:pt idx="454">
                  <c:v>21.4</c:v>
                </c:pt>
                <c:pt idx="455">
                  <c:v>24.7</c:v>
                </c:pt>
                <c:pt idx="456">
                  <c:v>18.2</c:v>
                </c:pt>
                <c:pt idx="457">
                  <c:v>15.4</c:v>
                </c:pt>
                <c:pt idx="458">
                  <c:v>16.7</c:v>
                </c:pt>
                <c:pt idx="459">
                  <c:v>18.899999999999999</c:v>
                </c:pt>
                <c:pt idx="460">
                  <c:v>17.100000000000001</c:v>
                </c:pt>
                <c:pt idx="461">
                  <c:v>17</c:v>
                </c:pt>
                <c:pt idx="462">
                  <c:v>18.3</c:v>
                </c:pt>
                <c:pt idx="463">
                  <c:v>15.4</c:v>
                </c:pt>
                <c:pt idx="464">
                  <c:v>17.5</c:v>
                </c:pt>
                <c:pt idx="465">
                  <c:v>23.6</c:v>
                </c:pt>
                <c:pt idx="466">
                  <c:v>23.9</c:v>
                </c:pt>
                <c:pt idx="467">
                  <c:v>26</c:v>
                </c:pt>
                <c:pt idx="468">
                  <c:v>24.4</c:v>
                </c:pt>
                <c:pt idx="469">
                  <c:v>19.899999999999999</c:v>
                </c:pt>
                <c:pt idx="470">
                  <c:v>26.5</c:v>
                </c:pt>
                <c:pt idx="471">
                  <c:v>21.5</c:v>
                </c:pt>
                <c:pt idx="472">
                  <c:v>19.100000000000001</c:v>
                </c:pt>
                <c:pt idx="473">
                  <c:v>17.600000000000001</c:v>
                </c:pt>
                <c:pt idx="474">
                  <c:v>20.7</c:v>
                </c:pt>
                <c:pt idx="475">
                  <c:v>19.5</c:v>
                </c:pt>
                <c:pt idx="476">
                  <c:v>18.2</c:v>
                </c:pt>
                <c:pt idx="477">
                  <c:v>16.2</c:v>
                </c:pt>
                <c:pt idx="478">
                  <c:v>16.899999999999999</c:v>
                </c:pt>
                <c:pt idx="479">
                  <c:v>17.899999999999999</c:v>
                </c:pt>
                <c:pt idx="480">
                  <c:v>22.3</c:v>
                </c:pt>
                <c:pt idx="481">
                  <c:v>23.5</c:v>
                </c:pt>
                <c:pt idx="482">
                  <c:v>25.3</c:v>
                </c:pt>
                <c:pt idx="483">
                  <c:v>17.5</c:v>
                </c:pt>
                <c:pt idx="484">
                  <c:v>16.8</c:v>
                </c:pt>
                <c:pt idx="485">
                  <c:v>15.1</c:v>
                </c:pt>
                <c:pt idx="486">
                  <c:v>15.6</c:v>
                </c:pt>
                <c:pt idx="487">
                  <c:v>16.100000000000001</c:v>
                </c:pt>
                <c:pt idx="488">
                  <c:v>18.5</c:v>
                </c:pt>
                <c:pt idx="489">
                  <c:v>19.399999999999999</c:v>
                </c:pt>
                <c:pt idx="490">
                  <c:v>18.3</c:v>
                </c:pt>
                <c:pt idx="491">
                  <c:v>18.7</c:v>
                </c:pt>
                <c:pt idx="492">
                  <c:v>18</c:v>
                </c:pt>
                <c:pt idx="493">
                  <c:v>18.399999999999999</c:v>
                </c:pt>
                <c:pt idx="494">
                  <c:v>17.5</c:v>
                </c:pt>
                <c:pt idx="495">
                  <c:v>20.3</c:v>
                </c:pt>
                <c:pt idx="496">
                  <c:v>20.3</c:v>
                </c:pt>
                <c:pt idx="497">
                  <c:v>20.5</c:v>
                </c:pt>
                <c:pt idx="498">
                  <c:v>19.5</c:v>
                </c:pt>
                <c:pt idx="499">
                  <c:v>21.5</c:v>
                </c:pt>
                <c:pt idx="500">
                  <c:v>20.6</c:v>
                </c:pt>
                <c:pt idx="501">
                  <c:v>20.399999999999999</c:v>
                </c:pt>
                <c:pt idx="502">
                  <c:v>20.3</c:v>
                </c:pt>
                <c:pt idx="503">
                  <c:v>23.9</c:v>
                </c:pt>
                <c:pt idx="504">
                  <c:v>25.3</c:v>
                </c:pt>
                <c:pt idx="505">
                  <c:v>22.2</c:v>
                </c:pt>
                <c:pt idx="506">
                  <c:v>19.899999999999999</c:v>
                </c:pt>
                <c:pt idx="507">
                  <c:v>24</c:v>
                </c:pt>
                <c:pt idx="508">
                  <c:v>23.1</c:v>
                </c:pt>
                <c:pt idx="509">
                  <c:v>22.7</c:v>
                </c:pt>
                <c:pt idx="510">
                  <c:v>18</c:v>
                </c:pt>
                <c:pt idx="511">
                  <c:v>20.100000000000001</c:v>
                </c:pt>
                <c:pt idx="512">
                  <c:v>21.1</c:v>
                </c:pt>
                <c:pt idx="513">
                  <c:v>21.8</c:v>
                </c:pt>
                <c:pt idx="514">
                  <c:v>23.3</c:v>
                </c:pt>
                <c:pt idx="515">
                  <c:v>23</c:v>
                </c:pt>
                <c:pt idx="516">
                  <c:v>23</c:v>
                </c:pt>
                <c:pt idx="517">
                  <c:v>21.9</c:v>
                </c:pt>
                <c:pt idx="518">
                  <c:v>21.3</c:v>
                </c:pt>
                <c:pt idx="519">
                  <c:v>21.8</c:v>
                </c:pt>
                <c:pt idx="520">
                  <c:v>22.7</c:v>
                </c:pt>
                <c:pt idx="521">
                  <c:v>27.3</c:v>
                </c:pt>
                <c:pt idx="522">
                  <c:v>24.2</c:v>
                </c:pt>
                <c:pt idx="523">
                  <c:v>18.8</c:v>
                </c:pt>
                <c:pt idx="524">
                  <c:v>18.2</c:v>
                </c:pt>
                <c:pt idx="525">
                  <c:v>18.600000000000001</c:v>
                </c:pt>
                <c:pt idx="526">
                  <c:v>21.7</c:v>
                </c:pt>
                <c:pt idx="527">
                  <c:v>20.9</c:v>
                </c:pt>
                <c:pt idx="528">
                  <c:v>21.1</c:v>
                </c:pt>
                <c:pt idx="529">
                  <c:v>21.6</c:v>
                </c:pt>
                <c:pt idx="530">
                  <c:v>21.6</c:v>
                </c:pt>
                <c:pt idx="531">
                  <c:v>21</c:v>
                </c:pt>
                <c:pt idx="532">
                  <c:v>20.7</c:v>
                </c:pt>
                <c:pt idx="533">
                  <c:v>21.7</c:v>
                </c:pt>
                <c:pt idx="534">
                  <c:v>22.1</c:v>
                </c:pt>
                <c:pt idx="535">
                  <c:v>22.1</c:v>
                </c:pt>
                <c:pt idx="536">
                  <c:v>22.4</c:v>
                </c:pt>
                <c:pt idx="537">
                  <c:v>21.4</c:v>
                </c:pt>
                <c:pt idx="538">
                  <c:v>20.7</c:v>
                </c:pt>
                <c:pt idx="539">
                  <c:v>22.3</c:v>
                </c:pt>
                <c:pt idx="540">
                  <c:v>23</c:v>
                </c:pt>
                <c:pt idx="541">
                  <c:v>24.8</c:v>
                </c:pt>
                <c:pt idx="542">
                  <c:v>26.3</c:v>
                </c:pt>
                <c:pt idx="543">
                  <c:v>21.4</c:v>
                </c:pt>
                <c:pt idx="544">
                  <c:v>24.1</c:v>
                </c:pt>
                <c:pt idx="545">
                  <c:v>18.8</c:v>
                </c:pt>
                <c:pt idx="546">
                  <c:v>22.4</c:v>
                </c:pt>
                <c:pt idx="547">
                  <c:v>20.399999999999999</c:v>
                </c:pt>
                <c:pt idx="548">
                  <c:v>18</c:v>
                </c:pt>
                <c:pt idx="549">
                  <c:v>17.2</c:v>
                </c:pt>
                <c:pt idx="550">
                  <c:v>20.3</c:v>
                </c:pt>
                <c:pt idx="551">
                  <c:v>21.1</c:v>
                </c:pt>
                <c:pt idx="552">
                  <c:v>20.8</c:v>
                </c:pt>
                <c:pt idx="553">
                  <c:v>21.4</c:v>
                </c:pt>
                <c:pt idx="554">
                  <c:v>22.7</c:v>
                </c:pt>
                <c:pt idx="555">
                  <c:v>23.8</c:v>
                </c:pt>
                <c:pt idx="556">
                  <c:v>20.100000000000001</c:v>
                </c:pt>
                <c:pt idx="557">
                  <c:v>20.5</c:v>
                </c:pt>
                <c:pt idx="558">
                  <c:v>21.8</c:v>
                </c:pt>
                <c:pt idx="559">
                  <c:v>18.899999999999999</c:v>
                </c:pt>
                <c:pt idx="560">
                  <c:v>20.6</c:v>
                </c:pt>
                <c:pt idx="561">
                  <c:v>19.399999999999999</c:v>
                </c:pt>
                <c:pt idx="562">
                  <c:v>20.7</c:v>
                </c:pt>
                <c:pt idx="563">
                  <c:v>20.6</c:v>
                </c:pt>
                <c:pt idx="564">
                  <c:v>20.100000000000001</c:v>
                </c:pt>
                <c:pt idx="565">
                  <c:v>19.5</c:v>
                </c:pt>
                <c:pt idx="566">
                  <c:v>20.3</c:v>
                </c:pt>
                <c:pt idx="567">
                  <c:v>20.9</c:v>
                </c:pt>
                <c:pt idx="568">
                  <c:v>21.7</c:v>
                </c:pt>
                <c:pt idx="569">
                  <c:v>21.2</c:v>
                </c:pt>
                <c:pt idx="570">
                  <c:v>14.3</c:v>
                </c:pt>
                <c:pt idx="571">
                  <c:v>14.5</c:v>
                </c:pt>
                <c:pt idx="572">
                  <c:v>16.399999999999999</c:v>
                </c:pt>
                <c:pt idx="573">
                  <c:v>17.399999999999999</c:v>
                </c:pt>
                <c:pt idx="574">
                  <c:v>18.899999999999999</c:v>
                </c:pt>
                <c:pt idx="575">
                  <c:v>17.899999999999999</c:v>
                </c:pt>
                <c:pt idx="576">
                  <c:v>18.5</c:v>
                </c:pt>
                <c:pt idx="577">
                  <c:v>19.600000000000001</c:v>
                </c:pt>
                <c:pt idx="578">
                  <c:v>20.8</c:v>
                </c:pt>
                <c:pt idx="579">
                  <c:v>18.600000000000001</c:v>
                </c:pt>
                <c:pt idx="580">
                  <c:v>17.100000000000001</c:v>
                </c:pt>
                <c:pt idx="581">
                  <c:v>16.2</c:v>
                </c:pt>
                <c:pt idx="582">
                  <c:v>16</c:v>
                </c:pt>
                <c:pt idx="583">
                  <c:v>14.5</c:v>
                </c:pt>
                <c:pt idx="584">
                  <c:v>16.100000000000001</c:v>
                </c:pt>
                <c:pt idx="585">
                  <c:v>17.100000000000001</c:v>
                </c:pt>
                <c:pt idx="586">
                  <c:v>17</c:v>
                </c:pt>
                <c:pt idx="587">
                  <c:v>14.6</c:v>
                </c:pt>
                <c:pt idx="588">
                  <c:v>12.7</c:v>
                </c:pt>
                <c:pt idx="589">
                  <c:v>14.3</c:v>
                </c:pt>
                <c:pt idx="590">
                  <c:v>16.100000000000001</c:v>
                </c:pt>
                <c:pt idx="591">
                  <c:v>17.399999999999999</c:v>
                </c:pt>
                <c:pt idx="592">
                  <c:v>17.100000000000001</c:v>
                </c:pt>
                <c:pt idx="593">
                  <c:v>11.4</c:v>
                </c:pt>
                <c:pt idx="594">
                  <c:v>12.4</c:v>
                </c:pt>
                <c:pt idx="595">
                  <c:v>13</c:v>
                </c:pt>
                <c:pt idx="596">
                  <c:v>13.2</c:v>
                </c:pt>
                <c:pt idx="597">
                  <c:v>13.5</c:v>
                </c:pt>
                <c:pt idx="598">
                  <c:v>14</c:v>
                </c:pt>
                <c:pt idx="599">
                  <c:v>12.8</c:v>
                </c:pt>
                <c:pt idx="600">
                  <c:v>12.9</c:v>
                </c:pt>
                <c:pt idx="601">
                  <c:v>11</c:v>
                </c:pt>
                <c:pt idx="602">
                  <c:v>14.4</c:v>
                </c:pt>
                <c:pt idx="603">
                  <c:v>13.2</c:v>
                </c:pt>
                <c:pt idx="604">
                  <c:v>13.1</c:v>
                </c:pt>
                <c:pt idx="605">
                  <c:v>13.3</c:v>
                </c:pt>
                <c:pt idx="606">
                  <c:v>14.4</c:v>
                </c:pt>
                <c:pt idx="607">
                  <c:v>14.2</c:v>
                </c:pt>
                <c:pt idx="608">
                  <c:v>14.6</c:v>
                </c:pt>
                <c:pt idx="609">
                  <c:v>11.8</c:v>
                </c:pt>
                <c:pt idx="610">
                  <c:v>12.9</c:v>
                </c:pt>
                <c:pt idx="611">
                  <c:v>11.3</c:v>
                </c:pt>
                <c:pt idx="612">
                  <c:v>9.5</c:v>
                </c:pt>
                <c:pt idx="613">
                  <c:v>14.6</c:v>
                </c:pt>
                <c:pt idx="614">
                  <c:v>13</c:v>
                </c:pt>
                <c:pt idx="615">
                  <c:v>13.2</c:v>
                </c:pt>
                <c:pt idx="616">
                  <c:v>13.5</c:v>
                </c:pt>
                <c:pt idx="617">
                  <c:v>12.2</c:v>
                </c:pt>
                <c:pt idx="618">
                  <c:v>11.9</c:v>
                </c:pt>
                <c:pt idx="619">
                  <c:v>10.3</c:v>
                </c:pt>
                <c:pt idx="620">
                  <c:v>11.4</c:v>
                </c:pt>
                <c:pt idx="621">
                  <c:v>13.4</c:v>
                </c:pt>
                <c:pt idx="622">
                  <c:v>10.4</c:v>
                </c:pt>
                <c:pt idx="623">
                  <c:v>11</c:v>
                </c:pt>
                <c:pt idx="624">
                  <c:v>11.6</c:v>
                </c:pt>
                <c:pt idx="625">
                  <c:v>11.5</c:v>
                </c:pt>
                <c:pt idx="626">
                  <c:v>13.3</c:v>
                </c:pt>
                <c:pt idx="627">
                  <c:v>10.4</c:v>
                </c:pt>
                <c:pt idx="628">
                  <c:v>9.6</c:v>
                </c:pt>
                <c:pt idx="629">
                  <c:v>10.199999999999999</c:v>
                </c:pt>
                <c:pt idx="630">
                  <c:v>11</c:v>
                </c:pt>
                <c:pt idx="631">
                  <c:v>11.2</c:v>
                </c:pt>
                <c:pt idx="632">
                  <c:v>10.9</c:v>
                </c:pt>
                <c:pt idx="633">
                  <c:v>12.9</c:v>
                </c:pt>
                <c:pt idx="634">
                  <c:v>14.3</c:v>
                </c:pt>
                <c:pt idx="635">
                  <c:v>12.8</c:v>
                </c:pt>
                <c:pt idx="636">
                  <c:v>16</c:v>
                </c:pt>
                <c:pt idx="637">
                  <c:v>11.8</c:v>
                </c:pt>
                <c:pt idx="638">
                  <c:v>11.3</c:v>
                </c:pt>
                <c:pt idx="639">
                  <c:v>11.8</c:v>
                </c:pt>
                <c:pt idx="640">
                  <c:v>10.1</c:v>
                </c:pt>
                <c:pt idx="641">
                  <c:v>10.5</c:v>
                </c:pt>
                <c:pt idx="642">
                  <c:v>12.5</c:v>
                </c:pt>
                <c:pt idx="643">
                  <c:v>12</c:v>
                </c:pt>
                <c:pt idx="644">
                  <c:v>12.6</c:v>
                </c:pt>
                <c:pt idx="645">
                  <c:v>13</c:v>
                </c:pt>
                <c:pt idx="646">
                  <c:v>11.5</c:v>
                </c:pt>
                <c:pt idx="647">
                  <c:v>10.6</c:v>
                </c:pt>
                <c:pt idx="648">
                  <c:v>10</c:v>
                </c:pt>
                <c:pt idx="649">
                  <c:v>9.5</c:v>
                </c:pt>
                <c:pt idx="650">
                  <c:v>9.6999999999999993</c:v>
                </c:pt>
                <c:pt idx="651">
                  <c:v>10.3</c:v>
                </c:pt>
                <c:pt idx="652">
                  <c:v>12.8</c:v>
                </c:pt>
                <c:pt idx="653">
                  <c:v>10.1</c:v>
                </c:pt>
                <c:pt idx="654">
                  <c:v>11.3</c:v>
                </c:pt>
                <c:pt idx="655">
                  <c:v>13.1</c:v>
                </c:pt>
                <c:pt idx="656">
                  <c:v>10.8</c:v>
                </c:pt>
                <c:pt idx="657">
                  <c:v>12</c:v>
                </c:pt>
                <c:pt idx="658">
                  <c:v>11.4</c:v>
                </c:pt>
                <c:pt idx="659">
                  <c:v>14</c:v>
                </c:pt>
                <c:pt idx="660">
                  <c:v>13.1</c:v>
                </c:pt>
                <c:pt idx="661">
                  <c:v>12.2</c:v>
                </c:pt>
                <c:pt idx="662">
                  <c:v>10.9</c:v>
                </c:pt>
                <c:pt idx="663">
                  <c:v>13.3</c:v>
                </c:pt>
                <c:pt idx="664">
                  <c:v>15.7</c:v>
                </c:pt>
                <c:pt idx="665">
                  <c:v>19.3</c:v>
                </c:pt>
                <c:pt idx="666">
                  <c:v>15.2</c:v>
                </c:pt>
                <c:pt idx="667">
                  <c:v>12.3</c:v>
                </c:pt>
                <c:pt idx="668">
                  <c:v>13</c:v>
                </c:pt>
                <c:pt idx="669">
                  <c:v>14.9</c:v>
                </c:pt>
                <c:pt idx="670">
                  <c:v>15.8</c:v>
                </c:pt>
                <c:pt idx="671">
                  <c:v>11.9</c:v>
                </c:pt>
                <c:pt idx="672">
                  <c:v>12.5</c:v>
                </c:pt>
                <c:pt idx="673">
                  <c:v>14</c:v>
                </c:pt>
                <c:pt idx="674">
                  <c:v>17.8</c:v>
                </c:pt>
                <c:pt idx="675">
                  <c:v>21.3</c:v>
                </c:pt>
                <c:pt idx="676">
                  <c:v>16</c:v>
                </c:pt>
                <c:pt idx="677">
                  <c:v>14.8</c:v>
                </c:pt>
                <c:pt idx="678">
                  <c:v>14.9</c:v>
                </c:pt>
                <c:pt idx="679">
                  <c:v>16.100000000000001</c:v>
                </c:pt>
                <c:pt idx="680">
                  <c:v>14.3</c:v>
                </c:pt>
                <c:pt idx="681">
                  <c:v>11.8</c:v>
                </c:pt>
                <c:pt idx="682">
                  <c:v>15.3</c:v>
                </c:pt>
                <c:pt idx="683">
                  <c:v>15.6</c:v>
                </c:pt>
                <c:pt idx="684">
                  <c:v>14.9</c:v>
                </c:pt>
                <c:pt idx="685">
                  <c:v>15.7</c:v>
                </c:pt>
                <c:pt idx="686">
                  <c:v>17.399999999999999</c:v>
                </c:pt>
                <c:pt idx="687">
                  <c:v>16.899999999999999</c:v>
                </c:pt>
                <c:pt idx="688">
                  <c:v>14.8</c:v>
                </c:pt>
                <c:pt idx="689">
                  <c:v>17.100000000000001</c:v>
                </c:pt>
                <c:pt idx="690">
                  <c:v>18.8</c:v>
                </c:pt>
                <c:pt idx="691">
                  <c:v>24</c:v>
                </c:pt>
                <c:pt idx="692">
                  <c:v>15.3</c:v>
                </c:pt>
                <c:pt idx="693">
                  <c:v>17.8</c:v>
                </c:pt>
                <c:pt idx="694">
                  <c:v>21.9</c:v>
                </c:pt>
                <c:pt idx="695">
                  <c:v>22.3</c:v>
                </c:pt>
                <c:pt idx="696">
                  <c:v>15.1</c:v>
                </c:pt>
                <c:pt idx="697">
                  <c:v>14.4</c:v>
                </c:pt>
                <c:pt idx="698">
                  <c:v>16</c:v>
                </c:pt>
                <c:pt idx="699">
                  <c:v>15.1</c:v>
                </c:pt>
                <c:pt idx="700">
                  <c:v>11.6</c:v>
                </c:pt>
                <c:pt idx="701">
                  <c:v>17.399999999999999</c:v>
                </c:pt>
                <c:pt idx="702">
                  <c:v>22.5</c:v>
                </c:pt>
                <c:pt idx="703">
                  <c:v>19.3</c:v>
                </c:pt>
                <c:pt idx="704">
                  <c:v>18.899999999999999</c:v>
                </c:pt>
                <c:pt idx="705">
                  <c:v>20.3</c:v>
                </c:pt>
                <c:pt idx="706">
                  <c:v>14.8</c:v>
                </c:pt>
                <c:pt idx="707">
                  <c:v>15.2</c:v>
                </c:pt>
                <c:pt idx="708">
                  <c:v>16.899999999999999</c:v>
                </c:pt>
                <c:pt idx="709">
                  <c:v>21</c:v>
                </c:pt>
                <c:pt idx="710">
                  <c:v>18.7</c:v>
                </c:pt>
                <c:pt idx="711">
                  <c:v>16.399999999999999</c:v>
                </c:pt>
                <c:pt idx="712">
                  <c:v>18.5</c:v>
                </c:pt>
                <c:pt idx="713">
                  <c:v>21.1</c:v>
                </c:pt>
                <c:pt idx="714">
                  <c:v>23.4</c:v>
                </c:pt>
                <c:pt idx="715">
                  <c:v>17.2</c:v>
                </c:pt>
                <c:pt idx="716">
                  <c:v>21.8</c:v>
                </c:pt>
                <c:pt idx="717">
                  <c:v>23</c:v>
                </c:pt>
                <c:pt idx="718">
                  <c:v>21.9</c:v>
                </c:pt>
                <c:pt idx="719">
                  <c:v>21.9</c:v>
                </c:pt>
                <c:pt idx="720">
                  <c:v>21.2</c:v>
                </c:pt>
                <c:pt idx="721">
                  <c:v>18.399999999999999</c:v>
                </c:pt>
                <c:pt idx="722">
                  <c:v>18.2</c:v>
                </c:pt>
                <c:pt idx="723">
                  <c:v>17.7</c:v>
                </c:pt>
                <c:pt idx="724">
                  <c:v>21</c:v>
                </c:pt>
                <c:pt idx="725">
                  <c:v>17.5</c:v>
                </c:pt>
                <c:pt idx="726">
                  <c:v>16.399999999999999</c:v>
                </c:pt>
                <c:pt idx="727">
                  <c:v>18.3</c:v>
                </c:pt>
                <c:pt idx="728">
                  <c:v>19.399999999999999</c:v>
                </c:pt>
                <c:pt idx="729">
                  <c:v>18.3</c:v>
                </c:pt>
                <c:pt idx="730">
                  <c:v>18.5</c:v>
                </c:pt>
                <c:pt idx="731">
                  <c:v>22.4</c:v>
                </c:pt>
                <c:pt idx="732">
                  <c:v>21.6</c:v>
                </c:pt>
                <c:pt idx="733">
                  <c:v>20.399999999999999</c:v>
                </c:pt>
                <c:pt idx="734">
                  <c:v>23.5</c:v>
                </c:pt>
                <c:pt idx="735">
                  <c:v>26.5</c:v>
                </c:pt>
                <c:pt idx="736">
                  <c:v>19.7</c:v>
                </c:pt>
                <c:pt idx="737">
                  <c:v>22</c:v>
                </c:pt>
                <c:pt idx="738">
                  <c:v>19.399999999999999</c:v>
                </c:pt>
                <c:pt idx="739">
                  <c:v>17.600000000000001</c:v>
                </c:pt>
                <c:pt idx="740">
                  <c:v>19.600000000000001</c:v>
                </c:pt>
                <c:pt idx="741">
                  <c:v>18.2</c:v>
                </c:pt>
                <c:pt idx="742">
                  <c:v>19.100000000000001</c:v>
                </c:pt>
                <c:pt idx="743">
                  <c:v>20.8</c:v>
                </c:pt>
                <c:pt idx="744">
                  <c:v>21.2</c:v>
                </c:pt>
                <c:pt idx="745">
                  <c:v>22.4</c:v>
                </c:pt>
                <c:pt idx="746">
                  <c:v>20.100000000000001</c:v>
                </c:pt>
                <c:pt idx="747">
                  <c:v>22</c:v>
                </c:pt>
                <c:pt idx="748">
                  <c:v>24.1</c:v>
                </c:pt>
                <c:pt idx="749">
                  <c:v>24.8</c:v>
                </c:pt>
                <c:pt idx="750">
                  <c:v>21.4</c:v>
                </c:pt>
                <c:pt idx="751">
                  <c:v>26</c:v>
                </c:pt>
                <c:pt idx="752">
                  <c:v>19.5</c:v>
                </c:pt>
                <c:pt idx="753">
                  <c:v>21.1</c:v>
                </c:pt>
                <c:pt idx="754">
                  <c:v>24.5</c:v>
                </c:pt>
                <c:pt idx="755">
                  <c:v>21.1</c:v>
                </c:pt>
                <c:pt idx="756">
                  <c:v>21.6</c:v>
                </c:pt>
                <c:pt idx="757">
                  <c:v>23.2</c:v>
                </c:pt>
                <c:pt idx="758">
                  <c:v>24.2</c:v>
                </c:pt>
                <c:pt idx="759">
                  <c:v>31.4</c:v>
                </c:pt>
                <c:pt idx="760">
                  <c:v>22.8</c:v>
                </c:pt>
                <c:pt idx="761">
                  <c:v>22.4</c:v>
                </c:pt>
                <c:pt idx="762">
                  <c:v>26</c:v>
                </c:pt>
                <c:pt idx="763">
                  <c:v>19.7</c:v>
                </c:pt>
                <c:pt idx="764">
                  <c:v>20.7</c:v>
                </c:pt>
                <c:pt idx="765">
                  <c:v>23</c:v>
                </c:pt>
                <c:pt idx="766">
                  <c:v>24.9</c:v>
                </c:pt>
                <c:pt idx="767">
                  <c:v>30.6</c:v>
                </c:pt>
                <c:pt idx="768">
                  <c:v>23.4</c:v>
                </c:pt>
                <c:pt idx="769">
                  <c:v>24.7</c:v>
                </c:pt>
                <c:pt idx="770">
                  <c:v>22.2</c:v>
                </c:pt>
                <c:pt idx="771">
                  <c:v>23.8</c:v>
                </c:pt>
                <c:pt idx="772">
                  <c:v>25.4</c:v>
                </c:pt>
                <c:pt idx="773">
                  <c:v>22.6</c:v>
                </c:pt>
                <c:pt idx="774">
                  <c:v>22.6</c:v>
                </c:pt>
                <c:pt idx="775">
                  <c:v>25</c:v>
                </c:pt>
                <c:pt idx="776">
                  <c:v>21.1</c:v>
                </c:pt>
                <c:pt idx="777">
                  <c:v>20.399999999999999</c:v>
                </c:pt>
                <c:pt idx="778">
                  <c:v>20.7</c:v>
                </c:pt>
                <c:pt idx="779">
                  <c:v>22.1</c:v>
                </c:pt>
                <c:pt idx="780">
                  <c:v>22.7</c:v>
                </c:pt>
                <c:pt idx="781">
                  <c:v>24.3</c:v>
                </c:pt>
                <c:pt idx="782">
                  <c:v>20.5</c:v>
                </c:pt>
                <c:pt idx="783">
                  <c:v>20.8</c:v>
                </c:pt>
                <c:pt idx="784">
                  <c:v>20.9</c:v>
                </c:pt>
                <c:pt idx="785">
                  <c:v>21.1</c:v>
                </c:pt>
                <c:pt idx="786">
                  <c:v>21.4</c:v>
                </c:pt>
                <c:pt idx="787">
                  <c:v>21.2</c:v>
                </c:pt>
                <c:pt idx="788">
                  <c:v>22.8</c:v>
                </c:pt>
                <c:pt idx="789">
                  <c:v>23.1</c:v>
                </c:pt>
                <c:pt idx="790">
                  <c:v>23.5</c:v>
                </c:pt>
                <c:pt idx="791">
                  <c:v>23.5</c:v>
                </c:pt>
                <c:pt idx="792">
                  <c:v>25.3</c:v>
                </c:pt>
                <c:pt idx="793">
                  <c:v>24.2</c:v>
                </c:pt>
                <c:pt idx="794">
                  <c:v>24.3</c:v>
                </c:pt>
                <c:pt idx="795">
                  <c:v>21.6</c:v>
                </c:pt>
                <c:pt idx="796">
                  <c:v>18.5</c:v>
                </c:pt>
                <c:pt idx="797">
                  <c:v>22.2</c:v>
                </c:pt>
                <c:pt idx="798">
                  <c:v>22.6</c:v>
                </c:pt>
                <c:pt idx="799">
                  <c:v>22.7</c:v>
                </c:pt>
                <c:pt idx="800">
                  <c:v>22.5</c:v>
                </c:pt>
                <c:pt idx="801">
                  <c:v>22.4</c:v>
                </c:pt>
                <c:pt idx="802">
                  <c:v>23</c:v>
                </c:pt>
                <c:pt idx="803">
                  <c:v>22.2</c:v>
                </c:pt>
                <c:pt idx="804">
                  <c:v>22.3</c:v>
                </c:pt>
                <c:pt idx="805">
                  <c:v>21.9</c:v>
                </c:pt>
                <c:pt idx="806">
                  <c:v>21.4</c:v>
                </c:pt>
                <c:pt idx="807">
                  <c:v>17.899999999999999</c:v>
                </c:pt>
                <c:pt idx="808">
                  <c:v>18.2</c:v>
                </c:pt>
                <c:pt idx="809">
                  <c:v>19.8</c:v>
                </c:pt>
                <c:pt idx="810">
                  <c:v>21.7</c:v>
                </c:pt>
                <c:pt idx="811">
                  <c:v>25.7</c:v>
                </c:pt>
                <c:pt idx="812">
                  <c:v>22.3</c:v>
                </c:pt>
                <c:pt idx="813">
                  <c:v>23.1</c:v>
                </c:pt>
                <c:pt idx="814">
                  <c:v>24.1</c:v>
                </c:pt>
                <c:pt idx="815">
                  <c:v>24.7</c:v>
                </c:pt>
                <c:pt idx="816">
                  <c:v>19.8</c:v>
                </c:pt>
                <c:pt idx="817">
                  <c:v>17.100000000000001</c:v>
                </c:pt>
                <c:pt idx="818">
                  <c:v>17.3</c:v>
                </c:pt>
                <c:pt idx="819">
                  <c:v>18.399999999999999</c:v>
                </c:pt>
                <c:pt idx="820">
                  <c:v>17.899999999999999</c:v>
                </c:pt>
                <c:pt idx="821">
                  <c:v>17.600000000000001</c:v>
                </c:pt>
                <c:pt idx="822">
                  <c:v>18.399999999999999</c:v>
                </c:pt>
                <c:pt idx="823">
                  <c:v>18.8</c:v>
                </c:pt>
                <c:pt idx="824">
                  <c:v>19.3</c:v>
                </c:pt>
                <c:pt idx="825">
                  <c:v>19.8</c:v>
                </c:pt>
                <c:pt idx="826">
                  <c:v>18.100000000000001</c:v>
                </c:pt>
                <c:pt idx="827">
                  <c:v>17.5</c:v>
                </c:pt>
                <c:pt idx="828">
                  <c:v>17.899999999999999</c:v>
                </c:pt>
                <c:pt idx="829">
                  <c:v>16.399999999999999</c:v>
                </c:pt>
                <c:pt idx="830">
                  <c:v>17.100000000000001</c:v>
                </c:pt>
                <c:pt idx="831">
                  <c:v>16.399999999999999</c:v>
                </c:pt>
                <c:pt idx="832">
                  <c:v>15.7</c:v>
                </c:pt>
                <c:pt idx="833">
                  <c:v>17</c:v>
                </c:pt>
                <c:pt idx="834">
                  <c:v>18.399999999999999</c:v>
                </c:pt>
                <c:pt idx="835">
                  <c:v>18.7</c:v>
                </c:pt>
                <c:pt idx="836">
                  <c:v>19.399999999999999</c:v>
                </c:pt>
                <c:pt idx="837">
                  <c:v>16.100000000000001</c:v>
                </c:pt>
                <c:pt idx="838">
                  <c:v>15.4</c:v>
                </c:pt>
                <c:pt idx="839">
                  <c:v>14</c:v>
                </c:pt>
                <c:pt idx="840">
                  <c:v>15</c:v>
                </c:pt>
                <c:pt idx="841">
                  <c:v>15.1</c:v>
                </c:pt>
                <c:pt idx="842">
                  <c:v>15.5</c:v>
                </c:pt>
                <c:pt idx="843">
                  <c:v>15.4</c:v>
                </c:pt>
                <c:pt idx="844">
                  <c:v>16.100000000000001</c:v>
                </c:pt>
                <c:pt idx="845">
                  <c:v>15</c:v>
                </c:pt>
                <c:pt idx="846">
                  <c:v>13.4</c:v>
                </c:pt>
                <c:pt idx="847">
                  <c:v>15.2</c:v>
                </c:pt>
                <c:pt idx="848">
                  <c:v>14</c:v>
                </c:pt>
                <c:pt idx="849">
                  <c:v>12.4</c:v>
                </c:pt>
                <c:pt idx="850">
                  <c:v>14</c:v>
                </c:pt>
                <c:pt idx="851">
                  <c:v>12</c:v>
                </c:pt>
                <c:pt idx="852">
                  <c:v>13.6</c:v>
                </c:pt>
                <c:pt idx="853">
                  <c:v>14.8</c:v>
                </c:pt>
                <c:pt idx="854">
                  <c:v>13.2</c:v>
                </c:pt>
                <c:pt idx="855">
                  <c:v>14.6</c:v>
                </c:pt>
                <c:pt idx="856">
                  <c:v>14.8</c:v>
                </c:pt>
                <c:pt idx="857">
                  <c:v>14.7</c:v>
                </c:pt>
                <c:pt idx="858">
                  <c:v>15.5</c:v>
                </c:pt>
                <c:pt idx="859">
                  <c:v>12.6</c:v>
                </c:pt>
                <c:pt idx="860">
                  <c:v>12.9</c:v>
                </c:pt>
                <c:pt idx="861">
                  <c:v>12.8</c:v>
                </c:pt>
                <c:pt idx="862">
                  <c:v>14.9</c:v>
                </c:pt>
                <c:pt idx="863">
                  <c:v>17.3</c:v>
                </c:pt>
                <c:pt idx="864">
                  <c:v>13.4</c:v>
                </c:pt>
                <c:pt idx="865">
                  <c:v>11.8</c:v>
                </c:pt>
                <c:pt idx="866">
                  <c:v>14.1</c:v>
                </c:pt>
                <c:pt idx="867">
                  <c:v>14.1</c:v>
                </c:pt>
                <c:pt idx="868">
                  <c:v>11.5</c:v>
                </c:pt>
                <c:pt idx="869">
                  <c:v>11.5</c:v>
                </c:pt>
                <c:pt idx="870">
                  <c:v>11.5</c:v>
                </c:pt>
                <c:pt idx="871">
                  <c:v>11.1</c:v>
                </c:pt>
                <c:pt idx="872">
                  <c:v>10.5</c:v>
                </c:pt>
                <c:pt idx="873">
                  <c:v>11.3</c:v>
                </c:pt>
                <c:pt idx="874">
                  <c:v>11.4</c:v>
                </c:pt>
                <c:pt idx="875">
                  <c:v>15.3</c:v>
                </c:pt>
                <c:pt idx="876">
                  <c:v>14.4</c:v>
                </c:pt>
                <c:pt idx="877">
                  <c:v>13.5</c:v>
                </c:pt>
                <c:pt idx="878">
                  <c:v>12.5</c:v>
                </c:pt>
                <c:pt idx="879">
                  <c:v>11.8</c:v>
                </c:pt>
                <c:pt idx="880">
                  <c:v>11.3</c:v>
                </c:pt>
                <c:pt idx="881">
                  <c:v>13.4</c:v>
                </c:pt>
                <c:pt idx="882">
                  <c:v>14.1</c:v>
                </c:pt>
                <c:pt idx="883">
                  <c:v>9.9</c:v>
                </c:pt>
                <c:pt idx="884">
                  <c:v>10.199999999999999</c:v>
                </c:pt>
                <c:pt idx="885">
                  <c:v>11.1</c:v>
                </c:pt>
                <c:pt idx="886">
                  <c:v>11.2</c:v>
                </c:pt>
                <c:pt idx="887">
                  <c:v>11</c:v>
                </c:pt>
                <c:pt idx="888">
                  <c:v>14.6</c:v>
                </c:pt>
                <c:pt idx="889">
                  <c:v>15.3</c:v>
                </c:pt>
                <c:pt idx="890">
                  <c:v>15.8</c:v>
                </c:pt>
                <c:pt idx="891">
                  <c:v>15.5</c:v>
                </c:pt>
                <c:pt idx="892">
                  <c:v>16.100000000000001</c:v>
                </c:pt>
                <c:pt idx="893">
                  <c:v>10.3</c:v>
                </c:pt>
                <c:pt idx="894">
                  <c:v>10.4</c:v>
                </c:pt>
                <c:pt idx="895">
                  <c:v>12.1</c:v>
                </c:pt>
                <c:pt idx="896">
                  <c:v>10.8</c:v>
                </c:pt>
                <c:pt idx="897">
                  <c:v>10.5</c:v>
                </c:pt>
                <c:pt idx="898">
                  <c:v>14.5</c:v>
                </c:pt>
                <c:pt idx="899">
                  <c:v>13.8</c:v>
                </c:pt>
                <c:pt idx="900">
                  <c:v>13.9</c:v>
                </c:pt>
                <c:pt idx="901">
                  <c:v>11.6</c:v>
                </c:pt>
                <c:pt idx="902">
                  <c:v>12.2</c:v>
                </c:pt>
                <c:pt idx="903">
                  <c:v>12.9</c:v>
                </c:pt>
                <c:pt idx="904">
                  <c:v>15.3</c:v>
                </c:pt>
                <c:pt idx="905">
                  <c:v>13.3</c:v>
                </c:pt>
                <c:pt idx="906">
                  <c:v>11.2</c:v>
                </c:pt>
                <c:pt idx="907">
                  <c:v>12.3</c:v>
                </c:pt>
                <c:pt idx="908">
                  <c:v>15.3</c:v>
                </c:pt>
                <c:pt idx="909">
                  <c:v>14</c:v>
                </c:pt>
                <c:pt idx="910">
                  <c:v>15.5</c:v>
                </c:pt>
                <c:pt idx="911">
                  <c:v>12.8</c:v>
                </c:pt>
                <c:pt idx="912">
                  <c:v>12.2</c:v>
                </c:pt>
                <c:pt idx="913">
                  <c:v>14.6</c:v>
                </c:pt>
                <c:pt idx="914">
                  <c:v>10.7</c:v>
                </c:pt>
                <c:pt idx="915">
                  <c:v>10.9</c:v>
                </c:pt>
                <c:pt idx="916">
                  <c:v>11.1</c:v>
                </c:pt>
                <c:pt idx="917">
                  <c:v>15</c:v>
                </c:pt>
                <c:pt idx="918">
                  <c:v>14.2</c:v>
                </c:pt>
                <c:pt idx="919">
                  <c:v>14.6</c:v>
                </c:pt>
                <c:pt idx="920">
                  <c:v>14.9</c:v>
                </c:pt>
                <c:pt idx="921">
                  <c:v>15.7</c:v>
                </c:pt>
                <c:pt idx="922">
                  <c:v>19.8</c:v>
                </c:pt>
                <c:pt idx="923">
                  <c:v>15.5</c:v>
                </c:pt>
                <c:pt idx="924">
                  <c:v>15.5</c:v>
                </c:pt>
                <c:pt idx="925">
                  <c:v>15.9</c:v>
                </c:pt>
                <c:pt idx="926">
                  <c:v>18.2</c:v>
                </c:pt>
                <c:pt idx="927">
                  <c:v>18.5</c:v>
                </c:pt>
                <c:pt idx="928">
                  <c:v>19.8</c:v>
                </c:pt>
                <c:pt idx="929">
                  <c:v>24</c:v>
                </c:pt>
                <c:pt idx="930">
                  <c:v>18.2</c:v>
                </c:pt>
                <c:pt idx="931">
                  <c:v>15.9</c:v>
                </c:pt>
                <c:pt idx="932">
                  <c:v>14.1</c:v>
                </c:pt>
                <c:pt idx="933">
                  <c:v>15.3</c:v>
                </c:pt>
                <c:pt idx="934">
                  <c:v>18.399999999999999</c:v>
                </c:pt>
                <c:pt idx="935">
                  <c:v>19.5</c:v>
                </c:pt>
                <c:pt idx="936">
                  <c:v>17.3</c:v>
                </c:pt>
                <c:pt idx="937">
                  <c:v>15.3</c:v>
                </c:pt>
                <c:pt idx="938">
                  <c:v>18.600000000000001</c:v>
                </c:pt>
                <c:pt idx="939">
                  <c:v>21.2</c:v>
                </c:pt>
                <c:pt idx="940">
                  <c:v>22.1</c:v>
                </c:pt>
                <c:pt idx="941">
                  <c:v>20.9</c:v>
                </c:pt>
                <c:pt idx="942">
                  <c:v>16.2</c:v>
                </c:pt>
                <c:pt idx="943">
                  <c:v>19.3</c:v>
                </c:pt>
                <c:pt idx="944">
                  <c:v>21.2</c:v>
                </c:pt>
                <c:pt idx="945">
                  <c:v>18.7</c:v>
                </c:pt>
                <c:pt idx="946">
                  <c:v>14.6</c:v>
                </c:pt>
                <c:pt idx="947">
                  <c:v>13.7</c:v>
                </c:pt>
                <c:pt idx="948">
                  <c:v>16.100000000000001</c:v>
                </c:pt>
                <c:pt idx="949">
                  <c:v>18.8</c:v>
                </c:pt>
                <c:pt idx="950">
                  <c:v>25.9</c:v>
                </c:pt>
                <c:pt idx="951">
                  <c:v>18.8</c:v>
                </c:pt>
                <c:pt idx="952">
                  <c:v>15.4</c:v>
                </c:pt>
                <c:pt idx="953">
                  <c:v>15.7</c:v>
                </c:pt>
                <c:pt idx="954">
                  <c:v>19.5</c:v>
                </c:pt>
                <c:pt idx="955">
                  <c:v>23.9</c:v>
                </c:pt>
                <c:pt idx="956">
                  <c:v>16.7</c:v>
                </c:pt>
                <c:pt idx="957">
                  <c:v>23.6</c:v>
                </c:pt>
                <c:pt idx="958">
                  <c:v>21.8</c:v>
                </c:pt>
                <c:pt idx="959">
                  <c:v>25.9</c:v>
                </c:pt>
                <c:pt idx="960">
                  <c:v>19</c:v>
                </c:pt>
                <c:pt idx="961">
                  <c:v>15.9</c:v>
                </c:pt>
                <c:pt idx="962">
                  <c:v>19.5</c:v>
                </c:pt>
                <c:pt idx="963">
                  <c:v>18.399999999999999</c:v>
                </c:pt>
                <c:pt idx="964">
                  <c:v>16.8</c:v>
                </c:pt>
                <c:pt idx="965">
                  <c:v>18.100000000000001</c:v>
                </c:pt>
                <c:pt idx="966">
                  <c:v>19.2</c:v>
                </c:pt>
                <c:pt idx="967">
                  <c:v>16.399999999999999</c:v>
                </c:pt>
                <c:pt idx="968">
                  <c:v>16.600000000000001</c:v>
                </c:pt>
                <c:pt idx="969">
                  <c:v>16.899999999999999</c:v>
                </c:pt>
                <c:pt idx="970">
                  <c:v>21.4</c:v>
                </c:pt>
                <c:pt idx="971">
                  <c:v>25</c:v>
                </c:pt>
                <c:pt idx="972">
                  <c:v>16.899999999999999</c:v>
                </c:pt>
                <c:pt idx="973">
                  <c:v>18.7</c:v>
                </c:pt>
                <c:pt idx="974">
                  <c:v>20.7</c:v>
                </c:pt>
                <c:pt idx="975">
                  <c:v>20.3</c:v>
                </c:pt>
                <c:pt idx="976">
                  <c:v>18.8</c:v>
                </c:pt>
                <c:pt idx="977">
                  <c:v>17.2</c:v>
                </c:pt>
                <c:pt idx="978">
                  <c:v>19.600000000000001</c:v>
                </c:pt>
                <c:pt idx="979">
                  <c:v>20.7</c:v>
                </c:pt>
                <c:pt idx="980">
                  <c:v>21.9</c:v>
                </c:pt>
                <c:pt idx="981">
                  <c:v>21</c:v>
                </c:pt>
                <c:pt idx="982">
                  <c:v>18.3</c:v>
                </c:pt>
                <c:pt idx="983">
                  <c:v>17.5</c:v>
                </c:pt>
                <c:pt idx="984">
                  <c:v>18.600000000000001</c:v>
                </c:pt>
                <c:pt idx="985">
                  <c:v>22.6</c:v>
                </c:pt>
                <c:pt idx="986">
                  <c:v>19.100000000000001</c:v>
                </c:pt>
                <c:pt idx="987">
                  <c:v>19.7</c:v>
                </c:pt>
                <c:pt idx="988">
                  <c:v>20.100000000000001</c:v>
                </c:pt>
                <c:pt idx="989">
                  <c:v>24</c:v>
                </c:pt>
                <c:pt idx="990">
                  <c:v>20.2</c:v>
                </c:pt>
                <c:pt idx="991">
                  <c:v>17.2</c:v>
                </c:pt>
                <c:pt idx="992">
                  <c:v>24.9</c:v>
                </c:pt>
                <c:pt idx="993">
                  <c:v>27.4</c:v>
                </c:pt>
                <c:pt idx="994">
                  <c:v>23</c:v>
                </c:pt>
                <c:pt idx="995">
                  <c:v>21.9</c:v>
                </c:pt>
                <c:pt idx="996">
                  <c:v>23.1</c:v>
                </c:pt>
                <c:pt idx="997">
                  <c:v>21.4</c:v>
                </c:pt>
                <c:pt idx="998">
                  <c:v>21.9</c:v>
                </c:pt>
                <c:pt idx="999">
                  <c:v>22.4</c:v>
                </c:pt>
                <c:pt idx="1000">
                  <c:v>22.6</c:v>
                </c:pt>
                <c:pt idx="1001">
                  <c:v>28.1</c:v>
                </c:pt>
                <c:pt idx="1002">
                  <c:v>26.9</c:v>
                </c:pt>
                <c:pt idx="1003">
                  <c:v>20.100000000000001</c:v>
                </c:pt>
                <c:pt idx="1004">
                  <c:v>21.3</c:v>
                </c:pt>
                <c:pt idx="1005">
                  <c:v>21</c:v>
                </c:pt>
                <c:pt idx="1006">
                  <c:v>21.7</c:v>
                </c:pt>
                <c:pt idx="1007">
                  <c:v>26.3</c:v>
                </c:pt>
                <c:pt idx="1008">
                  <c:v>23.6</c:v>
                </c:pt>
                <c:pt idx="1009">
                  <c:v>23.5</c:v>
                </c:pt>
                <c:pt idx="1010">
                  <c:v>20</c:v>
                </c:pt>
                <c:pt idx="1011">
                  <c:v>19.2</c:v>
                </c:pt>
                <c:pt idx="1012">
                  <c:v>20.399999999999999</c:v>
                </c:pt>
                <c:pt idx="1013">
                  <c:v>22.2</c:v>
                </c:pt>
                <c:pt idx="1014">
                  <c:v>22.1</c:v>
                </c:pt>
                <c:pt idx="1015">
                  <c:v>23.4</c:v>
                </c:pt>
                <c:pt idx="1016">
                  <c:v>25.4</c:v>
                </c:pt>
                <c:pt idx="1017">
                  <c:v>25.2</c:v>
                </c:pt>
                <c:pt idx="1018">
                  <c:v>24.9</c:v>
                </c:pt>
                <c:pt idx="1019">
                  <c:v>22.8</c:v>
                </c:pt>
                <c:pt idx="1020">
                  <c:v>22.5</c:v>
                </c:pt>
                <c:pt idx="1021">
                  <c:v>21.7</c:v>
                </c:pt>
                <c:pt idx="1022">
                  <c:v>22.2</c:v>
                </c:pt>
                <c:pt idx="1023">
                  <c:v>23.3</c:v>
                </c:pt>
                <c:pt idx="1024">
                  <c:v>22.8</c:v>
                </c:pt>
                <c:pt idx="1025">
                  <c:v>24.4</c:v>
                </c:pt>
                <c:pt idx="1026">
                  <c:v>24.1</c:v>
                </c:pt>
                <c:pt idx="1027">
                  <c:v>24.3</c:v>
                </c:pt>
                <c:pt idx="1028">
                  <c:v>24.4</c:v>
                </c:pt>
                <c:pt idx="1029">
                  <c:v>20.9</c:v>
                </c:pt>
                <c:pt idx="1030">
                  <c:v>20.2</c:v>
                </c:pt>
                <c:pt idx="1031">
                  <c:v>19.7</c:v>
                </c:pt>
                <c:pt idx="1032">
                  <c:v>20.7</c:v>
                </c:pt>
                <c:pt idx="1033">
                  <c:v>22.5</c:v>
                </c:pt>
                <c:pt idx="1034">
                  <c:v>22.8</c:v>
                </c:pt>
                <c:pt idx="1035">
                  <c:v>23.8</c:v>
                </c:pt>
                <c:pt idx="1036">
                  <c:v>24.2</c:v>
                </c:pt>
                <c:pt idx="1037">
                  <c:v>22.1</c:v>
                </c:pt>
                <c:pt idx="1038">
                  <c:v>21.1</c:v>
                </c:pt>
                <c:pt idx="1039">
                  <c:v>21.8</c:v>
                </c:pt>
                <c:pt idx="1040">
                  <c:v>23.4</c:v>
                </c:pt>
                <c:pt idx="1041">
                  <c:v>23.1</c:v>
                </c:pt>
                <c:pt idx="1042">
                  <c:v>21.2</c:v>
                </c:pt>
                <c:pt idx="1043">
                  <c:v>22.4</c:v>
                </c:pt>
                <c:pt idx="1044">
                  <c:v>22.8</c:v>
                </c:pt>
                <c:pt idx="1045">
                  <c:v>24.3</c:v>
                </c:pt>
                <c:pt idx="1046">
                  <c:v>21.2</c:v>
                </c:pt>
                <c:pt idx="1047">
                  <c:v>20.100000000000001</c:v>
                </c:pt>
                <c:pt idx="1048">
                  <c:v>20.9</c:v>
                </c:pt>
                <c:pt idx="1049">
                  <c:v>21.5</c:v>
                </c:pt>
                <c:pt idx="1050">
                  <c:v>21.8</c:v>
                </c:pt>
                <c:pt idx="1051">
                  <c:v>22.1</c:v>
                </c:pt>
                <c:pt idx="1052">
                  <c:v>22.6</c:v>
                </c:pt>
                <c:pt idx="1053">
                  <c:v>23.2</c:v>
                </c:pt>
                <c:pt idx="1054">
                  <c:v>22.4</c:v>
                </c:pt>
                <c:pt idx="1055">
                  <c:v>22.8</c:v>
                </c:pt>
                <c:pt idx="1056">
                  <c:v>21.4</c:v>
                </c:pt>
                <c:pt idx="1057">
                  <c:v>22.4</c:v>
                </c:pt>
                <c:pt idx="1058">
                  <c:v>19.8</c:v>
                </c:pt>
                <c:pt idx="1059">
                  <c:v>21.5</c:v>
                </c:pt>
                <c:pt idx="1060">
                  <c:v>21.9</c:v>
                </c:pt>
                <c:pt idx="1061">
                  <c:v>22.9</c:v>
                </c:pt>
                <c:pt idx="1062">
                  <c:v>22.2</c:v>
                </c:pt>
                <c:pt idx="1063">
                  <c:v>19.600000000000001</c:v>
                </c:pt>
                <c:pt idx="1064">
                  <c:v>20.7</c:v>
                </c:pt>
                <c:pt idx="1065">
                  <c:v>21.9</c:v>
                </c:pt>
                <c:pt idx="1066">
                  <c:v>20.399999999999999</c:v>
                </c:pt>
                <c:pt idx="1067">
                  <c:v>20.3</c:v>
                </c:pt>
                <c:pt idx="1068">
                  <c:v>20.7</c:v>
                </c:pt>
                <c:pt idx="1069">
                  <c:v>20.9</c:v>
                </c:pt>
                <c:pt idx="1070">
                  <c:v>21.3</c:v>
                </c:pt>
                <c:pt idx="1071">
                  <c:v>22.6</c:v>
                </c:pt>
                <c:pt idx="1072">
                  <c:v>20.5</c:v>
                </c:pt>
                <c:pt idx="1073">
                  <c:v>18.3</c:v>
                </c:pt>
                <c:pt idx="1074">
                  <c:v>19.3</c:v>
                </c:pt>
                <c:pt idx="1075">
                  <c:v>19.100000000000001</c:v>
                </c:pt>
                <c:pt idx="1076">
                  <c:v>19.100000000000001</c:v>
                </c:pt>
                <c:pt idx="1077">
                  <c:v>21.9</c:v>
                </c:pt>
                <c:pt idx="1078">
                  <c:v>16.7</c:v>
                </c:pt>
                <c:pt idx="1079">
                  <c:v>17.2</c:v>
                </c:pt>
                <c:pt idx="1080">
                  <c:v>17.600000000000001</c:v>
                </c:pt>
                <c:pt idx="1081">
                  <c:v>17.3</c:v>
                </c:pt>
                <c:pt idx="1082">
                  <c:v>16.5</c:v>
                </c:pt>
                <c:pt idx="1083">
                  <c:v>17.5</c:v>
                </c:pt>
                <c:pt idx="1084">
                  <c:v>19.7</c:v>
                </c:pt>
                <c:pt idx="1085">
                  <c:v>17.399999999999999</c:v>
                </c:pt>
                <c:pt idx="1086">
                  <c:v>18.7</c:v>
                </c:pt>
                <c:pt idx="1087">
                  <c:v>18.899999999999999</c:v>
                </c:pt>
                <c:pt idx="1088">
                  <c:v>15.3</c:v>
                </c:pt>
                <c:pt idx="1089">
                  <c:v>16.3</c:v>
                </c:pt>
                <c:pt idx="1090">
                  <c:v>13.3</c:v>
                </c:pt>
                <c:pt idx="1091">
                  <c:v>14.1</c:v>
                </c:pt>
                <c:pt idx="1092">
                  <c:v>14.6</c:v>
                </c:pt>
                <c:pt idx="1093">
                  <c:v>14.4</c:v>
                </c:pt>
                <c:pt idx="1094">
                  <c:v>15.2</c:v>
                </c:pt>
                <c:pt idx="1095">
                  <c:v>16.5</c:v>
                </c:pt>
                <c:pt idx="1096">
                  <c:v>16.600000000000001</c:v>
                </c:pt>
                <c:pt idx="1097">
                  <c:v>15.6</c:v>
                </c:pt>
                <c:pt idx="1098">
                  <c:v>15.1</c:v>
                </c:pt>
                <c:pt idx="1099">
                  <c:v>15.7</c:v>
                </c:pt>
                <c:pt idx="1100">
                  <c:v>16.600000000000001</c:v>
                </c:pt>
                <c:pt idx="1101">
                  <c:v>16.7</c:v>
                </c:pt>
                <c:pt idx="1102">
                  <c:v>17</c:v>
                </c:pt>
                <c:pt idx="1103">
                  <c:v>16.7</c:v>
                </c:pt>
                <c:pt idx="1104">
                  <c:v>16.899999999999999</c:v>
                </c:pt>
                <c:pt idx="1105">
                  <c:v>17.7</c:v>
                </c:pt>
                <c:pt idx="1106">
                  <c:v>18.899999999999999</c:v>
                </c:pt>
                <c:pt idx="1107">
                  <c:v>18.8</c:v>
                </c:pt>
                <c:pt idx="1108">
                  <c:v>15.6</c:v>
                </c:pt>
                <c:pt idx="1109">
                  <c:v>16.2</c:v>
                </c:pt>
                <c:pt idx="1110">
                  <c:v>14.8</c:v>
                </c:pt>
                <c:pt idx="1111">
                  <c:v>13.3</c:v>
                </c:pt>
                <c:pt idx="1112">
                  <c:v>14.7</c:v>
                </c:pt>
                <c:pt idx="1113">
                  <c:v>15.6</c:v>
                </c:pt>
                <c:pt idx="1114">
                  <c:v>14.9</c:v>
                </c:pt>
                <c:pt idx="1115">
                  <c:v>13.7</c:v>
                </c:pt>
                <c:pt idx="1116">
                  <c:v>13.2</c:v>
                </c:pt>
                <c:pt idx="1117">
                  <c:v>13.5</c:v>
                </c:pt>
                <c:pt idx="1118">
                  <c:v>13.2</c:v>
                </c:pt>
                <c:pt idx="1119">
                  <c:v>12.4</c:v>
                </c:pt>
                <c:pt idx="1120">
                  <c:v>13.9</c:v>
                </c:pt>
                <c:pt idx="1121">
                  <c:v>13.3</c:v>
                </c:pt>
                <c:pt idx="1122">
                  <c:v>13.1</c:v>
                </c:pt>
                <c:pt idx="1123">
                  <c:v>14.1</c:v>
                </c:pt>
                <c:pt idx="1124">
                  <c:v>12.2</c:v>
                </c:pt>
                <c:pt idx="1125">
                  <c:v>13.7</c:v>
                </c:pt>
                <c:pt idx="1126">
                  <c:v>13.8</c:v>
                </c:pt>
                <c:pt idx="1127">
                  <c:v>13.9</c:v>
                </c:pt>
                <c:pt idx="1128">
                  <c:v>12.7</c:v>
                </c:pt>
                <c:pt idx="1129">
                  <c:v>11.3</c:v>
                </c:pt>
                <c:pt idx="1130">
                  <c:v>11</c:v>
                </c:pt>
                <c:pt idx="1131">
                  <c:v>10.7</c:v>
                </c:pt>
                <c:pt idx="1132">
                  <c:v>9.9</c:v>
                </c:pt>
                <c:pt idx="1133">
                  <c:v>10.8</c:v>
                </c:pt>
                <c:pt idx="1134">
                  <c:v>11.2</c:v>
                </c:pt>
                <c:pt idx="1135">
                  <c:v>10.3</c:v>
                </c:pt>
                <c:pt idx="1136">
                  <c:v>11.1</c:v>
                </c:pt>
                <c:pt idx="1137">
                  <c:v>11.9</c:v>
                </c:pt>
                <c:pt idx="1138">
                  <c:v>11.8</c:v>
                </c:pt>
                <c:pt idx="1139">
                  <c:v>11</c:v>
                </c:pt>
                <c:pt idx="1140">
                  <c:v>12.3</c:v>
                </c:pt>
                <c:pt idx="1141">
                  <c:v>12.8</c:v>
                </c:pt>
                <c:pt idx="1142">
                  <c:v>11.7</c:v>
                </c:pt>
                <c:pt idx="1143">
                  <c:v>10.5</c:v>
                </c:pt>
                <c:pt idx="1144">
                  <c:v>11.4</c:v>
                </c:pt>
                <c:pt idx="1145">
                  <c:v>11.8</c:v>
                </c:pt>
                <c:pt idx="1146">
                  <c:v>11.5</c:v>
                </c:pt>
                <c:pt idx="1147">
                  <c:v>11.3</c:v>
                </c:pt>
                <c:pt idx="1148">
                  <c:v>13</c:v>
                </c:pt>
                <c:pt idx="1149">
                  <c:v>12.1</c:v>
                </c:pt>
                <c:pt idx="1150">
                  <c:v>16.100000000000001</c:v>
                </c:pt>
                <c:pt idx="1151">
                  <c:v>16.600000000000001</c:v>
                </c:pt>
                <c:pt idx="1152">
                  <c:v>17.600000000000001</c:v>
                </c:pt>
                <c:pt idx="1153">
                  <c:v>14.2</c:v>
                </c:pt>
                <c:pt idx="1154">
                  <c:v>10.7</c:v>
                </c:pt>
                <c:pt idx="1155">
                  <c:v>10.9</c:v>
                </c:pt>
                <c:pt idx="1156">
                  <c:v>11.3</c:v>
                </c:pt>
                <c:pt idx="1157">
                  <c:v>11.7</c:v>
                </c:pt>
                <c:pt idx="1158">
                  <c:v>11.4</c:v>
                </c:pt>
                <c:pt idx="1159">
                  <c:v>10.1</c:v>
                </c:pt>
                <c:pt idx="1160">
                  <c:v>10</c:v>
                </c:pt>
                <c:pt idx="1161">
                  <c:v>10.7</c:v>
                </c:pt>
                <c:pt idx="1162">
                  <c:v>10.6</c:v>
                </c:pt>
                <c:pt idx="1163">
                  <c:v>11.7</c:v>
                </c:pt>
                <c:pt idx="1164">
                  <c:v>12.7</c:v>
                </c:pt>
                <c:pt idx="1165">
                  <c:v>13.6</c:v>
                </c:pt>
                <c:pt idx="1166">
                  <c:v>12.7</c:v>
                </c:pt>
                <c:pt idx="1167">
                  <c:v>12.7</c:v>
                </c:pt>
                <c:pt idx="1168">
                  <c:v>13.7</c:v>
                </c:pt>
                <c:pt idx="1169">
                  <c:v>13.5</c:v>
                </c:pt>
                <c:pt idx="1170">
                  <c:v>13.4</c:v>
                </c:pt>
                <c:pt idx="1171">
                  <c:v>15</c:v>
                </c:pt>
                <c:pt idx="1172">
                  <c:v>14.2</c:v>
                </c:pt>
                <c:pt idx="1173">
                  <c:v>12.9</c:v>
                </c:pt>
                <c:pt idx="1174">
                  <c:v>15.7</c:v>
                </c:pt>
                <c:pt idx="1175">
                  <c:v>14</c:v>
                </c:pt>
                <c:pt idx="1176">
                  <c:v>12.5</c:v>
                </c:pt>
                <c:pt idx="1177">
                  <c:v>12.7</c:v>
                </c:pt>
                <c:pt idx="1178">
                  <c:v>12.7</c:v>
                </c:pt>
                <c:pt idx="1179">
                  <c:v>14.1</c:v>
                </c:pt>
                <c:pt idx="1180">
                  <c:v>17.2</c:v>
                </c:pt>
                <c:pt idx="1181">
                  <c:v>17.8</c:v>
                </c:pt>
                <c:pt idx="1182">
                  <c:v>16.899999999999999</c:v>
                </c:pt>
                <c:pt idx="1183">
                  <c:v>15.1</c:v>
                </c:pt>
                <c:pt idx="1184">
                  <c:v>16.399999999999999</c:v>
                </c:pt>
                <c:pt idx="1185">
                  <c:v>17.899999999999999</c:v>
                </c:pt>
                <c:pt idx="1186">
                  <c:v>16.600000000000001</c:v>
                </c:pt>
                <c:pt idx="1187">
                  <c:v>14</c:v>
                </c:pt>
                <c:pt idx="1188">
                  <c:v>12.8</c:v>
                </c:pt>
                <c:pt idx="1189">
                  <c:v>14.9</c:v>
                </c:pt>
                <c:pt idx="1190">
                  <c:v>14.9</c:v>
                </c:pt>
                <c:pt idx="1191">
                  <c:v>17.100000000000001</c:v>
                </c:pt>
                <c:pt idx="1192">
                  <c:v>17.600000000000001</c:v>
                </c:pt>
                <c:pt idx="1193">
                  <c:v>16.5</c:v>
                </c:pt>
                <c:pt idx="1194">
                  <c:v>21.8</c:v>
                </c:pt>
                <c:pt idx="1195">
                  <c:v>23.2</c:v>
                </c:pt>
                <c:pt idx="1196">
                  <c:v>17.100000000000001</c:v>
                </c:pt>
                <c:pt idx="1197">
                  <c:v>15.9</c:v>
                </c:pt>
                <c:pt idx="1198">
                  <c:v>16.399999999999999</c:v>
                </c:pt>
                <c:pt idx="1199">
                  <c:v>23.1</c:v>
                </c:pt>
                <c:pt idx="1200">
                  <c:v>17</c:v>
                </c:pt>
                <c:pt idx="1201">
                  <c:v>17.5</c:v>
                </c:pt>
                <c:pt idx="1202">
                  <c:v>18.100000000000001</c:v>
                </c:pt>
                <c:pt idx="1203">
                  <c:v>19.600000000000001</c:v>
                </c:pt>
                <c:pt idx="1204">
                  <c:v>14.5</c:v>
                </c:pt>
                <c:pt idx="1205">
                  <c:v>12.8</c:v>
                </c:pt>
                <c:pt idx="1206">
                  <c:v>14.8</c:v>
                </c:pt>
                <c:pt idx="1207">
                  <c:v>15</c:v>
                </c:pt>
                <c:pt idx="1208">
                  <c:v>16.8</c:v>
                </c:pt>
                <c:pt idx="1209">
                  <c:v>16.3</c:v>
                </c:pt>
                <c:pt idx="1210">
                  <c:v>17.899999999999999</c:v>
                </c:pt>
                <c:pt idx="1211">
                  <c:v>20.2</c:v>
                </c:pt>
                <c:pt idx="1212">
                  <c:v>22</c:v>
                </c:pt>
                <c:pt idx="1213">
                  <c:v>24</c:v>
                </c:pt>
                <c:pt idx="1214">
                  <c:v>20.9</c:v>
                </c:pt>
                <c:pt idx="1215">
                  <c:v>19.2</c:v>
                </c:pt>
                <c:pt idx="1216">
                  <c:v>21.6</c:v>
                </c:pt>
                <c:pt idx="1217">
                  <c:v>23.5</c:v>
                </c:pt>
                <c:pt idx="1218">
                  <c:v>16.600000000000001</c:v>
                </c:pt>
                <c:pt idx="1219">
                  <c:v>19.100000000000001</c:v>
                </c:pt>
                <c:pt idx="1220">
                  <c:v>19.100000000000001</c:v>
                </c:pt>
                <c:pt idx="1221">
                  <c:v>18</c:v>
                </c:pt>
                <c:pt idx="1222">
                  <c:v>18.3</c:v>
                </c:pt>
                <c:pt idx="1223">
                  <c:v>20.2</c:v>
                </c:pt>
                <c:pt idx="1224">
                  <c:v>18.399999999999999</c:v>
                </c:pt>
                <c:pt idx="1225">
                  <c:v>18.600000000000001</c:v>
                </c:pt>
                <c:pt idx="1226">
                  <c:v>20.6</c:v>
                </c:pt>
                <c:pt idx="1227">
                  <c:v>25.8</c:v>
                </c:pt>
                <c:pt idx="1228">
                  <c:v>19.600000000000001</c:v>
                </c:pt>
                <c:pt idx="1229">
                  <c:v>20.7</c:v>
                </c:pt>
                <c:pt idx="1230">
                  <c:v>20.7</c:v>
                </c:pt>
                <c:pt idx="1231">
                  <c:v>24.4</c:v>
                </c:pt>
                <c:pt idx="1232">
                  <c:v>27.4</c:v>
                </c:pt>
                <c:pt idx="1233">
                  <c:v>23.5</c:v>
                </c:pt>
                <c:pt idx="1234">
                  <c:v>22.2</c:v>
                </c:pt>
                <c:pt idx="1235">
                  <c:v>21.3</c:v>
                </c:pt>
                <c:pt idx="1236">
                  <c:v>19.5</c:v>
                </c:pt>
                <c:pt idx="1237">
                  <c:v>19.399999999999999</c:v>
                </c:pt>
                <c:pt idx="1238">
                  <c:v>23.7</c:v>
                </c:pt>
                <c:pt idx="1239">
                  <c:v>24.8</c:v>
                </c:pt>
                <c:pt idx="1240">
                  <c:v>24.9</c:v>
                </c:pt>
                <c:pt idx="1241">
                  <c:v>24.1</c:v>
                </c:pt>
                <c:pt idx="1242">
                  <c:v>23.1</c:v>
                </c:pt>
                <c:pt idx="1243">
                  <c:v>23.5</c:v>
                </c:pt>
                <c:pt idx="1244">
                  <c:v>22</c:v>
                </c:pt>
                <c:pt idx="1245">
                  <c:v>22.1</c:v>
                </c:pt>
                <c:pt idx="1246">
                  <c:v>19.8</c:v>
                </c:pt>
                <c:pt idx="1247">
                  <c:v>19.2</c:v>
                </c:pt>
                <c:pt idx="1248">
                  <c:v>21.6</c:v>
                </c:pt>
                <c:pt idx="1249">
                  <c:v>22.5</c:v>
                </c:pt>
                <c:pt idx="1250">
                  <c:v>20.6</c:v>
                </c:pt>
                <c:pt idx="1251">
                  <c:v>22</c:v>
                </c:pt>
                <c:pt idx="1252">
                  <c:v>20.2</c:v>
                </c:pt>
                <c:pt idx="1253">
                  <c:v>23.5</c:v>
                </c:pt>
                <c:pt idx="1254">
                  <c:v>23</c:v>
                </c:pt>
                <c:pt idx="1255">
                  <c:v>22.1</c:v>
                </c:pt>
                <c:pt idx="1256">
                  <c:v>23.3</c:v>
                </c:pt>
                <c:pt idx="1257">
                  <c:v>24.7</c:v>
                </c:pt>
                <c:pt idx="1258">
                  <c:v>22.3</c:v>
                </c:pt>
              </c:numCache>
            </c:numRef>
          </c:xVal>
          <c:yVal>
            <c:numRef>
              <c:f>Sheet2!$C$2:$C$1260</c:f>
              <c:numCache>
                <c:formatCode>General</c:formatCode>
                <c:ptCount val="1259"/>
                <c:pt idx="0">
                  <c:v>3707.8737847000002</c:v>
                </c:pt>
                <c:pt idx="1">
                  <c:v>4095.3374521000001</c:v>
                </c:pt>
                <c:pt idx="2">
                  <c:v>4223.2751594000001</c:v>
                </c:pt>
                <c:pt idx="3">
                  <c:v>3790.8883971</c:v>
                </c:pt>
                <c:pt idx="4">
                  <c:v>3991.2801693000001</c:v>
                </c:pt>
                <c:pt idx="5">
                  <c:v>4268.3079170000001</c:v>
                </c:pt>
                <c:pt idx="6">
                  <c:v>5380.5507404999998</c:v>
                </c:pt>
                <c:pt idx="7">
                  <c:v>4813.5345426000003</c:v>
                </c:pt>
                <c:pt idx="8">
                  <c:v>3912.4682312999998</c:v>
                </c:pt>
                <c:pt idx="9">
                  <c:v>4041.5250320999999</c:v>
                </c:pt>
                <c:pt idx="10">
                  <c:v>3916.4852430000001</c:v>
                </c:pt>
                <c:pt idx="11">
                  <c:v>3853.9935156000001</c:v>
                </c:pt>
                <c:pt idx="12">
                  <c:v>4236.0069432</c:v>
                </c:pt>
                <c:pt idx="13">
                  <c:v>5009.1070731999998</c:v>
                </c:pt>
                <c:pt idx="14">
                  <c:v>5561.8254608999996</c:v>
                </c:pt>
                <c:pt idx="15">
                  <c:v>4473.6632753000004</c:v>
                </c:pt>
                <c:pt idx="16">
                  <c:v>4563.7641673999997</c:v>
                </c:pt>
                <c:pt idx="17">
                  <c:v>4533.9594104999996</c:v>
                </c:pt>
                <c:pt idx="18">
                  <c:v>4650.8015862000002</c:v>
                </c:pt>
                <c:pt idx="19">
                  <c:v>4629.0316307000003</c:v>
                </c:pt>
                <c:pt idx="20">
                  <c:v>4350.2886719999997</c:v>
                </c:pt>
                <c:pt idx="21">
                  <c:v>4502.5296368999998</c:v>
                </c:pt>
                <c:pt idx="22">
                  <c:v>4567.8725237999997</c:v>
                </c:pt>
                <c:pt idx="23">
                  <c:v>4657.4788414000004</c:v>
                </c:pt>
                <c:pt idx="24">
                  <c:v>4564.6763321999997</c:v>
                </c:pt>
                <c:pt idx="25">
                  <c:v>4694.9740423000003</c:v>
                </c:pt>
                <c:pt idx="26">
                  <c:v>4955.8811671000003</c:v>
                </c:pt>
                <c:pt idx="27">
                  <c:v>4980.0303845999997</c:v>
                </c:pt>
                <c:pt idx="28">
                  <c:v>5614.8492742999997</c:v>
                </c:pt>
                <c:pt idx="29">
                  <c:v>5051.4105085000001</c:v>
                </c:pt>
                <c:pt idx="30">
                  <c:v>4223.7048348999997</c:v>
                </c:pt>
                <c:pt idx="31">
                  <c:v>4130.6301566000002</c:v>
                </c:pt>
                <c:pt idx="32">
                  <c:v>3988.4986951999999</c:v>
                </c:pt>
                <c:pt idx="33">
                  <c:v>4016.2019782000002</c:v>
                </c:pt>
                <c:pt idx="34">
                  <c:v>5632.4732425000002</c:v>
                </c:pt>
                <c:pt idx="35">
                  <c:v>4799.8834311999999</c:v>
                </c:pt>
                <c:pt idx="36">
                  <c:v>3971.9640589000001</c:v>
                </c:pt>
                <c:pt idx="37">
                  <c:v>4003.4032305999999</c:v>
                </c:pt>
                <c:pt idx="38">
                  <c:v>3998.8298082000001</c:v>
                </c:pt>
                <c:pt idx="39">
                  <c:v>3880.1323265999999</c:v>
                </c:pt>
                <c:pt idx="40">
                  <c:v>3761.1610887000002</c:v>
                </c:pt>
                <c:pt idx="41">
                  <c:v>3884.1212442000001</c:v>
                </c:pt>
                <c:pt idx="42">
                  <c:v>4046.8190202999999</c:v>
                </c:pt>
                <c:pt idx="43">
                  <c:v>4154.4082329000003</c:v>
                </c:pt>
                <c:pt idx="44">
                  <c:v>4726.0610957999997</c:v>
                </c:pt>
                <c:pt idx="45">
                  <c:v>4526.2490658999996</c:v>
                </c:pt>
                <c:pt idx="46">
                  <c:v>3939.6159803</c:v>
                </c:pt>
                <c:pt idx="47">
                  <c:v>3807.2309461999998</c:v>
                </c:pt>
                <c:pt idx="48">
                  <c:v>3893.8692514999998</c:v>
                </c:pt>
                <c:pt idx="49">
                  <c:v>3997.8854305</c:v>
                </c:pt>
                <c:pt idx="50">
                  <c:v>4057.8405468999999</c:v>
                </c:pt>
                <c:pt idx="51">
                  <c:v>4080.3829593999999</c:v>
                </c:pt>
                <c:pt idx="52">
                  <c:v>4121.4188842000003</c:v>
                </c:pt>
                <c:pt idx="53">
                  <c:v>4415.0338978999998</c:v>
                </c:pt>
                <c:pt idx="54">
                  <c:v>4184.1458407</c:v>
                </c:pt>
                <c:pt idx="55">
                  <c:v>4432.8872492</c:v>
                </c:pt>
                <c:pt idx="56">
                  <c:v>4181.4636078000003</c:v>
                </c:pt>
                <c:pt idx="57">
                  <c:v>4199.5822344999997</c:v>
                </c:pt>
                <c:pt idx="58">
                  <c:v>4761.4153759000001</c:v>
                </c:pt>
                <c:pt idx="59">
                  <c:v>4381.8023228000002</c:v>
                </c:pt>
                <c:pt idx="60">
                  <c:v>4069.1398668000002</c:v>
                </c:pt>
                <c:pt idx="61">
                  <c:v>3927.9818005000002</c:v>
                </c:pt>
                <c:pt idx="62">
                  <c:v>3786.3624319</c:v>
                </c:pt>
                <c:pt idx="63">
                  <c:v>3821.1714184000002</c:v>
                </c:pt>
                <c:pt idx="64">
                  <c:v>3902.9142348</c:v>
                </c:pt>
                <c:pt idx="65">
                  <c:v>3948.9334322999998</c:v>
                </c:pt>
                <c:pt idx="66">
                  <c:v>3826.6169905000002</c:v>
                </c:pt>
                <c:pt idx="67">
                  <c:v>3779.4948549000001</c:v>
                </c:pt>
                <c:pt idx="68">
                  <c:v>3791.1379612999999</c:v>
                </c:pt>
                <c:pt idx="69">
                  <c:v>3804.5521472999999</c:v>
                </c:pt>
                <c:pt idx="70">
                  <c:v>3882.5703801</c:v>
                </c:pt>
                <c:pt idx="71">
                  <c:v>3769.4253008000001</c:v>
                </c:pt>
                <c:pt idx="72">
                  <c:v>4068.4137178000001</c:v>
                </c:pt>
                <c:pt idx="73">
                  <c:v>4045.9222665000002</c:v>
                </c:pt>
                <c:pt idx="74">
                  <c:v>4005.7922093000002</c:v>
                </c:pt>
                <c:pt idx="75">
                  <c:v>4049.6949644000001</c:v>
                </c:pt>
                <c:pt idx="76">
                  <c:v>4035.201333</c:v>
                </c:pt>
                <c:pt idx="77">
                  <c:v>4026.1983989999999</c:v>
                </c:pt>
                <c:pt idx="78">
                  <c:v>3980.1054674000002</c:v>
                </c:pt>
                <c:pt idx="79">
                  <c:v>3978.0099191999998</c:v>
                </c:pt>
                <c:pt idx="80">
                  <c:v>3977.6153730999999</c:v>
                </c:pt>
                <c:pt idx="81">
                  <c:v>4069.3067265999998</c:v>
                </c:pt>
                <c:pt idx="82">
                  <c:v>4065.6918827999998</c:v>
                </c:pt>
                <c:pt idx="83">
                  <c:v>4006.4881911000002</c:v>
                </c:pt>
                <c:pt idx="84">
                  <c:v>4028.2212067</c:v>
                </c:pt>
                <c:pt idx="85">
                  <c:v>3918.2308339000001</c:v>
                </c:pt>
                <c:pt idx="86">
                  <c:v>4096.9419497999997</c:v>
                </c:pt>
                <c:pt idx="87">
                  <c:v>4034.8499081999998</c:v>
                </c:pt>
                <c:pt idx="88">
                  <c:v>4148.1948613000004</c:v>
                </c:pt>
                <c:pt idx="89">
                  <c:v>4194.8283080000001</c:v>
                </c:pt>
                <c:pt idx="90">
                  <c:v>4096.0418682999998</c:v>
                </c:pt>
                <c:pt idx="91">
                  <c:v>4460.9399215000003</c:v>
                </c:pt>
                <c:pt idx="92">
                  <c:v>4555.8749803999999</c:v>
                </c:pt>
                <c:pt idx="93">
                  <c:v>4306.6802551000001</c:v>
                </c:pt>
                <c:pt idx="94">
                  <c:v>4270.8329297</c:v>
                </c:pt>
                <c:pt idx="95">
                  <c:v>4221.7299934000002</c:v>
                </c:pt>
                <c:pt idx="96">
                  <c:v>4568.1830096000003</c:v>
                </c:pt>
                <c:pt idx="97">
                  <c:v>4467.3838452</c:v>
                </c:pt>
                <c:pt idx="98">
                  <c:v>4691.5077878000002</c:v>
                </c:pt>
                <c:pt idx="99">
                  <c:v>4339.5216798000001</c:v>
                </c:pt>
                <c:pt idx="100">
                  <c:v>4199.3732225000003</c:v>
                </c:pt>
                <c:pt idx="101">
                  <c:v>4577.4348999000003</c:v>
                </c:pt>
                <c:pt idx="102">
                  <c:v>4416.3543020999996</c:v>
                </c:pt>
                <c:pt idx="103">
                  <c:v>4334.0135659999996</c:v>
                </c:pt>
                <c:pt idx="104">
                  <c:v>4402.3467737999999</c:v>
                </c:pt>
                <c:pt idx="105">
                  <c:v>4456.7215933999996</c:v>
                </c:pt>
                <c:pt idx="106">
                  <c:v>4809.8467134000002</c:v>
                </c:pt>
                <c:pt idx="107">
                  <c:v>4621.9524610999997</c:v>
                </c:pt>
                <c:pt idx="108">
                  <c:v>4854.0564645000004</c:v>
                </c:pt>
                <c:pt idx="109">
                  <c:v>4810.0292702999996</c:v>
                </c:pt>
                <c:pt idx="110">
                  <c:v>4738.8725377999999</c:v>
                </c:pt>
                <c:pt idx="111">
                  <c:v>4769.1378855000003</c:v>
                </c:pt>
                <c:pt idx="112">
                  <c:v>4639.8863762999999</c:v>
                </c:pt>
                <c:pt idx="113">
                  <c:v>4744.0249397999996</c:v>
                </c:pt>
                <c:pt idx="114">
                  <c:v>4591.3194141000004</c:v>
                </c:pt>
                <c:pt idx="115">
                  <c:v>4836.8428422999996</c:v>
                </c:pt>
                <c:pt idx="116">
                  <c:v>4776.0870771999998</c:v>
                </c:pt>
                <c:pt idx="117">
                  <c:v>4719.7113208000001</c:v>
                </c:pt>
                <c:pt idx="118">
                  <c:v>4529.3158199</c:v>
                </c:pt>
                <c:pt idx="119">
                  <c:v>4374.9694115000002</c:v>
                </c:pt>
                <c:pt idx="120">
                  <c:v>5140.8330376000004</c:v>
                </c:pt>
                <c:pt idx="121">
                  <c:v>5354.1172483999999</c:v>
                </c:pt>
                <c:pt idx="122">
                  <c:v>5290.0862773999997</c:v>
                </c:pt>
                <c:pt idx="123">
                  <c:v>5103.3928022999999</c:v>
                </c:pt>
                <c:pt idx="124">
                  <c:v>5152.0066069000004</c:v>
                </c:pt>
                <c:pt idx="125">
                  <c:v>5036.1712639999996</c:v>
                </c:pt>
                <c:pt idx="126">
                  <c:v>4905.6321611000003</c:v>
                </c:pt>
                <c:pt idx="127">
                  <c:v>4908.2763856000001</c:v>
                </c:pt>
                <c:pt idx="128">
                  <c:v>4893.8645041</c:v>
                </c:pt>
                <c:pt idx="129">
                  <c:v>4681.3058398000003</c:v>
                </c:pt>
                <c:pt idx="130">
                  <c:v>4652.2837275000002</c:v>
                </c:pt>
                <c:pt idx="131">
                  <c:v>4521.3166074999999</c:v>
                </c:pt>
                <c:pt idx="132">
                  <c:v>4484.9341586999999</c:v>
                </c:pt>
                <c:pt idx="133">
                  <c:v>4585.9053876999997</c:v>
                </c:pt>
                <c:pt idx="134">
                  <c:v>4600.3640165999996</c:v>
                </c:pt>
                <c:pt idx="135">
                  <c:v>4997.2027531000003</c:v>
                </c:pt>
                <c:pt idx="136">
                  <c:v>4991.5475895999998</c:v>
                </c:pt>
                <c:pt idx="137">
                  <c:v>5095.2651557999998</c:v>
                </c:pt>
                <c:pt idx="138">
                  <c:v>5135.0836378000004</c:v>
                </c:pt>
                <c:pt idx="139">
                  <c:v>4706.1833101000002</c:v>
                </c:pt>
                <c:pt idx="140">
                  <c:v>4897.7982450999998</c:v>
                </c:pt>
                <c:pt idx="141">
                  <c:v>4778.6749068999998</c:v>
                </c:pt>
                <c:pt idx="142">
                  <c:v>4933.3516708999996</c:v>
                </c:pt>
                <c:pt idx="143">
                  <c:v>4743.6981962999998</c:v>
                </c:pt>
                <c:pt idx="144">
                  <c:v>4247.4871702999999</c:v>
                </c:pt>
                <c:pt idx="145">
                  <c:v>5098.3054524999998</c:v>
                </c:pt>
                <c:pt idx="146">
                  <c:v>4829.3663949000002</c:v>
                </c:pt>
                <c:pt idx="147">
                  <c:v>4569.6802607999998</c:v>
                </c:pt>
                <c:pt idx="148">
                  <c:v>4824.3117855999999</c:v>
                </c:pt>
                <c:pt idx="149">
                  <c:v>4702.2735229999998</c:v>
                </c:pt>
                <c:pt idx="150">
                  <c:v>4774.9366571</c:v>
                </c:pt>
                <c:pt idx="151">
                  <c:v>4827.7598908</c:v>
                </c:pt>
                <c:pt idx="152">
                  <c:v>4655.5294758</c:v>
                </c:pt>
                <c:pt idx="153">
                  <c:v>4719.4396680999998</c:v>
                </c:pt>
                <c:pt idx="154">
                  <c:v>4383.2480981999997</c:v>
                </c:pt>
                <c:pt idx="155">
                  <c:v>4461.5846327999998</c:v>
                </c:pt>
                <c:pt idx="156">
                  <c:v>4650.5022049999998</c:v>
                </c:pt>
                <c:pt idx="157">
                  <c:v>4430.2938009999998</c:v>
                </c:pt>
                <c:pt idx="158">
                  <c:v>4035.1814685999998</c:v>
                </c:pt>
                <c:pt idx="159">
                  <c:v>4112.9792125000004</c:v>
                </c:pt>
                <c:pt idx="160">
                  <c:v>4756.4170697999998</c:v>
                </c:pt>
                <c:pt idx="161">
                  <c:v>4419.0282084</c:v>
                </c:pt>
                <c:pt idx="162">
                  <c:v>4486.2870014999999</c:v>
                </c:pt>
                <c:pt idx="163">
                  <c:v>4601.8083360000001</c:v>
                </c:pt>
                <c:pt idx="164">
                  <c:v>4309.5974337999996</c:v>
                </c:pt>
                <c:pt idx="165">
                  <c:v>4391.8146262999999</c:v>
                </c:pt>
                <c:pt idx="166">
                  <c:v>4139.1837726000003</c:v>
                </c:pt>
                <c:pt idx="167">
                  <c:v>3953.1733199</c:v>
                </c:pt>
                <c:pt idx="168">
                  <c:v>4098.1776957000002</c:v>
                </c:pt>
                <c:pt idx="169">
                  <c:v>4121.7870930999998</c:v>
                </c:pt>
                <c:pt idx="170">
                  <c:v>4079.5703324000001</c:v>
                </c:pt>
                <c:pt idx="171">
                  <c:v>4269.7656158999998</c:v>
                </c:pt>
                <c:pt idx="172">
                  <c:v>4169.4325799999997</c:v>
                </c:pt>
                <c:pt idx="173">
                  <c:v>4351.1963414000002</c:v>
                </c:pt>
                <c:pt idx="174">
                  <c:v>3945.6231469999998</c:v>
                </c:pt>
                <c:pt idx="175">
                  <c:v>3935.0475308</c:v>
                </c:pt>
                <c:pt idx="176">
                  <c:v>4191.0338712000002</c:v>
                </c:pt>
                <c:pt idx="177">
                  <c:v>3905.3964270000001</c:v>
                </c:pt>
                <c:pt idx="178">
                  <c:v>4011.3373175000002</c:v>
                </c:pt>
                <c:pt idx="179">
                  <c:v>3897.5126747999998</c:v>
                </c:pt>
                <c:pt idx="180">
                  <c:v>3969.6185165000002</c:v>
                </c:pt>
                <c:pt idx="181">
                  <c:v>3976.6797956999999</c:v>
                </c:pt>
                <c:pt idx="182">
                  <c:v>3825.1728195000001</c:v>
                </c:pt>
                <c:pt idx="183">
                  <c:v>3888.7670853</c:v>
                </c:pt>
                <c:pt idx="184">
                  <c:v>3663.8486459000001</c:v>
                </c:pt>
                <c:pt idx="185">
                  <c:v>3785.7078741999999</c:v>
                </c:pt>
                <c:pt idx="186">
                  <c:v>3752.1012664</c:v>
                </c:pt>
                <c:pt idx="187">
                  <c:v>3847.6874079999998</c:v>
                </c:pt>
                <c:pt idx="188">
                  <c:v>3909.9364922999998</c:v>
                </c:pt>
                <c:pt idx="189">
                  <c:v>3740.7361924000002</c:v>
                </c:pt>
                <c:pt idx="190">
                  <c:v>3658.3894525000001</c:v>
                </c:pt>
                <c:pt idx="191">
                  <c:v>3696.9096208000001</c:v>
                </c:pt>
                <c:pt idx="192">
                  <c:v>3674.9413064999999</c:v>
                </c:pt>
                <c:pt idx="193">
                  <c:v>3583.0202131000001</c:v>
                </c:pt>
                <c:pt idx="194">
                  <c:v>3681.2036899999998</c:v>
                </c:pt>
                <c:pt idx="195">
                  <c:v>3675.5417750000001</c:v>
                </c:pt>
                <c:pt idx="196">
                  <c:v>3750.8688628999998</c:v>
                </c:pt>
                <c:pt idx="197">
                  <c:v>3882.8016259999999</c:v>
                </c:pt>
                <c:pt idx="198">
                  <c:v>3833.8928053999998</c:v>
                </c:pt>
                <c:pt idx="199">
                  <c:v>3622.9338908</c:v>
                </c:pt>
                <c:pt idx="200">
                  <c:v>3726.4598126999999</c:v>
                </c:pt>
                <c:pt idx="201">
                  <c:v>3606.9806395000001</c:v>
                </c:pt>
                <c:pt idx="202">
                  <c:v>3665.6950876000001</c:v>
                </c:pt>
                <c:pt idx="203">
                  <c:v>3787.0342338999999</c:v>
                </c:pt>
                <c:pt idx="204">
                  <c:v>3749.1905889999998</c:v>
                </c:pt>
                <c:pt idx="205">
                  <c:v>3716.0894380999998</c:v>
                </c:pt>
                <c:pt idx="206">
                  <c:v>3738.2867698999999</c:v>
                </c:pt>
                <c:pt idx="207">
                  <c:v>3642.9649844</c:v>
                </c:pt>
                <c:pt idx="208">
                  <c:v>3680.9452811000001</c:v>
                </c:pt>
                <c:pt idx="209">
                  <c:v>3868.8271132999998</c:v>
                </c:pt>
                <c:pt idx="210">
                  <c:v>3681.1630289</c:v>
                </c:pt>
                <c:pt idx="211">
                  <c:v>3637.1144995</c:v>
                </c:pt>
                <c:pt idx="212">
                  <c:v>3656.8531693999998</c:v>
                </c:pt>
                <c:pt idx="213">
                  <c:v>3711.0804701000002</c:v>
                </c:pt>
                <c:pt idx="214">
                  <c:v>3954.1222349999998</c:v>
                </c:pt>
                <c:pt idx="215">
                  <c:v>3831.5091157000002</c:v>
                </c:pt>
                <c:pt idx="216">
                  <c:v>4071.2395107000002</c:v>
                </c:pt>
                <c:pt idx="217">
                  <c:v>4087.7896039000002</c:v>
                </c:pt>
                <c:pt idx="218">
                  <c:v>4303.5183052000002</c:v>
                </c:pt>
                <c:pt idx="219">
                  <c:v>4224.8017398000002</c:v>
                </c:pt>
                <c:pt idx="220">
                  <c:v>3881.3631055000001</c:v>
                </c:pt>
                <c:pt idx="221">
                  <c:v>3754.0796223000002</c:v>
                </c:pt>
                <c:pt idx="222">
                  <c:v>3819.9103875000001</c:v>
                </c:pt>
                <c:pt idx="223">
                  <c:v>3694.9556975999999</c:v>
                </c:pt>
                <c:pt idx="224">
                  <c:v>3868.9899098000001</c:v>
                </c:pt>
                <c:pt idx="225">
                  <c:v>3915.3525960000002</c:v>
                </c:pt>
                <c:pt idx="226">
                  <c:v>4045.7702608</c:v>
                </c:pt>
                <c:pt idx="227">
                  <c:v>4238.1868590000004</c:v>
                </c:pt>
                <c:pt idx="228">
                  <c:v>4194.3845013</c:v>
                </c:pt>
                <c:pt idx="229">
                  <c:v>3839.7933800000001</c:v>
                </c:pt>
                <c:pt idx="230">
                  <c:v>3854.4262334999999</c:v>
                </c:pt>
                <c:pt idx="231">
                  <c:v>3838.0559343999998</c:v>
                </c:pt>
                <c:pt idx="232">
                  <c:v>3975.9123199000001</c:v>
                </c:pt>
                <c:pt idx="233">
                  <c:v>4115.9230108000002</c:v>
                </c:pt>
                <c:pt idx="234">
                  <c:v>4238.7371923000001</c:v>
                </c:pt>
                <c:pt idx="235">
                  <c:v>4273.9659075</c:v>
                </c:pt>
                <c:pt idx="236">
                  <c:v>4551.5220577</c:v>
                </c:pt>
                <c:pt idx="237">
                  <c:v>4810.3306662000005</c:v>
                </c:pt>
                <c:pt idx="238">
                  <c:v>4394.0323527999999</c:v>
                </c:pt>
                <c:pt idx="239">
                  <c:v>4196.6494153000003</c:v>
                </c:pt>
                <c:pt idx="240">
                  <c:v>4207.6284151999998</c:v>
                </c:pt>
                <c:pt idx="241">
                  <c:v>4411.0683963000001</c:v>
                </c:pt>
                <c:pt idx="242">
                  <c:v>4277.5523075000001</c:v>
                </c:pt>
                <c:pt idx="243">
                  <c:v>3925.5015693999999</c:v>
                </c:pt>
                <c:pt idx="244">
                  <c:v>3539.5085813000001</c:v>
                </c:pt>
                <c:pt idx="245">
                  <c:v>3810.2938131999999</c:v>
                </c:pt>
                <c:pt idx="246">
                  <c:v>3864.8107743999999</c:v>
                </c:pt>
                <c:pt idx="247">
                  <c:v>4058.7937661000001</c:v>
                </c:pt>
                <c:pt idx="248">
                  <c:v>3444.7520384999998</c:v>
                </c:pt>
                <c:pt idx="249">
                  <c:v>3463.6101929000001</c:v>
                </c:pt>
                <c:pt idx="250">
                  <c:v>3801.6859917000002</c:v>
                </c:pt>
                <c:pt idx="251">
                  <c:v>4107.9163429999999</c:v>
                </c:pt>
                <c:pt idx="252">
                  <c:v>3523.0743655000001</c:v>
                </c:pt>
                <c:pt idx="253">
                  <c:v>3603.9175498</c:v>
                </c:pt>
                <c:pt idx="254">
                  <c:v>3697.5933639</c:v>
                </c:pt>
                <c:pt idx="255">
                  <c:v>3851.2429433000002</c:v>
                </c:pt>
                <c:pt idx="256">
                  <c:v>4142.5097889999997</c:v>
                </c:pt>
                <c:pt idx="257">
                  <c:v>4079.3405152</c:v>
                </c:pt>
                <c:pt idx="258">
                  <c:v>4413.6980483999996</c:v>
                </c:pt>
                <c:pt idx="259">
                  <c:v>4341.3800844999996</c:v>
                </c:pt>
                <c:pt idx="260">
                  <c:v>4443.6745706000002</c:v>
                </c:pt>
                <c:pt idx="261">
                  <c:v>4803.5457309000003</c:v>
                </c:pt>
                <c:pt idx="262">
                  <c:v>4113.2507681999996</c:v>
                </c:pt>
                <c:pt idx="263">
                  <c:v>4145.0066416999998</c:v>
                </c:pt>
                <c:pt idx="264">
                  <c:v>4312.6642570000004</c:v>
                </c:pt>
                <c:pt idx="265">
                  <c:v>4496.6301199</c:v>
                </c:pt>
                <c:pt idx="266">
                  <c:v>4971.1039767000002</c:v>
                </c:pt>
                <c:pt idx="267">
                  <c:v>5029.7258857999996</c:v>
                </c:pt>
                <c:pt idx="268">
                  <c:v>5151.3160943000003</c:v>
                </c:pt>
                <c:pt idx="269">
                  <c:v>4222.9645226000002</c:v>
                </c:pt>
                <c:pt idx="270">
                  <c:v>5445.0593667000003</c:v>
                </c:pt>
                <c:pt idx="271">
                  <c:v>5945.3384476000001</c:v>
                </c:pt>
                <c:pt idx="272">
                  <c:v>5826.3015169999999</c:v>
                </c:pt>
                <c:pt idx="273">
                  <c:v>6089.4115129000002</c:v>
                </c:pt>
                <c:pt idx="274">
                  <c:v>5568.7644830999998</c:v>
                </c:pt>
                <c:pt idx="275">
                  <c:v>3928.4262929000001</c:v>
                </c:pt>
                <c:pt idx="276">
                  <c:v>3956.4714460999999</c:v>
                </c:pt>
                <c:pt idx="277">
                  <c:v>4056.1654266</c:v>
                </c:pt>
                <c:pt idx="278">
                  <c:v>4209.4970684</c:v>
                </c:pt>
                <c:pt idx="279">
                  <c:v>4945.1996249000003</c:v>
                </c:pt>
                <c:pt idx="280">
                  <c:v>3857.9921485</c:v>
                </c:pt>
                <c:pt idx="281">
                  <c:v>3940.5894604999999</c:v>
                </c:pt>
                <c:pt idx="282">
                  <c:v>4112.8384730999996</c:v>
                </c:pt>
                <c:pt idx="283">
                  <c:v>4623.0310630000004</c:v>
                </c:pt>
                <c:pt idx="284">
                  <c:v>4428.6196608999999</c:v>
                </c:pt>
                <c:pt idx="285">
                  <c:v>4196.6292978000001</c:v>
                </c:pt>
                <c:pt idx="286">
                  <c:v>3807.3766799999999</c:v>
                </c:pt>
                <c:pt idx="287">
                  <c:v>3868.2084144999999</c:v>
                </c:pt>
                <c:pt idx="288">
                  <c:v>4027.0333955000001</c:v>
                </c:pt>
                <c:pt idx="289">
                  <c:v>4031.1837862000002</c:v>
                </c:pt>
                <c:pt idx="290">
                  <c:v>4409.7483216000001</c:v>
                </c:pt>
                <c:pt idx="291">
                  <c:v>4882.2625555000004</c:v>
                </c:pt>
                <c:pt idx="292">
                  <c:v>3797.0968585000001</c:v>
                </c:pt>
                <c:pt idx="293">
                  <c:v>4169.3544369000001</c:v>
                </c:pt>
                <c:pt idx="294">
                  <c:v>4231.7758009999998</c:v>
                </c:pt>
                <c:pt idx="295">
                  <c:v>3884.2390836999998</c:v>
                </c:pt>
                <c:pt idx="296">
                  <c:v>4149.0203957000003</c:v>
                </c:pt>
                <c:pt idx="297">
                  <c:v>4214.9699530999997</c:v>
                </c:pt>
                <c:pt idx="298">
                  <c:v>4212.6285958999997</c:v>
                </c:pt>
                <c:pt idx="299">
                  <c:v>4170.6380602999998</c:v>
                </c:pt>
                <c:pt idx="300">
                  <c:v>4405.7084488999999</c:v>
                </c:pt>
                <c:pt idx="301">
                  <c:v>4006.1481365999998</c:v>
                </c:pt>
                <c:pt idx="302">
                  <c:v>4209.4300842000002</c:v>
                </c:pt>
                <c:pt idx="303">
                  <c:v>4004.8675566000002</c:v>
                </c:pt>
                <c:pt idx="304">
                  <c:v>3935.7506067999998</c:v>
                </c:pt>
                <c:pt idx="305">
                  <c:v>4209.1391181999998</c:v>
                </c:pt>
                <c:pt idx="306">
                  <c:v>4564.1098715999997</c:v>
                </c:pt>
                <c:pt idx="307">
                  <c:v>4449.1576408999999</c:v>
                </c:pt>
                <c:pt idx="308">
                  <c:v>3929.4742851000001</c:v>
                </c:pt>
                <c:pt idx="309">
                  <c:v>3842.0646824999999</c:v>
                </c:pt>
                <c:pt idx="310">
                  <c:v>3773.9116617999998</c:v>
                </c:pt>
                <c:pt idx="311">
                  <c:v>3886.8046637000002</c:v>
                </c:pt>
                <c:pt idx="312">
                  <c:v>4123.8247002999997</c:v>
                </c:pt>
                <c:pt idx="313">
                  <c:v>3796.4975361000002</c:v>
                </c:pt>
                <c:pt idx="314">
                  <c:v>3767.9865362</c:v>
                </c:pt>
                <c:pt idx="315">
                  <c:v>3824.6973192</c:v>
                </c:pt>
                <c:pt idx="316">
                  <c:v>3801.6552554</c:v>
                </c:pt>
                <c:pt idx="317">
                  <c:v>3799.0741810999998</c:v>
                </c:pt>
                <c:pt idx="318">
                  <c:v>3822.2901922000001</c:v>
                </c:pt>
                <c:pt idx="319">
                  <c:v>3732.2337180999998</c:v>
                </c:pt>
                <c:pt idx="320">
                  <c:v>3782.5177014000001</c:v>
                </c:pt>
                <c:pt idx="321">
                  <c:v>3775.8662072000002</c:v>
                </c:pt>
                <c:pt idx="322">
                  <c:v>3747.6683741000002</c:v>
                </c:pt>
                <c:pt idx="323">
                  <c:v>3816.7990829</c:v>
                </c:pt>
                <c:pt idx="324">
                  <c:v>3759.2874728000002</c:v>
                </c:pt>
                <c:pt idx="325">
                  <c:v>3874.494725</c:v>
                </c:pt>
                <c:pt idx="326">
                  <c:v>3865.0811603000002</c:v>
                </c:pt>
                <c:pt idx="327">
                  <c:v>3861.3586878999999</c:v>
                </c:pt>
                <c:pt idx="328">
                  <c:v>3682.6617394999998</c:v>
                </c:pt>
                <c:pt idx="329">
                  <c:v>3936.4013000999998</c:v>
                </c:pt>
                <c:pt idx="330">
                  <c:v>3998.9914365</c:v>
                </c:pt>
                <c:pt idx="331">
                  <c:v>3934.0012265</c:v>
                </c:pt>
                <c:pt idx="332">
                  <c:v>4098.0662746999997</c:v>
                </c:pt>
                <c:pt idx="333">
                  <c:v>4108.7828341000004</c:v>
                </c:pt>
                <c:pt idx="334">
                  <c:v>3972.8603001000001</c:v>
                </c:pt>
                <c:pt idx="335">
                  <c:v>4063.5388895999999</c:v>
                </c:pt>
                <c:pt idx="336">
                  <c:v>3992.8640586000001</c:v>
                </c:pt>
                <c:pt idx="337">
                  <c:v>4379.6307483999999</c:v>
                </c:pt>
                <c:pt idx="338">
                  <c:v>4343.6899008</c:v>
                </c:pt>
                <c:pt idx="339">
                  <c:v>4766.6283887</c:v>
                </c:pt>
                <c:pt idx="340">
                  <c:v>4689.2311866</c:v>
                </c:pt>
                <c:pt idx="341">
                  <c:v>4255.8265916999999</c:v>
                </c:pt>
                <c:pt idx="342">
                  <c:v>4612.4008092000004</c:v>
                </c:pt>
                <c:pt idx="343">
                  <c:v>4522.3154156000001</c:v>
                </c:pt>
                <c:pt idx="344">
                  <c:v>4389.8752279</c:v>
                </c:pt>
                <c:pt idx="345">
                  <c:v>4279.7804577999996</c:v>
                </c:pt>
                <c:pt idx="346">
                  <c:v>4118.5357629999999</c:v>
                </c:pt>
                <c:pt idx="347">
                  <c:v>4153.8996751000004</c:v>
                </c:pt>
                <c:pt idx="348">
                  <c:v>4388.9519400999998</c:v>
                </c:pt>
                <c:pt idx="349">
                  <c:v>4777.7384554</c:v>
                </c:pt>
                <c:pt idx="350">
                  <c:v>4490.9662469000004</c:v>
                </c:pt>
                <c:pt idx="351">
                  <c:v>4483.6571506</c:v>
                </c:pt>
                <c:pt idx="352">
                  <c:v>4820.5722939999996</c:v>
                </c:pt>
                <c:pt idx="353">
                  <c:v>4502.0859356999999</c:v>
                </c:pt>
                <c:pt idx="354">
                  <c:v>4321.3901397999998</c:v>
                </c:pt>
                <c:pt idx="355">
                  <c:v>4234.1314474999999</c:v>
                </c:pt>
                <c:pt idx="356">
                  <c:v>4142.9924139000004</c:v>
                </c:pt>
                <c:pt idx="357">
                  <c:v>4629.4472936000002</c:v>
                </c:pt>
                <c:pt idx="358">
                  <c:v>4972.5810896000003</c:v>
                </c:pt>
                <c:pt idx="359">
                  <c:v>5129.1627846000001</c:v>
                </c:pt>
                <c:pt idx="360">
                  <c:v>4924.7543888</c:v>
                </c:pt>
                <c:pt idx="361">
                  <c:v>4786.5684352999997</c:v>
                </c:pt>
                <c:pt idx="362">
                  <c:v>4728.1191011000001</c:v>
                </c:pt>
                <c:pt idx="363">
                  <c:v>4605.3001428999996</c:v>
                </c:pt>
                <c:pt idx="364">
                  <c:v>4466.8703269999996</c:v>
                </c:pt>
                <c:pt idx="365">
                  <c:v>4563.3901784</c:v>
                </c:pt>
                <c:pt idx="366">
                  <c:v>4651.1285003000003</c:v>
                </c:pt>
                <c:pt idx="367">
                  <c:v>4790.7930288999996</c:v>
                </c:pt>
                <c:pt idx="368">
                  <c:v>4882.7274005999998</c:v>
                </c:pt>
                <c:pt idx="369">
                  <c:v>4524.9226397000002</c:v>
                </c:pt>
                <c:pt idx="370">
                  <c:v>4493.4913184999996</c:v>
                </c:pt>
                <c:pt idx="371">
                  <c:v>4617.4118374</c:v>
                </c:pt>
                <c:pt idx="372">
                  <c:v>4728.0550347999997</c:v>
                </c:pt>
                <c:pt idx="373">
                  <c:v>4519.6191551000002</c:v>
                </c:pt>
                <c:pt idx="374">
                  <c:v>4451.0716727999998</c:v>
                </c:pt>
                <c:pt idx="375">
                  <c:v>4429.7752203</c:v>
                </c:pt>
                <c:pt idx="376">
                  <c:v>4261.2113441000001</c:v>
                </c:pt>
                <c:pt idx="377">
                  <c:v>4564.6682664</c:v>
                </c:pt>
                <c:pt idx="378">
                  <c:v>4543.4867727999999</c:v>
                </c:pt>
                <c:pt idx="379">
                  <c:v>4561.2181368000001</c:v>
                </c:pt>
                <c:pt idx="380">
                  <c:v>4517.3989658999999</c:v>
                </c:pt>
                <c:pt idx="381">
                  <c:v>4729.0894023999999</c:v>
                </c:pt>
                <c:pt idx="382">
                  <c:v>4698.7515356000004</c:v>
                </c:pt>
                <c:pt idx="383">
                  <c:v>5022.3294131000002</c:v>
                </c:pt>
                <c:pt idx="384">
                  <c:v>4881.036634</c:v>
                </c:pt>
                <c:pt idx="385">
                  <c:v>4931.3065401000003</c:v>
                </c:pt>
                <c:pt idx="386">
                  <c:v>4620.5857672000002</c:v>
                </c:pt>
                <c:pt idx="387">
                  <c:v>5182.0179260000004</c:v>
                </c:pt>
                <c:pt idx="388">
                  <c:v>4850.7255318999996</c:v>
                </c:pt>
                <c:pt idx="389">
                  <c:v>5186.6576119000001</c:v>
                </c:pt>
                <c:pt idx="390">
                  <c:v>4958.9815392999999</c:v>
                </c:pt>
                <c:pt idx="391">
                  <c:v>4834.0048473999996</c:v>
                </c:pt>
                <c:pt idx="392">
                  <c:v>4768.5444785</c:v>
                </c:pt>
                <c:pt idx="393">
                  <c:v>4794.6710848000002</c:v>
                </c:pt>
                <c:pt idx="394">
                  <c:v>4572.3275792000004</c:v>
                </c:pt>
                <c:pt idx="395">
                  <c:v>4447.3113363000002</c:v>
                </c:pt>
                <c:pt idx="396">
                  <c:v>4343.0167121000004</c:v>
                </c:pt>
                <c:pt idx="397">
                  <c:v>4194.8365418000003</c:v>
                </c:pt>
                <c:pt idx="398">
                  <c:v>4105.4552143000001</c:v>
                </c:pt>
                <c:pt idx="399">
                  <c:v>4001.6169322000001</c:v>
                </c:pt>
                <c:pt idx="400">
                  <c:v>3824.1601265999998</c:v>
                </c:pt>
                <c:pt idx="401">
                  <c:v>4390.0944078000002</c:v>
                </c:pt>
                <c:pt idx="402">
                  <c:v>4608.7391780999997</c:v>
                </c:pt>
                <c:pt idx="403">
                  <c:v>4583.9751195999997</c:v>
                </c:pt>
                <c:pt idx="404">
                  <c:v>4577.5892682000003</c:v>
                </c:pt>
                <c:pt idx="405">
                  <c:v>4401.2765405999999</c:v>
                </c:pt>
                <c:pt idx="406">
                  <c:v>4490.7996233000003</c:v>
                </c:pt>
                <c:pt idx="407">
                  <c:v>4340.3957123</c:v>
                </c:pt>
                <c:pt idx="408">
                  <c:v>4608.5100452999995</c:v>
                </c:pt>
                <c:pt idx="409">
                  <c:v>4414.7046431999997</c:v>
                </c:pt>
                <c:pt idx="410">
                  <c:v>4615.5570963</c:v>
                </c:pt>
                <c:pt idx="411">
                  <c:v>4374.6383273000001</c:v>
                </c:pt>
                <c:pt idx="412">
                  <c:v>4263.2874331000003</c:v>
                </c:pt>
                <c:pt idx="413">
                  <c:v>4117.7882632000001</c:v>
                </c:pt>
                <c:pt idx="414">
                  <c:v>4022.5694543</c:v>
                </c:pt>
                <c:pt idx="415">
                  <c:v>3834.7690464000002</c:v>
                </c:pt>
                <c:pt idx="416">
                  <c:v>3967.2124238000001</c:v>
                </c:pt>
                <c:pt idx="417">
                  <c:v>4084.1778813000001</c:v>
                </c:pt>
                <c:pt idx="418">
                  <c:v>4004.1107486999999</c:v>
                </c:pt>
                <c:pt idx="419">
                  <c:v>3963.9694079000001</c:v>
                </c:pt>
                <c:pt idx="420">
                  <c:v>3960.2200635999998</c:v>
                </c:pt>
                <c:pt idx="421">
                  <c:v>3917.1041955999999</c:v>
                </c:pt>
                <c:pt idx="422">
                  <c:v>3844.2904133000002</c:v>
                </c:pt>
                <c:pt idx="423">
                  <c:v>3856.1775358</c:v>
                </c:pt>
                <c:pt idx="424">
                  <c:v>3959.7789667000002</c:v>
                </c:pt>
                <c:pt idx="425">
                  <c:v>4180.3422958000001</c:v>
                </c:pt>
                <c:pt idx="426">
                  <c:v>4167.8592244000001</c:v>
                </c:pt>
                <c:pt idx="427">
                  <c:v>3975.7094702999998</c:v>
                </c:pt>
                <c:pt idx="428">
                  <c:v>3766.0189033000001</c:v>
                </c:pt>
                <c:pt idx="429">
                  <c:v>3779.4950944000002</c:v>
                </c:pt>
                <c:pt idx="430">
                  <c:v>3623.2996162999998</c:v>
                </c:pt>
                <c:pt idx="431">
                  <c:v>3809.2216990000002</c:v>
                </c:pt>
                <c:pt idx="432">
                  <c:v>3724.7211324999998</c:v>
                </c:pt>
                <c:pt idx="433">
                  <c:v>3695.0726030000001</c:v>
                </c:pt>
                <c:pt idx="434">
                  <c:v>3717.9372674000001</c:v>
                </c:pt>
                <c:pt idx="435">
                  <c:v>3699.3904508999999</c:v>
                </c:pt>
                <c:pt idx="436">
                  <c:v>3871.2502494999999</c:v>
                </c:pt>
                <c:pt idx="437">
                  <c:v>3827.2744827000001</c:v>
                </c:pt>
                <c:pt idx="438">
                  <c:v>4020.1125169000002</c:v>
                </c:pt>
                <c:pt idx="439">
                  <c:v>3926.4119615999998</c:v>
                </c:pt>
                <c:pt idx="440">
                  <c:v>3622.3923854</c:v>
                </c:pt>
                <c:pt idx="441">
                  <c:v>3749.3883526999998</c:v>
                </c:pt>
                <c:pt idx="442">
                  <c:v>3665.6927780999999</c:v>
                </c:pt>
                <c:pt idx="443">
                  <c:v>3813.1608342999998</c:v>
                </c:pt>
                <c:pt idx="444">
                  <c:v>3628.2901204</c:v>
                </c:pt>
                <c:pt idx="445">
                  <c:v>3572.5943932</c:v>
                </c:pt>
                <c:pt idx="446">
                  <c:v>3542.1278883</c:v>
                </c:pt>
                <c:pt idx="447">
                  <c:v>3514.1847818000001</c:v>
                </c:pt>
                <c:pt idx="448">
                  <c:v>3570.1894980000002</c:v>
                </c:pt>
                <c:pt idx="449">
                  <c:v>3608.3112637999998</c:v>
                </c:pt>
                <c:pt idx="450">
                  <c:v>3575.3550022999998</c:v>
                </c:pt>
                <c:pt idx="451">
                  <c:v>3535.7534393000001</c:v>
                </c:pt>
                <c:pt idx="452">
                  <c:v>3503.7975802999999</c:v>
                </c:pt>
                <c:pt idx="453">
                  <c:v>3617.7338436999999</c:v>
                </c:pt>
                <c:pt idx="454">
                  <c:v>3781.9477867000001</c:v>
                </c:pt>
                <c:pt idx="455">
                  <c:v>4215.2232274999997</c:v>
                </c:pt>
                <c:pt idx="456">
                  <c:v>3761.8688655000001</c:v>
                </c:pt>
                <c:pt idx="457">
                  <c:v>3536.8541712000001</c:v>
                </c:pt>
                <c:pt idx="458">
                  <c:v>3511.0869714999999</c:v>
                </c:pt>
                <c:pt idx="459">
                  <c:v>3580.1557539999999</c:v>
                </c:pt>
                <c:pt idx="460">
                  <c:v>3566.7861204000001</c:v>
                </c:pt>
                <c:pt idx="461">
                  <c:v>3573.7725614000001</c:v>
                </c:pt>
                <c:pt idx="462">
                  <c:v>3605.1486270999999</c:v>
                </c:pt>
                <c:pt idx="463">
                  <c:v>3582.9084667000002</c:v>
                </c:pt>
                <c:pt idx="464">
                  <c:v>3586.6065007000002</c:v>
                </c:pt>
                <c:pt idx="465">
                  <c:v>4257.8410262999996</c:v>
                </c:pt>
                <c:pt idx="466">
                  <c:v>4592.4542434000005</c:v>
                </c:pt>
                <c:pt idx="467">
                  <c:v>4763.9120445999997</c:v>
                </c:pt>
                <c:pt idx="468">
                  <c:v>4193.9386688000004</c:v>
                </c:pt>
                <c:pt idx="469">
                  <c:v>3820.7236678999998</c:v>
                </c:pt>
                <c:pt idx="470">
                  <c:v>4999.8792971000003</c:v>
                </c:pt>
                <c:pt idx="471">
                  <c:v>4051.3070834999999</c:v>
                </c:pt>
                <c:pt idx="472">
                  <c:v>3827.9015119000001</c:v>
                </c:pt>
                <c:pt idx="473">
                  <c:v>3646.0704799</c:v>
                </c:pt>
                <c:pt idx="474">
                  <c:v>3820.0348060000001</c:v>
                </c:pt>
                <c:pt idx="475">
                  <c:v>3784.5554318</c:v>
                </c:pt>
                <c:pt idx="476">
                  <c:v>3809.0693113000002</c:v>
                </c:pt>
                <c:pt idx="477">
                  <c:v>3655.5358667</c:v>
                </c:pt>
                <c:pt idx="478">
                  <c:v>3649.7186056999999</c:v>
                </c:pt>
                <c:pt idx="479">
                  <c:v>3702.7955895999999</c:v>
                </c:pt>
                <c:pt idx="480">
                  <c:v>4131.9208829999998</c:v>
                </c:pt>
                <c:pt idx="481">
                  <c:v>4336.4899112000003</c:v>
                </c:pt>
                <c:pt idx="482">
                  <c:v>4454.7775171000003</c:v>
                </c:pt>
                <c:pt idx="483">
                  <c:v>3561.5714772000001</c:v>
                </c:pt>
                <c:pt idx="484">
                  <c:v>3591.9088673000001</c:v>
                </c:pt>
                <c:pt idx="485">
                  <c:v>3575.3171575000001</c:v>
                </c:pt>
                <c:pt idx="486">
                  <c:v>3562.9550647000001</c:v>
                </c:pt>
                <c:pt idx="487">
                  <c:v>3590.9187545</c:v>
                </c:pt>
                <c:pt idx="488">
                  <c:v>3636.5557783999998</c:v>
                </c:pt>
                <c:pt idx="489">
                  <c:v>3723.3316964999999</c:v>
                </c:pt>
                <c:pt idx="490">
                  <c:v>3757.930437</c:v>
                </c:pt>
                <c:pt idx="491">
                  <c:v>3574.5643890000001</c:v>
                </c:pt>
                <c:pt idx="492">
                  <c:v>3543.5358913999999</c:v>
                </c:pt>
                <c:pt idx="493">
                  <c:v>3541.0405755000002</c:v>
                </c:pt>
                <c:pt idx="494">
                  <c:v>3583.3041013000002</c:v>
                </c:pt>
                <c:pt idx="495">
                  <c:v>3736.9678309999999</c:v>
                </c:pt>
                <c:pt idx="496">
                  <c:v>3679.8139996</c:v>
                </c:pt>
                <c:pt idx="497">
                  <c:v>3679.6625906999998</c:v>
                </c:pt>
                <c:pt idx="498">
                  <c:v>3604.1676753000002</c:v>
                </c:pt>
                <c:pt idx="499">
                  <c:v>3595.0149875000002</c:v>
                </c:pt>
                <c:pt idx="500">
                  <c:v>3182.2138506000001</c:v>
                </c:pt>
                <c:pt idx="501">
                  <c:v>3178.8250005</c:v>
                </c:pt>
                <c:pt idx="502">
                  <c:v>3162.2529107</c:v>
                </c:pt>
                <c:pt idx="503">
                  <c:v>3958.2914128000002</c:v>
                </c:pt>
                <c:pt idx="504">
                  <c:v>4499.3780064000002</c:v>
                </c:pt>
                <c:pt idx="505">
                  <c:v>3733.8157898999998</c:v>
                </c:pt>
                <c:pt idx="506">
                  <c:v>3513.8365091000001</c:v>
                </c:pt>
                <c:pt idx="507">
                  <c:v>4113.4524471000004</c:v>
                </c:pt>
                <c:pt idx="508">
                  <c:v>3923.8692124999998</c:v>
                </c:pt>
                <c:pt idx="509">
                  <c:v>3806.2506325999998</c:v>
                </c:pt>
                <c:pt idx="510">
                  <c:v>3460.6457220000002</c:v>
                </c:pt>
                <c:pt idx="511">
                  <c:v>3674.5742670999998</c:v>
                </c:pt>
                <c:pt idx="512">
                  <c:v>3798.3618698999999</c:v>
                </c:pt>
                <c:pt idx="513">
                  <c:v>3919.9157269000002</c:v>
                </c:pt>
                <c:pt idx="514">
                  <c:v>4233.8728093</c:v>
                </c:pt>
                <c:pt idx="515">
                  <c:v>4108.9633741999996</c:v>
                </c:pt>
                <c:pt idx="516">
                  <c:v>4035.6398899000001</c:v>
                </c:pt>
                <c:pt idx="517">
                  <c:v>3847.3419724</c:v>
                </c:pt>
                <c:pt idx="518">
                  <c:v>3860.1517783999998</c:v>
                </c:pt>
                <c:pt idx="519">
                  <c:v>3967.4032772999999</c:v>
                </c:pt>
                <c:pt idx="520">
                  <c:v>3896.7885077000001</c:v>
                </c:pt>
                <c:pt idx="521">
                  <c:v>4993.5900898999998</c:v>
                </c:pt>
                <c:pt idx="522">
                  <c:v>4470.0212815000004</c:v>
                </c:pt>
                <c:pt idx="523">
                  <c:v>3781.3989738</c:v>
                </c:pt>
                <c:pt idx="524">
                  <c:v>3649.2941704999998</c:v>
                </c:pt>
                <c:pt idx="525">
                  <c:v>3650.3130632000002</c:v>
                </c:pt>
                <c:pt idx="526">
                  <c:v>4010.0680854000002</c:v>
                </c:pt>
                <c:pt idx="527">
                  <c:v>3813.5308461999998</c:v>
                </c:pt>
                <c:pt idx="528">
                  <c:v>3787.8358069000001</c:v>
                </c:pt>
                <c:pt idx="529">
                  <c:v>3869.1633323000001</c:v>
                </c:pt>
                <c:pt idx="530">
                  <c:v>3922.9748457999999</c:v>
                </c:pt>
                <c:pt idx="531">
                  <c:v>3916.5677979000002</c:v>
                </c:pt>
                <c:pt idx="532">
                  <c:v>3849.2160650999999</c:v>
                </c:pt>
                <c:pt idx="533">
                  <c:v>3882.0415622999999</c:v>
                </c:pt>
                <c:pt idx="534">
                  <c:v>4000.8725522</c:v>
                </c:pt>
                <c:pt idx="535">
                  <c:v>4088.4235626999998</c:v>
                </c:pt>
                <c:pt idx="536">
                  <c:v>4211.8366591000004</c:v>
                </c:pt>
                <c:pt idx="537">
                  <c:v>3906.9401726999999</c:v>
                </c:pt>
                <c:pt idx="538">
                  <c:v>3859.9119939000002</c:v>
                </c:pt>
                <c:pt idx="539">
                  <c:v>4210.5574253000004</c:v>
                </c:pt>
                <c:pt idx="540">
                  <c:v>4264.1799210999998</c:v>
                </c:pt>
                <c:pt idx="541">
                  <c:v>4450.7722121999996</c:v>
                </c:pt>
                <c:pt idx="542">
                  <c:v>4924.7328981999999</c:v>
                </c:pt>
                <c:pt idx="543">
                  <c:v>4030.7348756000001</c:v>
                </c:pt>
                <c:pt idx="544">
                  <c:v>4563.5464751</c:v>
                </c:pt>
                <c:pt idx="545">
                  <c:v>3853.8691619000001</c:v>
                </c:pt>
                <c:pt idx="546">
                  <c:v>3957.6846915000001</c:v>
                </c:pt>
                <c:pt idx="547">
                  <c:v>3786.9404598000001</c:v>
                </c:pt>
                <c:pt idx="548">
                  <c:v>3617.3676154999998</c:v>
                </c:pt>
                <c:pt idx="549">
                  <c:v>3697.309945</c:v>
                </c:pt>
                <c:pt idx="550">
                  <c:v>3777.0271432</c:v>
                </c:pt>
                <c:pt idx="551">
                  <c:v>3885.7133233999998</c:v>
                </c:pt>
                <c:pt idx="552">
                  <c:v>3927.4659719000001</c:v>
                </c:pt>
                <c:pt idx="553">
                  <c:v>3911.6907427000001</c:v>
                </c:pt>
                <c:pt idx="554">
                  <c:v>4068.7794125</c:v>
                </c:pt>
                <c:pt idx="555">
                  <c:v>4295.2199548999997</c:v>
                </c:pt>
                <c:pt idx="556">
                  <c:v>3739.0413288999998</c:v>
                </c:pt>
                <c:pt idx="557">
                  <c:v>3791.6122943999999</c:v>
                </c:pt>
                <c:pt idx="558">
                  <c:v>3898.2562545999999</c:v>
                </c:pt>
                <c:pt idx="559">
                  <c:v>3658.528307</c:v>
                </c:pt>
                <c:pt idx="560">
                  <c:v>3722.6663956000002</c:v>
                </c:pt>
                <c:pt idx="561">
                  <c:v>3686.0146236</c:v>
                </c:pt>
                <c:pt idx="562">
                  <c:v>3802.4980043999999</c:v>
                </c:pt>
                <c:pt idx="563">
                  <c:v>3762.3890523</c:v>
                </c:pt>
                <c:pt idx="564">
                  <c:v>3780.401441</c:v>
                </c:pt>
                <c:pt idx="565">
                  <c:v>3726.7193219000001</c:v>
                </c:pt>
                <c:pt idx="566">
                  <c:v>3878.8004746000001</c:v>
                </c:pt>
                <c:pt idx="567">
                  <c:v>3947.4136063999999</c:v>
                </c:pt>
                <c:pt idx="568">
                  <c:v>3955.6980880999999</c:v>
                </c:pt>
                <c:pt idx="569">
                  <c:v>3859.2864577</c:v>
                </c:pt>
                <c:pt idx="570">
                  <c:v>3738.97435</c:v>
                </c:pt>
                <c:pt idx="571">
                  <c:v>3829.8819334</c:v>
                </c:pt>
                <c:pt idx="572">
                  <c:v>3771.0799926</c:v>
                </c:pt>
                <c:pt idx="573">
                  <c:v>3646.7620388999999</c:v>
                </c:pt>
                <c:pt idx="574">
                  <c:v>3849.2999172</c:v>
                </c:pt>
                <c:pt idx="575">
                  <c:v>3911.3375191999999</c:v>
                </c:pt>
                <c:pt idx="576">
                  <c:v>3955.7536126</c:v>
                </c:pt>
                <c:pt idx="577">
                  <c:v>3906.2027435999998</c:v>
                </c:pt>
                <c:pt idx="578">
                  <c:v>3852.9907481</c:v>
                </c:pt>
                <c:pt idx="579">
                  <c:v>3957.0062766999999</c:v>
                </c:pt>
                <c:pt idx="580">
                  <c:v>3755.1516339999998</c:v>
                </c:pt>
                <c:pt idx="581">
                  <c:v>3881.4320800999999</c:v>
                </c:pt>
                <c:pt idx="582">
                  <c:v>3777.9970619000001</c:v>
                </c:pt>
                <c:pt idx="583">
                  <c:v>4007.3960489999999</c:v>
                </c:pt>
                <c:pt idx="584">
                  <c:v>3902.7891392000001</c:v>
                </c:pt>
                <c:pt idx="585">
                  <c:v>3956.6554357</c:v>
                </c:pt>
                <c:pt idx="586">
                  <c:v>3877.1994937999998</c:v>
                </c:pt>
                <c:pt idx="587">
                  <c:v>3826.1395794999999</c:v>
                </c:pt>
                <c:pt idx="588">
                  <c:v>4194.7517255000002</c:v>
                </c:pt>
                <c:pt idx="589">
                  <c:v>4051.5044853999998</c:v>
                </c:pt>
                <c:pt idx="590">
                  <c:v>3997.2937455000001</c:v>
                </c:pt>
                <c:pt idx="591">
                  <c:v>3942.3059254</c:v>
                </c:pt>
                <c:pt idx="592">
                  <c:v>3843.9864394000001</c:v>
                </c:pt>
                <c:pt idx="593">
                  <c:v>4369.2571048</c:v>
                </c:pt>
                <c:pt idx="594">
                  <c:v>4231.6670039000001</c:v>
                </c:pt>
                <c:pt idx="595">
                  <c:v>4153.6823189999996</c:v>
                </c:pt>
                <c:pt idx="596">
                  <c:v>4112.9371545000004</c:v>
                </c:pt>
                <c:pt idx="597">
                  <c:v>4009.3415052</c:v>
                </c:pt>
                <c:pt idx="598">
                  <c:v>4202.9492756</c:v>
                </c:pt>
                <c:pt idx="599">
                  <c:v>4239.1415630000001</c:v>
                </c:pt>
                <c:pt idx="600">
                  <c:v>4175.9761144000004</c:v>
                </c:pt>
                <c:pt idx="601">
                  <c:v>4565.2175010999999</c:v>
                </c:pt>
                <c:pt idx="602">
                  <c:v>4311.1028999999999</c:v>
                </c:pt>
                <c:pt idx="603">
                  <c:v>4417.6571782999999</c:v>
                </c:pt>
                <c:pt idx="604">
                  <c:v>4388.6852449999997</c:v>
                </c:pt>
                <c:pt idx="605">
                  <c:v>4334.6598439999998</c:v>
                </c:pt>
                <c:pt idx="606">
                  <c:v>4250.6696295000002</c:v>
                </c:pt>
                <c:pt idx="607">
                  <c:v>4159.4767099000001</c:v>
                </c:pt>
                <c:pt idx="608">
                  <c:v>4257.1009519999998</c:v>
                </c:pt>
                <c:pt idx="609">
                  <c:v>4858.1092740000004</c:v>
                </c:pt>
                <c:pt idx="610">
                  <c:v>4726.1799639999999</c:v>
                </c:pt>
                <c:pt idx="611">
                  <c:v>4617.3392565000004</c:v>
                </c:pt>
                <c:pt idx="612">
                  <c:v>4565.1683954</c:v>
                </c:pt>
                <c:pt idx="613">
                  <c:v>4573.7890385999999</c:v>
                </c:pt>
                <c:pt idx="614">
                  <c:v>4595.1922069000002</c:v>
                </c:pt>
                <c:pt idx="615">
                  <c:v>4386.3442852999997</c:v>
                </c:pt>
                <c:pt idx="616">
                  <c:v>4243.9694579999996</c:v>
                </c:pt>
                <c:pt idx="617">
                  <c:v>4584.3996827000001</c:v>
                </c:pt>
                <c:pt idx="618">
                  <c:v>4545.1364794000001</c:v>
                </c:pt>
                <c:pt idx="619">
                  <c:v>4648.6626259000004</c:v>
                </c:pt>
                <c:pt idx="620">
                  <c:v>4686.666894</c:v>
                </c:pt>
                <c:pt idx="621">
                  <c:v>4577.2269239999996</c:v>
                </c:pt>
                <c:pt idx="622">
                  <c:v>4755.5784219999996</c:v>
                </c:pt>
                <c:pt idx="623">
                  <c:v>4863.2668309000001</c:v>
                </c:pt>
                <c:pt idx="624">
                  <c:v>4636.3399765000004</c:v>
                </c:pt>
                <c:pt idx="625">
                  <c:v>4481.3350805</c:v>
                </c:pt>
                <c:pt idx="626">
                  <c:v>4174.1399623999996</c:v>
                </c:pt>
                <c:pt idx="627">
                  <c:v>4690.2613023000004</c:v>
                </c:pt>
                <c:pt idx="628">
                  <c:v>4742.2195081</c:v>
                </c:pt>
                <c:pt idx="629">
                  <c:v>4746.3449792000001</c:v>
                </c:pt>
                <c:pt idx="630">
                  <c:v>4746.2243787999996</c:v>
                </c:pt>
                <c:pt idx="631">
                  <c:v>4568.1466667000004</c:v>
                </c:pt>
                <c:pt idx="632">
                  <c:v>4503.9866026</c:v>
                </c:pt>
                <c:pt idx="633">
                  <c:v>4457.9333319999996</c:v>
                </c:pt>
                <c:pt idx="634">
                  <c:v>4214.2813779999997</c:v>
                </c:pt>
                <c:pt idx="635">
                  <c:v>4374.5491780000002</c:v>
                </c:pt>
                <c:pt idx="636">
                  <c:v>3994.7940666</c:v>
                </c:pt>
                <c:pt idx="637">
                  <c:v>4505.5135111999998</c:v>
                </c:pt>
                <c:pt idx="638">
                  <c:v>4401.3027400999999</c:v>
                </c:pt>
                <c:pt idx="639">
                  <c:v>4299.4693590999996</c:v>
                </c:pt>
                <c:pt idx="640">
                  <c:v>4663.0379927000004</c:v>
                </c:pt>
                <c:pt idx="641">
                  <c:v>4464.8165998000004</c:v>
                </c:pt>
                <c:pt idx="642">
                  <c:v>4659.4625630999999</c:v>
                </c:pt>
                <c:pt idx="643">
                  <c:v>4663.5469375000002</c:v>
                </c:pt>
                <c:pt idx="644">
                  <c:v>4372.6405592999999</c:v>
                </c:pt>
                <c:pt idx="645">
                  <c:v>4374.0550638000004</c:v>
                </c:pt>
                <c:pt idx="646">
                  <c:v>4313.7941853000002</c:v>
                </c:pt>
                <c:pt idx="647">
                  <c:v>4833.4383185999995</c:v>
                </c:pt>
                <c:pt idx="648">
                  <c:v>4841.5356215000002</c:v>
                </c:pt>
                <c:pt idx="649">
                  <c:v>4809.9407588000004</c:v>
                </c:pt>
                <c:pt idx="650">
                  <c:v>4705.5752454000003</c:v>
                </c:pt>
                <c:pt idx="651">
                  <c:v>4444.5806756000002</c:v>
                </c:pt>
                <c:pt idx="652">
                  <c:v>4469.4189616000003</c:v>
                </c:pt>
                <c:pt idx="653">
                  <c:v>4563.2377724999997</c:v>
                </c:pt>
                <c:pt idx="654">
                  <c:v>4334.9622306000001</c:v>
                </c:pt>
                <c:pt idx="655">
                  <c:v>4414.0357519999998</c:v>
                </c:pt>
                <c:pt idx="656">
                  <c:v>4694.555378</c:v>
                </c:pt>
                <c:pt idx="657">
                  <c:v>4411.7741617000001</c:v>
                </c:pt>
                <c:pt idx="658">
                  <c:v>4453.0979532000001</c:v>
                </c:pt>
                <c:pt idx="659">
                  <c:v>4164.1392180000003</c:v>
                </c:pt>
                <c:pt idx="660">
                  <c:v>4167.4363347999997</c:v>
                </c:pt>
                <c:pt idx="661">
                  <c:v>4225.4104401000004</c:v>
                </c:pt>
                <c:pt idx="662">
                  <c:v>4386.4722041000005</c:v>
                </c:pt>
                <c:pt idx="663">
                  <c:v>4115.6211120999997</c:v>
                </c:pt>
                <c:pt idx="664">
                  <c:v>3886.9532020000001</c:v>
                </c:pt>
                <c:pt idx="665">
                  <c:v>3795.1876699999998</c:v>
                </c:pt>
                <c:pt idx="666">
                  <c:v>3774.4491760000001</c:v>
                </c:pt>
                <c:pt idx="667">
                  <c:v>4143.8953146000003</c:v>
                </c:pt>
                <c:pt idx="668">
                  <c:v>4067.8051141999999</c:v>
                </c:pt>
                <c:pt idx="669">
                  <c:v>3914.837552</c:v>
                </c:pt>
                <c:pt idx="670">
                  <c:v>3857.6451200000001</c:v>
                </c:pt>
                <c:pt idx="671">
                  <c:v>4043.0607512000001</c:v>
                </c:pt>
                <c:pt idx="672">
                  <c:v>4030.0839839</c:v>
                </c:pt>
                <c:pt idx="673">
                  <c:v>3888.9424825000001</c:v>
                </c:pt>
                <c:pt idx="674">
                  <c:v>3733.2269900000001</c:v>
                </c:pt>
                <c:pt idx="675">
                  <c:v>3678.8200240000001</c:v>
                </c:pt>
                <c:pt idx="676">
                  <c:v>3605.3965280000002</c:v>
                </c:pt>
                <c:pt idx="677">
                  <c:v>3745.3159559999999</c:v>
                </c:pt>
                <c:pt idx="678">
                  <c:v>3706.4221613999998</c:v>
                </c:pt>
                <c:pt idx="679">
                  <c:v>3669.5307773999998</c:v>
                </c:pt>
                <c:pt idx="680">
                  <c:v>3926.6873867999998</c:v>
                </c:pt>
                <c:pt idx="681">
                  <c:v>3723.6278025000001</c:v>
                </c:pt>
                <c:pt idx="682">
                  <c:v>3843.5399394000001</c:v>
                </c:pt>
                <c:pt idx="683">
                  <c:v>3721.4140662</c:v>
                </c:pt>
                <c:pt idx="684">
                  <c:v>3643.5778552000002</c:v>
                </c:pt>
                <c:pt idx="685">
                  <c:v>3658.5149114999999</c:v>
                </c:pt>
                <c:pt idx="686">
                  <c:v>3497.4835982</c:v>
                </c:pt>
                <c:pt idx="687">
                  <c:v>3581.6421565999999</c:v>
                </c:pt>
                <c:pt idx="688">
                  <c:v>3684.0435913000001</c:v>
                </c:pt>
                <c:pt idx="689">
                  <c:v>3620.198864</c:v>
                </c:pt>
                <c:pt idx="690">
                  <c:v>3599.7274659999998</c:v>
                </c:pt>
                <c:pt idx="691">
                  <c:v>3705.0379401999999</c:v>
                </c:pt>
                <c:pt idx="692">
                  <c:v>3607.1339929999999</c:v>
                </c:pt>
                <c:pt idx="693">
                  <c:v>3549.0552560000001</c:v>
                </c:pt>
                <c:pt idx="694">
                  <c:v>3725.1994220000001</c:v>
                </c:pt>
                <c:pt idx="695">
                  <c:v>3884.3974782</c:v>
                </c:pt>
                <c:pt idx="696">
                  <c:v>3479.2389987000001</c:v>
                </c:pt>
                <c:pt idx="697">
                  <c:v>3496.7775161</c:v>
                </c:pt>
                <c:pt idx="698">
                  <c:v>3394.1076748</c:v>
                </c:pt>
                <c:pt idx="699">
                  <c:v>3498.8767812000001</c:v>
                </c:pt>
                <c:pt idx="700">
                  <c:v>3716.3987447999998</c:v>
                </c:pt>
                <c:pt idx="701">
                  <c:v>3455.1475667999998</c:v>
                </c:pt>
                <c:pt idx="702">
                  <c:v>3817.1991720000001</c:v>
                </c:pt>
                <c:pt idx="703">
                  <c:v>3575.7617620000001</c:v>
                </c:pt>
                <c:pt idx="704">
                  <c:v>3454.8524858999999</c:v>
                </c:pt>
                <c:pt idx="705">
                  <c:v>3645.8950429000001</c:v>
                </c:pt>
                <c:pt idx="706">
                  <c:v>3521.4997437000002</c:v>
                </c:pt>
                <c:pt idx="707">
                  <c:v>3416.3526560999999</c:v>
                </c:pt>
                <c:pt idx="708">
                  <c:v>3435.2857257000001</c:v>
                </c:pt>
                <c:pt idx="709">
                  <c:v>3693.3794154000002</c:v>
                </c:pt>
                <c:pt idx="710">
                  <c:v>3519.3235479</c:v>
                </c:pt>
                <c:pt idx="711">
                  <c:v>3467.8116203999998</c:v>
                </c:pt>
                <c:pt idx="712">
                  <c:v>3515.5463209</c:v>
                </c:pt>
                <c:pt idx="713">
                  <c:v>3740.2114591999998</c:v>
                </c:pt>
                <c:pt idx="714">
                  <c:v>3966.2408593999999</c:v>
                </c:pt>
                <c:pt idx="715">
                  <c:v>3433.0368747000002</c:v>
                </c:pt>
                <c:pt idx="716">
                  <c:v>3805.2849771000001</c:v>
                </c:pt>
                <c:pt idx="717">
                  <c:v>3943.7356663999999</c:v>
                </c:pt>
                <c:pt idx="718">
                  <c:v>3854.5461943</c:v>
                </c:pt>
                <c:pt idx="719">
                  <c:v>3790.8463437999999</c:v>
                </c:pt>
                <c:pt idx="720">
                  <c:v>3909.6337401999999</c:v>
                </c:pt>
                <c:pt idx="721">
                  <c:v>3534.9805952000002</c:v>
                </c:pt>
                <c:pt idx="722">
                  <c:v>3516.7540217999999</c:v>
                </c:pt>
                <c:pt idx="723">
                  <c:v>3503.3695548000001</c:v>
                </c:pt>
                <c:pt idx="724">
                  <c:v>3706.7220490999998</c:v>
                </c:pt>
                <c:pt idx="725">
                  <c:v>3601.0247874000002</c:v>
                </c:pt>
                <c:pt idx="726">
                  <c:v>3430.7761310000001</c:v>
                </c:pt>
                <c:pt idx="727">
                  <c:v>3415.3749622999999</c:v>
                </c:pt>
                <c:pt idx="728">
                  <c:v>3567.3347113</c:v>
                </c:pt>
                <c:pt idx="729">
                  <c:v>3452.9145348000002</c:v>
                </c:pt>
                <c:pt idx="730">
                  <c:v>3468.3249171000002</c:v>
                </c:pt>
                <c:pt idx="731">
                  <c:v>4177.7907635000001</c:v>
                </c:pt>
                <c:pt idx="732">
                  <c:v>3989.0004186000001</c:v>
                </c:pt>
                <c:pt idx="733">
                  <c:v>3718.5371746000001</c:v>
                </c:pt>
                <c:pt idx="734">
                  <c:v>4183.5626055000002</c:v>
                </c:pt>
                <c:pt idx="735">
                  <c:v>4818.7114921000002</c:v>
                </c:pt>
                <c:pt idx="736">
                  <c:v>3717.2517081999999</c:v>
                </c:pt>
                <c:pt idx="737">
                  <c:v>3874.0506071</c:v>
                </c:pt>
                <c:pt idx="738">
                  <c:v>3590.9826942</c:v>
                </c:pt>
                <c:pt idx="739">
                  <c:v>3526.8907677000002</c:v>
                </c:pt>
                <c:pt idx="740">
                  <c:v>3614.3593934999999</c:v>
                </c:pt>
                <c:pt idx="741">
                  <c:v>3550.1220186</c:v>
                </c:pt>
                <c:pt idx="742">
                  <c:v>3535.5278675</c:v>
                </c:pt>
                <c:pt idx="743">
                  <c:v>3628.8904429999998</c:v>
                </c:pt>
                <c:pt idx="744">
                  <c:v>3757.6597679000001</c:v>
                </c:pt>
                <c:pt idx="745">
                  <c:v>3910.1497098</c:v>
                </c:pt>
                <c:pt idx="746">
                  <c:v>3650.4894379000002</c:v>
                </c:pt>
                <c:pt idx="747">
                  <c:v>3978.8347480000002</c:v>
                </c:pt>
                <c:pt idx="748">
                  <c:v>4087.1923050999999</c:v>
                </c:pt>
                <c:pt idx="749">
                  <c:v>4303.2385518999999</c:v>
                </c:pt>
                <c:pt idx="750">
                  <c:v>3622.6967902000001</c:v>
                </c:pt>
                <c:pt idx="751">
                  <c:v>4292.0913689999998</c:v>
                </c:pt>
                <c:pt idx="752">
                  <c:v>3044.5354262000001</c:v>
                </c:pt>
                <c:pt idx="753">
                  <c:v>3444.5841317999998</c:v>
                </c:pt>
                <c:pt idx="754">
                  <c:v>3639.5669830000002</c:v>
                </c:pt>
                <c:pt idx="755">
                  <c:v>3404.5136612000001</c:v>
                </c:pt>
                <c:pt idx="756">
                  <c:v>3406.3746243999999</c:v>
                </c:pt>
                <c:pt idx="757">
                  <c:v>3743.5141601999999</c:v>
                </c:pt>
                <c:pt idx="758">
                  <c:v>4210.1260001000001</c:v>
                </c:pt>
                <c:pt idx="759">
                  <c:v>5424.8491829000004</c:v>
                </c:pt>
                <c:pt idx="760">
                  <c:v>3886.3921762999998</c:v>
                </c:pt>
                <c:pt idx="761">
                  <c:v>3757.8343970000001</c:v>
                </c:pt>
                <c:pt idx="762">
                  <c:v>4650.5271530999999</c:v>
                </c:pt>
                <c:pt idx="763">
                  <c:v>3503.5383714999998</c:v>
                </c:pt>
                <c:pt idx="764">
                  <c:v>3634.2480688000001</c:v>
                </c:pt>
                <c:pt idx="765">
                  <c:v>4105.7959806999997</c:v>
                </c:pt>
                <c:pt idx="766">
                  <c:v>4502.8349077000003</c:v>
                </c:pt>
                <c:pt idx="767">
                  <c:v>5644.5679792999999</c:v>
                </c:pt>
                <c:pt idx="768">
                  <c:v>3909.4052689</c:v>
                </c:pt>
                <c:pt idx="769">
                  <c:v>4554.7859400999996</c:v>
                </c:pt>
                <c:pt idx="770">
                  <c:v>3749.1963741</c:v>
                </c:pt>
                <c:pt idx="771">
                  <c:v>4093.4527425000001</c:v>
                </c:pt>
                <c:pt idx="772">
                  <c:v>4539.2577154999999</c:v>
                </c:pt>
                <c:pt idx="773">
                  <c:v>3973.0436076999999</c:v>
                </c:pt>
                <c:pt idx="774">
                  <c:v>3825.2942994</c:v>
                </c:pt>
                <c:pt idx="775">
                  <c:v>4402.4858319000004</c:v>
                </c:pt>
                <c:pt idx="776">
                  <c:v>3980.4973378999998</c:v>
                </c:pt>
                <c:pt idx="777">
                  <c:v>3623.1452917000001</c:v>
                </c:pt>
                <c:pt idx="778">
                  <c:v>3719.2834671999999</c:v>
                </c:pt>
                <c:pt idx="779">
                  <c:v>3785.2476295000001</c:v>
                </c:pt>
                <c:pt idx="780">
                  <c:v>3965.7736500999999</c:v>
                </c:pt>
                <c:pt idx="781">
                  <c:v>4320.5711122000002</c:v>
                </c:pt>
                <c:pt idx="782">
                  <c:v>3732.9882440000001</c:v>
                </c:pt>
                <c:pt idx="783">
                  <c:v>3713.395188</c:v>
                </c:pt>
                <c:pt idx="784">
                  <c:v>3629.2468686000002</c:v>
                </c:pt>
                <c:pt idx="785">
                  <c:v>3743.5817154000001</c:v>
                </c:pt>
                <c:pt idx="786">
                  <c:v>3762.4088609999999</c:v>
                </c:pt>
                <c:pt idx="787">
                  <c:v>3856.5850921000001</c:v>
                </c:pt>
                <c:pt idx="788">
                  <c:v>4130.0543098999997</c:v>
                </c:pt>
                <c:pt idx="789">
                  <c:v>4062.3580117000001</c:v>
                </c:pt>
                <c:pt idx="790">
                  <c:v>3998.3838243999999</c:v>
                </c:pt>
                <c:pt idx="791">
                  <c:v>3931.1152054999998</c:v>
                </c:pt>
                <c:pt idx="792">
                  <c:v>4537.0846945000003</c:v>
                </c:pt>
                <c:pt idx="793">
                  <c:v>4275.7352760000003</c:v>
                </c:pt>
                <c:pt idx="794">
                  <c:v>4315.5333054000002</c:v>
                </c:pt>
                <c:pt idx="795">
                  <c:v>4145.7034047999996</c:v>
                </c:pt>
                <c:pt idx="796">
                  <c:v>3665.5926083999998</c:v>
                </c:pt>
                <c:pt idx="797">
                  <c:v>3708.0489188000001</c:v>
                </c:pt>
                <c:pt idx="798">
                  <c:v>3784.5491357000001</c:v>
                </c:pt>
                <c:pt idx="799">
                  <c:v>3867.5857443999998</c:v>
                </c:pt>
                <c:pt idx="800">
                  <c:v>3957.3099375000002</c:v>
                </c:pt>
                <c:pt idx="801">
                  <c:v>3883.9668523999999</c:v>
                </c:pt>
                <c:pt idx="802">
                  <c:v>4050.5263756999998</c:v>
                </c:pt>
                <c:pt idx="803">
                  <c:v>3966.1933322</c:v>
                </c:pt>
                <c:pt idx="804">
                  <c:v>3980.7826709999999</c:v>
                </c:pt>
                <c:pt idx="805">
                  <c:v>3769.6269560999999</c:v>
                </c:pt>
                <c:pt idx="806">
                  <c:v>3716.3161823</c:v>
                </c:pt>
                <c:pt idx="807">
                  <c:v>3497.1938906999999</c:v>
                </c:pt>
                <c:pt idx="808">
                  <c:v>3549.4943143</c:v>
                </c:pt>
                <c:pt idx="809">
                  <c:v>3630.1967918</c:v>
                </c:pt>
                <c:pt idx="810">
                  <c:v>3751.7555081</c:v>
                </c:pt>
                <c:pt idx="811">
                  <c:v>4194.4088628</c:v>
                </c:pt>
                <c:pt idx="812">
                  <c:v>4168.3669194000004</c:v>
                </c:pt>
                <c:pt idx="813">
                  <c:v>4202.6947877000002</c:v>
                </c:pt>
                <c:pt idx="814">
                  <c:v>4425.6064391999998</c:v>
                </c:pt>
                <c:pt idx="815">
                  <c:v>4340.0551439000001</c:v>
                </c:pt>
                <c:pt idx="816">
                  <c:v>3600.1540746999999</c:v>
                </c:pt>
                <c:pt idx="817">
                  <c:v>3578.3650401</c:v>
                </c:pt>
                <c:pt idx="818">
                  <c:v>3514.7255261999999</c:v>
                </c:pt>
                <c:pt idx="819">
                  <c:v>3497.6936384000001</c:v>
                </c:pt>
                <c:pt idx="820">
                  <c:v>3706.3597187999999</c:v>
                </c:pt>
                <c:pt idx="821">
                  <c:v>3678.9878856</c:v>
                </c:pt>
                <c:pt idx="822">
                  <c:v>3647.8429212999999</c:v>
                </c:pt>
                <c:pt idx="823">
                  <c:v>3680.104926</c:v>
                </c:pt>
                <c:pt idx="824">
                  <c:v>3582.8937282000002</c:v>
                </c:pt>
                <c:pt idx="825">
                  <c:v>3803.2407352999999</c:v>
                </c:pt>
                <c:pt idx="826">
                  <c:v>3662.1244138000002</c:v>
                </c:pt>
                <c:pt idx="827">
                  <c:v>3618.5170515999998</c:v>
                </c:pt>
                <c:pt idx="828">
                  <c:v>3617.1168609000001</c:v>
                </c:pt>
                <c:pt idx="829">
                  <c:v>3500.4955366999998</c:v>
                </c:pt>
                <c:pt idx="830">
                  <c:v>3632.9599840000001</c:v>
                </c:pt>
                <c:pt idx="831">
                  <c:v>3594.0502210999998</c:v>
                </c:pt>
                <c:pt idx="832">
                  <c:v>3535.8571763</c:v>
                </c:pt>
                <c:pt idx="833">
                  <c:v>3471.9116195000001</c:v>
                </c:pt>
                <c:pt idx="834">
                  <c:v>3768.06979</c:v>
                </c:pt>
                <c:pt idx="835">
                  <c:v>3729.3673081000002</c:v>
                </c:pt>
                <c:pt idx="836">
                  <c:v>3796.5808584000001</c:v>
                </c:pt>
                <c:pt idx="837">
                  <c:v>3723.3877253000001</c:v>
                </c:pt>
                <c:pt idx="838">
                  <c:v>3649.9715040000001</c:v>
                </c:pt>
                <c:pt idx="839">
                  <c:v>3892.3711638</c:v>
                </c:pt>
                <c:pt idx="840">
                  <c:v>3838.1132029999999</c:v>
                </c:pt>
                <c:pt idx="841">
                  <c:v>3796.2054773</c:v>
                </c:pt>
                <c:pt idx="842">
                  <c:v>3771.5459282000002</c:v>
                </c:pt>
                <c:pt idx="843">
                  <c:v>3715.2627278</c:v>
                </c:pt>
                <c:pt idx="844">
                  <c:v>3905.6276873000002</c:v>
                </c:pt>
                <c:pt idx="845">
                  <c:v>3823.0580779000002</c:v>
                </c:pt>
                <c:pt idx="846">
                  <c:v>3896.2931529000002</c:v>
                </c:pt>
                <c:pt idx="847">
                  <c:v>3874.12275</c:v>
                </c:pt>
                <c:pt idx="848">
                  <c:v>3858.8941340000001</c:v>
                </c:pt>
                <c:pt idx="849">
                  <c:v>4161.0390484999998</c:v>
                </c:pt>
                <c:pt idx="850">
                  <c:v>3980.6582830000002</c:v>
                </c:pt>
                <c:pt idx="851">
                  <c:v>4283.5534135999997</c:v>
                </c:pt>
                <c:pt idx="852">
                  <c:v>4276.4803167999999</c:v>
                </c:pt>
                <c:pt idx="853">
                  <c:v>4070.788102</c:v>
                </c:pt>
                <c:pt idx="854">
                  <c:v>4263.0568374000004</c:v>
                </c:pt>
                <c:pt idx="855">
                  <c:v>4081.5047184</c:v>
                </c:pt>
                <c:pt idx="856">
                  <c:v>4009.9894150999999</c:v>
                </c:pt>
                <c:pt idx="857">
                  <c:v>3967.1223888999998</c:v>
                </c:pt>
                <c:pt idx="858">
                  <c:v>3840.2450699999999</c:v>
                </c:pt>
                <c:pt idx="859">
                  <c:v>4278.6623368</c:v>
                </c:pt>
                <c:pt idx="860">
                  <c:v>4190.9861050999998</c:v>
                </c:pt>
                <c:pt idx="861">
                  <c:v>4219.6452110999999</c:v>
                </c:pt>
                <c:pt idx="862">
                  <c:v>4103.5345753000001</c:v>
                </c:pt>
                <c:pt idx="863">
                  <c:v>3823.7005199999999</c:v>
                </c:pt>
                <c:pt idx="864">
                  <c:v>4102.3252911999998</c:v>
                </c:pt>
                <c:pt idx="865">
                  <c:v>4371.6797358000003</c:v>
                </c:pt>
                <c:pt idx="866">
                  <c:v>4073.995586</c:v>
                </c:pt>
                <c:pt idx="867">
                  <c:v>4037.3405859999998</c:v>
                </c:pt>
                <c:pt idx="868">
                  <c:v>4439.2610523000003</c:v>
                </c:pt>
                <c:pt idx="869">
                  <c:v>4422.9190338999997</c:v>
                </c:pt>
                <c:pt idx="870">
                  <c:v>4539.3810044000002</c:v>
                </c:pt>
                <c:pt idx="871">
                  <c:v>4525.0561520000001</c:v>
                </c:pt>
                <c:pt idx="872">
                  <c:v>4357.3310361000003</c:v>
                </c:pt>
                <c:pt idx="873">
                  <c:v>4677.0379671999999</c:v>
                </c:pt>
                <c:pt idx="874">
                  <c:v>4686.5575574000004</c:v>
                </c:pt>
                <c:pt idx="875">
                  <c:v>4276.6192380000002</c:v>
                </c:pt>
                <c:pt idx="876">
                  <c:v>4210.4172259999996</c:v>
                </c:pt>
                <c:pt idx="877">
                  <c:v>4209.9679040000001</c:v>
                </c:pt>
                <c:pt idx="878">
                  <c:v>4320.5842060000004</c:v>
                </c:pt>
                <c:pt idx="879">
                  <c:v>4324.7841699999999</c:v>
                </c:pt>
                <c:pt idx="880">
                  <c:v>4289.6448942999996</c:v>
                </c:pt>
                <c:pt idx="881">
                  <c:v>4015.0407300000002</c:v>
                </c:pt>
                <c:pt idx="882">
                  <c:v>3985.2959574000001</c:v>
                </c:pt>
                <c:pt idx="883">
                  <c:v>4488.0676451999998</c:v>
                </c:pt>
                <c:pt idx="884">
                  <c:v>4674.2723007000004</c:v>
                </c:pt>
                <c:pt idx="885">
                  <c:v>4483.1027432999999</c:v>
                </c:pt>
                <c:pt idx="886">
                  <c:v>4345.2881536000004</c:v>
                </c:pt>
                <c:pt idx="887">
                  <c:v>4194.8340804999998</c:v>
                </c:pt>
                <c:pt idx="888">
                  <c:v>4256.9472712999996</c:v>
                </c:pt>
                <c:pt idx="889">
                  <c:v>4094.6779354</c:v>
                </c:pt>
                <c:pt idx="890">
                  <c:v>3862.3336983999998</c:v>
                </c:pt>
                <c:pt idx="891">
                  <c:v>3874.5108359999999</c:v>
                </c:pt>
                <c:pt idx="892">
                  <c:v>3960.9807300000002</c:v>
                </c:pt>
                <c:pt idx="893">
                  <c:v>4578.2851520000004</c:v>
                </c:pt>
                <c:pt idx="894">
                  <c:v>4546.8055588999996</c:v>
                </c:pt>
                <c:pt idx="895">
                  <c:v>4440.4990170000001</c:v>
                </c:pt>
                <c:pt idx="896">
                  <c:v>4307.0564413000002</c:v>
                </c:pt>
                <c:pt idx="897">
                  <c:v>4177.5592309000003</c:v>
                </c:pt>
                <c:pt idx="898">
                  <c:v>4044.4215600000002</c:v>
                </c:pt>
                <c:pt idx="899">
                  <c:v>4065.8484312999999</c:v>
                </c:pt>
                <c:pt idx="900">
                  <c:v>4140.3780079999997</c:v>
                </c:pt>
                <c:pt idx="901">
                  <c:v>4150.0030004999999</c:v>
                </c:pt>
                <c:pt idx="902">
                  <c:v>3999.2154945000002</c:v>
                </c:pt>
                <c:pt idx="903">
                  <c:v>4165.0059039999996</c:v>
                </c:pt>
                <c:pt idx="904">
                  <c:v>3899.4072500000002</c:v>
                </c:pt>
                <c:pt idx="905">
                  <c:v>4061.7564183999998</c:v>
                </c:pt>
                <c:pt idx="906">
                  <c:v>4539.4068340000003</c:v>
                </c:pt>
                <c:pt idx="907">
                  <c:v>4078.4915194</c:v>
                </c:pt>
                <c:pt idx="908">
                  <c:v>3936.5264379999999</c:v>
                </c:pt>
                <c:pt idx="909">
                  <c:v>3906.8375500000002</c:v>
                </c:pt>
                <c:pt idx="910">
                  <c:v>3801.9190394000002</c:v>
                </c:pt>
                <c:pt idx="911">
                  <c:v>3990.5914948</c:v>
                </c:pt>
                <c:pt idx="912">
                  <c:v>3857.0217102000001</c:v>
                </c:pt>
                <c:pt idx="913">
                  <c:v>4010.2297699999999</c:v>
                </c:pt>
                <c:pt idx="914">
                  <c:v>4404.665814</c:v>
                </c:pt>
                <c:pt idx="915">
                  <c:v>4347.4065549999996</c:v>
                </c:pt>
                <c:pt idx="916">
                  <c:v>4283.9866048000004</c:v>
                </c:pt>
                <c:pt idx="917">
                  <c:v>4014.3934800000002</c:v>
                </c:pt>
                <c:pt idx="918">
                  <c:v>3853.3061392999998</c:v>
                </c:pt>
                <c:pt idx="919">
                  <c:v>3812.1467940000002</c:v>
                </c:pt>
                <c:pt idx="920">
                  <c:v>3730.7539283000001</c:v>
                </c:pt>
                <c:pt idx="921">
                  <c:v>3752.2892661000001</c:v>
                </c:pt>
                <c:pt idx="922">
                  <c:v>3508.7064153000001</c:v>
                </c:pt>
                <c:pt idx="923">
                  <c:v>3656.1108711000002</c:v>
                </c:pt>
                <c:pt idx="924">
                  <c:v>3615.4932364000001</c:v>
                </c:pt>
                <c:pt idx="925">
                  <c:v>3604.4291497999998</c:v>
                </c:pt>
                <c:pt idx="926">
                  <c:v>3604.7016880000001</c:v>
                </c:pt>
                <c:pt idx="927">
                  <c:v>3501.6517964999998</c:v>
                </c:pt>
                <c:pt idx="928">
                  <c:v>3690.1839967999999</c:v>
                </c:pt>
                <c:pt idx="929">
                  <c:v>3695.0111418000001</c:v>
                </c:pt>
                <c:pt idx="930">
                  <c:v>3558.6261963000002</c:v>
                </c:pt>
                <c:pt idx="931">
                  <c:v>3546.7079480000002</c:v>
                </c:pt>
                <c:pt idx="932">
                  <c:v>3525.9107976999999</c:v>
                </c:pt>
                <c:pt idx="933">
                  <c:v>3928.2500746000001</c:v>
                </c:pt>
                <c:pt idx="934">
                  <c:v>3582.32978</c:v>
                </c:pt>
                <c:pt idx="935">
                  <c:v>3503.7543685999999</c:v>
                </c:pt>
                <c:pt idx="936">
                  <c:v>3495.5620439999998</c:v>
                </c:pt>
                <c:pt idx="937">
                  <c:v>3437.1461426999999</c:v>
                </c:pt>
                <c:pt idx="938">
                  <c:v>3559.6050946</c:v>
                </c:pt>
                <c:pt idx="939">
                  <c:v>3608.065564</c:v>
                </c:pt>
                <c:pt idx="940">
                  <c:v>3681.1047127000002</c:v>
                </c:pt>
                <c:pt idx="941">
                  <c:v>3630.9424734999998</c:v>
                </c:pt>
                <c:pt idx="942">
                  <c:v>3348.4375829999999</c:v>
                </c:pt>
                <c:pt idx="943">
                  <c:v>3608.3891020000001</c:v>
                </c:pt>
                <c:pt idx="944">
                  <c:v>3702.0654817999998</c:v>
                </c:pt>
                <c:pt idx="945">
                  <c:v>3480.6291175000001</c:v>
                </c:pt>
                <c:pt idx="946">
                  <c:v>3569.7529238000002</c:v>
                </c:pt>
                <c:pt idx="947">
                  <c:v>3381.5412188</c:v>
                </c:pt>
                <c:pt idx="948">
                  <c:v>3351.3305546000001</c:v>
                </c:pt>
                <c:pt idx="949">
                  <c:v>3530.8641097</c:v>
                </c:pt>
                <c:pt idx="950">
                  <c:v>4196.8511359000004</c:v>
                </c:pt>
                <c:pt idx="951">
                  <c:v>3468.3952511000002</c:v>
                </c:pt>
                <c:pt idx="952">
                  <c:v>3323.9068081999999</c:v>
                </c:pt>
                <c:pt idx="953">
                  <c:v>3281.1161444999998</c:v>
                </c:pt>
                <c:pt idx="954">
                  <c:v>3441.0028367</c:v>
                </c:pt>
                <c:pt idx="955">
                  <c:v>3889.6098711</c:v>
                </c:pt>
                <c:pt idx="956">
                  <c:v>3384.2710433000002</c:v>
                </c:pt>
                <c:pt idx="957">
                  <c:v>4177.5679128000002</c:v>
                </c:pt>
                <c:pt idx="958">
                  <c:v>3782.4844717999999</c:v>
                </c:pt>
                <c:pt idx="959">
                  <c:v>4324.5193628999996</c:v>
                </c:pt>
                <c:pt idx="960">
                  <c:v>3451.0924871000002</c:v>
                </c:pt>
                <c:pt idx="961">
                  <c:v>3286.4361159999999</c:v>
                </c:pt>
                <c:pt idx="962">
                  <c:v>3488.5267577</c:v>
                </c:pt>
                <c:pt idx="963">
                  <c:v>3534.0393419000002</c:v>
                </c:pt>
                <c:pt idx="964">
                  <c:v>3277.8635543999999</c:v>
                </c:pt>
                <c:pt idx="965">
                  <c:v>3334.1101702999999</c:v>
                </c:pt>
                <c:pt idx="966">
                  <c:v>3412.3176392</c:v>
                </c:pt>
                <c:pt idx="967">
                  <c:v>3298.9119989999999</c:v>
                </c:pt>
                <c:pt idx="968">
                  <c:v>3377.8319075999998</c:v>
                </c:pt>
                <c:pt idx="969">
                  <c:v>3344.2410537999999</c:v>
                </c:pt>
                <c:pt idx="970">
                  <c:v>3763.9929243000001</c:v>
                </c:pt>
                <c:pt idx="971">
                  <c:v>4141.5464272999998</c:v>
                </c:pt>
                <c:pt idx="972">
                  <c:v>3540.6688742000001</c:v>
                </c:pt>
                <c:pt idx="973">
                  <c:v>3539.2281374999998</c:v>
                </c:pt>
                <c:pt idx="974">
                  <c:v>3521.7686480000002</c:v>
                </c:pt>
                <c:pt idx="975">
                  <c:v>3519.5433079999998</c:v>
                </c:pt>
                <c:pt idx="976">
                  <c:v>3543.904055</c:v>
                </c:pt>
                <c:pt idx="977">
                  <c:v>3542.3144957</c:v>
                </c:pt>
                <c:pt idx="978">
                  <c:v>3469.3239306999999</c:v>
                </c:pt>
                <c:pt idx="979">
                  <c:v>3630.9788051</c:v>
                </c:pt>
                <c:pt idx="980">
                  <c:v>3676.4351299999998</c:v>
                </c:pt>
                <c:pt idx="981">
                  <c:v>3612.6275178000001</c:v>
                </c:pt>
                <c:pt idx="982">
                  <c:v>3518.1011503999998</c:v>
                </c:pt>
                <c:pt idx="983">
                  <c:v>3350.2702693000001</c:v>
                </c:pt>
                <c:pt idx="984">
                  <c:v>3439.7792813999999</c:v>
                </c:pt>
                <c:pt idx="985">
                  <c:v>3877.6038346</c:v>
                </c:pt>
                <c:pt idx="986">
                  <c:v>3600.9175408000001</c:v>
                </c:pt>
                <c:pt idx="987">
                  <c:v>3489.4376078</c:v>
                </c:pt>
                <c:pt idx="988">
                  <c:v>3611.1013268000002</c:v>
                </c:pt>
                <c:pt idx="989">
                  <c:v>4023.1840265000001</c:v>
                </c:pt>
                <c:pt idx="990">
                  <c:v>3633.2334442000001</c:v>
                </c:pt>
                <c:pt idx="991">
                  <c:v>3300.4910110999999</c:v>
                </c:pt>
                <c:pt idx="992">
                  <c:v>4204.5539752000004</c:v>
                </c:pt>
                <c:pt idx="993">
                  <c:v>4508.1641473999998</c:v>
                </c:pt>
                <c:pt idx="994">
                  <c:v>3991.0039649999999</c:v>
                </c:pt>
                <c:pt idx="995">
                  <c:v>3803.7019884000001</c:v>
                </c:pt>
                <c:pt idx="996">
                  <c:v>4105.1042036999997</c:v>
                </c:pt>
                <c:pt idx="997">
                  <c:v>3747.4282487999999</c:v>
                </c:pt>
                <c:pt idx="998">
                  <c:v>3837.5831619999999</c:v>
                </c:pt>
                <c:pt idx="999">
                  <c:v>3787.7331748000001</c:v>
                </c:pt>
                <c:pt idx="1000">
                  <c:v>3875.9059747000001</c:v>
                </c:pt>
                <c:pt idx="1001">
                  <c:v>4856.9721083000004</c:v>
                </c:pt>
                <c:pt idx="1002">
                  <c:v>4430.7359273000002</c:v>
                </c:pt>
                <c:pt idx="1003">
                  <c:v>3312.6767590999998</c:v>
                </c:pt>
                <c:pt idx="1004">
                  <c:v>3112.9391479999999</c:v>
                </c:pt>
                <c:pt idx="1005">
                  <c:v>3123.5550840000001</c:v>
                </c:pt>
                <c:pt idx="1006">
                  <c:v>3297.4873240000002</c:v>
                </c:pt>
                <c:pt idx="1007">
                  <c:v>4224.9884241</c:v>
                </c:pt>
                <c:pt idx="1008">
                  <c:v>3637.378854</c:v>
                </c:pt>
                <c:pt idx="1009">
                  <c:v>3789.5992701999999</c:v>
                </c:pt>
                <c:pt idx="1010">
                  <c:v>3381.1586120000002</c:v>
                </c:pt>
                <c:pt idx="1011">
                  <c:v>3341.9130177000002</c:v>
                </c:pt>
                <c:pt idx="1012">
                  <c:v>3367.8237088000001</c:v>
                </c:pt>
                <c:pt idx="1013">
                  <c:v>3558.9375220000002</c:v>
                </c:pt>
                <c:pt idx="1014">
                  <c:v>3769.6392458</c:v>
                </c:pt>
                <c:pt idx="1015">
                  <c:v>4066.7152900000001</c:v>
                </c:pt>
                <c:pt idx="1016">
                  <c:v>4528.1219023000003</c:v>
                </c:pt>
                <c:pt idx="1017">
                  <c:v>4581.1927679999999</c:v>
                </c:pt>
                <c:pt idx="1018">
                  <c:v>4441.1330639999996</c:v>
                </c:pt>
                <c:pt idx="1019">
                  <c:v>4039.7710179999999</c:v>
                </c:pt>
                <c:pt idx="1020">
                  <c:v>3806.0198691999999</c:v>
                </c:pt>
                <c:pt idx="1021">
                  <c:v>3720.9444560000002</c:v>
                </c:pt>
                <c:pt idx="1022">
                  <c:v>3668.7882801000001</c:v>
                </c:pt>
                <c:pt idx="1023">
                  <c:v>3889.8150467999999</c:v>
                </c:pt>
                <c:pt idx="1024">
                  <c:v>3861.139068</c:v>
                </c:pt>
                <c:pt idx="1025">
                  <c:v>4334.7821020000001</c:v>
                </c:pt>
                <c:pt idx="1026">
                  <c:v>4133.2556353</c:v>
                </c:pt>
                <c:pt idx="1027">
                  <c:v>4248.2049120000001</c:v>
                </c:pt>
                <c:pt idx="1028">
                  <c:v>4181.1238480000002</c:v>
                </c:pt>
                <c:pt idx="1029">
                  <c:v>3892.035382</c:v>
                </c:pt>
                <c:pt idx="1030">
                  <c:v>3519.7798079999998</c:v>
                </c:pt>
                <c:pt idx="1031">
                  <c:v>3494.6795419999999</c:v>
                </c:pt>
                <c:pt idx="1032">
                  <c:v>3681.19265</c:v>
                </c:pt>
                <c:pt idx="1033">
                  <c:v>3885.508898</c:v>
                </c:pt>
                <c:pt idx="1034">
                  <c:v>3983.1586790000001</c:v>
                </c:pt>
                <c:pt idx="1035">
                  <c:v>4171.4210620000003</c:v>
                </c:pt>
                <c:pt idx="1036">
                  <c:v>4139.5350699999999</c:v>
                </c:pt>
                <c:pt idx="1037">
                  <c:v>3767.0824074000002</c:v>
                </c:pt>
                <c:pt idx="1038">
                  <c:v>3617.5944439999998</c:v>
                </c:pt>
                <c:pt idx="1039">
                  <c:v>3735.4797119999998</c:v>
                </c:pt>
                <c:pt idx="1040">
                  <c:v>4099.0199236999997</c:v>
                </c:pt>
                <c:pt idx="1041">
                  <c:v>3804.7934663000001</c:v>
                </c:pt>
                <c:pt idx="1042">
                  <c:v>3597.6841321000002</c:v>
                </c:pt>
                <c:pt idx="1043">
                  <c:v>3858.0103401000001</c:v>
                </c:pt>
                <c:pt idx="1044">
                  <c:v>3958.4305260000001</c:v>
                </c:pt>
                <c:pt idx="1045">
                  <c:v>4307.0904426999996</c:v>
                </c:pt>
                <c:pt idx="1046">
                  <c:v>3803.1205260000002</c:v>
                </c:pt>
                <c:pt idx="1047">
                  <c:v>3648.8581519999998</c:v>
                </c:pt>
                <c:pt idx="1048">
                  <c:v>3636.8589415000001</c:v>
                </c:pt>
                <c:pt idx="1049">
                  <c:v>3682.9648732999999</c:v>
                </c:pt>
                <c:pt idx="1050">
                  <c:v>3955.2911279999998</c:v>
                </c:pt>
                <c:pt idx="1051">
                  <c:v>3743.273412</c:v>
                </c:pt>
                <c:pt idx="1052">
                  <c:v>3942.7101587000002</c:v>
                </c:pt>
                <c:pt idx="1053">
                  <c:v>3976.8218160000001</c:v>
                </c:pt>
                <c:pt idx="1054">
                  <c:v>3857.807452</c:v>
                </c:pt>
                <c:pt idx="1055">
                  <c:v>3919.9183554000001</c:v>
                </c:pt>
                <c:pt idx="1056">
                  <c:v>3716.9116820999998</c:v>
                </c:pt>
                <c:pt idx="1057">
                  <c:v>3836.8480380000001</c:v>
                </c:pt>
                <c:pt idx="1058">
                  <c:v>3574.3067080999999</c:v>
                </c:pt>
                <c:pt idx="1059">
                  <c:v>3805.4274051000002</c:v>
                </c:pt>
                <c:pt idx="1060">
                  <c:v>3863.2223303000001</c:v>
                </c:pt>
                <c:pt idx="1061">
                  <c:v>3924.3739768999999</c:v>
                </c:pt>
                <c:pt idx="1062">
                  <c:v>3791.1905225</c:v>
                </c:pt>
                <c:pt idx="1063">
                  <c:v>3672.2524855000001</c:v>
                </c:pt>
                <c:pt idx="1064">
                  <c:v>3699.6117773999999</c:v>
                </c:pt>
                <c:pt idx="1065">
                  <c:v>3744.407361</c:v>
                </c:pt>
                <c:pt idx="1066">
                  <c:v>3728.4285071999998</c:v>
                </c:pt>
                <c:pt idx="1067">
                  <c:v>3585.1306178</c:v>
                </c:pt>
                <c:pt idx="1068">
                  <c:v>3637.2502792999999</c:v>
                </c:pt>
                <c:pt idx="1069">
                  <c:v>3696.8943857999998</c:v>
                </c:pt>
                <c:pt idx="1070">
                  <c:v>3779.0877261000001</c:v>
                </c:pt>
                <c:pt idx="1071">
                  <c:v>3929.1748137999998</c:v>
                </c:pt>
                <c:pt idx="1072">
                  <c:v>3638.0137324000002</c:v>
                </c:pt>
                <c:pt idx="1073">
                  <c:v>3608.3316918</c:v>
                </c:pt>
                <c:pt idx="1074">
                  <c:v>3618.0837737000002</c:v>
                </c:pt>
                <c:pt idx="1075">
                  <c:v>3646.5066624000001</c:v>
                </c:pt>
                <c:pt idx="1076">
                  <c:v>3684.6767845999998</c:v>
                </c:pt>
                <c:pt idx="1077">
                  <c:v>3692.3123949999999</c:v>
                </c:pt>
                <c:pt idx="1078">
                  <c:v>3614.3218732999999</c:v>
                </c:pt>
                <c:pt idx="1079">
                  <c:v>3636.2756380999999</c:v>
                </c:pt>
                <c:pt idx="1080">
                  <c:v>3544.9616639999999</c:v>
                </c:pt>
                <c:pt idx="1081">
                  <c:v>3446.9506443</c:v>
                </c:pt>
                <c:pt idx="1082">
                  <c:v>3479.7126880000001</c:v>
                </c:pt>
                <c:pt idx="1083">
                  <c:v>3497.1095322000001</c:v>
                </c:pt>
                <c:pt idx="1084">
                  <c:v>3521.539084</c:v>
                </c:pt>
                <c:pt idx="1085">
                  <c:v>3700.9803708999998</c:v>
                </c:pt>
                <c:pt idx="1086">
                  <c:v>3752.2496680999998</c:v>
                </c:pt>
                <c:pt idx="1087">
                  <c:v>3640.6839036000001</c:v>
                </c:pt>
                <c:pt idx="1088">
                  <c:v>3620.8866813999998</c:v>
                </c:pt>
                <c:pt idx="1089">
                  <c:v>3555.3954313999998</c:v>
                </c:pt>
                <c:pt idx="1090">
                  <c:v>3919.3347079999999</c:v>
                </c:pt>
                <c:pt idx="1091">
                  <c:v>3873.7607582999999</c:v>
                </c:pt>
                <c:pt idx="1092">
                  <c:v>3871.9467226000002</c:v>
                </c:pt>
                <c:pt idx="1093">
                  <c:v>3877.3036708999998</c:v>
                </c:pt>
                <c:pt idx="1094">
                  <c:v>3753.1418173000002</c:v>
                </c:pt>
                <c:pt idx="1095">
                  <c:v>3767.6168290999999</c:v>
                </c:pt>
                <c:pt idx="1096">
                  <c:v>3780.1013781000001</c:v>
                </c:pt>
                <c:pt idx="1097">
                  <c:v>3774.2441739999999</c:v>
                </c:pt>
                <c:pt idx="1098">
                  <c:v>3779.3594813999998</c:v>
                </c:pt>
                <c:pt idx="1099">
                  <c:v>3637.981824</c:v>
                </c:pt>
                <c:pt idx="1100">
                  <c:v>3815.0630513999999</c:v>
                </c:pt>
                <c:pt idx="1101">
                  <c:v>3811.2279383</c:v>
                </c:pt>
                <c:pt idx="1102">
                  <c:v>3780.8251866000001</c:v>
                </c:pt>
                <c:pt idx="1103">
                  <c:v>3748.3585997</c:v>
                </c:pt>
                <c:pt idx="1104">
                  <c:v>3586.9456319999999</c:v>
                </c:pt>
                <c:pt idx="1105">
                  <c:v>3776.5422844999998</c:v>
                </c:pt>
                <c:pt idx="1106">
                  <c:v>3754.7169699999999</c:v>
                </c:pt>
                <c:pt idx="1107">
                  <c:v>3692.2135718</c:v>
                </c:pt>
                <c:pt idx="1108">
                  <c:v>3739.9264208</c:v>
                </c:pt>
                <c:pt idx="1109">
                  <c:v>3643.7607352999999</c:v>
                </c:pt>
                <c:pt idx="1110">
                  <c:v>3845.5494262000002</c:v>
                </c:pt>
                <c:pt idx="1111">
                  <c:v>3896.6158580000001</c:v>
                </c:pt>
                <c:pt idx="1112">
                  <c:v>3902.0771785000002</c:v>
                </c:pt>
                <c:pt idx="1113">
                  <c:v>3903.3466680000001</c:v>
                </c:pt>
                <c:pt idx="1114">
                  <c:v>3941.1367719999998</c:v>
                </c:pt>
                <c:pt idx="1115">
                  <c:v>4174.5466591000004</c:v>
                </c:pt>
                <c:pt idx="1116">
                  <c:v>4063.4814283999999</c:v>
                </c:pt>
                <c:pt idx="1117">
                  <c:v>4000.7949119</c:v>
                </c:pt>
                <c:pt idx="1118">
                  <c:v>3990.5119731999998</c:v>
                </c:pt>
                <c:pt idx="1119">
                  <c:v>4230.6383519999999</c:v>
                </c:pt>
                <c:pt idx="1120">
                  <c:v>4170.0184323000003</c:v>
                </c:pt>
                <c:pt idx="1121">
                  <c:v>4082.1256391000002</c:v>
                </c:pt>
                <c:pt idx="1122">
                  <c:v>4012.5581824999999</c:v>
                </c:pt>
                <c:pt idx="1123">
                  <c:v>3903.2921924000002</c:v>
                </c:pt>
                <c:pt idx="1124">
                  <c:v>4449.9242846999996</c:v>
                </c:pt>
                <c:pt idx="1125">
                  <c:v>4433.2776320000003</c:v>
                </c:pt>
                <c:pt idx="1126">
                  <c:v>4189.3022189000003</c:v>
                </c:pt>
                <c:pt idx="1127">
                  <c:v>4049.2710290999999</c:v>
                </c:pt>
                <c:pt idx="1128">
                  <c:v>3977.4724511999998</c:v>
                </c:pt>
                <c:pt idx="1129">
                  <c:v>4496.0106234000004</c:v>
                </c:pt>
                <c:pt idx="1130">
                  <c:v>4393.0620374</c:v>
                </c:pt>
                <c:pt idx="1131">
                  <c:v>4277.6779012999996</c:v>
                </c:pt>
                <c:pt idx="1132">
                  <c:v>4299.4446399999997</c:v>
                </c:pt>
                <c:pt idx="1133">
                  <c:v>4044.7247760999999</c:v>
                </c:pt>
                <c:pt idx="1134">
                  <c:v>4376.6303201000001</c:v>
                </c:pt>
                <c:pt idx="1135">
                  <c:v>4376.6280908999997</c:v>
                </c:pt>
                <c:pt idx="1136">
                  <c:v>4273.0613279999998</c:v>
                </c:pt>
                <c:pt idx="1137">
                  <c:v>4438.3483171999997</c:v>
                </c:pt>
                <c:pt idx="1138">
                  <c:v>4173.180034</c:v>
                </c:pt>
                <c:pt idx="1139">
                  <c:v>4497.7669404999997</c:v>
                </c:pt>
                <c:pt idx="1140">
                  <c:v>4476.2749313000004</c:v>
                </c:pt>
                <c:pt idx="1141">
                  <c:v>4315.5844699999998</c:v>
                </c:pt>
                <c:pt idx="1142">
                  <c:v>4379.4854519999999</c:v>
                </c:pt>
                <c:pt idx="1143">
                  <c:v>4537.8685400000004</c:v>
                </c:pt>
                <c:pt idx="1144">
                  <c:v>4433.3689117000004</c:v>
                </c:pt>
                <c:pt idx="1145">
                  <c:v>4334.4061492000001</c:v>
                </c:pt>
                <c:pt idx="1146">
                  <c:v>4333.4789252</c:v>
                </c:pt>
                <c:pt idx="1147">
                  <c:v>4337.4952952000003</c:v>
                </c:pt>
                <c:pt idx="1148">
                  <c:v>4164.895426</c:v>
                </c:pt>
                <c:pt idx="1149">
                  <c:v>4226.1582908</c:v>
                </c:pt>
                <c:pt idx="1150">
                  <c:v>4008.9900480000001</c:v>
                </c:pt>
                <c:pt idx="1151">
                  <c:v>3813.5205639999999</c:v>
                </c:pt>
                <c:pt idx="1152">
                  <c:v>3742.7298740000001</c:v>
                </c:pt>
                <c:pt idx="1153">
                  <c:v>3931.709304</c:v>
                </c:pt>
                <c:pt idx="1154">
                  <c:v>4374.5940119999996</c:v>
                </c:pt>
                <c:pt idx="1155">
                  <c:v>4318.3824199999999</c:v>
                </c:pt>
                <c:pt idx="1156">
                  <c:v>4194.7076980000002</c:v>
                </c:pt>
                <c:pt idx="1157">
                  <c:v>4292.7928819999997</c:v>
                </c:pt>
                <c:pt idx="1158">
                  <c:v>4099.0597680000001</c:v>
                </c:pt>
                <c:pt idx="1159">
                  <c:v>4695.5064439999996</c:v>
                </c:pt>
                <c:pt idx="1160">
                  <c:v>4691.4907080000003</c:v>
                </c:pt>
                <c:pt idx="1161">
                  <c:v>4508.5173560000003</c:v>
                </c:pt>
                <c:pt idx="1162">
                  <c:v>4364.7487600000004</c:v>
                </c:pt>
                <c:pt idx="1163">
                  <c:v>4054.417758</c:v>
                </c:pt>
                <c:pt idx="1164">
                  <c:v>4581.2946279999996</c:v>
                </c:pt>
                <c:pt idx="1165">
                  <c:v>4520.9182119999996</c:v>
                </c:pt>
                <c:pt idx="1166">
                  <c:v>4379.1974799999998</c:v>
                </c:pt>
                <c:pt idx="1167">
                  <c:v>4274.0483240000003</c:v>
                </c:pt>
                <c:pt idx="1168">
                  <c:v>3886.9602140000002</c:v>
                </c:pt>
                <c:pt idx="1169">
                  <c:v>3934.8482279999998</c:v>
                </c:pt>
                <c:pt idx="1170">
                  <c:v>4281.816984</c:v>
                </c:pt>
                <c:pt idx="1171">
                  <c:v>4139.6098840000004</c:v>
                </c:pt>
                <c:pt idx="1172">
                  <c:v>4082.5580340000001</c:v>
                </c:pt>
                <c:pt idx="1173">
                  <c:v>4033.3762419999998</c:v>
                </c:pt>
                <c:pt idx="1174">
                  <c:v>3743.45273</c:v>
                </c:pt>
                <c:pt idx="1175">
                  <c:v>4192.5249219999996</c:v>
                </c:pt>
                <c:pt idx="1176">
                  <c:v>4307.4701100000002</c:v>
                </c:pt>
                <c:pt idx="1177">
                  <c:v>4250.2061640000002</c:v>
                </c:pt>
                <c:pt idx="1178">
                  <c:v>4047.98668</c:v>
                </c:pt>
                <c:pt idx="1179">
                  <c:v>3912.6637559999999</c:v>
                </c:pt>
                <c:pt idx="1180">
                  <c:v>3705.1227899999999</c:v>
                </c:pt>
                <c:pt idx="1181">
                  <c:v>3611.040078</c:v>
                </c:pt>
                <c:pt idx="1182">
                  <c:v>3559.644898</c:v>
                </c:pt>
                <c:pt idx="1183">
                  <c:v>3601.5508880000002</c:v>
                </c:pt>
                <c:pt idx="1184">
                  <c:v>3608.7783159999999</c:v>
                </c:pt>
                <c:pt idx="1185">
                  <c:v>3544.5990320000001</c:v>
                </c:pt>
                <c:pt idx="1186">
                  <c:v>3552.6231640000001</c:v>
                </c:pt>
                <c:pt idx="1187">
                  <c:v>3658.349346</c:v>
                </c:pt>
                <c:pt idx="1188">
                  <c:v>3509.5589460000001</c:v>
                </c:pt>
                <c:pt idx="1189">
                  <c:v>3582.0836800000002</c:v>
                </c:pt>
                <c:pt idx="1190">
                  <c:v>3514.5323779999999</c:v>
                </c:pt>
                <c:pt idx="1191">
                  <c:v>3450.5767940000001</c:v>
                </c:pt>
                <c:pt idx="1192">
                  <c:v>3576.1444980000001</c:v>
                </c:pt>
                <c:pt idx="1193">
                  <c:v>3335.89131</c:v>
                </c:pt>
                <c:pt idx="1194">
                  <c:v>3530.4179039999999</c:v>
                </c:pt>
                <c:pt idx="1195">
                  <c:v>3622.7915859999998</c:v>
                </c:pt>
                <c:pt idx="1196">
                  <c:v>3389.9262159999998</c:v>
                </c:pt>
                <c:pt idx="1197">
                  <c:v>3435.613848</c:v>
                </c:pt>
                <c:pt idx="1198">
                  <c:v>3270.5905160000002</c:v>
                </c:pt>
                <c:pt idx="1199">
                  <c:v>3445.6034399999999</c:v>
                </c:pt>
                <c:pt idx="1200">
                  <c:v>3306.5340700000002</c:v>
                </c:pt>
                <c:pt idx="1201">
                  <c:v>3317.72793</c:v>
                </c:pt>
                <c:pt idx="1202">
                  <c:v>3302.7584299999999</c:v>
                </c:pt>
                <c:pt idx="1203">
                  <c:v>3470.8821400000002</c:v>
                </c:pt>
                <c:pt idx="1204">
                  <c:v>3368.6596020000002</c:v>
                </c:pt>
                <c:pt idx="1205">
                  <c:v>3594.9912639999998</c:v>
                </c:pt>
                <c:pt idx="1206">
                  <c:v>3436.7789979999998</c:v>
                </c:pt>
                <c:pt idx="1207">
                  <c:v>3347.0714859999998</c:v>
                </c:pt>
                <c:pt idx="1208">
                  <c:v>3434.694082</c:v>
                </c:pt>
                <c:pt idx="1209">
                  <c:v>3375.5708279999999</c:v>
                </c:pt>
                <c:pt idx="1210">
                  <c:v>3310.2041100000001</c:v>
                </c:pt>
                <c:pt idx="1211">
                  <c:v>3559.22847</c:v>
                </c:pt>
                <c:pt idx="1212">
                  <c:v>3592.8532359999999</c:v>
                </c:pt>
                <c:pt idx="1213">
                  <c:v>3845.481166</c:v>
                </c:pt>
                <c:pt idx="1214">
                  <c:v>3551.6644980000001</c:v>
                </c:pt>
                <c:pt idx="1215">
                  <c:v>3456.8585400000002</c:v>
                </c:pt>
                <c:pt idx="1216">
                  <c:v>3742.102926</c:v>
                </c:pt>
                <c:pt idx="1217">
                  <c:v>3955.9713339999998</c:v>
                </c:pt>
                <c:pt idx="1218">
                  <c:v>3299.8979100000001</c:v>
                </c:pt>
                <c:pt idx="1219">
                  <c:v>3376.0855339999998</c:v>
                </c:pt>
                <c:pt idx="1220">
                  <c:v>3538.0050660000002</c:v>
                </c:pt>
                <c:pt idx="1221">
                  <c:v>3281.852558</c:v>
                </c:pt>
                <c:pt idx="1222">
                  <c:v>3329.1295</c:v>
                </c:pt>
                <c:pt idx="1223">
                  <c:v>3438.7911119999999</c:v>
                </c:pt>
                <c:pt idx="1224">
                  <c:v>3359.5894520000002</c:v>
                </c:pt>
                <c:pt idx="1225">
                  <c:v>3321.3625160000001</c:v>
                </c:pt>
                <c:pt idx="1226">
                  <c:v>3478.5355460000001</c:v>
                </c:pt>
                <c:pt idx="1227">
                  <c:v>4603.8817859999999</c:v>
                </c:pt>
                <c:pt idx="1228">
                  <c:v>3408.172646</c:v>
                </c:pt>
                <c:pt idx="1229">
                  <c:v>3498.8484319999998</c:v>
                </c:pt>
                <c:pt idx="1230">
                  <c:v>3474.07467</c:v>
                </c:pt>
                <c:pt idx="1231">
                  <c:v>4177.0622499999999</c:v>
                </c:pt>
                <c:pt idx="1232">
                  <c:v>4873.8198839999995</c:v>
                </c:pt>
                <c:pt idx="1233">
                  <c:v>4286.285382</c:v>
                </c:pt>
                <c:pt idx="1234">
                  <c:v>3738.0455940000002</c:v>
                </c:pt>
                <c:pt idx="1235">
                  <c:v>3524.1685699999998</c:v>
                </c:pt>
                <c:pt idx="1236">
                  <c:v>3435.561518</c:v>
                </c:pt>
                <c:pt idx="1237">
                  <c:v>3379.1824080000001</c:v>
                </c:pt>
                <c:pt idx="1238">
                  <c:v>3995.2973480000001</c:v>
                </c:pt>
                <c:pt idx="1239">
                  <c:v>4335.9848780000002</c:v>
                </c:pt>
                <c:pt idx="1240">
                  <c:v>4656.8157388</c:v>
                </c:pt>
                <c:pt idx="1241">
                  <c:v>4136.4795213999996</c:v>
                </c:pt>
                <c:pt idx="1242">
                  <c:v>4075.7362414999998</c:v>
                </c:pt>
                <c:pt idx="1243">
                  <c:v>3991.8876737000001</c:v>
                </c:pt>
                <c:pt idx="1244">
                  <c:v>3719.6933638</c:v>
                </c:pt>
                <c:pt idx="1245">
                  <c:v>3753.1008397000001</c:v>
                </c:pt>
                <c:pt idx="1246">
                  <c:v>3658.8302785999999</c:v>
                </c:pt>
                <c:pt idx="1247">
                  <c:v>3304.1341219000001</c:v>
                </c:pt>
                <c:pt idx="1248">
                  <c:v>3614.8118817</c:v>
                </c:pt>
                <c:pt idx="1249">
                  <c:v>3643.8867897999999</c:v>
                </c:pt>
                <c:pt idx="1250">
                  <c:v>3421.9086050999999</c:v>
                </c:pt>
                <c:pt idx="1251">
                  <c:v>3681.6757299000001</c:v>
                </c:pt>
                <c:pt idx="1252">
                  <c:v>3361.0641258999999</c:v>
                </c:pt>
                <c:pt idx="1253">
                  <c:v>3781.0512733</c:v>
                </c:pt>
                <c:pt idx="1254">
                  <c:v>3537.4606285999998</c:v>
                </c:pt>
                <c:pt idx="1255">
                  <c:v>3443.5556213</c:v>
                </c:pt>
                <c:pt idx="1256">
                  <c:v>3400.1384459999999</c:v>
                </c:pt>
                <c:pt idx="1257">
                  <c:v>3570.7408337000002</c:v>
                </c:pt>
                <c:pt idx="1258">
                  <c:v>3148.9114126999998</c:v>
                </c:pt>
              </c:numCache>
            </c:numRef>
          </c:yVal>
          <c:smooth val="0"/>
        </c:ser>
        <c:dLbls>
          <c:showLegendKey val="0"/>
          <c:showVal val="0"/>
          <c:showCatName val="0"/>
          <c:showSerName val="0"/>
          <c:showPercent val="0"/>
          <c:showBubbleSize val="0"/>
        </c:dLbls>
        <c:axId val="74941568"/>
        <c:axId val="74943488"/>
      </c:scatterChart>
      <c:valAx>
        <c:axId val="74941568"/>
        <c:scaling>
          <c:orientation val="minMax"/>
          <c:min val="5"/>
        </c:scaling>
        <c:delete val="0"/>
        <c:axPos val="b"/>
        <c:majorGridlines/>
        <c:title>
          <c:tx>
            <c:rich>
              <a:bodyPr/>
              <a:lstStyle/>
              <a:p>
                <a:pPr>
                  <a:defRPr sz="1100"/>
                </a:pPr>
                <a:r>
                  <a:rPr lang="en-US" sz="1100"/>
                  <a:t>Daily Average</a:t>
                </a:r>
                <a:r>
                  <a:rPr lang="en-US" sz="1100" baseline="0"/>
                  <a:t> Temperature (°C)</a:t>
                </a:r>
                <a:endParaRPr lang="en-US" sz="1100"/>
              </a:p>
            </c:rich>
          </c:tx>
          <c:layout>
            <c:manualLayout>
              <c:xMode val="edge"/>
              <c:yMode val="edge"/>
              <c:x val="0.39063495134361276"/>
              <c:y val="0.89331592689295036"/>
            </c:manualLayout>
          </c:layout>
          <c:overlay val="0"/>
        </c:title>
        <c:numFmt formatCode="General" sourceLinked="1"/>
        <c:majorTickMark val="out"/>
        <c:minorTickMark val="none"/>
        <c:tickLblPos val="nextTo"/>
        <c:crossAx val="74943488"/>
        <c:crosses val="autoZero"/>
        <c:crossBetween val="midCat"/>
      </c:valAx>
      <c:valAx>
        <c:axId val="74943488"/>
        <c:scaling>
          <c:orientation val="minMax"/>
          <c:min val="3000"/>
        </c:scaling>
        <c:delete val="0"/>
        <c:axPos val="l"/>
        <c:majorGridlines/>
        <c:title>
          <c:tx>
            <c:rich>
              <a:bodyPr/>
              <a:lstStyle/>
              <a:p>
                <a:pPr>
                  <a:defRPr sz="1200"/>
                </a:pPr>
                <a:r>
                  <a:rPr lang="en-US" sz="1200"/>
                  <a:t>System Demand (MW) - Working Weekdays (CY10-14)</a:t>
                </a:r>
              </a:p>
            </c:rich>
          </c:tx>
          <c:layout>
            <c:manualLayout>
              <c:xMode val="edge"/>
              <c:yMode val="edge"/>
              <c:x val="1.5286624203821656E-2"/>
              <c:y val="6.4167083096048211E-2"/>
            </c:manualLayout>
          </c:layout>
          <c:overlay val="0"/>
        </c:title>
        <c:numFmt formatCode="General" sourceLinked="1"/>
        <c:majorTickMark val="out"/>
        <c:minorTickMark val="none"/>
        <c:tickLblPos val="nextTo"/>
        <c:txPr>
          <a:bodyPr/>
          <a:lstStyle/>
          <a:p>
            <a:pPr>
              <a:defRPr sz="1100"/>
            </a:pPr>
            <a:endParaRPr lang="en-US"/>
          </a:p>
        </c:txPr>
        <c:crossAx val="74941568"/>
        <c:crosses val="autoZero"/>
        <c:crossBetween val="midCat"/>
      </c:valAx>
      <c:spPr>
        <a:noFill/>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evel1 xmlns="871fc28d-e78f-4bd2-8140-9df73a166319"/>
    <DocumentNumber xmlns="d5af2f0d-7263-429f-ab50-77e5004a4e68" xsi:nil="true"/>
    <DocumentType xmlns="d5af2f0d-7263-429f-ab50-77e5004a4e68"/>
    <TaxCatchAll xmlns="d5af2f0d-7263-429f-ab50-77e5004a4e68"/>
    <RoutingRuleDescription xmlns="http://schemas.microsoft.com/sharepoint/v3" xsi:nil="true"/>
    <Document_x0020_Owner xmlns="d5af2f0d-7263-429f-ab50-77e5004a4e68">
      <UserInfo>
        <DisplayName/>
        <AccountId/>
        <AccountType/>
      </UserInfo>
    </Document_x0020_Owner>
    <Level2 xmlns="871fc28d-e78f-4bd2-8140-9df73a166319"/>
    <nd1ea2c389ad4142ab91f6206656734a xmlns="394b6e4c-13f9-48a5-8071-a84e0a5a5106">
      <Terms xmlns="http://schemas.microsoft.com/office/infopath/2007/PartnerControls"/>
    </nd1ea2c389ad4142ab91f6206656734a>
    <My_x0020_Tag xmlns="871fc28d-e78f-4bd2-8140-9df73a166319" xsi:nil="true"/>
    <DocumentSubtype xmlns="d5af2f0d-7263-429f-ab50-77e5004a4e6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usgrid Document" ma:contentTypeID="0x01010035F13CD4C5CD46418D1721F5DABE2F520088E6BE57FD3E09448628C9B70F371CC4" ma:contentTypeVersion="17" ma:contentTypeDescription="Ausgrid Document" ma:contentTypeScope="" ma:versionID="e2db6f969a417bf95f19cca5f1c2765b">
  <xsd:schema xmlns:xsd="http://www.w3.org/2001/XMLSchema" xmlns:xs="http://www.w3.org/2001/XMLSchema" xmlns:p="http://schemas.microsoft.com/office/2006/metadata/properties" xmlns:ns1="http://schemas.microsoft.com/sharepoint/v3" xmlns:ns2="d5af2f0d-7263-429f-ab50-77e5004a4e68" xmlns:ns3="394b6e4c-13f9-48a5-8071-a84e0a5a5106" xmlns:ns4="871fc28d-e78f-4bd2-8140-9df73a166319" targetNamespace="http://schemas.microsoft.com/office/2006/metadata/properties" ma:root="true" ma:fieldsID="808f6bf69e30a3e8a9bc9fa6fd45253e" ns1:_="" ns2:_="" ns3:_="" ns4:_="">
    <xsd:import namespace="http://schemas.microsoft.com/sharepoint/v3"/>
    <xsd:import namespace="d5af2f0d-7263-429f-ab50-77e5004a4e68"/>
    <xsd:import namespace="394b6e4c-13f9-48a5-8071-a84e0a5a5106"/>
    <xsd:import namespace="871fc28d-e78f-4bd2-8140-9df73a166319"/>
    <xsd:element name="properties">
      <xsd:complexType>
        <xsd:sequence>
          <xsd:element name="documentManagement">
            <xsd:complexType>
              <xsd:all>
                <xsd:element ref="ns1:RoutingRuleDescription" minOccurs="0"/>
                <xsd:element ref="ns2:Document_x0020_Owner"/>
                <xsd:element ref="ns4:My_x0020_Tag" minOccurs="0"/>
                <xsd:element ref="ns4:Level1"/>
                <xsd:element ref="ns4:Level2"/>
                <xsd:element ref="ns2:DocumentType"/>
                <xsd:element ref="ns2:DocumentSubtype" minOccurs="0"/>
                <xsd:element ref="ns2:DocumentNumber" minOccurs="0"/>
                <xsd:element ref="ns2:TaxCatchAll" minOccurs="0"/>
                <xsd:element ref="ns2:TaxCatchAllLabel" minOccurs="0"/>
                <xsd:element ref="ns3:nd1ea2c389ad4142ab91f6206656734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af2f0d-7263-429f-ab50-77e5004a4e68" elementFormDefault="qualified">
    <xsd:import namespace="http://schemas.microsoft.com/office/2006/documentManagement/types"/>
    <xsd:import namespace="http://schemas.microsoft.com/office/infopath/2007/PartnerControls"/>
    <xsd:element name="Document_x0020_Owner" ma:index="3" ma:displayName="Document Owner" ma:list="UserInfo" ma:SharePointGroup="0" ma:internalName="Document_x0020_Owner" ma:readOnly="false"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Type" ma:index="8" ma:displayName="Document Type" ma:list="{60a4ff42-0129-4435-8fb7-31147737060f}" ma:internalName="Document_x0020_Type" ma:readOnly="false" ma:showField="Title" ma:web="d5af2f0d-7263-429f-ab50-77e5004a4e68">
      <xsd:simpleType>
        <xsd:restriction base="dms:Lookup"/>
      </xsd:simpleType>
    </xsd:element>
    <xsd:element name="DocumentSubtype" ma:index="9" nillable="true" ma:displayName="Document Subtype" ma:list="{b176571c-367a-4726-915b-d61861e92a9d}" ma:internalName="Document_x0020_Subtype" ma:showField="Title" ma:web="d5af2f0d-7263-429f-ab50-77e5004a4e68">
      <xsd:simpleType>
        <xsd:restriction base="dms:Lookup"/>
      </xsd:simpleType>
    </xsd:element>
    <xsd:element name="DocumentNumber" ma:index="10" nillable="true" ma:displayName="Document Number" ma:internalName="Document_x0020_Number">
      <xsd:simpleType>
        <xsd:restriction base="dms:Text">
          <xsd:maxLength value="255"/>
        </xsd:restriction>
      </xsd:simpleType>
    </xsd:element>
    <xsd:element name="TaxCatchAll" ma:index="11" nillable="true" ma:displayName="Taxonomy Catch All Column" ma:description="" ma:list="{362f8d54-10c9-4ca2-9f7b-a7be45a7a61d}" ma:internalName="TaxCatchAll" ma:showField="CatchAllData" ma:web="d5af2f0d-7263-429f-ab50-77e5004a4e6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362f8d54-10c9-4ca2-9f7b-a7be45a7a61d}" ma:internalName="TaxCatchAllLabel" ma:readOnly="true" ma:showField="CatchAllDataLabel" ma:web="d5af2f0d-7263-429f-ab50-77e5004a4e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94b6e4c-13f9-48a5-8071-a84e0a5a5106" elementFormDefault="qualified">
    <xsd:import namespace="http://schemas.microsoft.com/office/2006/documentManagement/types"/>
    <xsd:import namespace="http://schemas.microsoft.com/office/infopath/2007/PartnerControls"/>
    <xsd:element name="nd1ea2c389ad4142ab91f6206656734a" ma:index="17" ma:taxonomy="true" ma:internalName="nd1ea2c389ad4142ab91f6206656734a" ma:taxonomyFieldName="Page_x0020_Keywords" ma:displayName="Keywords" ma:default="" ma:fieldId="{7d1ea2c3-89ad-4142-ab91-f6206656734a}" ma:taxonomyMulti="true" ma:sspId="e3e06ac4-5efd-42df-973b-4682ebf1c6e4" ma:termSetId="3f1d2b39-9037-4031-ab9b-9bde8be66acc"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1fc28d-e78f-4bd2-8140-9df73a166319" elementFormDefault="qualified">
    <xsd:import namespace="http://schemas.microsoft.com/office/2006/documentManagement/types"/>
    <xsd:import namespace="http://schemas.microsoft.com/office/infopath/2007/PartnerControls"/>
    <xsd:element name="My_x0020_Tag" ma:index="5" nillable="true" ma:displayName="My Tag" ma:internalName="My_x0020_Tag">
      <xsd:simpleType>
        <xsd:restriction base="dms:Text">
          <xsd:maxLength value="255"/>
        </xsd:restriction>
      </xsd:simpleType>
    </xsd:element>
    <xsd:element name="Level1" ma:index="6" ma:displayName="Level1" ma:list="{47966f86-75fe-4b4a-af52-57707d7d1bdc}" ma:internalName="Level1" ma:readOnly="false" ma:showField="Title" ma:web="d5af2f0d-7263-429f-ab50-77e5004a4e68">
      <xsd:simpleType>
        <xsd:restriction base="dms:Lookup"/>
      </xsd:simpleType>
    </xsd:element>
    <xsd:element name="Level2" ma:index="7" ma:displayName="Level2" ma:list="{ab1281d2-d2ac-4bb4-8b99-7721bf6ba8e1}" ma:internalName="Level2" ma:readOnly="false" ma:showField="Title" ma:web="d5af2f0d-7263-429f-ab50-77e5004a4e68">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91B3F-26AD-48BD-9F60-1D43A9691B17}">
  <ds:schemaRefs>
    <ds:schemaRef ds:uri="http://schemas.microsoft.com/sharepoint/v3/contenttype/forms"/>
  </ds:schemaRefs>
</ds:datastoreItem>
</file>

<file path=customXml/itemProps2.xml><?xml version="1.0" encoding="utf-8"?>
<ds:datastoreItem xmlns:ds="http://schemas.openxmlformats.org/officeDocument/2006/customXml" ds:itemID="{65ABB9D5-5BCB-47A8-B818-D368E009BAA7}">
  <ds:schemaRefs>
    <ds:schemaRef ds:uri="d5af2f0d-7263-429f-ab50-77e5004a4e68"/>
    <ds:schemaRef ds:uri="http://www.w3.org/XML/1998/namespace"/>
    <ds:schemaRef ds:uri="http://schemas.microsoft.com/office/2006/documentManagement/types"/>
    <ds:schemaRef ds:uri="http://schemas.microsoft.com/office/2006/metadata/properties"/>
    <ds:schemaRef ds:uri="http://schemas.microsoft.com/sharepoint/v3"/>
    <ds:schemaRef ds:uri="http://purl.org/dc/terms/"/>
    <ds:schemaRef ds:uri="http://purl.org/dc/dcmitype/"/>
    <ds:schemaRef ds:uri="http://schemas.microsoft.com/office/infopath/2007/PartnerControls"/>
    <ds:schemaRef ds:uri="871fc28d-e78f-4bd2-8140-9df73a166319"/>
    <ds:schemaRef ds:uri="http://schemas.openxmlformats.org/package/2006/metadata/core-properties"/>
    <ds:schemaRef ds:uri="394b6e4c-13f9-48a5-8071-a84e0a5a5106"/>
    <ds:schemaRef ds:uri="http://purl.org/dc/elements/1.1/"/>
  </ds:schemaRefs>
</ds:datastoreItem>
</file>

<file path=customXml/itemProps3.xml><?xml version="1.0" encoding="utf-8"?>
<ds:datastoreItem xmlns:ds="http://schemas.openxmlformats.org/officeDocument/2006/customXml" ds:itemID="{3FB03F3A-E6C5-4F6D-A77B-C987604E5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af2f0d-7263-429f-ab50-77e5004a4e68"/>
    <ds:schemaRef ds:uri="394b6e4c-13f9-48a5-8071-a84e0a5a5106"/>
    <ds:schemaRef ds:uri="871fc28d-e78f-4bd2-8140-9df73a1663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AFC0EEC-5A52-4CF4-ADA2-335BB16FC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FB1F29FC</Template>
  <TotalTime>10</TotalTime>
  <Pages>63</Pages>
  <Words>19216</Words>
  <Characters>109055</Characters>
  <Application>Microsoft Office Word</Application>
  <DocSecurity>0</DocSecurity>
  <Lines>908</Lines>
  <Paragraphs>256</Paragraphs>
  <ScaleCrop>false</ScaleCrop>
  <HeadingPairs>
    <vt:vector size="2" baseType="variant">
      <vt:variant>
        <vt:lpstr>Title</vt:lpstr>
      </vt:variant>
      <vt:variant>
        <vt:i4>1</vt:i4>
      </vt:variant>
    </vt:vector>
  </HeadingPairs>
  <TitlesOfParts>
    <vt:vector size="1" baseType="lpstr">
      <vt:lpstr>Document No 24687</vt:lpstr>
    </vt:vector>
  </TitlesOfParts>
  <Company>D5C</Company>
  <LinksUpToDate>false</LinksUpToDate>
  <CharactersWithSpaces>128015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 24687</dc:title>
  <dc:creator>t49215</dc:creator>
  <cp:lastModifiedBy>idelm</cp:lastModifiedBy>
  <cp:revision>4</cp:revision>
  <cp:lastPrinted>2017-02-23T00:47:00Z</cp:lastPrinted>
  <dcterms:created xsi:type="dcterms:W3CDTF">2017-02-27T02:28:00Z</dcterms:created>
  <dcterms:modified xsi:type="dcterms:W3CDTF">2017-02-27T05:45:00Z</dcterms:modified>
</cp:coreProperties>
</file>